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EA39A5" w:rsidRPr="00967F34" w14:paraId="347FE67D" w14:textId="77777777" w:rsidTr="009A123F">
        <w:trPr>
          <w:trHeight w:val="844"/>
        </w:trPr>
        <w:tc>
          <w:tcPr>
            <w:tcW w:w="976" w:type="dxa"/>
            <w:tcBorders>
              <w:bottom w:val="single" w:sz="12" w:space="0" w:color="auto"/>
            </w:tcBorders>
          </w:tcPr>
          <w:p w14:paraId="23AC1DC0" w14:textId="77777777" w:rsidR="00EA39A5" w:rsidRPr="00967F34" w:rsidRDefault="00EA39A5" w:rsidP="009A123F">
            <w:pPr>
              <w:suppressLineNumbers/>
              <w:suppressAutoHyphens/>
              <w:rPr>
                <w:snapToGrid w:val="0"/>
                <w:kern w:val="22"/>
                <w:lang w:val="fr-CA"/>
              </w:rPr>
            </w:pPr>
            <w:bookmarkStart w:id="0" w:name="_Toc522023191"/>
            <w:r w:rsidRPr="00967F34">
              <w:rPr>
                <w:noProof/>
                <w:snapToGrid w:val="0"/>
                <w:kern w:val="22"/>
                <w:lang w:val="fr-CA" w:eastAsia="fr-CA"/>
              </w:rPr>
              <w:drawing>
                <wp:anchor distT="0" distB="0" distL="114300" distR="114300" simplePos="0" relativeHeight="251658241" behindDoc="0" locked="0" layoutInCell="1" allowOverlap="1" wp14:anchorId="781C2FAA" wp14:editId="6C5D8B76">
                  <wp:simplePos x="0" y="0"/>
                  <wp:positionH relativeFrom="column">
                    <wp:posOffset>365</wp:posOffset>
                  </wp:positionH>
                  <wp:positionV relativeFrom="page">
                    <wp:posOffset>-122</wp:posOffset>
                  </wp:positionV>
                  <wp:extent cx="476250" cy="402590"/>
                  <wp:effectExtent l="0" t="0" r="0" b="0"/>
                  <wp:wrapNone/>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1CFE181B" w14:textId="5D3AEF69" w:rsidR="00EA39A5" w:rsidRPr="00967F34" w:rsidRDefault="001C7621" w:rsidP="009A123F">
            <w:pPr>
              <w:suppressLineNumbers/>
              <w:suppressAutoHyphens/>
              <w:rPr>
                <w:snapToGrid w:val="0"/>
                <w:kern w:val="22"/>
                <w:lang w:val="fr-CA"/>
              </w:rPr>
            </w:pPr>
            <w:r w:rsidRPr="00525032">
              <w:rPr>
                <w:noProof/>
                <w:lang w:val="fr-CA" w:eastAsia="fr-CA"/>
              </w:rPr>
              <w:drawing>
                <wp:inline distT="0" distB="0" distL="0" distR="0" wp14:anchorId="38FF762C" wp14:editId="1983FC04">
                  <wp:extent cx="593090" cy="34036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090" cy="340360"/>
                          </a:xfrm>
                          <a:prstGeom prst="rect">
                            <a:avLst/>
                          </a:prstGeom>
                          <a:noFill/>
                          <a:ln>
                            <a:noFill/>
                          </a:ln>
                        </pic:spPr>
                      </pic:pic>
                    </a:graphicData>
                  </a:graphic>
                </wp:inline>
              </w:drawing>
            </w:r>
          </w:p>
        </w:tc>
        <w:tc>
          <w:tcPr>
            <w:tcW w:w="4090" w:type="dxa"/>
            <w:tcBorders>
              <w:bottom w:val="single" w:sz="12" w:space="0" w:color="auto"/>
            </w:tcBorders>
          </w:tcPr>
          <w:p w14:paraId="5AEF96FA" w14:textId="77777777" w:rsidR="00EA39A5" w:rsidRPr="00967F34" w:rsidRDefault="00EA39A5" w:rsidP="009A123F">
            <w:pPr>
              <w:suppressLineNumbers/>
              <w:suppressAutoHyphens/>
              <w:jc w:val="right"/>
              <w:rPr>
                <w:rFonts w:ascii="Arial" w:hAnsi="Arial" w:cs="Arial"/>
                <w:b/>
                <w:snapToGrid w:val="0"/>
                <w:kern w:val="22"/>
                <w:sz w:val="32"/>
                <w:szCs w:val="32"/>
                <w:lang w:val="fr-CA"/>
              </w:rPr>
            </w:pPr>
            <w:r w:rsidRPr="00967F34">
              <w:rPr>
                <w:rFonts w:ascii="Arial" w:hAnsi="Arial" w:cs="Arial"/>
                <w:b/>
                <w:snapToGrid w:val="0"/>
                <w:kern w:val="22"/>
                <w:sz w:val="32"/>
                <w:szCs w:val="32"/>
                <w:lang w:val="fr-CA"/>
              </w:rPr>
              <w:t>CBD</w:t>
            </w:r>
          </w:p>
        </w:tc>
      </w:tr>
    </w:tbl>
    <w:tbl>
      <w:tblPr>
        <w:tblW w:w="10348" w:type="dxa"/>
        <w:tblInd w:w="-459" w:type="dxa"/>
        <w:tblBorders>
          <w:bottom w:val="single" w:sz="36" w:space="0" w:color="000000"/>
        </w:tblBorders>
        <w:tblLayout w:type="fixed"/>
        <w:tblLook w:val="0000" w:firstRow="0" w:lastRow="0" w:firstColumn="0" w:lastColumn="0" w:noHBand="0" w:noVBand="0"/>
      </w:tblPr>
      <w:tblGrid>
        <w:gridCol w:w="6227"/>
        <w:gridCol w:w="1144"/>
        <w:gridCol w:w="2977"/>
      </w:tblGrid>
      <w:tr w:rsidR="00EA39A5" w:rsidRPr="00967F34" w14:paraId="6B5A091B" w14:textId="77777777" w:rsidTr="009A123F">
        <w:trPr>
          <w:trHeight w:val="1693"/>
        </w:trPr>
        <w:tc>
          <w:tcPr>
            <w:tcW w:w="6227" w:type="dxa"/>
            <w:tcBorders>
              <w:top w:val="nil"/>
              <w:bottom w:val="single" w:sz="36" w:space="0" w:color="000000"/>
            </w:tcBorders>
          </w:tcPr>
          <w:p w14:paraId="3B55E903" w14:textId="77777777" w:rsidR="00B738C5" w:rsidRDefault="00B738C5" w:rsidP="009A123F">
            <w:pPr>
              <w:suppressLineNumbers/>
              <w:suppressAutoHyphens/>
              <w:rPr>
                <w:noProof/>
                <w:szCs w:val="22"/>
                <w:lang w:val="fr-CA" w:eastAsia="fr-CA"/>
              </w:rPr>
            </w:pPr>
          </w:p>
          <w:p w14:paraId="3F031475" w14:textId="77777777" w:rsidR="00B738C5" w:rsidRDefault="00B738C5" w:rsidP="009A123F">
            <w:pPr>
              <w:suppressLineNumbers/>
              <w:suppressAutoHyphens/>
              <w:rPr>
                <w:noProof/>
                <w:snapToGrid w:val="0"/>
                <w:kern w:val="22"/>
                <w:szCs w:val="22"/>
                <w:lang w:val="fr-CA" w:eastAsia="fr-CA"/>
              </w:rPr>
            </w:pPr>
          </w:p>
          <w:p w14:paraId="29BA11F1" w14:textId="69D8D8D3" w:rsidR="00EA39A5" w:rsidRPr="00967F34" w:rsidRDefault="001C7621" w:rsidP="009A123F">
            <w:pPr>
              <w:suppressLineNumbers/>
              <w:suppressAutoHyphens/>
              <w:rPr>
                <w:rFonts w:ascii="Univers" w:hAnsi="Univers"/>
                <w:snapToGrid w:val="0"/>
                <w:kern w:val="22"/>
                <w:szCs w:val="22"/>
                <w:lang w:val="fr-CA"/>
              </w:rPr>
            </w:pPr>
            <w:r w:rsidRPr="00967F34">
              <w:rPr>
                <w:noProof/>
                <w:szCs w:val="22"/>
                <w:lang w:val="fr-CA" w:eastAsia="fr-CA"/>
              </w:rPr>
              <w:drawing>
                <wp:inline distT="0" distB="0" distL="0" distR="0" wp14:anchorId="7F94E12F" wp14:editId="0D8FCF79">
                  <wp:extent cx="2358390" cy="939800"/>
                  <wp:effectExtent l="0" t="0" r="0" b="0"/>
                  <wp:docPr id="3" name="Image 3" descr="CBD_logo_fr-CMYK-black [Conver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BD_logo_fr-CMYK-black [Converted]"/>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58390" cy="939800"/>
                          </a:xfrm>
                          <a:prstGeom prst="rect">
                            <a:avLst/>
                          </a:prstGeom>
                          <a:noFill/>
                          <a:ln>
                            <a:noFill/>
                          </a:ln>
                        </pic:spPr>
                      </pic:pic>
                    </a:graphicData>
                  </a:graphic>
                </wp:inline>
              </w:drawing>
            </w:r>
          </w:p>
        </w:tc>
        <w:tc>
          <w:tcPr>
            <w:tcW w:w="1144" w:type="dxa"/>
            <w:tcBorders>
              <w:top w:val="nil"/>
              <w:bottom w:val="single" w:sz="36" w:space="0" w:color="000000"/>
            </w:tcBorders>
          </w:tcPr>
          <w:p w14:paraId="624F1DCB" w14:textId="77777777" w:rsidR="00EA39A5" w:rsidRPr="00967F34" w:rsidRDefault="00EA39A5" w:rsidP="009A123F">
            <w:pPr>
              <w:pStyle w:val="Header"/>
              <w:suppressLineNumbers/>
              <w:tabs>
                <w:tab w:val="clear" w:pos="4320"/>
                <w:tab w:val="clear" w:pos="8640"/>
              </w:tabs>
              <w:suppressAutoHyphens/>
              <w:rPr>
                <w:snapToGrid w:val="0"/>
                <w:kern w:val="22"/>
                <w:szCs w:val="22"/>
                <w:lang w:val="fr-CA"/>
              </w:rPr>
            </w:pPr>
          </w:p>
        </w:tc>
        <w:tc>
          <w:tcPr>
            <w:tcW w:w="2977" w:type="dxa"/>
            <w:tcBorders>
              <w:top w:val="nil"/>
              <w:bottom w:val="single" w:sz="36" w:space="0" w:color="000000"/>
            </w:tcBorders>
          </w:tcPr>
          <w:p w14:paraId="1036ED62" w14:textId="77777777" w:rsidR="00EA39A5" w:rsidRPr="00967F34" w:rsidRDefault="00EA39A5" w:rsidP="009A123F">
            <w:pPr>
              <w:suppressLineNumbers/>
              <w:suppressAutoHyphens/>
              <w:spacing w:before="120"/>
              <w:ind w:left="62"/>
              <w:jc w:val="left"/>
              <w:rPr>
                <w:snapToGrid w:val="0"/>
                <w:kern w:val="22"/>
                <w:szCs w:val="22"/>
                <w:lang w:val="fr-CA"/>
              </w:rPr>
            </w:pPr>
            <w:r w:rsidRPr="00967F34">
              <w:rPr>
                <w:snapToGrid w:val="0"/>
                <w:kern w:val="22"/>
                <w:szCs w:val="22"/>
                <w:lang w:val="fr-CA"/>
              </w:rPr>
              <w:t>Distr.</w:t>
            </w:r>
          </w:p>
          <w:p w14:paraId="263D8D03" w14:textId="7FDD1A57" w:rsidR="00EA39A5" w:rsidRPr="00967F34" w:rsidRDefault="001C7621" w:rsidP="009A123F">
            <w:pPr>
              <w:suppressLineNumbers/>
              <w:suppressAutoHyphens/>
              <w:ind w:left="62"/>
              <w:jc w:val="left"/>
              <w:rPr>
                <w:snapToGrid w:val="0"/>
                <w:kern w:val="22"/>
                <w:szCs w:val="22"/>
                <w:lang w:val="fr-CA"/>
              </w:rPr>
            </w:pPr>
            <w:r w:rsidRPr="00967F34">
              <w:rPr>
                <w:snapToGrid w:val="0"/>
                <w:kern w:val="22"/>
                <w:szCs w:val="22"/>
                <w:lang w:val="fr-CA"/>
              </w:rPr>
              <w:t>GÉNÉRALE</w:t>
            </w:r>
          </w:p>
          <w:p w14:paraId="22577FB6" w14:textId="77777777" w:rsidR="00EA39A5" w:rsidRPr="00967F34" w:rsidRDefault="00EA39A5" w:rsidP="009A123F">
            <w:pPr>
              <w:suppressLineNumbers/>
              <w:suppressAutoHyphens/>
              <w:ind w:left="62"/>
              <w:jc w:val="left"/>
              <w:rPr>
                <w:snapToGrid w:val="0"/>
                <w:kern w:val="22"/>
                <w:szCs w:val="22"/>
                <w:lang w:val="fr-CA"/>
              </w:rPr>
            </w:pPr>
          </w:p>
          <w:sdt>
            <w:sdtPr>
              <w:rPr>
                <w:kern w:val="22"/>
                <w:szCs w:val="22"/>
                <w:lang w:val="fr-CA"/>
              </w:rPr>
              <w:alias w:val="Subject"/>
              <w:tag w:val=""/>
              <w:id w:val="-643807871"/>
              <w:placeholder>
                <w:docPart w:val="764C5A76988D43BBB5720B3112B3D5FA"/>
              </w:placeholder>
              <w:dataBinding w:prefixMappings="xmlns:ns0='http://purl.org/dc/elements/1.1/' xmlns:ns1='http://schemas.openxmlformats.org/package/2006/metadata/core-properties' " w:xpath="/ns1:coreProperties[1]/ns0:subject[1]" w:storeItemID="{6C3C8BC8-F283-45AE-878A-BAB7291924A1}"/>
              <w:text/>
            </w:sdtPr>
            <w:sdtEndPr/>
            <w:sdtContent>
              <w:p w14:paraId="11CB37DF" w14:textId="3488F04F" w:rsidR="00EA39A5" w:rsidRPr="00967F34" w:rsidRDefault="001D4CA4" w:rsidP="009A123F">
                <w:pPr>
                  <w:suppressLineNumbers/>
                  <w:suppressAutoHyphens/>
                  <w:ind w:left="62"/>
                  <w:jc w:val="left"/>
                  <w:rPr>
                    <w:snapToGrid w:val="0"/>
                    <w:kern w:val="22"/>
                    <w:szCs w:val="22"/>
                    <w:lang w:val="fr-CA"/>
                  </w:rPr>
                </w:pPr>
                <w:r w:rsidRPr="00967F34">
                  <w:rPr>
                    <w:kern w:val="22"/>
                    <w:szCs w:val="22"/>
                    <w:lang w:val="fr-CA"/>
                  </w:rPr>
                  <w:t>CBD/COP/15/3 CBD/CP/MOP/10/3 CBD/NP/MOP/4/3</w:t>
                </w:r>
              </w:p>
            </w:sdtContent>
          </w:sdt>
          <w:p w14:paraId="3C2B15D1" w14:textId="78FF1D00" w:rsidR="00EA39A5" w:rsidRPr="00967F34" w:rsidRDefault="000E3DD2" w:rsidP="009A123F">
            <w:pPr>
              <w:suppressLineNumbers/>
              <w:suppressAutoHyphens/>
              <w:ind w:left="62"/>
              <w:jc w:val="left"/>
              <w:rPr>
                <w:snapToGrid w:val="0"/>
                <w:kern w:val="22"/>
                <w:szCs w:val="22"/>
                <w:lang w:val="fr-CA"/>
              </w:rPr>
            </w:pPr>
            <w:r w:rsidRPr="00967F34">
              <w:rPr>
                <w:szCs w:val="22"/>
                <w:lang w:val="fr-CA"/>
              </w:rPr>
              <w:t>25</w:t>
            </w:r>
            <w:r w:rsidR="00EA39A5" w:rsidRPr="00967F34">
              <w:rPr>
                <w:szCs w:val="22"/>
                <w:lang w:val="fr-CA"/>
              </w:rPr>
              <w:t xml:space="preserve"> </w:t>
            </w:r>
            <w:r w:rsidR="001C7621" w:rsidRPr="00967F34">
              <w:rPr>
                <w:szCs w:val="22"/>
                <w:lang w:val="fr-CA"/>
              </w:rPr>
              <w:t>août</w:t>
            </w:r>
            <w:r w:rsidR="00EA39A5" w:rsidRPr="00967F34">
              <w:rPr>
                <w:szCs w:val="22"/>
                <w:lang w:val="fr-CA"/>
              </w:rPr>
              <w:t xml:space="preserve"> 2021</w:t>
            </w:r>
          </w:p>
          <w:p w14:paraId="5BF0C86B" w14:textId="77777777" w:rsidR="00EA39A5" w:rsidRPr="00967F34" w:rsidRDefault="00EA39A5" w:rsidP="009A123F">
            <w:pPr>
              <w:suppressLineNumbers/>
              <w:suppressAutoHyphens/>
              <w:ind w:left="62"/>
              <w:jc w:val="left"/>
              <w:rPr>
                <w:snapToGrid w:val="0"/>
                <w:kern w:val="22"/>
                <w:szCs w:val="22"/>
                <w:lang w:val="fr-CA"/>
              </w:rPr>
            </w:pPr>
          </w:p>
          <w:p w14:paraId="5653DAC8" w14:textId="77777777" w:rsidR="001C7621" w:rsidRPr="00967F34" w:rsidRDefault="001C7621" w:rsidP="009A123F">
            <w:pPr>
              <w:suppressLineNumbers/>
              <w:suppressAutoHyphens/>
              <w:ind w:left="62"/>
              <w:jc w:val="left"/>
              <w:rPr>
                <w:snapToGrid w:val="0"/>
                <w:kern w:val="22"/>
                <w:szCs w:val="22"/>
                <w:lang w:val="fr-CA"/>
              </w:rPr>
            </w:pPr>
            <w:r w:rsidRPr="00967F34">
              <w:rPr>
                <w:snapToGrid w:val="0"/>
                <w:kern w:val="22"/>
                <w:szCs w:val="22"/>
                <w:lang w:val="fr-CA"/>
              </w:rPr>
              <w:t>FRANÇAIS</w:t>
            </w:r>
          </w:p>
          <w:p w14:paraId="3F459460" w14:textId="57F92793" w:rsidR="00EA39A5" w:rsidRPr="00967F34" w:rsidRDefault="00EA39A5" w:rsidP="001C7621">
            <w:pPr>
              <w:suppressLineNumbers/>
              <w:suppressAutoHyphens/>
              <w:ind w:left="62"/>
              <w:jc w:val="left"/>
              <w:rPr>
                <w:snapToGrid w:val="0"/>
                <w:kern w:val="22"/>
                <w:szCs w:val="22"/>
                <w:u w:val="single"/>
                <w:lang w:val="fr-CA"/>
              </w:rPr>
            </w:pPr>
            <w:r w:rsidRPr="00967F34">
              <w:rPr>
                <w:snapToGrid w:val="0"/>
                <w:kern w:val="22"/>
                <w:szCs w:val="22"/>
                <w:lang w:val="fr-CA"/>
              </w:rPr>
              <w:t>ORIGINAL</w:t>
            </w:r>
            <w:r w:rsidR="001C7621" w:rsidRPr="00967F34">
              <w:rPr>
                <w:snapToGrid w:val="0"/>
                <w:kern w:val="22"/>
                <w:szCs w:val="22"/>
                <w:lang w:val="fr-CA"/>
              </w:rPr>
              <w:t xml:space="preserve"> </w:t>
            </w:r>
            <w:r w:rsidRPr="00967F34">
              <w:rPr>
                <w:snapToGrid w:val="0"/>
                <w:kern w:val="22"/>
                <w:szCs w:val="22"/>
                <w:lang w:val="fr-CA"/>
              </w:rPr>
              <w:t xml:space="preserve">: </w:t>
            </w:r>
            <w:r w:rsidR="001C7621" w:rsidRPr="00967F34">
              <w:rPr>
                <w:snapToGrid w:val="0"/>
                <w:kern w:val="22"/>
                <w:szCs w:val="22"/>
                <w:lang w:val="fr-CA"/>
              </w:rPr>
              <w:t>ANGLAIS</w:t>
            </w:r>
          </w:p>
        </w:tc>
      </w:tr>
    </w:tbl>
    <w:tbl>
      <w:tblPr>
        <w:tblStyle w:val="ListTable6Colorful"/>
        <w:tblW w:w="5301" w:type="pct"/>
        <w:jc w:val="center"/>
        <w:tblBorders>
          <w:top w:val="none" w:sz="0" w:space="0" w:color="auto"/>
          <w:bottom w:val="none" w:sz="0" w:space="0" w:color="auto"/>
        </w:tblBorders>
        <w:tblLook w:val="04A0" w:firstRow="1" w:lastRow="0" w:firstColumn="1" w:lastColumn="0" w:noHBand="0" w:noVBand="1"/>
      </w:tblPr>
      <w:tblGrid>
        <w:gridCol w:w="3120"/>
        <w:gridCol w:w="3120"/>
        <w:gridCol w:w="3683"/>
      </w:tblGrid>
      <w:tr w:rsidR="00EA39A5" w:rsidRPr="00967F34" w14:paraId="0682424B" w14:textId="77777777" w:rsidTr="00282AF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20" w:type="dxa"/>
            <w:tcBorders>
              <w:bottom w:val="none" w:sz="0" w:space="0" w:color="auto"/>
            </w:tcBorders>
          </w:tcPr>
          <w:p w14:paraId="17DB1552" w14:textId="778006C3" w:rsidR="0046205C" w:rsidRPr="00967F34" w:rsidRDefault="001C7621" w:rsidP="009A123F">
            <w:pPr>
              <w:pStyle w:val="Heading1"/>
              <w:suppressLineNumbers/>
              <w:tabs>
                <w:tab w:val="clear" w:pos="720"/>
              </w:tabs>
              <w:suppressAutoHyphens/>
              <w:spacing w:before="0" w:after="0"/>
              <w:ind w:left="152" w:hanging="152"/>
              <w:jc w:val="left"/>
              <w:outlineLvl w:val="0"/>
              <w:rPr>
                <w:color w:val="auto"/>
                <w:kern w:val="22"/>
                <w:sz w:val="22"/>
                <w:szCs w:val="22"/>
                <w:lang w:val="fr-CA"/>
              </w:rPr>
            </w:pPr>
            <w:r w:rsidRPr="00967F34">
              <w:rPr>
                <w:kern w:val="22"/>
                <w:sz w:val="22"/>
                <w:szCs w:val="22"/>
                <w:lang w:val="fr-CA"/>
              </w:rPr>
              <w:t>CONférence des parties à la convention sur la diversité biologique</w:t>
            </w:r>
          </w:p>
          <w:p w14:paraId="4ACDA95B" w14:textId="66188A9B" w:rsidR="0046205C" w:rsidRPr="00967F34" w:rsidRDefault="001C7621" w:rsidP="009A123F">
            <w:pPr>
              <w:suppressLineNumbers/>
              <w:suppressAutoHyphens/>
              <w:kinsoku w:val="0"/>
              <w:overflowPunct w:val="0"/>
              <w:autoSpaceDE w:val="0"/>
              <w:autoSpaceDN w:val="0"/>
              <w:ind w:left="152" w:hanging="152"/>
              <w:jc w:val="left"/>
              <w:rPr>
                <w:b w:val="0"/>
                <w:kern w:val="22"/>
                <w:sz w:val="22"/>
                <w:szCs w:val="22"/>
                <w:lang w:val="fr-CA"/>
              </w:rPr>
            </w:pPr>
            <w:r w:rsidRPr="00967F34">
              <w:rPr>
                <w:b w:val="0"/>
                <w:kern w:val="22"/>
                <w:sz w:val="22"/>
                <w:szCs w:val="22"/>
                <w:lang w:val="fr-CA"/>
              </w:rPr>
              <w:t>Quinzième réunion (partie</w:t>
            </w:r>
            <w:r w:rsidR="0046205C" w:rsidRPr="00967F34">
              <w:rPr>
                <w:b w:val="0"/>
                <w:kern w:val="22"/>
                <w:sz w:val="22"/>
                <w:szCs w:val="22"/>
                <w:lang w:val="fr-CA"/>
              </w:rPr>
              <w:t xml:space="preserve"> I)</w:t>
            </w:r>
          </w:p>
          <w:p w14:paraId="4EE6D53C" w14:textId="4FE1FD8C" w:rsidR="0046205C" w:rsidRPr="00967F34" w:rsidRDefault="001C7621" w:rsidP="009A123F">
            <w:pPr>
              <w:suppressLineNumbers/>
              <w:suppressAutoHyphens/>
              <w:kinsoku w:val="0"/>
              <w:overflowPunct w:val="0"/>
              <w:autoSpaceDE w:val="0"/>
              <w:autoSpaceDN w:val="0"/>
              <w:ind w:left="152" w:hanging="152"/>
              <w:jc w:val="left"/>
              <w:rPr>
                <w:b w:val="0"/>
                <w:kern w:val="22"/>
                <w:sz w:val="22"/>
                <w:szCs w:val="22"/>
                <w:lang w:val="fr-CA"/>
              </w:rPr>
            </w:pPr>
            <w:r w:rsidRPr="00967F34">
              <w:rPr>
                <w:b w:val="0"/>
                <w:kern w:val="22"/>
                <w:sz w:val="22"/>
                <w:szCs w:val="22"/>
                <w:lang w:val="fr-CA"/>
              </w:rPr>
              <w:t>Point</w:t>
            </w:r>
            <w:r w:rsidR="0046205C" w:rsidRPr="00967F34">
              <w:rPr>
                <w:b w:val="0"/>
                <w:kern w:val="22"/>
                <w:sz w:val="22"/>
                <w:szCs w:val="22"/>
                <w:lang w:val="fr-CA"/>
              </w:rPr>
              <w:t xml:space="preserve"> 7 </w:t>
            </w:r>
            <w:r w:rsidRPr="00967F34">
              <w:rPr>
                <w:b w:val="0"/>
                <w:kern w:val="22"/>
                <w:sz w:val="22"/>
                <w:szCs w:val="22"/>
                <w:lang w:val="fr-CA"/>
              </w:rPr>
              <w:t>de l’ordre du jour provisoire</w:t>
            </w:r>
            <w:r w:rsidR="0046205C" w:rsidRPr="00967F34">
              <w:rPr>
                <w:rStyle w:val="FootnoteReference"/>
                <w:b w:val="0"/>
                <w:kern w:val="22"/>
                <w:sz w:val="22"/>
                <w:szCs w:val="22"/>
              </w:rPr>
              <w:footnoteReference w:customMarkFollows="1" w:id="2"/>
              <w:t>*</w:t>
            </w:r>
          </w:p>
          <w:p w14:paraId="5990D27A" w14:textId="77777777" w:rsidR="00967F34" w:rsidRPr="00967F34" w:rsidRDefault="0046205C" w:rsidP="001C7621">
            <w:pPr>
              <w:suppressLineNumbers/>
              <w:suppressAutoHyphens/>
              <w:kinsoku w:val="0"/>
              <w:overflowPunct w:val="0"/>
              <w:autoSpaceDE w:val="0"/>
              <w:autoSpaceDN w:val="0"/>
              <w:ind w:left="152" w:hanging="152"/>
              <w:jc w:val="left"/>
              <w:rPr>
                <w:b w:val="0"/>
                <w:kern w:val="22"/>
                <w:sz w:val="22"/>
                <w:szCs w:val="22"/>
                <w:lang w:val="fr-CA"/>
              </w:rPr>
            </w:pPr>
            <w:r w:rsidRPr="00967F34">
              <w:rPr>
                <w:b w:val="0"/>
                <w:kern w:val="22"/>
                <w:sz w:val="22"/>
                <w:szCs w:val="22"/>
                <w:lang w:val="fr-CA"/>
              </w:rPr>
              <w:t>Kunming, Chin</w:t>
            </w:r>
            <w:r w:rsidR="001C7621" w:rsidRPr="00967F34">
              <w:rPr>
                <w:b w:val="0"/>
                <w:kern w:val="22"/>
                <w:sz w:val="22"/>
                <w:szCs w:val="22"/>
                <w:lang w:val="fr-CA"/>
              </w:rPr>
              <w:t xml:space="preserve">e, </w:t>
            </w:r>
          </w:p>
          <w:p w14:paraId="088F3C16" w14:textId="23E76857" w:rsidR="0046205C" w:rsidRPr="00967F34" w:rsidRDefault="001C7621" w:rsidP="001C7621">
            <w:pPr>
              <w:suppressLineNumbers/>
              <w:suppressAutoHyphens/>
              <w:kinsoku w:val="0"/>
              <w:overflowPunct w:val="0"/>
              <w:autoSpaceDE w:val="0"/>
              <w:autoSpaceDN w:val="0"/>
              <w:ind w:left="152" w:hanging="152"/>
              <w:jc w:val="left"/>
              <w:rPr>
                <w:b w:val="0"/>
                <w:color w:val="auto"/>
                <w:kern w:val="22"/>
                <w:sz w:val="22"/>
                <w:szCs w:val="22"/>
                <w:lang w:val="fr-CA"/>
              </w:rPr>
            </w:pPr>
            <w:r w:rsidRPr="00967F34">
              <w:rPr>
                <w:b w:val="0"/>
                <w:kern w:val="22"/>
                <w:sz w:val="22"/>
                <w:szCs w:val="22"/>
                <w:lang w:val="fr-CA"/>
              </w:rPr>
              <w:t>11-15 octobre</w:t>
            </w:r>
            <w:r w:rsidR="0046205C" w:rsidRPr="00967F34">
              <w:rPr>
                <w:b w:val="0"/>
                <w:kern w:val="22"/>
                <w:sz w:val="22"/>
                <w:szCs w:val="22"/>
                <w:lang w:val="fr-CA"/>
              </w:rPr>
              <w:t xml:space="preserve"> 2021</w:t>
            </w:r>
          </w:p>
        </w:tc>
        <w:tc>
          <w:tcPr>
            <w:tcW w:w="3120" w:type="dxa"/>
            <w:tcBorders>
              <w:bottom w:val="none" w:sz="0" w:space="0" w:color="auto"/>
            </w:tcBorders>
          </w:tcPr>
          <w:p w14:paraId="7A00D0EF" w14:textId="6A987ADF" w:rsidR="0046205C" w:rsidRPr="00967F34" w:rsidRDefault="001C7621" w:rsidP="009A123F">
            <w:pPr>
              <w:pStyle w:val="Heading1"/>
              <w:suppressLineNumbers/>
              <w:tabs>
                <w:tab w:val="clear" w:pos="720"/>
              </w:tabs>
              <w:suppressAutoHyphens/>
              <w:spacing w:before="0" w:after="0"/>
              <w:ind w:left="152" w:hanging="152"/>
              <w:jc w:val="left"/>
              <w:outlineLvl w:val="0"/>
              <w:cnfStyle w:val="100000000000" w:firstRow="1" w:lastRow="0" w:firstColumn="0" w:lastColumn="0" w:oddVBand="0" w:evenVBand="0" w:oddHBand="0" w:evenHBand="0" w:firstRowFirstColumn="0" w:firstRowLastColumn="0" w:lastRowFirstColumn="0" w:lastRowLastColumn="0"/>
              <w:rPr>
                <w:color w:val="auto"/>
                <w:kern w:val="22"/>
                <w:sz w:val="22"/>
                <w:szCs w:val="22"/>
                <w:lang w:val="fr-CA"/>
              </w:rPr>
            </w:pPr>
            <w:r w:rsidRPr="00967F34">
              <w:rPr>
                <w:kern w:val="22"/>
                <w:sz w:val="22"/>
                <w:szCs w:val="22"/>
                <w:lang w:val="fr-CA"/>
              </w:rPr>
              <w:t>Conférence des Parties</w:t>
            </w:r>
            <w:r w:rsidR="00967F34" w:rsidRPr="00967F34">
              <w:rPr>
                <w:kern w:val="22"/>
                <w:sz w:val="22"/>
                <w:szCs w:val="22"/>
                <w:lang w:val="fr-CA"/>
              </w:rPr>
              <w:t xml:space="preserve"> À la diversité biologique</w:t>
            </w:r>
            <w:r w:rsidRPr="00967F34">
              <w:rPr>
                <w:kern w:val="22"/>
                <w:sz w:val="22"/>
                <w:szCs w:val="22"/>
                <w:lang w:val="fr-CA"/>
              </w:rPr>
              <w:t xml:space="preserve"> siégeant en tant que réunion des Parties </w:t>
            </w:r>
            <w:r w:rsidR="008D596A" w:rsidRPr="00967F34">
              <w:rPr>
                <w:kern w:val="22"/>
                <w:sz w:val="22"/>
                <w:szCs w:val="22"/>
                <w:lang w:val="fr-CA"/>
              </w:rPr>
              <w:t>AU PROTOCOLE DE CARTAGENA SUR LA PRÉVENTION DES RISQUES BIOTECHNOLOGIQUES</w:t>
            </w:r>
          </w:p>
          <w:p w14:paraId="0C5C62D4" w14:textId="713BD52C" w:rsidR="0046205C" w:rsidRPr="00967F34" w:rsidRDefault="008D596A" w:rsidP="009A123F">
            <w:pPr>
              <w:suppressLineNumbers/>
              <w:suppressAutoHyphens/>
              <w:kinsoku w:val="0"/>
              <w:overflowPunct w:val="0"/>
              <w:autoSpaceDE w:val="0"/>
              <w:autoSpaceDN w:val="0"/>
              <w:ind w:left="152" w:hanging="152"/>
              <w:jc w:val="left"/>
              <w:cnfStyle w:val="100000000000" w:firstRow="1" w:lastRow="0" w:firstColumn="0" w:lastColumn="0" w:oddVBand="0" w:evenVBand="0" w:oddHBand="0" w:evenHBand="0" w:firstRowFirstColumn="0" w:firstRowLastColumn="0" w:lastRowFirstColumn="0" w:lastRowLastColumn="0"/>
              <w:rPr>
                <w:b w:val="0"/>
                <w:color w:val="auto"/>
                <w:kern w:val="22"/>
                <w:sz w:val="22"/>
                <w:szCs w:val="22"/>
                <w:lang w:val="fr-CA"/>
              </w:rPr>
            </w:pPr>
            <w:r w:rsidRPr="00967F34">
              <w:rPr>
                <w:b w:val="0"/>
                <w:kern w:val="22"/>
                <w:sz w:val="22"/>
                <w:szCs w:val="22"/>
                <w:lang w:val="fr-CA"/>
              </w:rPr>
              <w:t>Dixième réunion</w:t>
            </w:r>
            <w:r w:rsidR="0046205C" w:rsidRPr="00967F34">
              <w:rPr>
                <w:b w:val="0"/>
                <w:kern w:val="22"/>
                <w:sz w:val="22"/>
                <w:szCs w:val="22"/>
                <w:lang w:val="fr-CA"/>
              </w:rPr>
              <w:t xml:space="preserve"> (</w:t>
            </w:r>
            <w:r w:rsidRPr="00967F34">
              <w:rPr>
                <w:b w:val="0"/>
                <w:kern w:val="22"/>
                <w:sz w:val="22"/>
                <w:szCs w:val="22"/>
                <w:lang w:val="fr-CA"/>
              </w:rPr>
              <w:t xml:space="preserve">partie </w:t>
            </w:r>
            <w:r w:rsidR="0046205C" w:rsidRPr="00967F34">
              <w:rPr>
                <w:b w:val="0"/>
                <w:kern w:val="22"/>
                <w:sz w:val="22"/>
                <w:szCs w:val="22"/>
                <w:lang w:val="fr-CA"/>
              </w:rPr>
              <w:t>I)</w:t>
            </w:r>
          </w:p>
          <w:p w14:paraId="4F48182F" w14:textId="4A84F7B9" w:rsidR="0046205C" w:rsidRPr="00967F34" w:rsidRDefault="008D596A" w:rsidP="009A123F">
            <w:pPr>
              <w:suppressLineNumbers/>
              <w:suppressAutoHyphens/>
              <w:kinsoku w:val="0"/>
              <w:overflowPunct w:val="0"/>
              <w:autoSpaceDE w:val="0"/>
              <w:autoSpaceDN w:val="0"/>
              <w:ind w:left="152" w:hanging="152"/>
              <w:jc w:val="left"/>
              <w:cnfStyle w:val="100000000000" w:firstRow="1" w:lastRow="0" w:firstColumn="0" w:lastColumn="0" w:oddVBand="0" w:evenVBand="0" w:oddHBand="0" w:evenHBand="0" w:firstRowFirstColumn="0" w:firstRowLastColumn="0" w:lastRowFirstColumn="0" w:lastRowLastColumn="0"/>
              <w:rPr>
                <w:b w:val="0"/>
                <w:sz w:val="22"/>
                <w:szCs w:val="22"/>
                <w:lang w:val="fr-CA"/>
              </w:rPr>
            </w:pPr>
            <w:r w:rsidRPr="00967F34">
              <w:rPr>
                <w:b w:val="0"/>
                <w:sz w:val="22"/>
                <w:lang w:val="fr-CA"/>
              </w:rPr>
              <w:t>Point 6 de l’ordre du jour provisoire</w:t>
            </w:r>
            <w:r w:rsidR="0046205C" w:rsidRPr="00967F34">
              <w:rPr>
                <w:rStyle w:val="FootnoteReference"/>
                <w:b w:val="0"/>
                <w:kern w:val="22"/>
                <w:sz w:val="22"/>
                <w:szCs w:val="22"/>
              </w:rPr>
              <w:footnoteReference w:customMarkFollows="1" w:id="3"/>
              <w:t>**</w:t>
            </w:r>
          </w:p>
          <w:p w14:paraId="7F9A9929" w14:textId="77777777" w:rsidR="00967F34" w:rsidRPr="00967F34" w:rsidRDefault="0046205C" w:rsidP="008D596A">
            <w:pPr>
              <w:suppressLineNumbers/>
              <w:suppressAutoHyphens/>
              <w:kinsoku w:val="0"/>
              <w:overflowPunct w:val="0"/>
              <w:autoSpaceDE w:val="0"/>
              <w:autoSpaceDN w:val="0"/>
              <w:ind w:left="152" w:hanging="152"/>
              <w:jc w:val="left"/>
              <w:cnfStyle w:val="100000000000" w:firstRow="1" w:lastRow="0" w:firstColumn="0" w:lastColumn="0" w:oddVBand="0" w:evenVBand="0" w:oddHBand="0" w:evenHBand="0" w:firstRowFirstColumn="0" w:firstRowLastColumn="0" w:lastRowFirstColumn="0" w:lastRowLastColumn="0"/>
              <w:rPr>
                <w:b w:val="0"/>
                <w:kern w:val="22"/>
                <w:sz w:val="22"/>
                <w:szCs w:val="22"/>
                <w:lang w:val="fr-CA"/>
              </w:rPr>
            </w:pPr>
            <w:r w:rsidRPr="00967F34">
              <w:rPr>
                <w:b w:val="0"/>
                <w:kern w:val="22"/>
                <w:sz w:val="22"/>
                <w:szCs w:val="22"/>
                <w:lang w:val="fr-CA"/>
              </w:rPr>
              <w:t>Kunming, Chin</w:t>
            </w:r>
            <w:r w:rsidR="008D596A" w:rsidRPr="00967F34">
              <w:rPr>
                <w:b w:val="0"/>
                <w:kern w:val="22"/>
                <w:sz w:val="22"/>
                <w:szCs w:val="22"/>
                <w:lang w:val="fr-CA"/>
              </w:rPr>
              <w:t>e</w:t>
            </w:r>
            <w:r w:rsidRPr="00967F34">
              <w:rPr>
                <w:b w:val="0"/>
                <w:kern w:val="22"/>
                <w:sz w:val="22"/>
                <w:szCs w:val="22"/>
                <w:lang w:val="fr-CA"/>
              </w:rPr>
              <w:t xml:space="preserve">, </w:t>
            </w:r>
          </w:p>
          <w:p w14:paraId="1BD4B39E" w14:textId="68F2A5A4" w:rsidR="0046205C" w:rsidRPr="00967F34" w:rsidRDefault="0046205C" w:rsidP="008D596A">
            <w:pPr>
              <w:suppressLineNumbers/>
              <w:suppressAutoHyphens/>
              <w:kinsoku w:val="0"/>
              <w:overflowPunct w:val="0"/>
              <w:autoSpaceDE w:val="0"/>
              <w:autoSpaceDN w:val="0"/>
              <w:ind w:left="152" w:hanging="152"/>
              <w:jc w:val="left"/>
              <w:cnfStyle w:val="100000000000" w:firstRow="1" w:lastRow="0" w:firstColumn="0" w:lastColumn="0" w:oddVBand="0" w:evenVBand="0" w:oddHBand="0" w:evenHBand="0" w:firstRowFirstColumn="0" w:firstRowLastColumn="0" w:lastRowFirstColumn="0" w:lastRowLastColumn="0"/>
              <w:rPr>
                <w:b w:val="0"/>
                <w:color w:val="auto"/>
                <w:kern w:val="22"/>
                <w:sz w:val="22"/>
                <w:szCs w:val="22"/>
                <w:lang w:val="fr-CA"/>
              </w:rPr>
            </w:pPr>
            <w:r w:rsidRPr="00967F34">
              <w:rPr>
                <w:b w:val="0"/>
                <w:kern w:val="22"/>
                <w:sz w:val="22"/>
                <w:szCs w:val="22"/>
                <w:lang w:val="fr-CA"/>
              </w:rPr>
              <w:t xml:space="preserve">11-15 </w:t>
            </w:r>
            <w:r w:rsidR="008D596A" w:rsidRPr="00967F34">
              <w:rPr>
                <w:b w:val="0"/>
                <w:kern w:val="22"/>
                <w:sz w:val="22"/>
                <w:szCs w:val="22"/>
                <w:lang w:val="fr-CA"/>
              </w:rPr>
              <w:t>octobre</w:t>
            </w:r>
            <w:r w:rsidRPr="00967F34">
              <w:rPr>
                <w:b w:val="0"/>
                <w:kern w:val="22"/>
                <w:sz w:val="22"/>
                <w:szCs w:val="22"/>
                <w:lang w:val="fr-CA"/>
              </w:rPr>
              <w:t xml:space="preserve"> 2021</w:t>
            </w:r>
          </w:p>
        </w:tc>
        <w:tc>
          <w:tcPr>
            <w:tcW w:w="3683" w:type="dxa"/>
            <w:tcBorders>
              <w:bottom w:val="none" w:sz="0" w:space="0" w:color="auto"/>
            </w:tcBorders>
          </w:tcPr>
          <w:p w14:paraId="49FB877E" w14:textId="2C536FF0" w:rsidR="0046205C" w:rsidRPr="00967F34" w:rsidRDefault="008D596A" w:rsidP="009A123F">
            <w:pPr>
              <w:pStyle w:val="Heading1"/>
              <w:suppressLineNumbers/>
              <w:tabs>
                <w:tab w:val="clear" w:pos="720"/>
              </w:tabs>
              <w:suppressAutoHyphens/>
              <w:spacing w:before="0" w:after="0"/>
              <w:ind w:left="152" w:hanging="152"/>
              <w:jc w:val="left"/>
              <w:outlineLvl w:val="0"/>
              <w:cnfStyle w:val="100000000000" w:firstRow="1" w:lastRow="0" w:firstColumn="0" w:lastColumn="0" w:oddVBand="0" w:evenVBand="0" w:oddHBand="0" w:evenHBand="0" w:firstRowFirstColumn="0" w:firstRowLastColumn="0" w:lastRowFirstColumn="0" w:lastRowLastColumn="0"/>
              <w:rPr>
                <w:color w:val="auto"/>
                <w:kern w:val="22"/>
                <w:sz w:val="22"/>
                <w:szCs w:val="22"/>
                <w:lang w:val="fr-CA"/>
              </w:rPr>
            </w:pPr>
            <w:r w:rsidRPr="00967F34">
              <w:rPr>
                <w:kern w:val="22"/>
                <w:sz w:val="22"/>
                <w:szCs w:val="22"/>
                <w:lang w:val="fr-CA"/>
              </w:rPr>
              <w:t xml:space="preserve">Conférence des Parties à la convention sur la diversité biologique siégeant en tant que réunion des Parties </w:t>
            </w:r>
            <w:r w:rsidR="00967F34" w:rsidRPr="00967F34">
              <w:rPr>
                <w:kern w:val="22"/>
                <w:sz w:val="22"/>
                <w:szCs w:val="22"/>
                <w:lang w:val="fr-CA"/>
              </w:rPr>
              <w:t>au protocole de nagoya sur l’accès et le partage just et équitable des avantages découlant de leur utilisation</w:t>
            </w:r>
          </w:p>
          <w:p w14:paraId="5189D778" w14:textId="413CC546" w:rsidR="0046205C" w:rsidRPr="00967F34" w:rsidRDefault="00967F34" w:rsidP="009A123F">
            <w:pPr>
              <w:suppressLineNumbers/>
              <w:suppressAutoHyphens/>
              <w:kinsoku w:val="0"/>
              <w:overflowPunct w:val="0"/>
              <w:autoSpaceDE w:val="0"/>
              <w:autoSpaceDN w:val="0"/>
              <w:ind w:left="152" w:hanging="152"/>
              <w:jc w:val="left"/>
              <w:cnfStyle w:val="100000000000" w:firstRow="1" w:lastRow="0" w:firstColumn="0" w:lastColumn="0" w:oddVBand="0" w:evenVBand="0" w:oddHBand="0" w:evenHBand="0" w:firstRowFirstColumn="0" w:firstRowLastColumn="0" w:lastRowFirstColumn="0" w:lastRowLastColumn="0"/>
              <w:rPr>
                <w:b w:val="0"/>
                <w:color w:val="auto"/>
                <w:kern w:val="22"/>
                <w:sz w:val="22"/>
                <w:szCs w:val="22"/>
                <w:lang w:val="fr-CA"/>
              </w:rPr>
            </w:pPr>
            <w:r w:rsidRPr="00967F34">
              <w:rPr>
                <w:b w:val="0"/>
                <w:kern w:val="22"/>
                <w:sz w:val="22"/>
                <w:szCs w:val="22"/>
                <w:lang w:val="fr-CA"/>
              </w:rPr>
              <w:t>Quatrième réunion (partie</w:t>
            </w:r>
            <w:r w:rsidR="0046205C" w:rsidRPr="00967F34">
              <w:rPr>
                <w:b w:val="0"/>
                <w:kern w:val="22"/>
                <w:sz w:val="22"/>
                <w:szCs w:val="22"/>
                <w:lang w:val="fr-CA"/>
              </w:rPr>
              <w:t xml:space="preserve"> I)</w:t>
            </w:r>
          </w:p>
          <w:p w14:paraId="301C099C" w14:textId="68C394EC" w:rsidR="0046205C" w:rsidRPr="00967F34" w:rsidRDefault="00967F34" w:rsidP="009A123F">
            <w:pPr>
              <w:suppressLineNumbers/>
              <w:suppressAutoHyphens/>
              <w:kinsoku w:val="0"/>
              <w:overflowPunct w:val="0"/>
              <w:autoSpaceDE w:val="0"/>
              <w:autoSpaceDN w:val="0"/>
              <w:ind w:left="152" w:hanging="152"/>
              <w:jc w:val="left"/>
              <w:cnfStyle w:val="100000000000" w:firstRow="1" w:lastRow="0" w:firstColumn="0" w:lastColumn="0" w:oddVBand="0" w:evenVBand="0" w:oddHBand="0" w:evenHBand="0" w:firstRowFirstColumn="0" w:firstRowLastColumn="0" w:lastRowFirstColumn="0" w:lastRowLastColumn="0"/>
              <w:rPr>
                <w:b w:val="0"/>
                <w:sz w:val="22"/>
                <w:szCs w:val="22"/>
                <w:lang w:val="fr-CA"/>
              </w:rPr>
            </w:pPr>
            <w:r w:rsidRPr="00967F34">
              <w:rPr>
                <w:b w:val="0"/>
                <w:kern w:val="22"/>
                <w:sz w:val="22"/>
                <w:szCs w:val="22"/>
                <w:lang w:val="fr-CA"/>
              </w:rPr>
              <w:t>Point 6 de l’ordre du jour provisoire</w:t>
            </w:r>
            <w:r w:rsidR="0046205C" w:rsidRPr="00967F34">
              <w:rPr>
                <w:rStyle w:val="FootnoteReference"/>
                <w:b w:val="0"/>
                <w:kern w:val="22"/>
                <w:sz w:val="22"/>
                <w:szCs w:val="22"/>
              </w:rPr>
              <w:footnoteReference w:customMarkFollows="1" w:id="4"/>
              <w:t>***</w:t>
            </w:r>
          </w:p>
          <w:p w14:paraId="3EA9788B" w14:textId="19B54124" w:rsidR="0046205C" w:rsidRPr="00967F34" w:rsidRDefault="0046205C" w:rsidP="00967F34">
            <w:pPr>
              <w:suppressLineNumbers/>
              <w:suppressAutoHyphens/>
              <w:kinsoku w:val="0"/>
              <w:overflowPunct w:val="0"/>
              <w:autoSpaceDE w:val="0"/>
              <w:autoSpaceDN w:val="0"/>
              <w:ind w:left="152" w:hanging="152"/>
              <w:jc w:val="left"/>
              <w:cnfStyle w:val="100000000000" w:firstRow="1" w:lastRow="0" w:firstColumn="0" w:lastColumn="0" w:oddVBand="0" w:evenVBand="0" w:oddHBand="0" w:evenHBand="0" w:firstRowFirstColumn="0" w:firstRowLastColumn="0" w:lastRowFirstColumn="0" w:lastRowLastColumn="0"/>
              <w:rPr>
                <w:b w:val="0"/>
                <w:color w:val="auto"/>
                <w:kern w:val="22"/>
                <w:sz w:val="22"/>
                <w:szCs w:val="22"/>
                <w:lang w:val="fr-CA"/>
              </w:rPr>
            </w:pPr>
            <w:r w:rsidRPr="00967F34">
              <w:rPr>
                <w:b w:val="0"/>
                <w:kern w:val="22"/>
                <w:sz w:val="22"/>
                <w:szCs w:val="22"/>
                <w:lang w:val="fr-CA"/>
              </w:rPr>
              <w:t>Kunming, Chin</w:t>
            </w:r>
            <w:r w:rsidR="00967F34" w:rsidRPr="00967F34">
              <w:rPr>
                <w:b w:val="0"/>
                <w:kern w:val="22"/>
                <w:sz w:val="22"/>
                <w:szCs w:val="22"/>
                <w:lang w:val="fr-CA"/>
              </w:rPr>
              <w:t>e</w:t>
            </w:r>
            <w:r w:rsidRPr="00967F34">
              <w:rPr>
                <w:b w:val="0"/>
                <w:kern w:val="22"/>
                <w:sz w:val="22"/>
                <w:szCs w:val="22"/>
                <w:lang w:val="fr-CA"/>
              </w:rPr>
              <w:t xml:space="preserve">, 11-15 </w:t>
            </w:r>
            <w:r w:rsidR="00967F34" w:rsidRPr="00967F34">
              <w:rPr>
                <w:b w:val="0"/>
                <w:kern w:val="22"/>
                <w:sz w:val="22"/>
                <w:szCs w:val="22"/>
                <w:lang w:val="fr-CA"/>
              </w:rPr>
              <w:t>octobre</w:t>
            </w:r>
            <w:r w:rsidRPr="00967F34">
              <w:rPr>
                <w:b w:val="0"/>
                <w:kern w:val="22"/>
                <w:sz w:val="22"/>
                <w:szCs w:val="22"/>
                <w:lang w:val="fr-CA"/>
              </w:rPr>
              <w:t xml:space="preserve"> 2021</w:t>
            </w:r>
          </w:p>
        </w:tc>
      </w:tr>
    </w:tbl>
    <w:p w14:paraId="68FC0006" w14:textId="19DFBAA9" w:rsidR="005D4898" w:rsidRPr="0071490F" w:rsidRDefault="005D4898" w:rsidP="00282AF6">
      <w:pPr>
        <w:suppressLineNumbers/>
        <w:suppressAutoHyphens/>
        <w:autoSpaceDE w:val="0"/>
        <w:autoSpaceDN w:val="0"/>
        <w:adjustRightInd w:val="0"/>
        <w:rPr>
          <w:rFonts w:eastAsiaTheme="minorEastAsia"/>
          <w:color w:val="000000"/>
          <w:kern w:val="22"/>
          <w:szCs w:val="22"/>
        </w:rPr>
      </w:pPr>
    </w:p>
    <w:sdt>
      <w:sdtPr>
        <w:rPr>
          <w:rFonts w:eastAsiaTheme="minorEastAsia"/>
          <w:kern w:val="22"/>
          <w:szCs w:val="22"/>
          <w:lang w:val="fr-CA"/>
        </w:rPr>
        <w:alias w:val="Title"/>
        <w:tag w:val=""/>
        <w:id w:val="1859844449"/>
        <w:placeholder>
          <w:docPart w:val="A674B7468A474E95A42F0152231BC5DB"/>
        </w:placeholder>
        <w:dataBinding w:prefixMappings="xmlns:ns0='http://purl.org/dc/elements/1.1/' xmlns:ns1='http://schemas.openxmlformats.org/package/2006/metadata/core-properties' " w:xpath="/ns1:coreProperties[1]/ns0:title[1]" w:storeItemID="{6C3C8BC8-F283-45AE-878A-BAB7291924A1}"/>
        <w:text/>
      </w:sdtPr>
      <w:sdtEndPr/>
      <w:sdtContent>
        <w:p w14:paraId="03687E5E" w14:textId="427D2A82" w:rsidR="00CA64DC" w:rsidRPr="00AE70B8" w:rsidRDefault="00C763EE" w:rsidP="00282AF6">
          <w:pPr>
            <w:pStyle w:val="HEADING"/>
            <w:suppressLineNumbers/>
            <w:suppressAutoHyphens/>
            <w:spacing w:before="120"/>
            <w:rPr>
              <w:rFonts w:eastAsiaTheme="minorEastAsia"/>
              <w:kern w:val="22"/>
              <w:lang w:val="fr-CA"/>
            </w:rPr>
          </w:pPr>
          <w:r w:rsidRPr="00AE70B8">
            <w:rPr>
              <w:rFonts w:eastAsiaTheme="minorEastAsia"/>
              <w:kern w:val="22"/>
              <w:szCs w:val="22"/>
              <w:lang w:val="fr-CA"/>
            </w:rPr>
            <w:t xml:space="preserve">BUDGET PROVISOIRE </w:t>
          </w:r>
          <w:r w:rsidR="009F771E" w:rsidRPr="00AE70B8">
            <w:rPr>
              <w:rFonts w:eastAsiaTheme="minorEastAsia"/>
              <w:kern w:val="22"/>
              <w:szCs w:val="22"/>
              <w:lang w:val="fr-CA"/>
            </w:rPr>
            <w:t xml:space="preserve">proposé </w:t>
          </w:r>
          <w:r w:rsidRPr="00AE70B8">
            <w:rPr>
              <w:rFonts w:eastAsiaTheme="minorEastAsia"/>
              <w:kern w:val="22"/>
              <w:szCs w:val="22"/>
              <w:lang w:val="fr-CA"/>
            </w:rPr>
            <w:t xml:space="preserve">POUR LE PROGRAMME DE TRAVAIL DE LA CONVENTION SUR LA DIVERSITÉ BIOLOGIQUE, </w:t>
          </w:r>
          <w:r w:rsidR="00525032">
            <w:rPr>
              <w:rFonts w:eastAsiaTheme="minorEastAsia"/>
              <w:kern w:val="22"/>
              <w:szCs w:val="22"/>
              <w:lang w:val="fr-CA"/>
            </w:rPr>
            <w:t>du</w:t>
          </w:r>
          <w:r w:rsidRPr="00AE70B8">
            <w:rPr>
              <w:rFonts w:eastAsiaTheme="minorEastAsia"/>
              <w:kern w:val="22"/>
              <w:szCs w:val="22"/>
              <w:lang w:val="fr-CA"/>
            </w:rPr>
            <w:t xml:space="preserve"> PROTOCOLE DE CARTAGENA SUR LA PRÉVENTION DES RISQUES BIOTECHNOLOGIQUES ET </w:t>
          </w:r>
          <w:r w:rsidR="00525032">
            <w:rPr>
              <w:rFonts w:eastAsiaTheme="minorEastAsia"/>
              <w:kern w:val="22"/>
              <w:szCs w:val="22"/>
              <w:lang w:val="fr-CA"/>
            </w:rPr>
            <w:t>du</w:t>
          </w:r>
          <w:r w:rsidRPr="00AE70B8">
            <w:rPr>
              <w:rFonts w:eastAsiaTheme="minorEastAsia"/>
              <w:kern w:val="22"/>
              <w:szCs w:val="22"/>
              <w:lang w:val="fr-CA"/>
            </w:rPr>
            <w:t xml:space="preserve"> PROTOCOLE DE NAGOYA SUR L’ACCÈS ET LE PARTAGE DES AVANTAGES POUR L’ANNE 2022</w:t>
          </w:r>
        </w:p>
      </w:sdtContent>
    </w:sdt>
    <w:p w14:paraId="05423338" w14:textId="1884B400" w:rsidR="005D4898" w:rsidRPr="00AE70B8" w:rsidRDefault="00C763EE" w:rsidP="006914CE">
      <w:pPr>
        <w:pStyle w:val="NoSpacing"/>
        <w:suppressLineNumbers/>
        <w:suppressAutoHyphens/>
        <w:spacing w:before="120" w:after="120"/>
        <w:jc w:val="center"/>
        <w:rPr>
          <w:rFonts w:ascii="Times New Roman" w:hAnsi="Times New Roman"/>
          <w:color w:val="000000" w:themeColor="text1"/>
          <w:kern w:val="22"/>
          <w:lang w:val="fr-CA"/>
        </w:rPr>
      </w:pPr>
      <w:r w:rsidRPr="00AE70B8">
        <w:rPr>
          <w:rFonts w:ascii="Times New Roman" w:eastAsiaTheme="minorEastAsia" w:hAnsi="Times New Roman"/>
          <w:i/>
          <w:color w:val="000000"/>
          <w:kern w:val="22"/>
          <w:lang w:val="fr-CA"/>
        </w:rPr>
        <w:t>Note de la Secrétaire exécutive</w:t>
      </w:r>
    </w:p>
    <w:bookmarkEnd w:id="0"/>
    <w:p w14:paraId="64982DB3" w14:textId="24D4DFC3" w:rsidR="00803AA7" w:rsidRPr="00AE70B8" w:rsidRDefault="00C763EE" w:rsidP="00803AA7">
      <w:pPr>
        <w:pStyle w:val="ListParagraph"/>
        <w:numPr>
          <w:ilvl w:val="0"/>
          <w:numId w:val="19"/>
        </w:numPr>
        <w:suppressLineNumbers/>
        <w:suppressAutoHyphens/>
        <w:spacing w:before="120" w:after="120"/>
        <w:ind w:left="0" w:firstLine="0"/>
        <w:contextualSpacing w:val="0"/>
        <w:rPr>
          <w:kern w:val="22"/>
          <w:szCs w:val="22"/>
          <w:lang w:val="fr-CA" w:eastAsia="x-none"/>
        </w:rPr>
      </w:pPr>
      <w:r w:rsidRPr="00AE70B8">
        <w:rPr>
          <w:rFonts w:eastAsia="Malgun Gothic"/>
          <w:kern w:val="22"/>
          <w:szCs w:val="22"/>
          <w:lang w:val="fr-CA"/>
        </w:rPr>
        <w:t xml:space="preserve">La quinzième </w:t>
      </w:r>
      <w:r w:rsidR="00946282" w:rsidRPr="00AE70B8">
        <w:rPr>
          <w:rFonts w:eastAsia="Malgun Gothic"/>
          <w:kern w:val="22"/>
          <w:szCs w:val="22"/>
          <w:lang w:val="fr-CA"/>
        </w:rPr>
        <w:t xml:space="preserve">réunion de </w:t>
      </w:r>
      <w:r w:rsidR="006D0FCE" w:rsidRPr="00AE70B8">
        <w:rPr>
          <w:rFonts w:eastAsia="Malgun Gothic"/>
          <w:kern w:val="22"/>
          <w:szCs w:val="22"/>
          <w:lang w:val="fr-CA"/>
        </w:rPr>
        <w:t>l</w:t>
      </w:r>
      <w:r w:rsidRPr="00AE70B8">
        <w:rPr>
          <w:rFonts w:eastAsia="Malgun Gothic"/>
          <w:kern w:val="22"/>
          <w:szCs w:val="22"/>
          <w:lang w:val="fr-CA"/>
        </w:rPr>
        <w:t xml:space="preserve">a Conférence des Parties, la dixième réunion de la Conférence des Parties siégeant en tant que réunion des Parties </w:t>
      </w:r>
      <w:r w:rsidR="00946282" w:rsidRPr="00AE70B8">
        <w:rPr>
          <w:rFonts w:eastAsia="Malgun Gothic"/>
          <w:kern w:val="22"/>
          <w:szCs w:val="22"/>
          <w:lang w:val="fr-CA"/>
        </w:rPr>
        <w:t>au Protocole de Cartagena et la quatrième réunion de la Conférence des Parties siégeant en tant que réunion des Parties au Protocole de Nagoya ont été retardées à cause de la pandémie de la COVID-19 et des restrictions connexes sur les voyages et les grands rassemblements dans presque toutes les parties du monde. Ces réunions ayant déjà été reportées à deux reprises, il a</w:t>
      </w:r>
      <w:r w:rsidR="006D0FCE" w:rsidRPr="00AE70B8">
        <w:rPr>
          <w:rFonts w:eastAsia="Malgun Gothic"/>
          <w:kern w:val="22"/>
          <w:szCs w:val="22"/>
          <w:lang w:val="fr-CA"/>
        </w:rPr>
        <w:t xml:space="preserve"> été </w:t>
      </w:r>
      <w:r w:rsidR="00946282" w:rsidRPr="00AE70B8">
        <w:rPr>
          <w:rFonts w:eastAsia="Malgun Gothic"/>
          <w:kern w:val="22"/>
          <w:szCs w:val="22"/>
          <w:lang w:val="fr-CA"/>
        </w:rPr>
        <w:t>décidé de les présenter en deux parties, afin de maintenir l’élan politique. Ainsi, la première partie des réunions (partie I) aura lieu du 11 au 15 octobre</w:t>
      </w:r>
      <w:r w:rsidR="006D0FCE" w:rsidRPr="00AE70B8">
        <w:rPr>
          <w:rFonts w:eastAsia="Malgun Gothic"/>
          <w:kern w:val="22"/>
          <w:szCs w:val="22"/>
          <w:lang w:val="fr-CA"/>
        </w:rPr>
        <w:t xml:space="preserve"> 2021</w:t>
      </w:r>
      <w:r w:rsidR="00946282" w:rsidRPr="00AE70B8">
        <w:rPr>
          <w:rFonts w:eastAsia="Malgun Gothic"/>
          <w:kern w:val="22"/>
          <w:szCs w:val="22"/>
          <w:lang w:val="fr-CA"/>
        </w:rPr>
        <w:t xml:space="preserve">, surtout en contexte virtuel. </w:t>
      </w:r>
      <w:r w:rsidR="009359C6" w:rsidRPr="00AE70B8">
        <w:rPr>
          <w:rFonts w:eastAsia="Malgun Gothic"/>
          <w:kern w:val="22"/>
          <w:szCs w:val="22"/>
          <w:lang w:val="fr-CA"/>
        </w:rPr>
        <w:t xml:space="preserve">Les représentants des Parties et les observateurs seront invités à participer à la partie I en ligne. Les chefs d’État et </w:t>
      </w:r>
      <w:r w:rsidR="006D0FCE" w:rsidRPr="00AE70B8">
        <w:rPr>
          <w:rFonts w:eastAsia="Malgun Gothic"/>
          <w:kern w:val="22"/>
          <w:szCs w:val="22"/>
          <w:lang w:val="fr-CA"/>
        </w:rPr>
        <w:t>de</w:t>
      </w:r>
      <w:r w:rsidR="009359C6" w:rsidRPr="00AE70B8">
        <w:rPr>
          <w:rFonts w:eastAsia="Malgun Gothic"/>
          <w:kern w:val="22"/>
          <w:szCs w:val="22"/>
          <w:lang w:val="fr-CA"/>
        </w:rPr>
        <w:t xml:space="preserve"> gouvernement seront également invités à participer, en ligne, au segment de haut niveau, afin d’exprimer leur volonté politique et leur engagement. Les représentants des gouvernements, des Nations Unies et des autres organisations intern</w:t>
      </w:r>
      <w:r w:rsidR="006D0FCE" w:rsidRPr="00AE70B8">
        <w:rPr>
          <w:rFonts w:eastAsia="Malgun Gothic"/>
          <w:kern w:val="22"/>
          <w:szCs w:val="22"/>
          <w:lang w:val="fr-CA"/>
        </w:rPr>
        <w:t>ationales concernées déjà en poste</w:t>
      </w:r>
      <w:r w:rsidR="009359C6" w:rsidRPr="00AE70B8">
        <w:rPr>
          <w:rFonts w:eastAsia="Malgun Gothic"/>
          <w:kern w:val="22"/>
          <w:szCs w:val="22"/>
          <w:lang w:val="fr-CA"/>
        </w:rPr>
        <w:t xml:space="preserve"> en Chine seront invités à participer à la réunion en personne à Kunming, en Chine</w:t>
      </w:r>
      <w:r w:rsidR="00803AA7" w:rsidRPr="00AE70B8">
        <w:rPr>
          <w:rFonts w:eastAsia="Malgun Gothic"/>
          <w:kern w:val="22"/>
          <w:szCs w:val="22"/>
          <w:lang w:val="fr-CA"/>
        </w:rPr>
        <w:t>.</w:t>
      </w:r>
      <w:r w:rsidR="009359C6" w:rsidRPr="00AE70B8">
        <w:rPr>
          <w:rFonts w:eastAsia="Malgun Gothic"/>
          <w:kern w:val="22"/>
          <w:szCs w:val="22"/>
          <w:lang w:val="fr-CA"/>
        </w:rPr>
        <w:t xml:space="preserve"> La deuxième partie (partie II) de ces réunions devrait se dérouler en personne, </w:t>
      </w:r>
      <w:r w:rsidR="0067192A" w:rsidRPr="00AE70B8">
        <w:rPr>
          <w:rFonts w:eastAsia="Malgun Gothic"/>
          <w:kern w:val="22"/>
          <w:szCs w:val="22"/>
          <w:lang w:val="fr-CA"/>
        </w:rPr>
        <w:t xml:space="preserve">à Kunming, en Chine, </w:t>
      </w:r>
      <w:r w:rsidR="009359C6" w:rsidRPr="00AE70B8">
        <w:rPr>
          <w:rFonts w:eastAsia="Malgun Gothic"/>
          <w:kern w:val="22"/>
          <w:szCs w:val="22"/>
          <w:lang w:val="fr-CA"/>
        </w:rPr>
        <w:t>du 25 avril au 8 mai 2</w:t>
      </w:r>
      <w:r w:rsidR="0067192A" w:rsidRPr="00AE70B8">
        <w:rPr>
          <w:rFonts w:eastAsia="Malgun Gothic"/>
          <w:kern w:val="22"/>
          <w:szCs w:val="22"/>
          <w:lang w:val="fr-CA"/>
        </w:rPr>
        <w:t>022</w:t>
      </w:r>
      <w:r w:rsidR="006D0FCE" w:rsidRPr="00AE70B8">
        <w:rPr>
          <w:rFonts w:eastAsia="Malgun Gothic"/>
          <w:kern w:val="22"/>
          <w:szCs w:val="22"/>
          <w:lang w:val="fr-CA"/>
        </w:rPr>
        <w:t>.</w:t>
      </w:r>
    </w:p>
    <w:p w14:paraId="7588EE8B" w14:textId="53DFA42D" w:rsidR="00803AA7" w:rsidRPr="00AE70B8" w:rsidRDefault="0067192A" w:rsidP="00803AA7">
      <w:pPr>
        <w:pStyle w:val="ListParagraph"/>
        <w:numPr>
          <w:ilvl w:val="0"/>
          <w:numId w:val="19"/>
        </w:numPr>
        <w:suppressLineNumbers/>
        <w:suppressAutoHyphens/>
        <w:spacing w:before="120" w:after="120"/>
        <w:ind w:left="0" w:firstLine="0"/>
        <w:contextualSpacing w:val="0"/>
        <w:rPr>
          <w:kern w:val="22"/>
          <w:szCs w:val="22"/>
          <w:lang w:val="fr-CA"/>
        </w:rPr>
      </w:pPr>
      <w:r w:rsidRPr="00AE70B8">
        <w:rPr>
          <w:rFonts w:eastAsia="Malgun Gothic"/>
          <w:kern w:val="22"/>
          <w:szCs w:val="22"/>
          <w:lang w:val="fr-CA"/>
        </w:rPr>
        <w:lastRenderedPageBreak/>
        <w:t xml:space="preserve">Les réunions se tiennent en deux parties afin que les organes subsidiaires puissent terminer leurs travaux, dont la finalisation du projet de cadre mondial de la biodiversité pour l'après-2020, pour examen à la partie II des réunions. Des arrangements financiers supplémentaires devront être pris, selon les conclusions de ces réunions, afin d’assurer </w:t>
      </w:r>
      <w:r w:rsidR="001008A3" w:rsidRPr="00AE70B8">
        <w:rPr>
          <w:rFonts w:eastAsia="Malgun Gothic"/>
          <w:kern w:val="22"/>
          <w:szCs w:val="22"/>
          <w:lang w:val="fr-CA"/>
        </w:rPr>
        <w:t>le maintien</w:t>
      </w:r>
      <w:r w:rsidRPr="00AE70B8">
        <w:rPr>
          <w:rFonts w:eastAsia="Malgun Gothic"/>
          <w:kern w:val="22"/>
          <w:szCs w:val="22"/>
          <w:lang w:val="fr-CA"/>
        </w:rPr>
        <w:t xml:space="preserve"> des activités </w:t>
      </w:r>
      <w:r w:rsidR="00F50AC1" w:rsidRPr="00AE70B8">
        <w:rPr>
          <w:rFonts w:eastAsia="Malgun Gothic"/>
          <w:kern w:val="22"/>
          <w:szCs w:val="22"/>
          <w:lang w:val="fr-CA"/>
        </w:rPr>
        <w:t xml:space="preserve">de fonctionnement </w:t>
      </w:r>
      <w:r w:rsidRPr="00AE70B8">
        <w:rPr>
          <w:rFonts w:eastAsia="Malgun Gothic"/>
          <w:kern w:val="22"/>
          <w:szCs w:val="22"/>
          <w:lang w:val="fr-CA"/>
        </w:rPr>
        <w:t xml:space="preserve">du Secrétariat après le 31 décembre 2021, dont le fonctionnement du Secrétariat et </w:t>
      </w:r>
      <w:r w:rsidR="00F50AC1" w:rsidRPr="00AE70B8">
        <w:rPr>
          <w:rFonts w:eastAsia="Malgun Gothic"/>
          <w:kern w:val="22"/>
          <w:szCs w:val="22"/>
          <w:lang w:val="fr-CA"/>
        </w:rPr>
        <w:t>l’organisation</w:t>
      </w:r>
      <w:r w:rsidRPr="00AE70B8">
        <w:rPr>
          <w:rFonts w:eastAsia="Malgun Gothic"/>
          <w:kern w:val="22"/>
          <w:szCs w:val="22"/>
          <w:lang w:val="fr-CA"/>
        </w:rPr>
        <w:t xml:space="preserve"> des réunions reportées à 2022</w:t>
      </w:r>
      <w:r w:rsidR="00803AA7" w:rsidRPr="00AE70B8">
        <w:rPr>
          <w:rFonts w:eastAsia="Malgun Gothic"/>
          <w:kern w:val="22"/>
          <w:szCs w:val="22"/>
          <w:lang w:val="fr-CA"/>
        </w:rPr>
        <w:t>.</w:t>
      </w:r>
    </w:p>
    <w:p w14:paraId="1DF5009B" w14:textId="789E5A36" w:rsidR="007E0B58" w:rsidRPr="00AE70B8" w:rsidRDefault="00F50AC1" w:rsidP="025C64B4">
      <w:pPr>
        <w:pStyle w:val="ListParagraph"/>
        <w:numPr>
          <w:ilvl w:val="0"/>
          <w:numId w:val="19"/>
        </w:numPr>
        <w:suppressLineNumbers/>
        <w:suppressAutoHyphens/>
        <w:spacing w:before="120" w:after="120"/>
        <w:ind w:left="0" w:firstLine="0"/>
        <w:contextualSpacing w:val="0"/>
        <w:rPr>
          <w:kern w:val="22"/>
          <w:szCs w:val="22"/>
          <w:lang w:val="fr-CA" w:eastAsia="x-none"/>
        </w:rPr>
      </w:pPr>
      <w:r w:rsidRPr="00AE70B8">
        <w:rPr>
          <w:rFonts w:eastAsia="Malgun Gothic"/>
          <w:kern w:val="22"/>
          <w:szCs w:val="22"/>
          <w:lang w:val="fr-CA"/>
        </w:rPr>
        <w:t>Le Bureau de la Conférence des Parties s’est penché sur la question et a proposé que les Parties examinent et a</w:t>
      </w:r>
      <w:r w:rsidR="001008A3" w:rsidRPr="00AE70B8">
        <w:rPr>
          <w:rFonts w:eastAsia="Malgun Gothic"/>
          <w:kern w:val="22"/>
          <w:szCs w:val="22"/>
          <w:lang w:val="fr-CA"/>
        </w:rPr>
        <w:t>pprouvent, à titre exceptionnel, u</w:t>
      </w:r>
      <w:r w:rsidRPr="00AE70B8">
        <w:rPr>
          <w:rFonts w:eastAsia="Malgun Gothic"/>
          <w:kern w:val="22"/>
          <w:szCs w:val="22"/>
          <w:lang w:val="fr-CA"/>
        </w:rPr>
        <w:t xml:space="preserve">n budget provisoire pour 2022 à la première partie des réunions, et le budget </w:t>
      </w:r>
      <w:r w:rsidR="000672B3" w:rsidRPr="00AE70B8">
        <w:rPr>
          <w:rFonts w:eastAsia="Malgun Gothic"/>
          <w:kern w:val="22"/>
          <w:szCs w:val="22"/>
          <w:lang w:val="fr-CA"/>
        </w:rPr>
        <w:t>ordinaire</w:t>
      </w:r>
      <w:r w:rsidRPr="00AE70B8">
        <w:rPr>
          <w:rFonts w:eastAsia="Malgun Gothic"/>
          <w:kern w:val="22"/>
          <w:szCs w:val="22"/>
          <w:lang w:val="fr-CA"/>
        </w:rPr>
        <w:t xml:space="preserve"> ou complet pour 2023-2024 à la partie II des réunions, à Kunming, en 2022. La Secrétaire exécutive a préparé un budget provisoire pour 2022 en conséquence, proposé dans le présent document</w:t>
      </w:r>
      <w:r w:rsidR="002846F4" w:rsidRPr="00AE70B8">
        <w:rPr>
          <w:rFonts w:eastAsia="Malgun Gothic"/>
          <w:kern w:val="22"/>
          <w:szCs w:val="22"/>
          <w:lang w:val="fr-CA"/>
        </w:rPr>
        <w:t>.</w:t>
      </w:r>
    </w:p>
    <w:p w14:paraId="3046A817" w14:textId="7E7F06A8" w:rsidR="00803AA7" w:rsidRPr="00AE70B8" w:rsidRDefault="00F50AC1" w:rsidP="00803AA7">
      <w:pPr>
        <w:pStyle w:val="ListParagraph"/>
        <w:numPr>
          <w:ilvl w:val="0"/>
          <w:numId w:val="19"/>
        </w:numPr>
        <w:suppressLineNumbers/>
        <w:suppressAutoHyphens/>
        <w:spacing w:before="120" w:after="120"/>
        <w:ind w:left="0" w:firstLine="0"/>
        <w:contextualSpacing w:val="0"/>
        <w:rPr>
          <w:rFonts w:eastAsiaTheme="minorEastAsia"/>
          <w:kern w:val="22"/>
          <w:szCs w:val="22"/>
          <w:lang w:val="fr-CA" w:eastAsia="x-none"/>
        </w:rPr>
      </w:pPr>
      <w:r w:rsidRPr="00AE70B8">
        <w:rPr>
          <w:rFonts w:eastAsia="Malgun Gothic"/>
          <w:kern w:val="22"/>
          <w:szCs w:val="22"/>
          <w:lang w:val="fr-CA"/>
        </w:rPr>
        <w:t xml:space="preserve">Ce document comprend cinq parties. La partie I porte sur les </w:t>
      </w:r>
      <w:r w:rsidR="00BD39DD" w:rsidRPr="00AE70B8">
        <w:rPr>
          <w:rFonts w:eastAsia="Malgun Gothic"/>
          <w:kern w:val="22"/>
          <w:szCs w:val="22"/>
          <w:lang w:val="fr-CA"/>
        </w:rPr>
        <w:t>revenus et le budget de fonctionnement</w:t>
      </w:r>
      <w:r w:rsidR="000672B3" w:rsidRPr="00AE70B8">
        <w:rPr>
          <w:rFonts w:eastAsia="Malgun Gothic"/>
          <w:kern w:val="22"/>
          <w:szCs w:val="22"/>
          <w:lang w:val="fr-CA"/>
        </w:rPr>
        <w:t xml:space="preserve"> </w:t>
      </w:r>
      <w:r w:rsidR="00BD39DD" w:rsidRPr="00AE70B8">
        <w:rPr>
          <w:rFonts w:eastAsia="Malgun Gothic"/>
          <w:kern w:val="22"/>
          <w:szCs w:val="22"/>
          <w:lang w:val="fr-CA"/>
        </w:rPr>
        <w:t>de</w:t>
      </w:r>
      <w:r w:rsidRPr="00AE70B8">
        <w:rPr>
          <w:rFonts w:eastAsia="Malgun Gothic"/>
          <w:kern w:val="22"/>
          <w:szCs w:val="22"/>
          <w:lang w:val="fr-CA"/>
        </w:rPr>
        <w:t xml:space="preserve"> la période biennale 2019-2020 et </w:t>
      </w:r>
      <w:r w:rsidR="00BD39DD" w:rsidRPr="00AE70B8">
        <w:rPr>
          <w:rFonts w:eastAsia="Malgun Gothic"/>
          <w:kern w:val="22"/>
          <w:szCs w:val="22"/>
          <w:lang w:val="fr-CA"/>
        </w:rPr>
        <w:t>de</w:t>
      </w:r>
      <w:r w:rsidRPr="00AE70B8">
        <w:rPr>
          <w:rFonts w:eastAsia="Malgun Gothic"/>
          <w:kern w:val="22"/>
          <w:szCs w:val="22"/>
          <w:lang w:val="fr-CA"/>
        </w:rPr>
        <w:t xml:space="preserve"> 2021</w:t>
      </w:r>
      <w:r w:rsidR="00803AA7" w:rsidRPr="00AE70B8">
        <w:rPr>
          <w:rFonts w:eastAsia="Malgun Gothic"/>
          <w:kern w:val="22"/>
          <w:szCs w:val="22"/>
          <w:lang w:val="fr-CA"/>
        </w:rPr>
        <w:t>.</w:t>
      </w:r>
      <w:r w:rsidR="000672B3" w:rsidRPr="00AE70B8">
        <w:rPr>
          <w:rFonts w:eastAsia="Malgun Gothic"/>
          <w:kern w:val="22"/>
          <w:szCs w:val="22"/>
          <w:lang w:val="fr-CA"/>
        </w:rPr>
        <w:t xml:space="preserve"> La partie II</w:t>
      </w:r>
      <w:r w:rsidR="007233F0" w:rsidRPr="00AE70B8">
        <w:rPr>
          <w:rFonts w:eastAsia="Malgun Gothic"/>
          <w:kern w:val="22"/>
          <w:szCs w:val="22"/>
          <w:lang w:val="fr-CA"/>
        </w:rPr>
        <w:t xml:space="preserve"> contient une proposition du Secrétariat pour un budget provisoire intégré visant à assurer le maintien des opérations de</w:t>
      </w:r>
      <w:r w:rsidR="000672B3" w:rsidRPr="00AE70B8">
        <w:rPr>
          <w:rFonts w:eastAsia="Malgun Gothic"/>
          <w:kern w:val="22"/>
          <w:szCs w:val="22"/>
          <w:lang w:val="fr-CA"/>
        </w:rPr>
        <w:t xml:space="preserve"> </w:t>
      </w:r>
      <w:r w:rsidR="001008A3" w:rsidRPr="00AE70B8">
        <w:rPr>
          <w:rFonts w:eastAsia="Malgun Gothic"/>
          <w:kern w:val="22"/>
          <w:szCs w:val="22"/>
          <w:lang w:val="fr-CA"/>
        </w:rPr>
        <w:t>la Convention et des P</w:t>
      </w:r>
      <w:r w:rsidR="007233F0" w:rsidRPr="00AE70B8">
        <w:rPr>
          <w:rFonts w:eastAsia="Malgun Gothic"/>
          <w:kern w:val="22"/>
          <w:szCs w:val="22"/>
          <w:lang w:val="fr-CA"/>
        </w:rPr>
        <w:t>rotocoles, y compris le Secré</w:t>
      </w:r>
      <w:r w:rsidR="001008A3" w:rsidRPr="00AE70B8">
        <w:rPr>
          <w:rFonts w:eastAsia="Malgun Gothic"/>
          <w:kern w:val="22"/>
          <w:szCs w:val="22"/>
          <w:lang w:val="fr-CA"/>
        </w:rPr>
        <w:t>tariat, au cours de l’année 2022</w:t>
      </w:r>
      <w:r w:rsidR="007233F0" w:rsidRPr="00AE70B8">
        <w:rPr>
          <w:rFonts w:eastAsia="Malgun Gothic"/>
          <w:kern w:val="22"/>
          <w:szCs w:val="22"/>
          <w:lang w:val="fr-CA"/>
        </w:rPr>
        <w:t>, en attendant l’adoption d’un budget pour la période biennale 2023-2024.</w:t>
      </w:r>
      <w:r w:rsidR="00A22E48" w:rsidRPr="00AE70B8">
        <w:rPr>
          <w:rFonts w:eastAsia="Malgun Gothic"/>
          <w:kern w:val="22"/>
          <w:szCs w:val="22"/>
          <w:lang w:val="fr-CA"/>
        </w:rPr>
        <w:t xml:space="preserve"> </w:t>
      </w:r>
      <w:r w:rsidR="007233F0" w:rsidRPr="00AE70B8">
        <w:rPr>
          <w:rFonts w:eastAsia="Malgun Gothic"/>
          <w:kern w:val="22"/>
          <w:szCs w:val="22"/>
          <w:lang w:val="fr-CA"/>
        </w:rPr>
        <w:t xml:space="preserve">Les parties III, IV et V </w:t>
      </w:r>
      <w:r w:rsidR="00A22E48" w:rsidRPr="00AE70B8">
        <w:rPr>
          <w:rFonts w:eastAsia="Malgun Gothic"/>
          <w:kern w:val="22"/>
          <w:szCs w:val="22"/>
          <w:lang w:val="fr-CA"/>
        </w:rPr>
        <w:t>contiennent</w:t>
      </w:r>
      <w:r w:rsidR="007233F0" w:rsidRPr="00AE70B8">
        <w:rPr>
          <w:rFonts w:eastAsia="Malgun Gothic"/>
          <w:kern w:val="22"/>
          <w:szCs w:val="22"/>
          <w:lang w:val="fr-CA"/>
        </w:rPr>
        <w:t xml:space="preserve"> les projets de déci</w:t>
      </w:r>
      <w:r w:rsidR="00A22E48" w:rsidRPr="00AE70B8">
        <w:rPr>
          <w:rFonts w:eastAsia="Malgun Gothic"/>
          <w:kern w:val="22"/>
          <w:szCs w:val="22"/>
          <w:lang w:val="fr-CA"/>
        </w:rPr>
        <w:t>sions pour exa</w:t>
      </w:r>
      <w:r w:rsidR="007233F0" w:rsidRPr="00AE70B8">
        <w:rPr>
          <w:rFonts w:eastAsia="Malgun Gothic"/>
          <w:kern w:val="22"/>
          <w:szCs w:val="22"/>
          <w:lang w:val="fr-CA"/>
        </w:rPr>
        <w:t>men par la Conférence des Parties et les Conférence</w:t>
      </w:r>
      <w:r w:rsidR="006D07E5">
        <w:rPr>
          <w:rFonts w:eastAsia="Malgun Gothic"/>
          <w:kern w:val="22"/>
          <w:szCs w:val="22"/>
          <w:lang w:val="fr-CA"/>
        </w:rPr>
        <w:t>s</w:t>
      </w:r>
      <w:r w:rsidR="007233F0" w:rsidRPr="00AE70B8">
        <w:rPr>
          <w:rFonts w:eastAsia="Malgun Gothic"/>
          <w:kern w:val="22"/>
          <w:szCs w:val="22"/>
          <w:lang w:val="fr-CA"/>
        </w:rPr>
        <w:t xml:space="preserve"> des Parties siégeant en tant que réunion</w:t>
      </w:r>
      <w:r w:rsidR="001008A3" w:rsidRPr="00AE70B8">
        <w:rPr>
          <w:rFonts w:eastAsia="Malgun Gothic"/>
          <w:kern w:val="22"/>
          <w:szCs w:val="22"/>
          <w:lang w:val="fr-CA"/>
        </w:rPr>
        <w:t>s</w:t>
      </w:r>
      <w:r w:rsidR="007233F0" w:rsidRPr="00AE70B8">
        <w:rPr>
          <w:rFonts w:eastAsia="Malgun Gothic"/>
          <w:kern w:val="22"/>
          <w:szCs w:val="22"/>
          <w:lang w:val="fr-CA"/>
        </w:rPr>
        <w:t xml:space="preserve"> des Parties aux Protocoles de Cartagena et de Nagoya.</w:t>
      </w:r>
    </w:p>
    <w:p w14:paraId="729E6B3D" w14:textId="6A2F450D" w:rsidR="025C64B4" w:rsidRPr="00AE70B8" w:rsidRDefault="00A22E48" w:rsidP="00282AF6">
      <w:pPr>
        <w:pStyle w:val="ListParagraph"/>
        <w:numPr>
          <w:ilvl w:val="0"/>
          <w:numId w:val="19"/>
        </w:numPr>
        <w:suppressLineNumbers/>
        <w:suppressAutoHyphens/>
        <w:spacing w:before="120" w:after="120"/>
        <w:ind w:left="0" w:firstLine="0"/>
        <w:contextualSpacing w:val="0"/>
        <w:rPr>
          <w:kern w:val="22"/>
          <w:szCs w:val="22"/>
          <w:lang w:val="fr-CA"/>
        </w:rPr>
      </w:pPr>
      <w:r w:rsidRPr="00AE70B8">
        <w:rPr>
          <w:rFonts w:eastAsia="Malgun Gothic"/>
          <w:kern w:val="22"/>
          <w:szCs w:val="22"/>
          <w:lang w:val="fr-CA"/>
        </w:rPr>
        <w:t xml:space="preserve">Il est convenu que la partie II de la quinzième réunion de la Conférence des Parties et les réunions concomitantes des Parties aux Protocoles examineront </w:t>
      </w:r>
      <w:r w:rsidR="001008A3" w:rsidRPr="00AE70B8">
        <w:rPr>
          <w:rFonts w:eastAsia="Malgun Gothic"/>
          <w:kern w:val="22"/>
          <w:szCs w:val="22"/>
          <w:lang w:val="fr-CA"/>
        </w:rPr>
        <w:t>l’ensemble du</w:t>
      </w:r>
      <w:r w:rsidRPr="00AE70B8">
        <w:rPr>
          <w:rFonts w:eastAsia="Malgun Gothic"/>
          <w:kern w:val="22"/>
          <w:szCs w:val="22"/>
          <w:lang w:val="fr-CA"/>
        </w:rPr>
        <w:t xml:space="preserve"> budget axé sur les résultats de la période biennale 2023-2024 ou </w:t>
      </w:r>
      <w:r w:rsidR="00AE70B8" w:rsidRPr="00AE70B8">
        <w:rPr>
          <w:rFonts w:eastAsia="Malgun Gothic"/>
          <w:kern w:val="22"/>
          <w:szCs w:val="22"/>
          <w:lang w:val="fr-CA"/>
        </w:rPr>
        <w:t>de</w:t>
      </w:r>
      <w:r w:rsidRPr="00AE70B8">
        <w:rPr>
          <w:rFonts w:eastAsia="Malgun Gothic"/>
          <w:kern w:val="22"/>
          <w:szCs w:val="22"/>
          <w:lang w:val="fr-CA"/>
        </w:rPr>
        <w:t xml:space="preserve"> </w:t>
      </w:r>
      <w:r w:rsidRPr="00AE70B8">
        <w:rPr>
          <w:kern w:val="22"/>
          <w:szCs w:val="22"/>
          <w:lang w:val="fr-CA"/>
        </w:rPr>
        <w:t>toute</w:t>
      </w:r>
      <w:r w:rsidRPr="00AE70B8">
        <w:rPr>
          <w:rFonts w:eastAsia="Malgun Gothic"/>
          <w:kern w:val="22"/>
          <w:szCs w:val="22"/>
          <w:lang w:val="fr-CA"/>
        </w:rPr>
        <w:t xml:space="preserve"> autre période déterminée par la Conférence des Parties et les </w:t>
      </w:r>
      <w:r w:rsidR="00A82F94" w:rsidRPr="00AE70B8">
        <w:rPr>
          <w:rFonts w:eastAsia="Malgun Gothic"/>
          <w:kern w:val="22"/>
          <w:szCs w:val="22"/>
          <w:lang w:val="fr-CA"/>
        </w:rPr>
        <w:t>Conférence</w:t>
      </w:r>
      <w:r w:rsidR="006D07E5">
        <w:rPr>
          <w:rFonts w:eastAsia="Malgun Gothic"/>
          <w:kern w:val="22"/>
          <w:szCs w:val="22"/>
          <w:lang w:val="fr-CA"/>
        </w:rPr>
        <w:t>s</w:t>
      </w:r>
      <w:r w:rsidR="00A82F94" w:rsidRPr="00AE70B8">
        <w:rPr>
          <w:rFonts w:eastAsia="Malgun Gothic"/>
          <w:kern w:val="22"/>
          <w:szCs w:val="22"/>
          <w:lang w:val="fr-CA"/>
        </w:rPr>
        <w:t xml:space="preserve"> des Parties siégeant en tant que réunion</w:t>
      </w:r>
      <w:r w:rsidR="00AE70B8" w:rsidRPr="00AE70B8">
        <w:rPr>
          <w:rFonts w:eastAsia="Malgun Gothic"/>
          <w:kern w:val="22"/>
          <w:szCs w:val="22"/>
          <w:lang w:val="fr-CA"/>
        </w:rPr>
        <w:t>s</w:t>
      </w:r>
      <w:r w:rsidR="00A82F94" w:rsidRPr="00AE70B8">
        <w:rPr>
          <w:rFonts w:eastAsia="Malgun Gothic"/>
          <w:kern w:val="22"/>
          <w:szCs w:val="22"/>
          <w:lang w:val="fr-CA"/>
        </w:rPr>
        <w:t xml:space="preserve"> des Parties aux Protocoles, conformément aux règles de gestion financière</w:t>
      </w:r>
      <w:r w:rsidR="00803AA7" w:rsidRPr="00AE70B8">
        <w:rPr>
          <w:rFonts w:eastAsia="Malgun Gothic"/>
          <w:kern w:val="22"/>
          <w:szCs w:val="22"/>
          <w:lang w:val="fr-CA"/>
        </w:rPr>
        <w:t>.</w:t>
      </w:r>
      <w:r w:rsidR="00803AA7" w:rsidRPr="00AE70B8">
        <w:rPr>
          <w:rFonts w:eastAsia="Malgun Gothic"/>
          <w:kern w:val="22"/>
          <w:szCs w:val="22"/>
          <w:vertAlign w:val="superscript"/>
          <w:lang w:val="fr-CA"/>
        </w:rPr>
        <w:footnoteReference w:id="5"/>
      </w:r>
      <w:r w:rsidR="00803AA7" w:rsidRPr="00AE70B8">
        <w:rPr>
          <w:rFonts w:eastAsia="Malgun Gothic"/>
          <w:kern w:val="22"/>
          <w:szCs w:val="22"/>
          <w:lang w:val="fr-CA"/>
        </w:rPr>
        <w:t xml:space="preserve"> </w:t>
      </w:r>
      <w:r w:rsidR="00A82F94" w:rsidRPr="00AE70B8">
        <w:rPr>
          <w:rFonts w:eastAsia="Malgun Gothic"/>
          <w:kern w:val="22"/>
          <w:szCs w:val="22"/>
          <w:lang w:val="fr-CA"/>
        </w:rPr>
        <w:t>Par conséquent, le budget provisoire est de portée limitée et ne s’applique qu’aux exigences opérationnelles les plus imminentes de la Convention et de ses Protocoles, qui comprennent la préparation et l’organisation de la partie II de la quinzième réunion de la Conférence des Parties et autres réunions prévues en 2022</w:t>
      </w:r>
      <w:r w:rsidR="00803AA7" w:rsidRPr="00AE70B8">
        <w:rPr>
          <w:rFonts w:eastAsia="Malgun Gothic"/>
          <w:kern w:val="22"/>
          <w:szCs w:val="22"/>
          <w:lang w:val="fr-CA"/>
        </w:rPr>
        <w:t>.</w:t>
      </w:r>
    </w:p>
    <w:p w14:paraId="215FA090" w14:textId="565541F6" w:rsidR="00A7578D" w:rsidRPr="00AE70B8" w:rsidRDefault="002753F9" w:rsidP="00282AF6">
      <w:pPr>
        <w:pStyle w:val="ListParagraph"/>
        <w:keepNext/>
        <w:numPr>
          <w:ilvl w:val="0"/>
          <w:numId w:val="20"/>
        </w:numPr>
        <w:suppressLineNumbers/>
        <w:suppressAutoHyphens/>
        <w:spacing w:before="120" w:after="120"/>
        <w:ind w:left="1152" w:hanging="432"/>
        <w:contextualSpacing w:val="0"/>
        <w:outlineLvl w:val="0"/>
        <w:rPr>
          <w:rFonts w:eastAsia="Malgun Gothic"/>
          <w:b/>
          <w:caps/>
          <w:color w:val="000000" w:themeColor="text1"/>
          <w:kern w:val="22"/>
          <w:szCs w:val="22"/>
          <w:lang w:val="fr-CA" w:eastAsia="x-none"/>
        </w:rPr>
      </w:pPr>
      <w:r w:rsidRPr="00AE70B8">
        <w:rPr>
          <w:rFonts w:eastAsia="Malgun Gothic"/>
          <w:b/>
          <w:caps/>
          <w:color w:val="000000" w:themeColor="text1"/>
          <w:kern w:val="22"/>
          <w:szCs w:val="22"/>
          <w:lang w:val="fr-CA" w:eastAsia="x-none"/>
        </w:rPr>
        <w:t xml:space="preserve">sommaire des revenus et </w:t>
      </w:r>
      <w:r w:rsidR="00AE70B8">
        <w:rPr>
          <w:rFonts w:eastAsia="Malgun Gothic"/>
          <w:b/>
          <w:caps/>
          <w:color w:val="000000" w:themeColor="text1"/>
          <w:kern w:val="22"/>
          <w:szCs w:val="22"/>
          <w:lang w:val="fr-CA" w:eastAsia="x-none"/>
        </w:rPr>
        <w:t xml:space="preserve">de l’exécution du budget </w:t>
      </w:r>
      <w:r w:rsidRPr="00AE70B8">
        <w:rPr>
          <w:rFonts w:eastAsia="Malgun Gothic"/>
          <w:b/>
          <w:caps/>
          <w:color w:val="000000" w:themeColor="text1"/>
          <w:kern w:val="22"/>
          <w:szCs w:val="22"/>
          <w:lang w:val="fr-CA" w:eastAsia="x-none"/>
        </w:rPr>
        <w:t>pour la période biennale 2019-2020</w:t>
      </w:r>
    </w:p>
    <w:p w14:paraId="6747530D" w14:textId="44287BA1" w:rsidR="000A2755" w:rsidRPr="00AE70B8" w:rsidRDefault="002753F9" w:rsidP="00A42CCA">
      <w:pPr>
        <w:pStyle w:val="ListParagraph"/>
        <w:keepNext/>
        <w:numPr>
          <w:ilvl w:val="0"/>
          <w:numId w:val="21"/>
        </w:numPr>
        <w:suppressLineNumbers/>
        <w:tabs>
          <w:tab w:val="left" w:pos="426"/>
        </w:tabs>
        <w:suppressAutoHyphens/>
        <w:spacing w:after="120"/>
        <w:ind w:left="0" w:firstLine="0"/>
        <w:contextualSpacing w:val="0"/>
        <w:jc w:val="center"/>
        <w:rPr>
          <w:rFonts w:eastAsia="Malgun Gothic"/>
          <w:b/>
          <w:color w:val="000000" w:themeColor="text1"/>
          <w:kern w:val="22"/>
          <w:szCs w:val="22"/>
          <w:lang w:val="fr-CA" w:eastAsia="x-none"/>
        </w:rPr>
      </w:pPr>
      <w:r w:rsidRPr="00AE70B8">
        <w:rPr>
          <w:rFonts w:eastAsia="Malgun Gothic"/>
          <w:b/>
          <w:color w:val="000000" w:themeColor="text1"/>
          <w:kern w:val="22"/>
          <w:szCs w:val="22"/>
          <w:lang w:val="fr-CA" w:eastAsia="x-none"/>
        </w:rPr>
        <w:t>Revenu</w:t>
      </w:r>
    </w:p>
    <w:p w14:paraId="74ED1CBE" w14:textId="52C82AFF" w:rsidR="289ECAE1" w:rsidRPr="00AE70B8" w:rsidRDefault="002753F9" w:rsidP="00282AF6">
      <w:pPr>
        <w:pStyle w:val="ListParagraph"/>
        <w:keepNext/>
        <w:numPr>
          <w:ilvl w:val="0"/>
          <w:numId w:val="61"/>
        </w:numPr>
        <w:suppressLineNumbers/>
        <w:suppressAutoHyphens/>
        <w:spacing w:before="120" w:after="120"/>
        <w:ind w:left="714" w:hanging="357"/>
        <w:contextualSpacing w:val="0"/>
        <w:jc w:val="center"/>
        <w:rPr>
          <w:rFonts w:eastAsiaTheme="minorEastAsia"/>
          <w:i/>
          <w:iCs/>
          <w:kern w:val="22"/>
          <w:szCs w:val="22"/>
          <w:lang w:val="fr-CA"/>
        </w:rPr>
      </w:pPr>
      <w:r w:rsidRPr="00AE70B8">
        <w:rPr>
          <w:i/>
          <w:iCs/>
          <w:kern w:val="22"/>
          <w:szCs w:val="22"/>
          <w:lang w:val="fr-CA"/>
        </w:rPr>
        <w:t xml:space="preserve">Budget approuvé pour la période </w:t>
      </w:r>
      <w:r w:rsidR="36C55C42" w:rsidRPr="00AE70B8">
        <w:rPr>
          <w:i/>
          <w:iCs/>
          <w:kern w:val="22"/>
          <w:szCs w:val="22"/>
          <w:lang w:val="fr-CA"/>
        </w:rPr>
        <w:t xml:space="preserve">2019-2020 </w:t>
      </w:r>
    </w:p>
    <w:p w14:paraId="3A0BA9B3" w14:textId="10B7D053" w:rsidR="007270E2" w:rsidRPr="00AE70B8" w:rsidRDefault="00031AD5" w:rsidP="00282AF6">
      <w:pPr>
        <w:pStyle w:val="ListParagraph"/>
        <w:numPr>
          <w:ilvl w:val="0"/>
          <w:numId w:val="19"/>
        </w:numPr>
        <w:spacing w:before="120" w:after="120"/>
        <w:ind w:left="0" w:firstLine="0"/>
        <w:contextualSpacing w:val="0"/>
        <w:rPr>
          <w:rFonts w:eastAsiaTheme="minorEastAsia"/>
          <w:kern w:val="22"/>
          <w:szCs w:val="22"/>
          <w:lang w:val="fr-CA"/>
        </w:rPr>
      </w:pPr>
      <w:r w:rsidRPr="00AE70B8">
        <w:rPr>
          <w:rFonts w:eastAsia="Malgun Gothic"/>
          <w:kern w:val="22"/>
          <w:szCs w:val="22"/>
          <w:lang w:val="fr-CA"/>
        </w:rPr>
        <w:t>Dans les décisions</w:t>
      </w:r>
      <w:r w:rsidR="36C55C42" w:rsidRPr="00AE70B8">
        <w:rPr>
          <w:rFonts w:eastAsia="Malgun Gothic"/>
          <w:kern w:val="22"/>
          <w:szCs w:val="22"/>
          <w:lang w:val="fr-CA"/>
        </w:rPr>
        <w:t xml:space="preserve"> 14/37, </w:t>
      </w:r>
      <w:r w:rsidR="004F6632" w:rsidRPr="00AE70B8">
        <w:rPr>
          <w:rFonts w:eastAsia="Malgun Gothic"/>
          <w:kern w:val="22"/>
          <w:szCs w:val="22"/>
          <w:lang w:val="fr-CA"/>
        </w:rPr>
        <w:t>CP</w:t>
      </w:r>
      <w:r w:rsidR="00BF4146" w:rsidRPr="00AE70B8">
        <w:rPr>
          <w:rFonts w:eastAsia="Malgun Gothic"/>
          <w:kern w:val="22"/>
          <w:szCs w:val="22"/>
          <w:lang w:val="fr-CA"/>
        </w:rPr>
        <w:t>-9/</w:t>
      </w:r>
      <w:r w:rsidR="00313C5C" w:rsidRPr="00AE70B8">
        <w:rPr>
          <w:rFonts w:eastAsia="Malgun Gothic"/>
          <w:kern w:val="22"/>
          <w:szCs w:val="22"/>
          <w:lang w:val="fr-CA"/>
        </w:rPr>
        <w:t xml:space="preserve">16 </w:t>
      </w:r>
      <w:r w:rsidRPr="00AE70B8">
        <w:rPr>
          <w:rFonts w:eastAsia="Malgun Gothic"/>
          <w:kern w:val="22"/>
          <w:szCs w:val="22"/>
          <w:lang w:val="fr-CA"/>
        </w:rPr>
        <w:t>et</w:t>
      </w:r>
      <w:r w:rsidR="00313C5C" w:rsidRPr="00AE70B8">
        <w:rPr>
          <w:rFonts w:eastAsia="Malgun Gothic"/>
          <w:kern w:val="22"/>
          <w:szCs w:val="22"/>
          <w:lang w:val="fr-CA"/>
        </w:rPr>
        <w:t xml:space="preserve"> NP-3-16, </w:t>
      </w:r>
      <w:r w:rsidRPr="00AE70B8">
        <w:rPr>
          <w:rFonts w:eastAsia="Malgun Gothic"/>
          <w:kern w:val="22"/>
          <w:szCs w:val="22"/>
          <w:lang w:val="fr-CA"/>
        </w:rPr>
        <w:t>la Conférence des Parties et les Conférence</w:t>
      </w:r>
      <w:r w:rsidR="00010DE4">
        <w:rPr>
          <w:rFonts w:eastAsia="Malgun Gothic"/>
          <w:kern w:val="22"/>
          <w:szCs w:val="22"/>
          <w:lang w:val="fr-CA"/>
        </w:rPr>
        <w:t>s</w:t>
      </w:r>
      <w:r w:rsidRPr="00AE70B8">
        <w:rPr>
          <w:rFonts w:eastAsia="Malgun Gothic"/>
          <w:kern w:val="22"/>
          <w:szCs w:val="22"/>
          <w:lang w:val="fr-CA"/>
        </w:rPr>
        <w:t xml:space="preserve"> des Parties siégeant en tant que réunion</w:t>
      </w:r>
      <w:r w:rsidR="00010DE4">
        <w:rPr>
          <w:rFonts w:eastAsia="Malgun Gothic"/>
          <w:kern w:val="22"/>
          <w:szCs w:val="22"/>
          <w:lang w:val="fr-CA"/>
        </w:rPr>
        <w:t>s</w:t>
      </w:r>
      <w:r w:rsidRPr="00AE70B8">
        <w:rPr>
          <w:rFonts w:eastAsia="Malgun Gothic"/>
          <w:kern w:val="22"/>
          <w:szCs w:val="22"/>
          <w:lang w:val="fr-CA"/>
        </w:rPr>
        <w:t xml:space="preserve"> des Parties aux Protocoles, respectivement, ont approuvé un budget de base intégré de 18 948 900 $US pour l’année 2019 et de 18 985 200 $US pour l’année 2020, </w:t>
      </w:r>
      <w:r w:rsidR="00010DE4">
        <w:rPr>
          <w:rFonts w:eastAsia="Malgun Gothic"/>
          <w:kern w:val="22"/>
          <w:szCs w:val="22"/>
          <w:lang w:val="fr-CA"/>
        </w:rPr>
        <w:t>ce qui représente</w:t>
      </w:r>
      <w:r w:rsidRPr="00AE70B8">
        <w:rPr>
          <w:rFonts w:eastAsia="Malgun Gothic"/>
          <w:kern w:val="22"/>
          <w:szCs w:val="22"/>
          <w:lang w:val="fr-CA"/>
        </w:rPr>
        <w:t xml:space="preserve"> 38 844 100 $US pour la période biennale</w:t>
      </w:r>
      <w:r w:rsidR="36C55C42" w:rsidRPr="00AE70B8">
        <w:rPr>
          <w:rFonts w:eastAsia="Malgun Gothic"/>
          <w:kern w:val="22"/>
          <w:szCs w:val="22"/>
          <w:lang w:val="fr-CA"/>
        </w:rPr>
        <w:t>.</w:t>
      </w:r>
      <w:r w:rsidRPr="00AE70B8">
        <w:rPr>
          <w:rFonts w:eastAsia="Malgun Gothic"/>
          <w:kern w:val="22"/>
          <w:szCs w:val="22"/>
          <w:lang w:val="fr-CA"/>
        </w:rPr>
        <w:t xml:space="preserve"> Après avoir soustrait les économies réalisées au cours de la période précédente et la contribution du pays hôte, </w:t>
      </w:r>
      <w:r w:rsidR="0080288B" w:rsidRPr="00AE70B8">
        <w:rPr>
          <w:rFonts w:eastAsia="Malgun Gothic"/>
          <w:kern w:val="22"/>
          <w:szCs w:val="22"/>
          <w:lang w:val="fr-CA"/>
        </w:rPr>
        <w:t>l’ensemble des contributions</w:t>
      </w:r>
      <w:r w:rsidRPr="00AE70B8">
        <w:rPr>
          <w:rFonts w:eastAsia="Malgun Gothic"/>
          <w:kern w:val="22"/>
          <w:szCs w:val="22"/>
          <w:lang w:val="fr-CA"/>
        </w:rPr>
        <w:t xml:space="preserve"> </w:t>
      </w:r>
      <w:r w:rsidR="0080288B" w:rsidRPr="00AE70B8">
        <w:rPr>
          <w:rFonts w:eastAsia="Malgun Gothic"/>
          <w:kern w:val="22"/>
          <w:szCs w:val="22"/>
          <w:lang w:val="fr-CA"/>
        </w:rPr>
        <w:t>pour les années 2019 et 2020 a été évalué à 32 984 700 $US pour la période biennale. Les contributions des nouvelles Parties aux Protocoles en 2019 et 2020 (17 pays ont ratifié le Pr</w:t>
      </w:r>
      <w:r w:rsidR="005A12C5" w:rsidRPr="00AE70B8">
        <w:rPr>
          <w:rFonts w:eastAsia="Malgun Gothic"/>
          <w:kern w:val="22"/>
          <w:szCs w:val="22"/>
          <w:lang w:val="fr-CA"/>
        </w:rPr>
        <w:t>otocole de Nagoya et 2 pays son</w:t>
      </w:r>
      <w:r w:rsidR="0080288B" w:rsidRPr="00AE70B8">
        <w:rPr>
          <w:rFonts w:eastAsia="Malgun Gothic"/>
          <w:kern w:val="22"/>
          <w:szCs w:val="22"/>
          <w:lang w:val="fr-CA"/>
        </w:rPr>
        <w:t xml:space="preserve">t devenues Parties au Protocole de Cartagena) s’élèvent à 94 000 $US. Par conséquent, la contribution totale est évaluée à 33 078 700 $US, comprenant 16 045 000 $US pour 2019 et 17 033 700 $US pour 2020. </w:t>
      </w:r>
      <w:r w:rsidR="005A12C5" w:rsidRPr="00AE70B8">
        <w:rPr>
          <w:rFonts w:eastAsia="Malgun Gothic"/>
          <w:kern w:val="22"/>
          <w:szCs w:val="22"/>
          <w:lang w:val="fr-CA"/>
        </w:rPr>
        <w:t>Le Secrétariat avait reçu des contributions s’élevant à 29 852 600 $US pour la période biennale 2019-2020 au 30 juin 2021.</w:t>
      </w:r>
    </w:p>
    <w:p w14:paraId="5DF247FF" w14:textId="51E2244F" w:rsidR="7F689023" w:rsidRPr="00AE70B8" w:rsidRDefault="005A12C5" w:rsidP="00282AF6">
      <w:pPr>
        <w:pStyle w:val="ListParagraph"/>
        <w:numPr>
          <w:ilvl w:val="0"/>
          <w:numId w:val="19"/>
        </w:numPr>
        <w:spacing w:before="120" w:after="120"/>
        <w:ind w:left="0" w:firstLine="0"/>
        <w:contextualSpacing w:val="0"/>
        <w:rPr>
          <w:rFonts w:eastAsiaTheme="minorEastAsia"/>
          <w:kern w:val="22"/>
          <w:szCs w:val="22"/>
          <w:lang w:val="fr-CA"/>
        </w:rPr>
      </w:pPr>
      <w:r w:rsidRPr="00AE70B8">
        <w:rPr>
          <w:kern w:val="22"/>
          <w:szCs w:val="22"/>
          <w:lang w:val="fr-CA"/>
        </w:rPr>
        <w:t>Le taux de collecte à ce jour est de 93,50 pour cent pour 2019 et de 87,18 pour cent pour 2020, pour un taux de collecte gé</w:t>
      </w:r>
      <w:r w:rsidR="009D72E2">
        <w:rPr>
          <w:kern w:val="22"/>
          <w:szCs w:val="22"/>
          <w:lang w:val="fr-CA"/>
        </w:rPr>
        <w:t>néral</w:t>
      </w:r>
      <w:r w:rsidRPr="00AE70B8">
        <w:rPr>
          <w:kern w:val="22"/>
          <w:szCs w:val="22"/>
          <w:lang w:val="fr-CA"/>
        </w:rPr>
        <w:t xml:space="preserve"> de 90,25 pour cent pour la période biennale. Le versement des contributions pour l’année 2020 est inférieur à la norme, </w:t>
      </w:r>
      <w:r w:rsidR="007A099B" w:rsidRPr="00AE70B8">
        <w:rPr>
          <w:kern w:val="22"/>
          <w:szCs w:val="22"/>
          <w:lang w:val="fr-CA"/>
        </w:rPr>
        <w:t>sans doute en conséquence de la pandémie de la COVID-19</w:t>
      </w:r>
      <w:r w:rsidR="36C55C42" w:rsidRPr="00AE70B8">
        <w:rPr>
          <w:kern w:val="22"/>
          <w:szCs w:val="22"/>
          <w:lang w:val="fr-CA"/>
        </w:rPr>
        <w:t>.</w:t>
      </w:r>
    </w:p>
    <w:p w14:paraId="19C44DB8" w14:textId="7B631142" w:rsidR="00FC562D" w:rsidRPr="00AE70B8" w:rsidRDefault="007A099B" w:rsidP="00282AF6">
      <w:pPr>
        <w:pStyle w:val="Style1"/>
        <w:keepLines/>
        <w:suppressLineNumbers/>
        <w:tabs>
          <w:tab w:val="clear" w:pos="720"/>
        </w:tabs>
        <w:suppressAutoHyphens/>
        <w:spacing w:before="0" w:after="0"/>
        <w:ind w:left="990"/>
        <w:jc w:val="left"/>
        <w:rPr>
          <w:i w:val="0"/>
          <w:kern w:val="22"/>
          <w:lang w:val="fr-CA"/>
        </w:rPr>
      </w:pPr>
      <w:r w:rsidRPr="00AE70B8">
        <w:rPr>
          <w:i w:val="0"/>
          <w:color w:val="000000"/>
          <w:kern w:val="22"/>
          <w:lang w:val="fr-CA" w:eastAsia="en-CA"/>
        </w:rPr>
        <w:lastRenderedPageBreak/>
        <w:t>État général des contributions pour la période biennale 2019-2020</w:t>
      </w:r>
    </w:p>
    <w:p w14:paraId="7BC2E435" w14:textId="59C1F057" w:rsidR="00FA149F" w:rsidRPr="00AE70B8" w:rsidRDefault="0A604698" w:rsidP="00282AF6">
      <w:pPr>
        <w:pStyle w:val="Style1"/>
        <w:keepLines/>
        <w:suppressLineNumbers/>
        <w:tabs>
          <w:tab w:val="clear" w:pos="720"/>
        </w:tabs>
        <w:suppressAutoHyphens/>
        <w:spacing w:before="0"/>
        <w:ind w:left="990"/>
        <w:jc w:val="left"/>
        <w:rPr>
          <w:b w:val="0"/>
          <w:color w:val="000000"/>
          <w:kern w:val="22"/>
          <w:lang w:val="fr-CA" w:eastAsia="en-CA"/>
        </w:rPr>
      </w:pPr>
      <w:r w:rsidRPr="00AE70B8">
        <w:rPr>
          <w:b w:val="0"/>
          <w:color w:val="000000"/>
          <w:kern w:val="22"/>
          <w:lang w:val="fr-CA" w:eastAsia="en-CA"/>
        </w:rPr>
        <w:t>(</w:t>
      </w:r>
      <w:r w:rsidR="009D72E2">
        <w:rPr>
          <w:b w:val="0"/>
          <w:color w:val="000000"/>
          <w:kern w:val="22"/>
          <w:lang w:val="fr-CA" w:eastAsia="en-CA"/>
        </w:rPr>
        <w:t>En m</w:t>
      </w:r>
      <w:r w:rsidR="007A099B" w:rsidRPr="00AE70B8">
        <w:rPr>
          <w:b w:val="0"/>
          <w:color w:val="000000"/>
          <w:kern w:val="22"/>
          <w:lang w:val="fr-CA" w:eastAsia="en-CA"/>
        </w:rPr>
        <w:t>illiers de dollars des États-Unis</w:t>
      </w:r>
      <w:r w:rsidRPr="00AE70B8">
        <w:rPr>
          <w:b w:val="0"/>
          <w:color w:val="000000"/>
          <w:kern w:val="22"/>
          <w:lang w:val="fr-CA" w:eastAsia="en-CA"/>
        </w:rPr>
        <w:t>)</w:t>
      </w:r>
    </w:p>
    <w:tbl>
      <w:tblPr>
        <w:tblW w:w="7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9"/>
        <w:gridCol w:w="2341"/>
      </w:tblGrid>
      <w:tr w:rsidR="008A7797" w:rsidRPr="00AE70B8" w14:paraId="56027153" w14:textId="77777777" w:rsidTr="00282AF6">
        <w:trPr>
          <w:trHeight w:val="300"/>
          <w:jc w:val="center"/>
        </w:trPr>
        <w:tc>
          <w:tcPr>
            <w:tcW w:w="5119" w:type="dxa"/>
            <w:shd w:val="clear" w:color="auto" w:fill="auto"/>
            <w:vAlign w:val="center"/>
            <w:hideMark/>
          </w:tcPr>
          <w:p w14:paraId="0B3F52D4" w14:textId="106CEFD8" w:rsidR="008A7797" w:rsidRPr="00AE70B8" w:rsidRDefault="007A099B" w:rsidP="00282AF6">
            <w:pPr>
              <w:keepNext/>
              <w:keepLines/>
              <w:jc w:val="center"/>
              <w:rPr>
                <w:color w:val="000000"/>
                <w:kern w:val="22"/>
                <w:szCs w:val="22"/>
                <w:lang w:val="fr-CA" w:eastAsia="zh-CN"/>
              </w:rPr>
            </w:pPr>
            <w:r w:rsidRPr="00AE70B8">
              <w:rPr>
                <w:i/>
                <w:iCs/>
                <w:color w:val="000000"/>
                <w:kern w:val="22"/>
                <w:szCs w:val="22"/>
                <w:lang w:val="fr-CA" w:eastAsia="zh-CN"/>
              </w:rPr>
              <w:t>Source de financement</w:t>
            </w:r>
          </w:p>
        </w:tc>
        <w:tc>
          <w:tcPr>
            <w:tcW w:w="2341" w:type="dxa"/>
            <w:shd w:val="clear" w:color="auto" w:fill="auto"/>
            <w:vAlign w:val="center"/>
            <w:hideMark/>
          </w:tcPr>
          <w:p w14:paraId="1759403F" w14:textId="1720047C" w:rsidR="008A7797" w:rsidRPr="00AE70B8" w:rsidRDefault="007A099B" w:rsidP="00282AF6">
            <w:pPr>
              <w:keepNext/>
              <w:keepLines/>
              <w:jc w:val="center"/>
              <w:rPr>
                <w:i/>
                <w:iCs/>
                <w:color w:val="000000"/>
                <w:kern w:val="22"/>
                <w:szCs w:val="22"/>
                <w:lang w:val="fr-CA" w:eastAsia="zh-CN"/>
              </w:rPr>
            </w:pPr>
            <w:r w:rsidRPr="00AE70B8">
              <w:rPr>
                <w:i/>
                <w:iCs/>
                <w:color w:val="000000"/>
                <w:kern w:val="22"/>
                <w:szCs w:val="22"/>
                <w:lang w:val="fr-CA" w:eastAsia="zh-CN"/>
              </w:rPr>
              <w:t>Ressources</w:t>
            </w:r>
          </w:p>
        </w:tc>
      </w:tr>
      <w:tr w:rsidR="008A7797" w:rsidRPr="00AE70B8" w14:paraId="31DB0C7F" w14:textId="77777777" w:rsidTr="00282AF6">
        <w:trPr>
          <w:trHeight w:val="300"/>
          <w:jc w:val="center"/>
        </w:trPr>
        <w:tc>
          <w:tcPr>
            <w:tcW w:w="5119" w:type="dxa"/>
            <w:shd w:val="clear" w:color="auto" w:fill="auto"/>
            <w:vAlign w:val="center"/>
            <w:hideMark/>
          </w:tcPr>
          <w:p w14:paraId="36C25F16" w14:textId="5E51D97E" w:rsidR="008A7797" w:rsidRPr="00AE70B8" w:rsidRDefault="007A099B" w:rsidP="00282AF6">
            <w:pPr>
              <w:keepNext/>
              <w:keepLines/>
              <w:rPr>
                <w:color w:val="000000"/>
                <w:kern w:val="22"/>
                <w:szCs w:val="22"/>
                <w:lang w:val="fr-CA" w:eastAsia="zh-CN"/>
              </w:rPr>
            </w:pPr>
            <w:r w:rsidRPr="00AE70B8">
              <w:rPr>
                <w:color w:val="000000"/>
                <w:kern w:val="22"/>
                <w:szCs w:val="22"/>
                <w:lang w:val="fr-CA" w:eastAsia="zh-CN"/>
              </w:rPr>
              <w:t>Budget provisoire approuvé</w:t>
            </w:r>
          </w:p>
        </w:tc>
        <w:tc>
          <w:tcPr>
            <w:tcW w:w="2341" w:type="dxa"/>
            <w:shd w:val="clear" w:color="auto" w:fill="auto"/>
            <w:vAlign w:val="center"/>
            <w:hideMark/>
          </w:tcPr>
          <w:p w14:paraId="59C691FA" w14:textId="1633762B" w:rsidR="008A7797" w:rsidRPr="00AE70B8" w:rsidRDefault="007A099B" w:rsidP="00282AF6">
            <w:pPr>
              <w:keepNext/>
              <w:keepLines/>
              <w:jc w:val="right"/>
              <w:rPr>
                <w:color w:val="000000"/>
                <w:kern w:val="22"/>
                <w:szCs w:val="22"/>
                <w:lang w:val="fr-CA" w:eastAsia="zh-CN"/>
              </w:rPr>
            </w:pPr>
            <w:r w:rsidRPr="00AE70B8">
              <w:rPr>
                <w:color w:val="000000"/>
                <w:kern w:val="22"/>
                <w:szCs w:val="22"/>
                <w:lang w:val="fr-CA" w:eastAsia="zh-CN"/>
              </w:rPr>
              <w:t>38 </w:t>
            </w:r>
            <w:r w:rsidR="008A7797" w:rsidRPr="00AE70B8">
              <w:rPr>
                <w:color w:val="000000"/>
                <w:kern w:val="22"/>
                <w:szCs w:val="22"/>
                <w:lang w:val="fr-CA" w:eastAsia="zh-CN"/>
              </w:rPr>
              <w:t>8</w:t>
            </w:r>
            <w:r w:rsidRPr="00AE70B8">
              <w:rPr>
                <w:color w:val="000000"/>
                <w:kern w:val="22"/>
                <w:szCs w:val="22"/>
                <w:lang w:val="fr-CA" w:eastAsia="zh-CN"/>
              </w:rPr>
              <w:t>44,</w:t>
            </w:r>
            <w:r w:rsidR="008A7797" w:rsidRPr="00AE70B8">
              <w:rPr>
                <w:color w:val="000000"/>
                <w:kern w:val="22"/>
                <w:szCs w:val="22"/>
                <w:lang w:val="fr-CA" w:eastAsia="zh-CN"/>
              </w:rPr>
              <w:t>1</w:t>
            </w:r>
          </w:p>
        </w:tc>
      </w:tr>
      <w:tr w:rsidR="008A7797" w:rsidRPr="00AE70B8" w14:paraId="70F1400C" w14:textId="77777777" w:rsidTr="00282AF6">
        <w:trPr>
          <w:trHeight w:val="300"/>
          <w:jc w:val="center"/>
        </w:trPr>
        <w:tc>
          <w:tcPr>
            <w:tcW w:w="5119" w:type="dxa"/>
            <w:shd w:val="clear" w:color="auto" w:fill="auto"/>
            <w:vAlign w:val="center"/>
            <w:hideMark/>
          </w:tcPr>
          <w:p w14:paraId="3B7B3476" w14:textId="5ACE60CE" w:rsidR="008A7797" w:rsidRPr="00AE70B8" w:rsidRDefault="007A099B" w:rsidP="00282AF6">
            <w:pPr>
              <w:keepNext/>
              <w:keepLines/>
              <w:rPr>
                <w:color w:val="000000"/>
                <w:kern w:val="22"/>
                <w:szCs w:val="22"/>
                <w:lang w:val="fr-CA" w:eastAsia="zh-CN"/>
              </w:rPr>
            </w:pPr>
            <w:r w:rsidRPr="00AE70B8">
              <w:rPr>
                <w:color w:val="000000"/>
                <w:kern w:val="22"/>
                <w:szCs w:val="22"/>
                <w:lang w:val="fr-CA" w:eastAsia="zh-CN"/>
              </w:rPr>
              <w:t>Pays hôte</w:t>
            </w:r>
          </w:p>
        </w:tc>
        <w:tc>
          <w:tcPr>
            <w:tcW w:w="2341" w:type="dxa"/>
            <w:shd w:val="clear" w:color="auto" w:fill="auto"/>
            <w:vAlign w:val="center"/>
            <w:hideMark/>
          </w:tcPr>
          <w:p w14:paraId="009861EC" w14:textId="004D807A" w:rsidR="008A7797" w:rsidRPr="00AE70B8" w:rsidRDefault="007A099B" w:rsidP="00282AF6">
            <w:pPr>
              <w:keepNext/>
              <w:keepLines/>
              <w:jc w:val="right"/>
              <w:rPr>
                <w:color w:val="000000"/>
                <w:kern w:val="22"/>
                <w:szCs w:val="22"/>
                <w:lang w:val="fr-CA" w:eastAsia="zh-CN"/>
              </w:rPr>
            </w:pPr>
            <w:r w:rsidRPr="00AE70B8">
              <w:rPr>
                <w:color w:val="000000"/>
                <w:kern w:val="22"/>
                <w:szCs w:val="22"/>
                <w:lang w:val="fr-CA" w:eastAsia="zh-CN"/>
              </w:rPr>
              <w:t>-2 652,</w:t>
            </w:r>
            <w:r w:rsidR="008A7797" w:rsidRPr="00AE70B8">
              <w:rPr>
                <w:color w:val="000000"/>
                <w:kern w:val="22"/>
                <w:szCs w:val="22"/>
                <w:lang w:val="fr-CA" w:eastAsia="zh-CN"/>
              </w:rPr>
              <w:t>8</w:t>
            </w:r>
          </w:p>
        </w:tc>
      </w:tr>
      <w:tr w:rsidR="008A7797" w:rsidRPr="00AE70B8" w14:paraId="20E6485D" w14:textId="77777777" w:rsidTr="00282AF6">
        <w:trPr>
          <w:trHeight w:val="300"/>
          <w:jc w:val="center"/>
        </w:trPr>
        <w:tc>
          <w:tcPr>
            <w:tcW w:w="5119" w:type="dxa"/>
            <w:shd w:val="clear" w:color="auto" w:fill="auto"/>
            <w:vAlign w:val="center"/>
            <w:hideMark/>
          </w:tcPr>
          <w:p w14:paraId="7232F7BB" w14:textId="37FC191B" w:rsidR="008A7797" w:rsidRPr="00AE70B8" w:rsidRDefault="007A099B" w:rsidP="00282AF6">
            <w:pPr>
              <w:keepNext/>
              <w:keepLines/>
              <w:rPr>
                <w:color w:val="000000"/>
                <w:kern w:val="22"/>
                <w:szCs w:val="22"/>
                <w:lang w:val="fr-CA" w:eastAsia="zh-CN"/>
              </w:rPr>
            </w:pPr>
            <w:r w:rsidRPr="00AE70B8">
              <w:rPr>
                <w:color w:val="000000"/>
                <w:kern w:val="22"/>
                <w:szCs w:val="22"/>
                <w:lang w:val="fr-CA" w:eastAsia="zh-CN"/>
              </w:rPr>
              <w:t>Économies de l’année précédente</w:t>
            </w:r>
          </w:p>
        </w:tc>
        <w:tc>
          <w:tcPr>
            <w:tcW w:w="2341" w:type="dxa"/>
            <w:shd w:val="clear" w:color="auto" w:fill="auto"/>
            <w:vAlign w:val="center"/>
            <w:hideMark/>
          </w:tcPr>
          <w:p w14:paraId="2856B18D" w14:textId="7E103A45" w:rsidR="008A7797" w:rsidRPr="00AE70B8" w:rsidRDefault="007A099B" w:rsidP="00282AF6">
            <w:pPr>
              <w:keepNext/>
              <w:keepLines/>
              <w:jc w:val="right"/>
              <w:rPr>
                <w:color w:val="000000"/>
                <w:kern w:val="22"/>
                <w:szCs w:val="22"/>
                <w:lang w:val="fr-CA" w:eastAsia="zh-CN"/>
              </w:rPr>
            </w:pPr>
            <w:r w:rsidRPr="00AE70B8">
              <w:rPr>
                <w:color w:val="000000"/>
                <w:kern w:val="22"/>
                <w:szCs w:val="22"/>
                <w:lang w:val="fr-CA" w:eastAsia="zh-CN"/>
              </w:rPr>
              <w:t>-3 206,</w:t>
            </w:r>
            <w:r w:rsidR="008A7797" w:rsidRPr="00AE70B8">
              <w:rPr>
                <w:color w:val="000000"/>
                <w:kern w:val="22"/>
                <w:szCs w:val="22"/>
                <w:lang w:val="fr-CA" w:eastAsia="zh-CN"/>
              </w:rPr>
              <w:t>6</w:t>
            </w:r>
          </w:p>
        </w:tc>
      </w:tr>
      <w:tr w:rsidR="008A7797" w:rsidRPr="00AE70B8" w14:paraId="155A64BA" w14:textId="77777777" w:rsidTr="00282AF6">
        <w:trPr>
          <w:trHeight w:val="300"/>
          <w:jc w:val="center"/>
        </w:trPr>
        <w:tc>
          <w:tcPr>
            <w:tcW w:w="5119" w:type="dxa"/>
            <w:shd w:val="clear" w:color="auto" w:fill="auto"/>
            <w:vAlign w:val="center"/>
            <w:hideMark/>
          </w:tcPr>
          <w:p w14:paraId="3D72DEF8" w14:textId="274180C7" w:rsidR="008A7797" w:rsidRPr="00AE70B8" w:rsidRDefault="007A099B" w:rsidP="00282AF6">
            <w:pPr>
              <w:keepNext/>
              <w:keepLines/>
              <w:rPr>
                <w:color w:val="000000"/>
                <w:kern w:val="22"/>
                <w:szCs w:val="22"/>
                <w:lang w:val="fr-CA" w:eastAsia="zh-CN"/>
              </w:rPr>
            </w:pPr>
            <w:r w:rsidRPr="00AE70B8">
              <w:rPr>
                <w:color w:val="000000"/>
                <w:kern w:val="22"/>
                <w:szCs w:val="22"/>
                <w:lang w:val="fr-CA" w:eastAsia="zh-CN"/>
              </w:rPr>
              <w:t>Partie supplémentaire au Protocole de Nagoya</w:t>
            </w:r>
          </w:p>
        </w:tc>
        <w:tc>
          <w:tcPr>
            <w:tcW w:w="2341" w:type="dxa"/>
            <w:shd w:val="clear" w:color="auto" w:fill="auto"/>
            <w:vAlign w:val="center"/>
            <w:hideMark/>
          </w:tcPr>
          <w:p w14:paraId="7AE098FF" w14:textId="273334FC" w:rsidR="008A7797" w:rsidRPr="00AE70B8" w:rsidRDefault="007A099B" w:rsidP="00282AF6">
            <w:pPr>
              <w:keepNext/>
              <w:keepLines/>
              <w:jc w:val="right"/>
              <w:rPr>
                <w:color w:val="000000"/>
                <w:kern w:val="22"/>
                <w:szCs w:val="22"/>
                <w:lang w:val="fr-CA" w:eastAsia="zh-CN"/>
              </w:rPr>
            </w:pPr>
            <w:r w:rsidRPr="00AE70B8">
              <w:rPr>
                <w:color w:val="000000"/>
                <w:kern w:val="22"/>
                <w:szCs w:val="22"/>
                <w:lang w:val="fr-CA" w:eastAsia="zh-CN"/>
              </w:rPr>
              <w:t>94,</w:t>
            </w:r>
            <w:r w:rsidR="008A7797" w:rsidRPr="00AE70B8">
              <w:rPr>
                <w:color w:val="000000"/>
                <w:kern w:val="22"/>
                <w:szCs w:val="22"/>
                <w:lang w:val="fr-CA" w:eastAsia="zh-CN"/>
              </w:rPr>
              <w:t>0</w:t>
            </w:r>
          </w:p>
        </w:tc>
      </w:tr>
      <w:tr w:rsidR="008A7797" w:rsidRPr="00AE70B8" w14:paraId="1980126E" w14:textId="77777777" w:rsidTr="00282AF6">
        <w:trPr>
          <w:trHeight w:val="300"/>
          <w:jc w:val="center"/>
        </w:trPr>
        <w:tc>
          <w:tcPr>
            <w:tcW w:w="5119" w:type="dxa"/>
            <w:shd w:val="clear" w:color="auto" w:fill="auto"/>
            <w:vAlign w:val="center"/>
            <w:hideMark/>
          </w:tcPr>
          <w:p w14:paraId="47D6F13C" w14:textId="2F236856" w:rsidR="008A7797" w:rsidRPr="00AE70B8" w:rsidRDefault="007A099B" w:rsidP="00282AF6">
            <w:pPr>
              <w:keepNext/>
              <w:keepLines/>
              <w:rPr>
                <w:b/>
                <w:bCs/>
                <w:color w:val="000000"/>
                <w:kern w:val="22"/>
                <w:szCs w:val="22"/>
                <w:lang w:val="fr-CA" w:eastAsia="zh-CN"/>
              </w:rPr>
            </w:pPr>
            <w:r w:rsidRPr="00AE70B8">
              <w:rPr>
                <w:b/>
                <w:bCs/>
                <w:color w:val="000000"/>
                <w:kern w:val="22"/>
                <w:szCs w:val="22"/>
                <w:lang w:val="fr-CA" w:eastAsia="zh-CN"/>
              </w:rPr>
              <w:t>Évaluation totale</w:t>
            </w:r>
          </w:p>
        </w:tc>
        <w:tc>
          <w:tcPr>
            <w:tcW w:w="2341" w:type="dxa"/>
            <w:shd w:val="clear" w:color="auto" w:fill="auto"/>
            <w:vAlign w:val="center"/>
            <w:hideMark/>
          </w:tcPr>
          <w:p w14:paraId="1BF17772" w14:textId="5FFFFB29" w:rsidR="008A7797" w:rsidRPr="00AE70B8" w:rsidRDefault="007A099B" w:rsidP="00282AF6">
            <w:pPr>
              <w:keepNext/>
              <w:keepLines/>
              <w:jc w:val="right"/>
              <w:rPr>
                <w:b/>
                <w:bCs/>
                <w:color w:val="000000"/>
                <w:kern w:val="22"/>
                <w:szCs w:val="22"/>
                <w:lang w:val="fr-CA" w:eastAsia="zh-CN"/>
              </w:rPr>
            </w:pPr>
            <w:r w:rsidRPr="00AE70B8">
              <w:rPr>
                <w:b/>
                <w:bCs/>
                <w:color w:val="000000"/>
                <w:kern w:val="22"/>
                <w:szCs w:val="22"/>
                <w:lang w:val="fr-CA" w:eastAsia="zh-CN"/>
              </w:rPr>
              <w:t>33 078,</w:t>
            </w:r>
            <w:r w:rsidR="008A7797" w:rsidRPr="00AE70B8">
              <w:rPr>
                <w:b/>
                <w:bCs/>
                <w:color w:val="000000"/>
                <w:kern w:val="22"/>
                <w:szCs w:val="22"/>
                <w:lang w:val="fr-CA" w:eastAsia="zh-CN"/>
              </w:rPr>
              <w:t>7</w:t>
            </w:r>
          </w:p>
        </w:tc>
      </w:tr>
      <w:tr w:rsidR="008A7797" w:rsidRPr="00AE70B8" w14:paraId="3D783664" w14:textId="77777777" w:rsidTr="00282AF6">
        <w:trPr>
          <w:trHeight w:val="300"/>
          <w:jc w:val="center"/>
        </w:trPr>
        <w:tc>
          <w:tcPr>
            <w:tcW w:w="5119" w:type="dxa"/>
            <w:shd w:val="clear" w:color="auto" w:fill="auto"/>
            <w:vAlign w:val="center"/>
            <w:hideMark/>
          </w:tcPr>
          <w:p w14:paraId="614FBA69" w14:textId="1C7016A3" w:rsidR="008A7797" w:rsidRPr="00AE70B8" w:rsidRDefault="007A099B" w:rsidP="00282AF6">
            <w:pPr>
              <w:keepNext/>
              <w:keepLines/>
              <w:rPr>
                <w:color w:val="000000"/>
                <w:kern w:val="22"/>
                <w:szCs w:val="22"/>
                <w:lang w:val="fr-CA" w:eastAsia="zh-CN"/>
              </w:rPr>
            </w:pPr>
            <w:r w:rsidRPr="00AE70B8">
              <w:rPr>
                <w:color w:val="000000"/>
                <w:kern w:val="22"/>
                <w:szCs w:val="22"/>
                <w:lang w:val="fr-CA" w:eastAsia="zh-CN"/>
              </w:rPr>
              <w:t>Somme reçue au 30 juin 2021</w:t>
            </w:r>
          </w:p>
        </w:tc>
        <w:tc>
          <w:tcPr>
            <w:tcW w:w="2341" w:type="dxa"/>
            <w:shd w:val="clear" w:color="auto" w:fill="auto"/>
            <w:vAlign w:val="center"/>
            <w:hideMark/>
          </w:tcPr>
          <w:p w14:paraId="4AAF2DAE" w14:textId="18C07C94" w:rsidR="008A7797" w:rsidRPr="00AE70B8" w:rsidRDefault="007A099B" w:rsidP="00282AF6">
            <w:pPr>
              <w:keepNext/>
              <w:keepLines/>
              <w:jc w:val="right"/>
              <w:rPr>
                <w:color w:val="000000"/>
                <w:kern w:val="22"/>
                <w:szCs w:val="22"/>
                <w:lang w:val="fr-CA" w:eastAsia="zh-CN"/>
              </w:rPr>
            </w:pPr>
            <w:r w:rsidRPr="00AE70B8">
              <w:rPr>
                <w:color w:val="000000"/>
                <w:kern w:val="22"/>
                <w:szCs w:val="22"/>
                <w:lang w:val="fr-CA" w:eastAsia="zh-CN"/>
              </w:rPr>
              <w:t>29 852,</w:t>
            </w:r>
            <w:r w:rsidR="008A7797" w:rsidRPr="00AE70B8">
              <w:rPr>
                <w:color w:val="000000"/>
                <w:kern w:val="22"/>
                <w:szCs w:val="22"/>
                <w:lang w:val="fr-CA" w:eastAsia="zh-CN"/>
              </w:rPr>
              <w:t>6</w:t>
            </w:r>
          </w:p>
        </w:tc>
      </w:tr>
      <w:tr w:rsidR="008A7797" w:rsidRPr="00AE70B8" w14:paraId="27AA477A" w14:textId="77777777" w:rsidTr="00282AF6">
        <w:trPr>
          <w:trHeight w:val="300"/>
          <w:jc w:val="center"/>
        </w:trPr>
        <w:tc>
          <w:tcPr>
            <w:tcW w:w="5119" w:type="dxa"/>
            <w:shd w:val="clear" w:color="auto" w:fill="auto"/>
            <w:vAlign w:val="center"/>
            <w:hideMark/>
          </w:tcPr>
          <w:p w14:paraId="47CB6D6C" w14:textId="6655A56E" w:rsidR="008A7797" w:rsidRPr="00AE70B8" w:rsidRDefault="007A099B" w:rsidP="00282AF6">
            <w:pPr>
              <w:keepNext/>
              <w:keepLines/>
              <w:rPr>
                <w:b/>
                <w:bCs/>
                <w:color w:val="000000"/>
                <w:kern w:val="22"/>
                <w:szCs w:val="22"/>
                <w:lang w:val="fr-CA" w:eastAsia="zh-CN"/>
              </w:rPr>
            </w:pPr>
            <w:r w:rsidRPr="00AE70B8">
              <w:rPr>
                <w:b/>
                <w:bCs/>
                <w:color w:val="000000"/>
                <w:kern w:val="22"/>
                <w:szCs w:val="22"/>
                <w:lang w:val="fr-CA" w:eastAsia="zh-CN"/>
              </w:rPr>
              <w:t>Solde impayé</w:t>
            </w:r>
          </w:p>
        </w:tc>
        <w:tc>
          <w:tcPr>
            <w:tcW w:w="2341" w:type="dxa"/>
            <w:shd w:val="clear" w:color="auto" w:fill="auto"/>
            <w:vAlign w:val="center"/>
            <w:hideMark/>
          </w:tcPr>
          <w:p w14:paraId="6231B2EE" w14:textId="2D644284" w:rsidR="008A7797" w:rsidRPr="00AE70B8" w:rsidRDefault="007A099B" w:rsidP="007A099B">
            <w:pPr>
              <w:keepNext/>
              <w:keepLines/>
              <w:jc w:val="right"/>
              <w:rPr>
                <w:b/>
                <w:bCs/>
                <w:color w:val="000000"/>
                <w:kern w:val="22"/>
                <w:szCs w:val="22"/>
                <w:lang w:val="fr-CA" w:eastAsia="zh-CN"/>
              </w:rPr>
            </w:pPr>
            <w:r w:rsidRPr="00AE70B8">
              <w:rPr>
                <w:b/>
                <w:bCs/>
                <w:color w:val="000000"/>
                <w:kern w:val="22"/>
                <w:szCs w:val="22"/>
                <w:lang w:val="fr-CA" w:eastAsia="zh-CN"/>
              </w:rPr>
              <w:t>3 226,</w:t>
            </w:r>
            <w:r w:rsidR="008A7797" w:rsidRPr="00AE70B8">
              <w:rPr>
                <w:b/>
                <w:bCs/>
                <w:color w:val="000000"/>
                <w:kern w:val="22"/>
                <w:szCs w:val="22"/>
                <w:lang w:val="fr-CA" w:eastAsia="zh-CN"/>
              </w:rPr>
              <w:t>1</w:t>
            </w:r>
          </w:p>
        </w:tc>
      </w:tr>
      <w:tr w:rsidR="008A7797" w:rsidRPr="00AE70B8" w14:paraId="2A4C8F3C" w14:textId="77777777" w:rsidTr="00282AF6">
        <w:trPr>
          <w:trHeight w:val="300"/>
          <w:jc w:val="center"/>
        </w:trPr>
        <w:tc>
          <w:tcPr>
            <w:tcW w:w="5119" w:type="dxa"/>
            <w:shd w:val="clear" w:color="auto" w:fill="auto"/>
            <w:vAlign w:val="center"/>
            <w:hideMark/>
          </w:tcPr>
          <w:p w14:paraId="4A84E631" w14:textId="6FBD089B" w:rsidR="008A7797" w:rsidRPr="00AE70B8" w:rsidRDefault="007A099B" w:rsidP="00282AF6">
            <w:pPr>
              <w:keepNext/>
              <w:keepLines/>
              <w:rPr>
                <w:b/>
                <w:bCs/>
                <w:color w:val="000000"/>
                <w:kern w:val="22"/>
                <w:szCs w:val="22"/>
                <w:lang w:val="fr-CA" w:eastAsia="zh-CN"/>
              </w:rPr>
            </w:pPr>
            <w:r w:rsidRPr="00AE70B8">
              <w:rPr>
                <w:b/>
                <w:bCs/>
                <w:color w:val="000000"/>
                <w:kern w:val="22"/>
                <w:szCs w:val="22"/>
                <w:lang w:val="fr-CA" w:eastAsia="zh-CN"/>
              </w:rPr>
              <w:t>Taux de collecte</w:t>
            </w:r>
          </w:p>
        </w:tc>
        <w:tc>
          <w:tcPr>
            <w:tcW w:w="2341" w:type="dxa"/>
            <w:shd w:val="clear" w:color="auto" w:fill="auto"/>
            <w:vAlign w:val="center"/>
            <w:hideMark/>
          </w:tcPr>
          <w:p w14:paraId="677FBB97" w14:textId="2308A3C6" w:rsidR="008A7797" w:rsidRPr="00AE70B8" w:rsidRDefault="002A707A" w:rsidP="00282AF6">
            <w:pPr>
              <w:keepNext/>
              <w:keepLines/>
              <w:jc w:val="right"/>
              <w:rPr>
                <w:b/>
                <w:bCs/>
                <w:color w:val="000000"/>
                <w:kern w:val="22"/>
                <w:szCs w:val="22"/>
                <w:lang w:val="fr-CA" w:eastAsia="zh-CN"/>
              </w:rPr>
            </w:pPr>
            <w:r>
              <w:rPr>
                <w:b/>
                <w:bCs/>
                <w:color w:val="000000"/>
                <w:kern w:val="22"/>
                <w:szCs w:val="22"/>
                <w:lang w:val="fr-CA" w:eastAsia="zh-CN"/>
              </w:rPr>
              <w:t>90,</w:t>
            </w:r>
            <w:r w:rsidR="008A7797" w:rsidRPr="00AE70B8">
              <w:rPr>
                <w:b/>
                <w:bCs/>
                <w:color w:val="000000"/>
                <w:kern w:val="22"/>
                <w:szCs w:val="22"/>
                <w:lang w:val="fr-CA" w:eastAsia="zh-CN"/>
              </w:rPr>
              <w:t>25</w:t>
            </w:r>
            <w:r w:rsidR="007A099B" w:rsidRPr="00AE70B8">
              <w:rPr>
                <w:b/>
                <w:bCs/>
                <w:color w:val="000000"/>
                <w:kern w:val="22"/>
                <w:szCs w:val="22"/>
                <w:lang w:val="fr-CA" w:eastAsia="zh-CN"/>
              </w:rPr>
              <w:t xml:space="preserve"> </w:t>
            </w:r>
            <w:r w:rsidR="008A7797" w:rsidRPr="00AE70B8">
              <w:rPr>
                <w:b/>
                <w:bCs/>
                <w:color w:val="000000"/>
                <w:kern w:val="22"/>
                <w:szCs w:val="22"/>
                <w:lang w:val="fr-CA" w:eastAsia="zh-CN"/>
              </w:rPr>
              <w:t>%</w:t>
            </w:r>
          </w:p>
        </w:tc>
      </w:tr>
    </w:tbl>
    <w:p w14:paraId="48A6C49E" w14:textId="77777777" w:rsidR="008A7797" w:rsidRPr="00AE70B8" w:rsidRDefault="008A7797" w:rsidP="025C64B4">
      <w:pPr>
        <w:pStyle w:val="ListParagraph"/>
        <w:suppressLineNumbers/>
        <w:suppressAutoHyphens/>
        <w:ind w:left="0"/>
        <w:contextualSpacing w:val="0"/>
        <w:rPr>
          <w:color w:val="000000"/>
          <w:kern w:val="22"/>
          <w:lang w:val="fr-CA" w:eastAsia="en-CA"/>
        </w:rPr>
      </w:pPr>
    </w:p>
    <w:p w14:paraId="0C77309D" w14:textId="5D612EFC" w:rsidR="545B9C24" w:rsidRPr="00AE70B8" w:rsidRDefault="00BF5059" w:rsidP="00282AF6">
      <w:pPr>
        <w:pStyle w:val="ListParagraph"/>
        <w:numPr>
          <w:ilvl w:val="0"/>
          <w:numId w:val="61"/>
        </w:numPr>
        <w:spacing w:before="120" w:after="120"/>
        <w:ind w:left="714" w:hanging="357"/>
        <w:contextualSpacing w:val="0"/>
        <w:jc w:val="center"/>
        <w:rPr>
          <w:rFonts w:eastAsiaTheme="minorEastAsia"/>
          <w:color w:val="000000" w:themeColor="text1"/>
          <w:kern w:val="22"/>
          <w:szCs w:val="22"/>
          <w:lang w:val="fr-CA" w:eastAsia="en-CA"/>
        </w:rPr>
      </w:pPr>
      <w:r w:rsidRPr="00AE70B8">
        <w:rPr>
          <w:i/>
          <w:iCs/>
          <w:color w:val="000000" w:themeColor="text1"/>
          <w:kern w:val="22"/>
          <w:lang w:val="fr-CA" w:eastAsia="en-CA"/>
        </w:rPr>
        <w:t>Budget provisoire approuvé pour 2021</w:t>
      </w:r>
    </w:p>
    <w:p w14:paraId="7B3C4476" w14:textId="1D7FAEC2" w:rsidR="6D5CB031" w:rsidRPr="00AE70B8" w:rsidRDefault="00BF5059" w:rsidP="6A5B4C00">
      <w:pPr>
        <w:pStyle w:val="ListParagraph"/>
        <w:numPr>
          <w:ilvl w:val="0"/>
          <w:numId w:val="19"/>
        </w:numPr>
        <w:spacing w:before="120" w:after="120"/>
        <w:ind w:left="0" w:firstLine="0"/>
        <w:rPr>
          <w:kern w:val="22"/>
          <w:lang w:val="fr-CA"/>
        </w:rPr>
      </w:pPr>
      <w:bookmarkStart w:id="1" w:name="_Ref81132639"/>
      <w:r w:rsidRPr="00AE70B8">
        <w:rPr>
          <w:kern w:val="22"/>
          <w:lang w:val="fr-CA"/>
        </w:rPr>
        <w:t>Dans sa décision EM-2/3, la Conférence des Parties, lors de sa deuxième réunion extraordinaire, a approuvé un budget provisoire de 16</w:t>
      </w:r>
      <w:r w:rsidR="002A707A">
        <w:rPr>
          <w:kern w:val="22"/>
          <w:lang w:val="fr-CA"/>
        </w:rPr>
        <w:t> </w:t>
      </w:r>
      <w:r w:rsidRPr="00AE70B8">
        <w:rPr>
          <w:lang w:val="fr-CA"/>
        </w:rPr>
        <w:t xml:space="preserve">722 600 $US pour l’année 2021. Après avoir soustrait les économies </w:t>
      </w:r>
      <w:r w:rsidR="007378BB" w:rsidRPr="00AE70B8">
        <w:rPr>
          <w:lang w:val="fr-CA"/>
        </w:rPr>
        <w:t xml:space="preserve">réalisées au cours </w:t>
      </w:r>
      <w:r w:rsidRPr="00AE70B8">
        <w:rPr>
          <w:lang w:val="fr-CA"/>
        </w:rPr>
        <w:t>de la période précédente et la contribution du pays hôte, la contribution totale pour 2021 s’élevait à 14 887 500 $US. La contribution de la nouvelle Partie au Protocole de Nagoya en 2021 a été de 45 000 $US. Le</w:t>
      </w:r>
      <w:r w:rsidR="007378BB" w:rsidRPr="00AE70B8">
        <w:rPr>
          <w:lang w:val="fr-CA"/>
        </w:rPr>
        <w:t xml:space="preserve"> Secrétariat avait reçu des contributions s’élevant à 9 946 900 $US pour 2021 au 30 juin 2021. Le taux de collecte était de 66,81 pour cent pour 2021 au 30 juin 2021</w:t>
      </w:r>
      <w:r w:rsidR="6D5CB031" w:rsidRPr="00AE70B8">
        <w:rPr>
          <w:kern w:val="22"/>
          <w:lang w:val="fr-CA"/>
        </w:rPr>
        <w:t>.</w:t>
      </w:r>
      <w:bookmarkEnd w:id="1"/>
    </w:p>
    <w:p w14:paraId="1191E2F5" w14:textId="56472FB7" w:rsidR="025C64B4" w:rsidRPr="00AE70B8" w:rsidRDefault="025C64B4" w:rsidP="025C64B4">
      <w:pPr>
        <w:pStyle w:val="ListParagraph"/>
        <w:ind w:left="0"/>
        <w:rPr>
          <w:color w:val="000000" w:themeColor="text1"/>
          <w:kern w:val="22"/>
          <w:lang w:val="fr-CA" w:eastAsia="en-CA"/>
        </w:rPr>
      </w:pPr>
    </w:p>
    <w:p w14:paraId="1CD7F2BE" w14:textId="5A394AEB" w:rsidR="007378BB" w:rsidRPr="00AE70B8" w:rsidRDefault="007378BB" w:rsidP="007378BB">
      <w:pPr>
        <w:pStyle w:val="Style1"/>
        <w:keepLines/>
        <w:suppressLineNumbers/>
        <w:tabs>
          <w:tab w:val="clear" w:pos="720"/>
        </w:tabs>
        <w:suppressAutoHyphens/>
        <w:spacing w:before="0" w:after="0"/>
        <w:ind w:left="990"/>
        <w:jc w:val="left"/>
        <w:rPr>
          <w:i w:val="0"/>
          <w:kern w:val="22"/>
          <w:lang w:val="fr-CA"/>
        </w:rPr>
      </w:pPr>
      <w:r w:rsidRPr="00AE70B8">
        <w:rPr>
          <w:i w:val="0"/>
          <w:color w:val="000000"/>
          <w:kern w:val="22"/>
          <w:lang w:val="fr-CA" w:eastAsia="en-CA"/>
        </w:rPr>
        <w:t>État général des contributions pour 2021</w:t>
      </w:r>
    </w:p>
    <w:p w14:paraId="1898283C" w14:textId="06E31FB3" w:rsidR="63980A7A" w:rsidRPr="00AE70B8" w:rsidRDefault="009D72E2" w:rsidP="007378BB">
      <w:pPr>
        <w:keepNext/>
        <w:spacing w:after="120"/>
        <w:ind w:left="994"/>
        <w:rPr>
          <w:rFonts w:eastAsia="Calibri"/>
          <w:i/>
          <w:iCs/>
          <w:color w:val="000000" w:themeColor="text1"/>
          <w:kern w:val="22"/>
          <w:lang w:val="fr-CA"/>
        </w:rPr>
      </w:pPr>
      <w:r>
        <w:rPr>
          <w:i/>
          <w:color w:val="000000"/>
          <w:kern w:val="22"/>
          <w:lang w:val="fr-CA" w:eastAsia="en-CA"/>
        </w:rPr>
        <w:t>(En m</w:t>
      </w:r>
      <w:r w:rsidR="007378BB" w:rsidRPr="00AE70B8">
        <w:rPr>
          <w:i/>
          <w:color w:val="000000"/>
          <w:kern w:val="22"/>
          <w:lang w:val="fr-CA" w:eastAsia="en-CA"/>
        </w:rPr>
        <w:t>illiers de dollars des États-Unis)</w:t>
      </w:r>
    </w:p>
    <w:tbl>
      <w:tblPr>
        <w:tblW w:w="7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gridCol w:w="1800"/>
      </w:tblGrid>
      <w:tr w:rsidR="00A36E30" w:rsidRPr="00AE70B8" w14:paraId="10F12810" w14:textId="77777777" w:rsidTr="00282AF6">
        <w:trPr>
          <w:trHeight w:val="300"/>
          <w:jc w:val="center"/>
        </w:trPr>
        <w:tc>
          <w:tcPr>
            <w:tcW w:w="5750" w:type="dxa"/>
            <w:shd w:val="clear" w:color="auto" w:fill="auto"/>
            <w:vAlign w:val="center"/>
            <w:hideMark/>
          </w:tcPr>
          <w:p w14:paraId="184B511C" w14:textId="026F630B" w:rsidR="00A36E30" w:rsidRPr="00AE70B8" w:rsidRDefault="007378BB" w:rsidP="00A36E30">
            <w:pPr>
              <w:jc w:val="center"/>
              <w:rPr>
                <w:color w:val="000000"/>
                <w:kern w:val="22"/>
                <w:szCs w:val="22"/>
                <w:lang w:val="fr-CA" w:eastAsia="zh-CN"/>
              </w:rPr>
            </w:pPr>
            <w:r w:rsidRPr="00AE70B8">
              <w:rPr>
                <w:i/>
                <w:iCs/>
                <w:color w:val="000000"/>
                <w:kern w:val="22"/>
                <w:szCs w:val="22"/>
                <w:lang w:val="fr-CA" w:eastAsia="zh-CN"/>
              </w:rPr>
              <w:t>Source de financement</w:t>
            </w:r>
          </w:p>
        </w:tc>
        <w:tc>
          <w:tcPr>
            <w:tcW w:w="1800" w:type="dxa"/>
            <w:shd w:val="clear" w:color="auto" w:fill="auto"/>
            <w:vAlign w:val="center"/>
            <w:hideMark/>
          </w:tcPr>
          <w:p w14:paraId="1C735E30" w14:textId="007B9D5E" w:rsidR="00A36E30" w:rsidRPr="00AE70B8" w:rsidRDefault="007378BB" w:rsidP="00A36E30">
            <w:pPr>
              <w:jc w:val="center"/>
              <w:rPr>
                <w:i/>
                <w:iCs/>
                <w:color w:val="000000"/>
                <w:kern w:val="22"/>
                <w:szCs w:val="22"/>
                <w:lang w:val="fr-CA" w:eastAsia="zh-CN"/>
              </w:rPr>
            </w:pPr>
            <w:r w:rsidRPr="00AE70B8">
              <w:rPr>
                <w:i/>
                <w:iCs/>
                <w:color w:val="000000"/>
                <w:kern w:val="22"/>
                <w:szCs w:val="22"/>
                <w:lang w:val="fr-CA" w:eastAsia="zh-CN"/>
              </w:rPr>
              <w:t>Ressources</w:t>
            </w:r>
          </w:p>
        </w:tc>
      </w:tr>
      <w:tr w:rsidR="007378BB" w:rsidRPr="00AE70B8" w14:paraId="753D210B" w14:textId="77777777" w:rsidTr="00282AF6">
        <w:trPr>
          <w:trHeight w:val="300"/>
          <w:jc w:val="center"/>
        </w:trPr>
        <w:tc>
          <w:tcPr>
            <w:tcW w:w="5750" w:type="dxa"/>
            <w:shd w:val="clear" w:color="auto" w:fill="auto"/>
            <w:vAlign w:val="center"/>
            <w:hideMark/>
          </w:tcPr>
          <w:p w14:paraId="0E9AB260" w14:textId="18CD5297" w:rsidR="007378BB" w:rsidRPr="00AE70B8" w:rsidRDefault="007378BB" w:rsidP="007378BB">
            <w:pPr>
              <w:rPr>
                <w:color w:val="000000"/>
                <w:kern w:val="22"/>
                <w:szCs w:val="22"/>
                <w:lang w:val="fr-CA" w:eastAsia="zh-CN"/>
              </w:rPr>
            </w:pPr>
            <w:r w:rsidRPr="00AE70B8">
              <w:rPr>
                <w:i/>
                <w:iCs/>
                <w:color w:val="000000"/>
                <w:kern w:val="22"/>
                <w:szCs w:val="22"/>
                <w:lang w:val="fr-CA" w:eastAsia="zh-CN"/>
              </w:rPr>
              <w:t>Source de financement</w:t>
            </w:r>
          </w:p>
        </w:tc>
        <w:tc>
          <w:tcPr>
            <w:tcW w:w="1800" w:type="dxa"/>
            <w:shd w:val="clear" w:color="auto" w:fill="auto"/>
            <w:vAlign w:val="center"/>
            <w:hideMark/>
          </w:tcPr>
          <w:p w14:paraId="5FB9C811" w14:textId="3065BAE2" w:rsidR="007378BB" w:rsidRPr="00AE70B8" w:rsidRDefault="007378BB" w:rsidP="007378BB">
            <w:pPr>
              <w:jc w:val="right"/>
              <w:rPr>
                <w:color w:val="000000"/>
                <w:kern w:val="22"/>
                <w:szCs w:val="22"/>
                <w:lang w:val="fr-CA" w:eastAsia="zh-CN"/>
              </w:rPr>
            </w:pPr>
            <w:r w:rsidRPr="00AE70B8">
              <w:rPr>
                <w:color w:val="000000"/>
                <w:kern w:val="22"/>
                <w:szCs w:val="22"/>
                <w:lang w:val="fr-CA" w:eastAsia="zh-CN"/>
              </w:rPr>
              <w:t>16 772,6</w:t>
            </w:r>
          </w:p>
        </w:tc>
      </w:tr>
      <w:tr w:rsidR="007378BB" w:rsidRPr="00AE70B8" w14:paraId="5655352E" w14:textId="77777777" w:rsidTr="00282AF6">
        <w:trPr>
          <w:trHeight w:val="300"/>
          <w:jc w:val="center"/>
        </w:trPr>
        <w:tc>
          <w:tcPr>
            <w:tcW w:w="5750" w:type="dxa"/>
            <w:shd w:val="clear" w:color="auto" w:fill="auto"/>
            <w:vAlign w:val="center"/>
            <w:hideMark/>
          </w:tcPr>
          <w:p w14:paraId="4529A047" w14:textId="71C4B8F2" w:rsidR="007378BB" w:rsidRPr="00AE70B8" w:rsidRDefault="007378BB" w:rsidP="007378BB">
            <w:pPr>
              <w:rPr>
                <w:color w:val="000000"/>
                <w:kern w:val="22"/>
                <w:szCs w:val="22"/>
                <w:lang w:val="fr-CA" w:eastAsia="zh-CN"/>
              </w:rPr>
            </w:pPr>
            <w:r w:rsidRPr="00AE70B8">
              <w:rPr>
                <w:color w:val="000000"/>
                <w:kern w:val="22"/>
                <w:szCs w:val="22"/>
                <w:lang w:val="fr-CA" w:eastAsia="zh-CN"/>
              </w:rPr>
              <w:t>Budget provisoire approuvé</w:t>
            </w:r>
          </w:p>
        </w:tc>
        <w:tc>
          <w:tcPr>
            <w:tcW w:w="1800" w:type="dxa"/>
            <w:shd w:val="clear" w:color="auto" w:fill="auto"/>
            <w:vAlign w:val="center"/>
            <w:hideMark/>
          </w:tcPr>
          <w:p w14:paraId="68F6923E" w14:textId="79284643" w:rsidR="007378BB" w:rsidRPr="00AE70B8" w:rsidRDefault="007378BB" w:rsidP="007378BB">
            <w:pPr>
              <w:jc w:val="right"/>
              <w:rPr>
                <w:color w:val="000000"/>
                <w:kern w:val="22"/>
                <w:szCs w:val="22"/>
                <w:lang w:val="fr-CA" w:eastAsia="zh-CN"/>
              </w:rPr>
            </w:pPr>
            <w:r w:rsidRPr="00AE70B8">
              <w:rPr>
                <w:color w:val="000000"/>
                <w:kern w:val="22"/>
                <w:szCs w:val="22"/>
                <w:lang w:val="fr-CA" w:eastAsia="zh-CN"/>
              </w:rPr>
              <w:t>-1 534,8</w:t>
            </w:r>
          </w:p>
        </w:tc>
      </w:tr>
      <w:tr w:rsidR="007378BB" w:rsidRPr="00AE70B8" w14:paraId="50D74DDE" w14:textId="77777777" w:rsidTr="00282AF6">
        <w:trPr>
          <w:trHeight w:val="300"/>
          <w:jc w:val="center"/>
        </w:trPr>
        <w:tc>
          <w:tcPr>
            <w:tcW w:w="5750" w:type="dxa"/>
            <w:shd w:val="clear" w:color="auto" w:fill="auto"/>
            <w:vAlign w:val="center"/>
            <w:hideMark/>
          </w:tcPr>
          <w:p w14:paraId="1DE60BB1" w14:textId="214A9472" w:rsidR="007378BB" w:rsidRPr="00AE70B8" w:rsidRDefault="007378BB" w:rsidP="007378BB">
            <w:pPr>
              <w:rPr>
                <w:color w:val="000000"/>
                <w:kern w:val="22"/>
                <w:szCs w:val="22"/>
                <w:lang w:val="fr-CA" w:eastAsia="zh-CN"/>
              </w:rPr>
            </w:pPr>
            <w:r w:rsidRPr="00AE70B8">
              <w:rPr>
                <w:color w:val="000000"/>
                <w:kern w:val="22"/>
                <w:szCs w:val="22"/>
                <w:lang w:val="fr-CA" w:eastAsia="zh-CN"/>
              </w:rPr>
              <w:t>Pays hôte</w:t>
            </w:r>
          </w:p>
        </w:tc>
        <w:tc>
          <w:tcPr>
            <w:tcW w:w="1800" w:type="dxa"/>
            <w:shd w:val="clear" w:color="auto" w:fill="auto"/>
            <w:vAlign w:val="center"/>
            <w:hideMark/>
          </w:tcPr>
          <w:p w14:paraId="1D5B40F2" w14:textId="73E1C2E5" w:rsidR="007378BB" w:rsidRPr="00AE70B8" w:rsidRDefault="007378BB" w:rsidP="007378BB">
            <w:pPr>
              <w:jc w:val="right"/>
              <w:rPr>
                <w:color w:val="000000"/>
                <w:kern w:val="22"/>
                <w:szCs w:val="22"/>
                <w:lang w:val="fr-CA" w:eastAsia="zh-CN"/>
              </w:rPr>
            </w:pPr>
            <w:r w:rsidRPr="00AE70B8">
              <w:rPr>
                <w:color w:val="000000"/>
                <w:kern w:val="22"/>
                <w:szCs w:val="22"/>
                <w:lang w:val="fr-CA" w:eastAsia="zh-CN"/>
              </w:rPr>
              <w:t>-395,5</w:t>
            </w:r>
          </w:p>
        </w:tc>
      </w:tr>
      <w:tr w:rsidR="007378BB" w:rsidRPr="00AE70B8" w14:paraId="42816D75" w14:textId="77777777" w:rsidTr="00282AF6">
        <w:trPr>
          <w:trHeight w:val="300"/>
          <w:jc w:val="center"/>
        </w:trPr>
        <w:tc>
          <w:tcPr>
            <w:tcW w:w="5750" w:type="dxa"/>
            <w:shd w:val="clear" w:color="auto" w:fill="auto"/>
            <w:vAlign w:val="center"/>
            <w:hideMark/>
          </w:tcPr>
          <w:p w14:paraId="6ED32233" w14:textId="7F23FCC4" w:rsidR="007378BB" w:rsidRPr="00AE70B8" w:rsidRDefault="007378BB" w:rsidP="007378BB">
            <w:pPr>
              <w:rPr>
                <w:color w:val="000000"/>
                <w:kern w:val="22"/>
                <w:szCs w:val="22"/>
                <w:lang w:val="fr-CA" w:eastAsia="zh-CN"/>
              </w:rPr>
            </w:pPr>
            <w:r w:rsidRPr="00AE70B8">
              <w:rPr>
                <w:color w:val="000000"/>
                <w:kern w:val="22"/>
                <w:szCs w:val="22"/>
                <w:lang w:val="fr-CA" w:eastAsia="zh-CN"/>
              </w:rPr>
              <w:t>Économies de l’année précédente</w:t>
            </w:r>
          </w:p>
        </w:tc>
        <w:tc>
          <w:tcPr>
            <w:tcW w:w="1800" w:type="dxa"/>
            <w:shd w:val="clear" w:color="auto" w:fill="auto"/>
            <w:vAlign w:val="center"/>
            <w:hideMark/>
          </w:tcPr>
          <w:p w14:paraId="34D3F597" w14:textId="6804510E" w:rsidR="007378BB" w:rsidRPr="00AE70B8" w:rsidRDefault="007378BB" w:rsidP="007378BB">
            <w:pPr>
              <w:jc w:val="right"/>
              <w:rPr>
                <w:color w:val="000000"/>
                <w:kern w:val="22"/>
                <w:szCs w:val="22"/>
                <w:lang w:val="fr-CA" w:eastAsia="zh-CN"/>
              </w:rPr>
            </w:pPr>
            <w:r w:rsidRPr="00AE70B8">
              <w:rPr>
                <w:color w:val="000000"/>
                <w:kern w:val="22"/>
                <w:szCs w:val="22"/>
                <w:lang w:val="fr-CA" w:eastAsia="zh-CN"/>
              </w:rPr>
              <w:t>45,2</w:t>
            </w:r>
          </w:p>
        </w:tc>
      </w:tr>
      <w:tr w:rsidR="007378BB" w:rsidRPr="00AE70B8" w14:paraId="246A2FA1" w14:textId="77777777" w:rsidTr="00282AF6">
        <w:trPr>
          <w:trHeight w:val="300"/>
          <w:jc w:val="center"/>
        </w:trPr>
        <w:tc>
          <w:tcPr>
            <w:tcW w:w="5750" w:type="dxa"/>
            <w:shd w:val="clear" w:color="auto" w:fill="auto"/>
            <w:vAlign w:val="center"/>
            <w:hideMark/>
          </w:tcPr>
          <w:p w14:paraId="7A5105E8" w14:textId="2938C55D" w:rsidR="007378BB" w:rsidRPr="00AE70B8" w:rsidRDefault="007378BB" w:rsidP="007378BB">
            <w:pPr>
              <w:rPr>
                <w:b/>
                <w:bCs/>
                <w:color w:val="000000"/>
                <w:kern w:val="22"/>
                <w:szCs w:val="22"/>
                <w:lang w:val="fr-CA" w:eastAsia="zh-CN"/>
              </w:rPr>
            </w:pPr>
            <w:r w:rsidRPr="00AE70B8">
              <w:rPr>
                <w:color w:val="000000"/>
                <w:kern w:val="22"/>
                <w:szCs w:val="22"/>
                <w:lang w:val="fr-CA" w:eastAsia="zh-CN"/>
              </w:rPr>
              <w:t>Partie supplémentaire au Protocole de Nagoya</w:t>
            </w:r>
          </w:p>
        </w:tc>
        <w:tc>
          <w:tcPr>
            <w:tcW w:w="1800" w:type="dxa"/>
            <w:shd w:val="clear" w:color="auto" w:fill="auto"/>
            <w:vAlign w:val="center"/>
            <w:hideMark/>
          </w:tcPr>
          <w:p w14:paraId="115C7E69" w14:textId="351B1378" w:rsidR="007378BB" w:rsidRPr="00AE70B8" w:rsidRDefault="007378BB" w:rsidP="007378BB">
            <w:pPr>
              <w:jc w:val="right"/>
              <w:rPr>
                <w:b/>
                <w:bCs/>
                <w:color w:val="000000"/>
                <w:kern w:val="22"/>
                <w:szCs w:val="22"/>
                <w:lang w:val="fr-CA" w:eastAsia="zh-CN"/>
              </w:rPr>
            </w:pPr>
            <w:r w:rsidRPr="00AE70B8">
              <w:rPr>
                <w:b/>
                <w:bCs/>
                <w:color w:val="000000"/>
                <w:kern w:val="22"/>
                <w:szCs w:val="22"/>
                <w:lang w:val="fr-CA" w:eastAsia="zh-CN"/>
              </w:rPr>
              <w:t>14 887,5</w:t>
            </w:r>
          </w:p>
        </w:tc>
      </w:tr>
      <w:tr w:rsidR="007378BB" w:rsidRPr="00AE70B8" w14:paraId="24586F7C" w14:textId="77777777" w:rsidTr="00282AF6">
        <w:trPr>
          <w:trHeight w:val="300"/>
          <w:jc w:val="center"/>
        </w:trPr>
        <w:tc>
          <w:tcPr>
            <w:tcW w:w="5750" w:type="dxa"/>
            <w:shd w:val="clear" w:color="auto" w:fill="auto"/>
            <w:vAlign w:val="center"/>
            <w:hideMark/>
          </w:tcPr>
          <w:p w14:paraId="18B1F0C8" w14:textId="2DC8342C" w:rsidR="007378BB" w:rsidRPr="00AE70B8" w:rsidRDefault="007378BB" w:rsidP="007378BB">
            <w:pPr>
              <w:rPr>
                <w:color w:val="000000"/>
                <w:kern w:val="22"/>
                <w:szCs w:val="22"/>
                <w:lang w:val="fr-CA" w:eastAsia="zh-CN"/>
              </w:rPr>
            </w:pPr>
            <w:r w:rsidRPr="00AE70B8">
              <w:rPr>
                <w:b/>
                <w:bCs/>
                <w:color w:val="000000"/>
                <w:kern w:val="22"/>
                <w:szCs w:val="22"/>
                <w:lang w:val="fr-CA" w:eastAsia="zh-CN"/>
              </w:rPr>
              <w:t>Évaluation totale</w:t>
            </w:r>
          </w:p>
        </w:tc>
        <w:tc>
          <w:tcPr>
            <w:tcW w:w="1800" w:type="dxa"/>
            <w:shd w:val="clear" w:color="auto" w:fill="auto"/>
            <w:vAlign w:val="center"/>
            <w:hideMark/>
          </w:tcPr>
          <w:p w14:paraId="7D6EF275" w14:textId="4F0F3344" w:rsidR="007378BB" w:rsidRPr="00AE70B8" w:rsidRDefault="007378BB" w:rsidP="007378BB">
            <w:pPr>
              <w:jc w:val="right"/>
              <w:rPr>
                <w:color w:val="000000"/>
                <w:kern w:val="22"/>
                <w:szCs w:val="22"/>
                <w:lang w:val="fr-CA" w:eastAsia="zh-CN"/>
              </w:rPr>
            </w:pPr>
            <w:r w:rsidRPr="00AE70B8">
              <w:rPr>
                <w:color w:val="000000"/>
                <w:kern w:val="22"/>
                <w:szCs w:val="22"/>
                <w:lang w:val="fr-CA" w:eastAsia="zh-CN"/>
              </w:rPr>
              <w:t>9 946,9</w:t>
            </w:r>
          </w:p>
        </w:tc>
      </w:tr>
      <w:tr w:rsidR="007378BB" w:rsidRPr="00AE70B8" w14:paraId="1EE26892" w14:textId="77777777" w:rsidTr="00282AF6">
        <w:trPr>
          <w:trHeight w:val="300"/>
          <w:jc w:val="center"/>
        </w:trPr>
        <w:tc>
          <w:tcPr>
            <w:tcW w:w="5750" w:type="dxa"/>
            <w:shd w:val="clear" w:color="auto" w:fill="auto"/>
            <w:vAlign w:val="center"/>
            <w:hideMark/>
          </w:tcPr>
          <w:p w14:paraId="6FB9C0FC" w14:textId="5E21E4A6" w:rsidR="007378BB" w:rsidRPr="00AE70B8" w:rsidRDefault="007378BB" w:rsidP="007378BB">
            <w:pPr>
              <w:rPr>
                <w:b/>
                <w:bCs/>
                <w:color w:val="000000"/>
                <w:kern w:val="22"/>
                <w:szCs w:val="22"/>
                <w:lang w:val="fr-CA" w:eastAsia="zh-CN"/>
              </w:rPr>
            </w:pPr>
            <w:r w:rsidRPr="00AE70B8">
              <w:rPr>
                <w:color w:val="000000"/>
                <w:kern w:val="22"/>
                <w:szCs w:val="22"/>
                <w:lang w:val="fr-CA" w:eastAsia="zh-CN"/>
              </w:rPr>
              <w:t>Somme reçue au 30 juin 2021</w:t>
            </w:r>
          </w:p>
        </w:tc>
        <w:tc>
          <w:tcPr>
            <w:tcW w:w="1800" w:type="dxa"/>
            <w:shd w:val="clear" w:color="auto" w:fill="auto"/>
            <w:vAlign w:val="center"/>
            <w:hideMark/>
          </w:tcPr>
          <w:p w14:paraId="442D74B0" w14:textId="6F0FF033" w:rsidR="007378BB" w:rsidRPr="00AE70B8" w:rsidRDefault="007378BB" w:rsidP="007378BB">
            <w:pPr>
              <w:jc w:val="right"/>
              <w:rPr>
                <w:b/>
                <w:bCs/>
                <w:color w:val="000000"/>
                <w:kern w:val="22"/>
                <w:szCs w:val="22"/>
                <w:lang w:val="fr-CA" w:eastAsia="zh-CN"/>
              </w:rPr>
            </w:pPr>
            <w:r w:rsidRPr="00AE70B8">
              <w:rPr>
                <w:b/>
                <w:bCs/>
                <w:color w:val="000000"/>
                <w:kern w:val="22"/>
                <w:szCs w:val="22"/>
                <w:lang w:val="fr-CA" w:eastAsia="zh-CN"/>
              </w:rPr>
              <w:t>4 940,6</w:t>
            </w:r>
          </w:p>
        </w:tc>
      </w:tr>
      <w:tr w:rsidR="007378BB" w:rsidRPr="00AE70B8" w14:paraId="43CEA5C3" w14:textId="77777777" w:rsidTr="00282AF6">
        <w:trPr>
          <w:trHeight w:val="300"/>
          <w:jc w:val="center"/>
        </w:trPr>
        <w:tc>
          <w:tcPr>
            <w:tcW w:w="5750" w:type="dxa"/>
            <w:shd w:val="clear" w:color="auto" w:fill="auto"/>
            <w:vAlign w:val="center"/>
            <w:hideMark/>
          </w:tcPr>
          <w:p w14:paraId="6ED25A57" w14:textId="1CF0E07E" w:rsidR="007378BB" w:rsidRPr="00AE70B8" w:rsidRDefault="007378BB" w:rsidP="007378BB">
            <w:pPr>
              <w:rPr>
                <w:b/>
                <w:bCs/>
                <w:color w:val="000000"/>
                <w:kern w:val="22"/>
                <w:szCs w:val="22"/>
                <w:lang w:val="fr-CA" w:eastAsia="zh-CN"/>
              </w:rPr>
            </w:pPr>
            <w:r w:rsidRPr="00AE70B8">
              <w:rPr>
                <w:b/>
                <w:bCs/>
                <w:color w:val="000000"/>
                <w:kern w:val="22"/>
                <w:szCs w:val="22"/>
                <w:lang w:val="fr-CA" w:eastAsia="zh-CN"/>
              </w:rPr>
              <w:t>Solde impayé</w:t>
            </w:r>
          </w:p>
        </w:tc>
        <w:tc>
          <w:tcPr>
            <w:tcW w:w="1800" w:type="dxa"/>
            <w:shd w:val="clear" w:color="auto" w:fill="auto"/>
            <w:vAlign w:val="center"/>
            <w:hideMark/>
          </w:tcPr>
          <w:p w14:paraId="16E0A961" w14:textId="7A363E78" w:rsidR="007378BB" w:rsidRPr="00AE70B8" w:rsidRDefault="007378BB" w:rsidP="007378BB">
            <w:pPr>
              <w:jc w:val="right"/>
              <w:rPr>
                <w:b/>
                <w:bCs/>
                <w:color w:val="000000"/>
                <w:kern w:val="22"/>
                <w:szCs w:val="22"/>
                <w:lang w:val="fr-CA" w:eastAsia="zh-CN"/>
              </w:rPr>
            </w:pPr>
            <w:r w:rsidRPr="00AE70B8">
              <w:rPr>
                <w:b/>
                <w:bCs/>
                <w:color w:val="000000"/>
                <w:kern w:val="22"/>
                <w:szCs w:val="22"/>
                <w:lang w:val="fr-CA" w:eastAsia="zh-CN"/>
              </w:rPr>
              <w:t>66,81 %</w:t>
            </w:r>
          </w:p>
        </w:tc>
      </w:tr>
    </w:tbl>
    <w:p w14:paraId="5929043D" w14:textId="77777777" w:rsidR="00A36E30" w:rsidRPr="00AE70B8" w:rsidRDefault="00A36E30" w:rsidP="025C64B4">
      <w:pPr>
        <w:pStyle w:val="ListParagraph"/>
        <w:ind w:left="0"/>
        <w:rPr>
          <w:color w:val="000000" w:themeColor="text1"/>
          <w:kern w:val="22"/>
          <w:lang w:eastAsia="en-CA"/>
        </w:rPr>
      </w:pPr>
    </w:p>
    <w:p w14:paraId="5E385302" w14:textId="3360083B" w:rsidR="004077CB" w:rsidRPr="00AE70B8" w:rsidRDefault="00C4018A" w:rsidP="006914CE">
      <w:pPr>
        <w:pStyle w:val="ListParagraph"/>
        <w:keepNext/>
        <w:numPr>
          <w:ilvl w:val="0"/>
          <w:numId w:val="21"/>
        </w:numPr>
        <w:suppressLineNumbers/>
        <w:tabs>
          <w:tab w:val="left" w:pos="426"/>
        </w:tabs>
        <w:suppressAutoHyphens/>
        <w:spacing w:after="120"/>
        <w:ind w:left="0" w:firstLine="0"/>
        <w:contextualSpacing w:val="0"/>
        <w:jc w:val="center"/>
        <w:rPr>
          <w:rFonts w:eastAsia="Malgun Gothic"/>
          <w:b/>
          <w:color w:val="000000" w:themeColor="text1"/>
          <w:kern w:val="22"/>
          <w:szCs w:val="22"/>
          <w:lang w:val="fr-CA" w:eastAsia="x-none"/>
        </w:rPr>
      </w:pPr>
      <w:r>
        <w:rPr>
          <w:rFonts w:eastAsia="Malgun Gothic"/>
          <w:b/>
          <w:color w:val="000000" w:themeColor="text1"/>
          <w:kern w:val="22"/>
          <w:szCs w:val="22"/>
          <w:lang w:val="fr-CA" w:eastAsia="x-none"/>
        </w:rPr>
        <w:t>Exécution du budget</w:t>
      </w:r>
    </w:p>
    <w:p w14:paraId="6B825C1A" w14:textId="04A58F00" w:rsidR="001729AD" w:rsidRPr="00AE70B8" w:rsidRDefault="00955428" w:rsidP="001729AD">
      <w:pPr>
        <w:pStyle w:val="ListParagraph"/>
        <w:numPr>
          <w:ilvl w:val="0"/>
          <w:numId w:val="19"/>
        </w:numPr>
        <w:suppressLineNumbers/>
        <w:suppressAutoHyphens/>
        <w:spacing w:before="120" w:after="120"/>
        <w:ind w:left="0" w:firstLine="0"/>
        <w:contextualSpacing w:val="0"/>
        <w:rPr>
          <w:kern w:val="22"/>
          <w:szCs w:val="22"/>
          <w:lang w:val="fr-CA"/>
        </w:rPr>
      </w:pPr>
      <w:r w:rsidRPr="00AE70B8">
        <w:rPr>
          <w:kern w:val="22"/>
          <w:szCs w:val="22"/>
          <w:lang w:val="fr-CA"/>
        </w:rPr>
        <w:t>Les dépenses budgétaires devraient s’élever à 1 778 850 $US au 31 décembre 2021</w:t>
      </w:r>
      <w:r w:rsidR="00C4018A">
        <w:rPr>
          <w:kern w:val="22"/>
          <w:szCs w:val="22"/>
          <w:lang w:val="fr-CA"/>
        </w:rPr>
        <w:t>,</w:t>
      </w:r>
      <w:r w:rsidRPr="00AE70B8">
        <w:rPr>
          <w:kern w:val="22"/>
          <w:szCs w:val="22"/>
          <w:lang w:val="fr-CA"/>
        </w:rPr>
        <w:t xml:space="preserve"> en ce qui concerne les reports </w:t>
      </w:r>
      <w:r w:rsidR="00C4018A">
        <w:rPr>
          <w:kern w:val="22"/>
          <w:szCs w:val="22"/>
          <w:lang w:val="fr-CA"/>
        </w:rPr>
        <w:t>budgétaires</w:t>
      </w:r>
      <w:r w:rsidRPr="00AE70B8">
        <w:rPr>
          <w:kern w:val="22"/>
          <w:szCs w:val="22"/>
          <w:lang w:val="fr-CA"/>
        </w:rPr>
        <w:t xml:space="preserve"> approuvé</w:t>
      </w:r>
      <w:r w:rsidR="00C4018A">
        <w:rPr>
          <w:kern w:val="22"/>
          <w:szCs w:val="22"/>
          <w:lang w:val="fr-CA"/>
        </w:rPr>
        <w:t>s</w:t>
      </w:r>
      <w:r w:rsidRPr="00AE70B8">
        <w:rPr>
          <w:kern w:val="22"/>
          <w:szCs w:val="22"/>
          <w:lang w:val="fr-CA"/>
        </w:rPr>
        <w:t xml:space="preserve"> de 2019-2020, comme indiqué dans le </w:t>
      </w:r>
      <w:r w:rsidR="00C4018A">
        <w:rPr>
          <w:kern w:val="22"/>
          <w:szCs w:val="22"/>
          <w:lang w:val="fr-CA"/>
        </w:rPr>
        <w:t>tableau 2, ci-dessous.</w:t>
      </w:r>
      <w:r w:rsidRPr="00AE70B8">
        <w:rPr>
          <w:kern w:val="22"/>
          <w:szCs w:val="22"/>
          <w:lang w:val="fr-CA"/>
        </w:rPr>
        <w:t xml:space="preserve"> Les dépenses prévues ne comprennent pas les coûts de la quinzième réunion de la Conférence des Parties, de la dixième réuni</w:t>
      </w:r>
      <w:r w:rsidR="00DE4086">
        <w:rPr>
          <w:kern w:val="22"/>
          <w:szCs w:val="22"/>
          <w:lang w:val="fr-CA"/>
        </w:rPr>
        <w:t>on des Parties au Protocole d</w:t>
      </w:r>
      <w:r w:rsidRPr="00AE70B8">
        <w:rPr>
          <w:kern w:val="22"/>
          <w:szCs w:val="22"/>
          <w:lang w:val="fr-CA"/>
        </w:rPr>
        <w:t>e Cartagena et de la quatrième réunion des Parties au Protocole de Nagoya, qui</w:t>
      </w:r>
      <w:r w:rsidR="00C4018A">
        <w:rPr>
          <w:kern w:val="22"/>
          <w:szCs w:val="22"/>
          <w:lang w:val="fr-CA"/>
        </w:rPr>
        <w:t xml:space="preserve"> dev</w:t>
      </w:r>
      <w:r w:rsidR="00DE4086">
        <w:rPr>
          <w:kern w:val="22"/>
          <w:szCs w:val="22"/>
          <w:lang w:val="fr-CA"/>
        </w:rPr>
        <w:t>r</w:t>
      </w:r>
      <w:r w:rsidR="00C4018A">
        <w:rPr>
          <w:kern w:val="22"/>
          <w:szCs w:val="22"/>
          <w:lang w:val="fr-CA"/>
        </w:rPr>
        <w:t xml:space="preserve">aient avoir lieu en avril et </w:t>
      </w:r>
      <w:r w:rsidRPr="00AE70B8">
        <w:rPr>
          <w:kern w:val="22"/>
          <w:szCs w:val="22"/>
          <w:lang w:val="fr-CA"/>
        </w:rPr>
        <w:t>mai 2022</w:t>
      </w:r>
      <w:r w:rsidR="6058E2F7" w:rsidRPr="00AE70B8">
        <w:rPr>
          <w:kern w:val="22"/>
          <w:szCs w:val="22"/>
          <w:lang w:val="fr-CA"/>
        </w:rPr>
        <w:t>.</w:t>
      </w:r>
    </w:p>
    <w:p w14:paraId="404B3F72" w14:textId="7F0FBA19" w:rsidR="001E43D5" w:rsidRPr="00AE70B8" w:rsidRDefault="00955428" w:rsidP="654AAFB6">
      <w:pPr>
        <w:pStyle w:val="ListParagraph"/>
        <w:numPr>
          <w:ilvl w:val="0"/>
          <w:numId w:val="19"/>
        </w:numPr>
        <w:suppressLineNumbers/>
        <w:suppressAutoHyphens/>
        <w:ind w:left="0" w:firstLine="0"/>
        <w:contextualSpacing w:val="0"/>
        <w:rPr>
          <w:kern w:val="22"/>
          <w:lang w:val="fr-CA"/>
        </w:rPr>
      </w:pPr>
      <w:r w:rsidRPr="00AE70B8">
        <w:rPr>
          <w:kern w:val="22"/>
          <w:lang w:val="fr-CA"/>
        </w:rPr>
        <w:t>Le tableau 3 fait état de dépenses prévues de 15 039 400 $US</w:t>
      </w:r>
      <w:r w:rsidR="00DC37C7" w:rsidRPr="00AE70B8">
        <w:rPr>
          <w:kern w:val="22"/>
          <w:lang w:val="fr-CA"/>
        </w:rPr>
        <w:t xml:space="preserve"> du</w:t>
      </w:r>
      <w:r w:rsidR="00C4018A">
        <w:rPr>
          <w:kern w:val="22"/>
          <w:lang w:val="fr-CA"/>
        </w:rPr>
        <w:t xml:space="preserve"> budget provisoire approuvé pour</w:t>
      </w:r>
      <w:r w:rsidR="00DC37C7" w:rsidRPr="00AE70B8">
        <w:rPr>
          <w:kern w:val="22"/>
          <w:lang w:val="fr-CA"/>
        </w:rPr>
        <w:t xml:space="preserve"> 2021 au 31 décembre 2021</w:t>
      </w:r>
      <w:r w:rsidR="7303CD54" w:rsidRPr="00AE70B8">
        <w:rPr>
          <w:kern w:val="22"/>
          <w:lang w:val="fr-CA"/>
        </w:rPr>
        <w:t>.</w:t>
      </w:r>
    </w:p>
    <w:p w14:paraId="3CD16105" w14:textId="15CFCA24" w:rsidR="00BF5C2F" w:rsidRPr="00AE70B8" w:rsidRDefault="00DC37C7" w:rsidP="654AAFB6">
      <w:pPr>
        <w:pStyle w:val="ListParagraph"/>
        <w:numPr>
          <w:ilvl w:val="0"/>
          <w:numId w:val="19"/>
        </w:numPr>
        <w:suppressLineNumbers/>
        <w:suppressAutoHyphens/>
        <w:spacing w:before="120" w:after="120"/>
        <w:ind w:left="0" w:firstLine="0"/>
        <w:contextualSpacing w:val="0"/>
        <w:rPr>
          <w:rFonts w:eastAsiaTheme="minorEastAsia"/>
          <w:spacing w:val="-1"/>
          <w:kern w:val="22"/>
          <w:szCs w:val="22"/>
          <w:lang w:val="fr-CA"/>
        </w:rPr>
      </w:pPr>
      <w:r w:rsidRPr="00AE70B8">
        <w:rPr>
          <w:spacing w:val="-1"/>
          <w:kern w:val="22"/>
          <w:lang w:val="fr-CA"/>
        </w:rPr>
        <w:t>Dans sa décision EM/2/1, la Conférence des Parties, à sa deuxième réunion extraordinaire, a autorisé le report de la somme de 2 842 200 $US du budget approuvé de 2019-2020 (</w:t>
      </w:r>
      <w:r w:rsidR="0044046C">
        <w:rPr>
          <w:spacing w:val="-1"/>
          <w:kern w:val="22"/>
          <w:lang w:val="fr-CA"/>
        </w:rPr>
        <w:t>poste</w:t>
      </w:r>
      <w:r w:rsidRPr="00AE70B8">
        <w:rPr>
          <w:spacing w:val="-1"/>
          <w:kern w:val="22"/>
          <w:lang w:val="fr-CA"/>
        </w:rPr>
        <w:t xml:space="preserve"> I) afin de payer les coûts </w:t>
      </w:r>
      <w:r w:rsidRPr="00AE70B8">
        <w:rPr>
          <w:spacing w:val="-1"/>
          <w:kern w:val="22"/>
          <w:lang w:val="fr-CA"/>
        </w:rPr>
        <w:lastRenderedPageBreak/>
        <w:t>de la vingt-quatrième réunion de l’Organe subsidiaire chargé de fournir des avis scientifiques, techniques et technologiques</w:t>
      </w:r>
      <w:r w:rsidR="00C70974" w:rsidRPr="00AE70B8">
        <w:rPr>
          <w:spacing w:val="-1"/>
          <w:kern w:val="22"/>
          <w:lang w:val="fr-CA"/>
        </w:rPr>
        <w:t>, de la troisième réunion de l’Organe subsidiaire chargé de l'application et de la quinzième réunion de la Conférence des Parties à la Convention, qui devaient toutes avoir lieu en 2021. La deuxième réunion extraordinaire de la Conférence des Parties a aussi approuvé la somme supplémentaire de 271 800 $US dans son budget provisoire pour financer les réunions d’information virtuelle</w:t>
      </w:r>
      <w:r w:rsidR="0044046C">
        <w:rPr>
          <w:spacing w:val="-1"/>
          <w:kern w:val="22"/>
          <w:lang w:val="fr-CA"/>
        </w:rPr>
        <w:t>s</w:t>
      </w:r>
      <w:r w:rsidR="00C70974" w:rsidRPr="00AE70B8">
        <w:rPr>
          <w:spacing w:val="-1"/>
          <w:kern w:val="22"/>
          <w:lang w:val="fr-CA"/>
        </w:rPr>
        <w:t>, des groupes préparatoires et régionaux et d’ouverture pour la vingt-quatrième réunion de l’Organe subsidiaire chargé de fournir des avis scientifiques</w:t>
      </w:r>
      <w:r w:rsidR="0044046C">
        <w:rPr>
          <w:spacing w:val="-1"/>
          <w:kern w:val="22"/>
          <w:lang w:val="fr-CA"/>
        </w:rPr>
        <w:t xml:space="preserve">, techniques et technologiques </w:t>
      </w:r>
      <w:r w:rsidR="00C57F96" w:rsidRPr="00AE70B8">
        <w:rPr>
          <w:spacing w:val="-1"/>
          <w:kern w:val="22"/>
          <w:lang w:val="fr-CA"/>
        </w:rPr>
        <w:t>et la troisième réunion de l’Organe subsidiaire chargé de l'application. Des dépenses totales de 2 535 400 $US ont été engagées en 2019-2020 et 2021 pour les réunions du poste I dans le budget de 2019-2020 et le budget provisoire de 2021</w:t>
      </w:r>
      <w:r w:rsidR="0044046C">
        <w:rPr>
          <w:spacing w:val="-1"/>
          <w:kern w:val="22"/>
          <w:lang w:val="fr-CA"/>
        </w:rPr>
        <w:t xml:space="preserve"> au 30 juin 2021</w:t>
      </w:r>
      <w:r w:rsidR="00C57F96" w:rsidRPr="00AE70B8">
        <w:rPr>
          <w:spacing w:val="-1"/>
          <w:kern w:val="22"/>
          <w:lang w:val="fr-CA"/>
        </w:rPr>
        <w:t>.</w:t>
      </w:r>
      <w:r w:rsidR="00C70974" w:rsidRPr="00AE70B8">
        <w:rPr>
          <w:spacing w:val="-1"/>
          <w:kern w:val="22"/>
          <w:lang w:val="fr-CA"/>
        </w:rPr>
        <w:t xml:space="preserve"> </w:t>
      </w:r>
      <w:r w:rsidR="0044046C">
        <w:rPr>
          <w:spacing w:val="-1"/>
          <w:kern w:val="22"/>
          <w:lang w:val="fr-CA"/>
        </w:rPr>
        <w:t xml:space="preserve">Ainsi, un </w:t>
      </w:r>
      <w:r w:rsidR="006150E2" w:rsidRPr="00AE70B8">
        <w:rPr>
          <w:spacing w:val="-1"/>
          <w:kern w:val="22"/>
          <w:lang w:val="fr-CA"/>
        </w:rPr>
        <w:t>dé</w:t>
      </w:r>
      <w:r w:rsidR="00C57F96" w:rsidRPr="00AE70B8">
        <w:rPr>
          <w:spacing w:val="-1"/>
          <w:kern w:val="22"/>
          <w:lang w:val="fr-CA"/>
        </w:rPr>
        <w:t xml:space="preserve">passement budgétaire de 441 000 </w:t>
      </w:r>
      <w:r w:rsidR="006150E2" w:rsidRPr="00AE70B8">
        <w:rPr>
          <w:spacing w:val="-1"/>
          <w:kern w:val="22"/>
          <w:lang w:val="fr-CA"/>
        </w:rPr>
        <w:t xml:space="preserve">$US (environ 11 pour cent) </w:t>
      </w:r>
      <w:r w:rsidR="0044046C">
        <w:rPr>
          <w:spacing w:val="-1"/>
          <w:kern w:val="22"/>
          <w:lang w:val="fr-CA"/>
        </w:rPr>
        <w:t>des</w:t>
      </w:r>
      <w:r w:rsidR="006150E2" w:rsidRPr="00AE70B8">
        <w:rPr>
          <w:spacing w:val="-1"/>
          <w:kern w:val="22"/>
          <w:lang w:val="fr-CA"/>
        </w:rPr>
        <w:t xml:space="preserve"> dispositions budgétaires de 3 688 000 $US et de 271 800 $US approuvé</w:t>
      </w:r>
      <w:r w:rsidR="0044046C">
        <w:rPr>
          <w:spacing w:val="-1"/>
          <w:kern w:val="22"/>
          <w:lang w:val="fr-CA"/>
        </w:rPr>
        <w:t>e</w:t>
      </w:r>
      <w:r w:rsidR="006150E2" w:rsidRPr="00AE70B8">
        <w:rPr>
          <w:spacing w:val="-1"/>
          <w:kern w:val="22"/>
          <w:lang w:val="fr-CA"/>
        </w:rPr>
        <w:t xml:space="preserve">s respectivement par la Conférence des Parties à sa quatorzième réunion et à sa deuxième réunion extraordinaire </w:t>
      </w:r>
      <w:r w:rsidR="00C57F96" w:rsidRPr="00AE70B8">
        <w:rPr>
          <w:spacing w:val="-1"/>
          <w:kern w:val="22"/>
          <w:lang w:val="fr-CA"/>
        </w:rPr>
        <w:t xml:space="preserve">est prévu </w:t>
      </w:r>
      <w:r w:rsidR="006150E2" w:rsidRPr="00AE70B8">
        <w:rPr>
          <w:spacing w:val="-1"/>
          <w:kern w:val="22"/>
          <w:lang w:val="fr-CA"/>
        </w:rPr>
        <w:t xml:space="preserve">d’ici la fin de 2022. De plus, des sommes supplémentaires seront nécessaires pour </w:t>
      </w:r>
      <w:r w:rsidR="00FE60BB" w:rsidRPr="00AE70B8">
        <w:rPr>
          <w:spacing w:val="-1"/>
          <w:kern w:val="22"/>
          <w:lang w:val="fr-CA"/>
        </w:rPr>
        <w:t>ajouter à la généreuse contribution du gouvernement de la Suisse pour la reprise des réunions de l’Organe subsidiaire chargé de fournir des avis scientifique</w:t>
      </w:r>
      <w:r w:rsidR="0044046C">
        <w:rPr>
          <w:spacing w:val="-1"/>
          <w:kern w:val="22"/>
          <w:lang w:val="fr-CA"/>
        </w:rPr>
        <w:t>s, techniques et technologiques</w:t>
      </w:r>
      <w:r w:rsidR="00FE60BB" w:rsidRPr="00AE70B8">
        <w:rPr>
          <w:spacing w:val="-1"/>
          <w:kern w:val="22"/>
          <w:lang w:val="fr-CA"/>
        </w:rPr>
        <w:t xml:space="preserve">, de la troisième réunion de l’Organe subsidiaire chargé de l'application et la troisième réunion du Groupe de travail sur le cadre mondial de la biodiversité pour l'après-2020, qui </w:t>
      </w:r>
      <w:r w:rsidR="0044046C">
        <w:rPr>
          <w:spacing w:val="-1"/>
          <w:kern w:val="22"/>
          <w:lang w:val="fr-CA"/>
        </w:rPr>
        <w:t>auront lieu</w:t>
      </w:r>
      <w:r w:rsidR="00FE60BB" w:rsidRPr="00AE70B8">
        <w:rPr>
          <w:spacing w:val="-1"/>
          <w:kern w:val="22"/>
          <w:lang w:val="fr-CA"/>
        </w:rPr>
        <w:t xml:space="preserve"> à Genève en janvier 2022. Ces coûts supplémentaires sont évalués à 951 00</w:t>
      </w:r>
      <w:r w:rsidR="00332228" w:rsidRPr="00AE70B8">
        <w:rPr>
          <w:spacing w:val="-1"/>
          <w:kern w:val="22"/>
          <w:lang w:val="fr-CA"/>
        </w:rPr>
        <w:t>0 $US et visent les services d’</w:t>
      </w:r>
      <w:r w:rsidR="00FE60BB" w:rsidRPr="00AE70B8">
        <w:rPr>
          <w:spacing w:val="-1"/>
          <w:kern w:val="22"/>
          <w:lang w:val="fr-CA"/>
        </w:rPr>
        <w:t xml:space="preserve">interprétation, de traduction et de plateforme virtuelle. Les dépenses engagées pour les réunions et les besoins de financement pour </w:t>
      </w:r>
      <w:r w:rsidR="00E333B6">
        <w:rPr>
          <w:spacing w:val="-1"/>
          <w:kern w:val="22"/>
          <w:lang w:val="fr-CA"/>
        </w:rPr>
        <w:t>la présentation des</w:t>
      </w:r>
      <w:r w:rsidR="00332228" w:rsidRPr="00AE70B8">
        <w:rPr>
          <w:spacing w:val="-1"/>
          <w:kern w:val="22"/>
          <w:lang w:val="fr-CA"/>
        </w:rPr>
        <w:t xml:space="preserve"> réunions reportées</w:t>
      </w:r>
      <w:r w:rsidR="00FE60BB" w:rsidRPr="00AE70B8">
        <w:rPr>
          <w:spacing w:val="-1"/>
          <w:kern w:val="22"/>
          <w:lang w:val="fr-CA"/>
        </w:rPr>
        <w:t>, ainsi que</w:t>
      </w:r>
      <w:r w:rsidR="00332228" w:rsidRPr="00AE70B8">
        <w:rPr>
          <w:spacing w:val="-1"/>
          <w:kern w:val="22"/>
          <w:lang w:val="fr-CA"/>
        </w:rPr>
        <w:t xml:space="preserve"> pour</w:t>
      </w:r>
      <w:r w:rsidR="00FE60BB" w:rsidRPr="00AE70B8">
        <w:rPr>
          <w:spacing w:val="-1"/>
          <w:kern w:val="22"/>
          <w:lang w:val="fr-CA"/>
        </w:rPr>
        <w:t xml:space="preserve"> la quinzième réunion de la Conférence des Parties et les réunions </w:t>
      </w:r>
      <w:r w:rsidR="00332228" w:rsidRPr="00AE70B8">
        <w:rPr>
          <w:spacing w:val="-1"/>
          <w:kern w:val="22"/>
          <w:lang w:val="fr-CA"/>
        </w:rPr>
        <w:t xml:space="preserve">connexes </w:t>
      </w:r>
      <w:r w:rsidR="00FE60BB" w:rsidRPr="00AE70B8">
        <w:rPr>
          <w:spacing w:val="-1"/>
          <w:kern w:val="22"/>
          <w:lang w:val="fr-CA"/>
        </w:rPr>
        <w:t>des Parties aux Protocoles de 2022, sont indiqué</w:t>
      </w:r>
      <w:r w:rsidR="00332228" w:rsidRPr="00AE70B8">
        <w:rPr>
          <w:spacing w:val="-1"/>
          <w:kern w:val="22"/>
          <w:lang w:val="fr-CA"/>
        </w:rPr>
        <w:t>es</w:t>
      </w:r>
      <w:r w:rsidR="00FE60BB" w:rsidRPr="00AE70B8">
        <w:rPr>
          <w:spacing w:val="-1"/>
          <w:kern w:val="22"/>
          <w:lang w:val="fr-CA"/>
        </w:rPr>
        <w:t xml:space="preserve"> dans le tableau ci-dessous</w:t>
      </w:r>
      <w:r w:rsidR="4C35A7A1" w:rsidRPr="00AE70B8">
        <w:rPr>
          <w:spacing w:val="-1"/>
          <w:kern w:val="22"/>
          <w:lang w:val="fr-CA"/>
        </w:rPr>
        <w:t>.</w:t>
      </w:r>
    </w:p>
    <w:p w14:paraId="6380E9BC" w14:textId="4ED2AC9A" w:rsidR="7189B294" w:rsidRPr="00AE70B8" w:rsidRDefault="7189B294" w:rsidP="00282AF6">
      <w:pPr>
        <w:keepNext/>
        <w:spacing w:before="120"/>
        <w:rPr>
          <w:b/>
          <w:bCs/>
          <w:kern w:val="22"/>
          <w:szCs w:val="22"/>
          <w:lang w:val="fr-CA"/>
        </w:rPr>
      </w:pPr>
      <w:r w:rsidRPr="00AE70B8">
        <w:rPr>
          <w:b/>
          <w:bCs/>
          <w:kern w:val="22"/>
          <w:szCs w:val="22"/>
          <w:lang w:val="fr-CA"/>
        </w:rPr>
        <w:t>Table</w:t>
      </w:r>
      <w:r w:rsidR="00332228" w:rsidRPr="00AE70B8">
        <w:rPr>
          <w:b/>
          <w:bCs/>
          <w:kern w:val="22"/>
          <w:szCs w:val="22"/>
          <w:lang w:val="fr-CA"/>
        </w:rPr>
        <w:t>au</w:t>
      </w:r>
      <w:r w:rsidRPr="00AE70B8">
        <w:rPr>
          <w:b/>
          <w:bCs/>
          <w:kern w:val="22"/>
          <w:szCs w:val="22"/>
          <w:lang w:val="fr-CA"/>
        </w:rPr>
        <w:t xml:space="preserve"> 1</w:t>
      </w:r>
    </w:p>
    <w:p w14:paraId="37CD61FC" w14:textId="7B675C58" w:rsidR="00412E14" w:rsidRPr="00AE70B8" w:rsidRDefault="00332228" w:rsidP="00282AF6">
      <w:pPr>
        <w:spacing w:after="120"/>
        <w:rPr>
          <w:b/>
          <w:bCs/>
          <w:kern w:val="22"/>
          <w:szCs w:val="22"/>
          <w:lang w:val="fr-CA"/>
        </w:rPr>
      </w:pPr>
      <w:r w:rsidRPr="00AE70B8">
        <w:rPr>
          <w:b/>
          <w:bCs/>
          <w:kern w:val="22"/>
          <w:szCs w:val="22"/>
          <w:lang w:val="fr-CA"/>
        </w:rPr>
        <w:t xml:space="preserve">Coûts engagés pour les réunions et besoins de financement pour </w:t>
      </w:r>
      <w:r w:rsidR="00E333B6">
        <w:rPr>
          <w:b/>
          <w:bCs/>
          <w:kern w:val="22"/>
          <w:szCs w:val="22"/>
          <w:lang w:val="fr-CA"/>
        </w:rPr>
        <w:t>les</w:t>
      </w:r>
      <w:r w:rsidRPr="00AE70B8">
        <w:rPr>
          <w:b/>
          <w:bCs/>
          <w:kern w:val="22"/>
          <w:szCs w:val="22"/>
          <w:lang w:val="fr-CA"/>
        </w:rPr>
        <w:t xml:space="preserve"> réunions reportées, la quinzième réunion de la Conférence des Parties et les réunions connexes des Parties aux Protocoles en 2022</w:t>
      </w:r>
    </w:p>
    <w:tbl>
      <w:tblPr>
        <w:tblpPr w:leftFromText="180" w:rightFromText="180" w:vertAnchor="text" w:tblpXSpec="center" w:tblpY="1"/>
        <w:tblOverlap w:val="neve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1820"/>
      </w:tblGrid>
      <w:tr w:rsidR="000375DB" w:rsidRPr="00E70A04" w14:paraId="726F0987" w14:textId="77777777" w:rsidTr="00282AF6">
        <w:trPr>
          <w:jc w:val="center"/>
        </w:trPr>
        <w:tc>
          <w:tcPr>
            <w:tcW w:w="7500" w:type="dxa"/>
            <w:shd w:val="clear" w:color="auto" w:fill="auto"/>
            <w:vAlign w:val="center"/>
            <w:hideMark/>
          </w:tcPr>
          <w:p w14:paraId="75DE7EE9" w14:textId="4B2D2125" w:rsidR="00BE06AA" w:rsidRPr="00AE70B8" w:rsidRDefault="00332228" w:rsidP="00687471">
            <w:pPr>
              <w:jc w:val="center"/>
              <w:rPr>
                <w:i/>
                <w:iCs/>
                <w:color w:val="000000"/>
                <w:kern w:val="22"/>
                <w:sz w:val="20"/>
                <w:szCs w:val="20"/>
                <w:lang w:val="fr-CA" w:eastAsia="zh-CN"/>
              </w:rPr>
            </w:pPr>
            <w:r w:rsidRPr="00AE70B8">
              <w:rPr>
                <w:i/>
                <w:iCs/>
                <w:color w:val="000000"/>
                <w:kern w:val="22"/>
                <w:sz w:val="20"/>
                <w:szCs w:val="20"/>
                <w:lang w:val="fr-CA" w:eastAsia="zh-CN"/>
              </w:rPr>
              <w:t>Total des coûts au titre du poste I</w:t>
            </w:r>
            <w:r w:rsidR="005543F7" w:rsidRPr="00AE70B8">
              <w:rPr>
                <w:i/>
                <w:iCs/>
                <w:color w:val="000000"/>
                <w:kern w:val="22"/>
                <w:sz w:val="20"/>
                <w:szCs w:val="20"/>
                <w:lang w:val="fr-CA" w:eastAsia="zh-CN"/>
              </w:rPr>
              <w:t xml:space="preserve"> (réunions) </w:t>
            </w:r>
          </w:p>
          <w:p w14:paraId="7BFE5745" w14:textId="5DF1323D" w:rsidR="000375DB" w:rsidRPr="00AE70B8" w:rsidRDefault="00E333B6" w:rsidP="00687471">
            <w:pPr>
              <w:jc w:val="center"/>
              <w:rPr>
                <w:i/>
                <w:iCs/>
                <w:color w:val="000000"/>
                <w:kern w:val="22"/>
                <w:sz w:val="20"/>
                <w:szCs w:val="20"/>
                <w:lang w:val="fr-CA" w:eastAsia="zh-CN"/>
              </w:rPr>
            </w:pPr>
            <w:r>
              <w:rPr>
                <w:i/>
                <w:iCs/>
                <w:color w:val="000000"/>
                <w:kern w:val="22"/>
                <w:sz w:val="20"/>
                <w:szCs w:val="20"/>
                <w:lang w:val="fr-CA" w:eastAsia="zh-CN"/>
              </w:rPr>
              <w:t>a</w:t>
            </w:r>
            <w:r w:rsidR="005543F7" w:rsidRPr="00AE70B8">
              <w:rPr>
                <w:i/>
                <w:iCs/>
                <w:color w:val="000000"/>
                <w:kern w:val="22"/>
                <w:sz w:val="20"/>
                <w:szCs w:val="20"/>
                <w:lang w:val="fr-CA" w:eastAsia="zh-CN"/>
              </w:rPr>
              <w:t>u 30 juin 2021 (budget de 2019-2020 et budget provisoire de 2021)</w:t>
            </w:r>
          </w:p>
        </w:tc>
        <w:tc>
          <w:tcPr>
            <w:tcW w:w="1820" w:type="dxa"/>
            <w:shd w:val="clear" w:color="auto" w:fill="auto"/>
            <w:vAlign w:val="center"/>
            <w:hideMark/>
          </w:tcPr>
          <w:p w14:paraId="6766EBC0" w14:textId="0DCD5068" w:rsidR="000375DB" w:rsidRPr="00AE70B8" w:rsidRDefault="005543F7" w:rsidP="005543F7">
            <w:pPr>
              <w:jc w:val="center"/>
              <w:rPr>
                <w:i/>
                <w:iCs/>
                <w:color w:val="000000"/>
                <w:kern w:val="22"/>
                <w:sz w:val="20"/>
                <w:szCs w:val="20"/>
                <w:lang w:val="fr-CA" w:eastAsia="zh-CN"/>
              </w:rPr>
            </w:pPr>
            <w:r w:rsidRPr="00AE70B8">
              <w:rPr>
                <w:i/>
                <w:iCs/>
                <w:color w:val="000000"/>
                <w:kern w:val="22"/>
                <w:sz w:val="20"/>
                <w:szCs w:val="20"/>
                <w:lang w:val="fr-CA" w:eastAsia="zh-CN"/>
              </w:rPr>
              <w:t>Coût (</w:t>
            </w:r>
            <w:r w:rsidR="009D72E2">
              <w:rPr>
                <w:i/>
                <w:iCs/>
                <w:color w:val="000000"/>
                <w:kern w:val="22"/>
                <w:sz w:val="20"/>
                <w:szCs w:val="20"/>
                <w:lang w:val="fr-CA" w:eastAsia="zh-CN"/>
              </w:rPr>
              <w:t xml:space="preserve">en </w:t>
            </w:r>
            <w:r w:rsidRPr="00AE70B8">
              <w:rPr>
                <w:i/>
                <w:iCs/>
                <w:color w:val="000000"/>
                <w:kern w:val="22"/>
                <w:sz w:val="20"/>
                <w:szCs w:val="20"/>
                <w:lang w:val="fr-CA" w:eastAsia="zh-CN"/>
              </w:rPr>
              <w:t>milliers de dollars des États-Unis</w:t>
            </w:r>
            <w:r w:rsidR="000375DB" w:rsidRPr="00AE70B8">
              <w:rPr>
                <w:i/>
                <w:iCs/>
                <w:color w:val="000000"/>
                <w:kern w:val="22"/>
                <w:sz w:val="20"/>
                <w:szCs w:val="20"/>
                <w:lang w:val="fr-CA" w:eastAsia="zh-CN"/>
              </w:rPr>
              <w:t>)</w:t>
            </w:r>
          </w:p>
        </w:tc>
      </w:tr>
      <w:tr w:rsidR="000375DB" w:rsidRPr="00AE70B8" w14:paraId="1538EA28" w14:textId="77777777" w:rsidTr="00282AF6">
        <w:trPr>
          <w:jc w:val="center"/>
        </w:trPr>
        <w:tc>
          <w:tcPr>
            <w:tcW w:w="7500" w:type="dxa"/>
            <w:shd w:val="clear" w:color="auto" w:fill="auto"/>
            <w:vAlign w:val="center"/>
            <w:hideMark/>
          </w:tcPr>
          <w:p w14:paraId="28CD65A6" w14:textId="3C97A83F" w:rsidR="000375DB" w:rsidRPr="00E333B6" w:rsidRDefault="0074516B" w:rsidP="00E333B6">
            <w:pPr>
              <w:rPr>
                <w:color w:val="000000"/>
                <w:kern w:val="22"/>
                <w:sz w:val="20"/>
                <w:szCs w:val="20"/>
                <w:lang w:val="fr-CA" w:eastAsia="zh-CN"/>
              </w:rPr>
            </w:pPr>
            <w:r w:rsidRPr="00E333B6">
              <w:rPr>
                <w:color w:val="000000"/>
                <w:kern w:val="22"/>
                <w:sz w:val="20"/>
                <w:szCs w:val="20"/>
                <w:lang w:val="fr-CA" w:eastAsia="zh-CN"/>
              </w:rPr>
              <w:t xml:space="preserve">Vingt-troisième réunion de l’Organe subsidiaire chargé de fournir des avis scientifiques, techniques et technologiques  </w:t>
            </w:r>
          </w:p>
        </w:tc>
        <w:tc>
          <w:tcPr>
            <w:tcW w:w="1820" w:type="dxa"/>
            <w:shd w:val="clear" w:color="auto" w:fill="auto"/>
            <w:vAlign w:val="center"/>
            <w:hideMark/>
          </w:tcPr>
          <w:p w14:paraId="6AC15078" w14:textId="4489B862" w:rsidR="000375DB" w:rsidRPr="00AE70B8" w:rsidRDefault="00DC3881" w:rsidP="00687471">
            <w:pPr>
              <w:jc w:val="right"/>
              <w:rPr>
                <w:color w:val="000000"/>
                <w:kern w:val="22"/>
                <w:sz w:val="20"/>
                <w:szCs w:val="20"/>
                <w:lang w:val="fr-CA" w:eastAsia="zh-CN"/>
              </w:rPr>
            </w:pPr>
            <w:r w:rsidRPr="00AE70B8">
              <w:rPr>
                <w:color w:val="000000"/>
                <w:kern w:val="22"/>
                <w:sz w:val="20"/>
                <w:szCs w:val="20"/>
                <w:lang w:val="fr-CA" w:eastAsia="zh-CN"/>
              </w:rPr>
              <w:t>316,</w:t>
            </w:r>
            <w:r w:rsidR="000375DB" w:rsidRPr="00AE70B8">
              <w:rPr>
                <w:color w:val="000000"/>
                <w:kern w:val="22"/>
                <w:sz w:val="20"/>
                <w:szCs w:val="20"/>
                <w:lang w:val="fr-CA" w:eastAsia="zh-CN"/>
              </w:rPr>
              <w:t>0</w:t>
            </w:r>
          </w:p>
        </w:tc>
      </w:tr>
      <w:tr w:rsidR="000375DB" w:rsidRPr="00AE70B8" w14:paraId="51CD2B8B" w14:textId="77777777" w:rsidTr="00282AF6">
        <w:trPr>
          <w:jc w:val="center"/>
        </w:trPr>
        <w:tc>
          <w:tcPr>
            <w:tcW w:w="7500" w:type="dxa"/>
            <w:shd w:val="clear" w:color="auto" w:fill="auto"/>
            <w:vAlign w:val="center"/>
            <w:hideMark/>
          </w:tcPr>
          <w:p w14:paraId="437BBCD9" w14:textId="7647E693" w:rsidR="000375DB" w:rsidRPr="00AE70B8" w:rsidRDefault="0074516B" w:rsidP="00E02087">
            <w:pPr>
              <w:rPr>
                <w:color w:val="000000"/>
                <w:kern w:val="22"/>
                <w:sz w:val="20"/>
                <w:szCs w:val="20"/>
                <w:lang w:val="fr-CA" w:eastAsia="zh-CN"/>
              </w:rPr>
            </w:pPr>
            <w:r>
              <w:rPr>
                <w:color w:val="000000"/>
                <w:kern w:val="22"/>
                <w:sz w:val="20"/>
                <w:szCs w:val="20"/>
                <w:lang w:val="fr-CA" w:eastAsia="zh-CN"/>
              </w:rPr>
              <w:t xml:space="preserve">Dixième réunion </w:t>
            </w:r>
            <w:r w:rsidR="00E02087">
              <w:rPr>
                <w:color w:val="000000"/>
                <w:kern w:val="22"/>
                <w:sz w:val="20"/>
                <w:szCs w:val="20"/>
                <w:lang w:val="fr-CA" w:eastAsia="zh-CN"/>
              </w:rPr>
              <w:t>du Groupe de travail sur l’article 8 J</w:t>
            </w:r>
          </w:p>
        </w:tc>
        <w:tc>
          <w:tcPr>
            <w:tcW w:w="1820" w:type="dxa"/>
            <w:shd w:val="clear" w:color="auto" w:fill="auto"/>
            <w:vAlign w:val="center"/>
            <w:hideMark/>
          </w:tcPr>
          <w:p w14:paraId="7D08B322" w14:textId="51B58378" w:rsidR="000375DB" w:rsidRPr="00AE70B8" w:rsidRDefault="00DC3881" w:rsidP="00687471">
            <w:pPr>
              <w:jc w:val="right"/>
              <w:rPr>
                <w:color w:val="000000"/>
                <w:kern w:val="22"/>
                <w:sz w:val="20"/>
                <w:szCs w:val="20"/>
                <w:lang w:val="fr-CA" w:eastAsia="zh-CN"/>
              </w:rPr>
            </w:pPr>
            <w:r w:rsidRPr="00AE70B8">
              <w:rPr>
                <w:color w:val="000000"/>
                <w:kern w:val="22"/>
                <w:sz w:val="20"/>
                <w:szCs w:val="20"/>
                <w:lang w:val="fr-CA" w:eastAsia="zh-CN"/>
              </w:rPr>
              <w:t>280,</w:t>
            </w:r>
            <w:r w:rsidR="000375DB" w:rsidRPr="00AE70B8">
              <w:rPr>
                <w:color w:val="000000"/>
                <w:kern w:val="22"/>
                <w:sz w:val="20"/>
                <w:szCs w:val="20"/>
                <w:lang w:val="fr-CA" w:eastAsia="zh-CN"/>
              </w:rPr>
              <w:t>0</w:t>
            </w:r>
          </w:p>
        </w:tc>
      </w:tr>
      <w:tr w:rsidR="000375DB" w:rsidRPr="00AE70B8" w14:paraId="57D853B5" w14:textId="77777777" w:rsidTr="00282AF6">
        <w:trPr>
          <w:jc w:val="center"/>
        </w:trPr>
        <w:tc>
          <w:tcPr>
            <w:tcW w:w="7500" w:type="dxa"/>
            <w:shd w:val="clear" w:color="auto" w:fill="auto"/>
            <w:vAlign w:val="center"/>
            <w:hideMark/>
          </w:tcPr>
          <w:p w14:paraId="470C47A4" w14:textId="58293ECF" w:rsidR="000375DB" w:rsidRPr="00AE70B8" w:rsidRDefault="0074516B" w:rsidP="0074516B">
            <w:pPr>
              <w:rPr>
                <w:color w:val="000000"/>
                <w:kern w:val="22"/>
                <w:sz w:val="20"/>
                <w:szCs w:val="20"/>
                <w:lang w:val="fr-CA" w:eastAsia="zh-CN"/>
              </w:rPr>
            </w:pPr>
            <w:r w:rsidRPr="00E333B6">
              <w:rPr>
                <w:color w:val="000000"/>
                <w:kern w:val="22"/>
                <w:sz w:val="20"/>
                <w:szCs w:val="20"/>
                <w:lang w:val="fr-CA" w:eastAsia="zh-CN"/>
              </w:rPr>
              <w:t>Vingt-</w:t>
            </w:r>
            <w:r>
              <w:rPr>
                <w:color w:val="000000"/>
                <w:kern w:val="22"/>
                <w:sz w:val="20"/>
                <w:szCs w:val="20"/>
                <w:lang w:val="fr-CA" w:eastAsia="zh-CN"/>
              </w:rPr>
              <w:t>quatrième</w:t>
            </w:r>
            <w:r w:rsidRPr="00E333B6">
              <w:rPr>
                <w:color w:val="000000"/>
                <w:kern w:val="22"/>
                <w:sz w:val="20"/>
                <w:szCs w:val="20"/>
                <w:lang w:val="fr-CA" w:eastAsia="zh-CN"/>
              </w:rPr>
              <w:t xml:space="preserve"> réunion de l’Organe subsidiaire chargé de fournir des avis scientifiques, techniques et technologiques</w:t>
            </w:r>
            <w:r>
              <w:rPr>
                <w:color w:val="000000"/>
                <w:kern w:val="22"/>
                <w:sz w:val="20"/>
                <w:szCs w:val="20"/>
                <w:lang w:val="fr-CA" w:eastAsia="zh-CN"/>
              </w:rPr>
              <w:t xml:space="preserve"> et troisième réunion de l’Organe subsidiaire chargé de l’application</w:t>
            </w:r>
            <w:r w:rsidRPr="00E333B6">
              <w:rPr>
                <w:color w:val="000000"/>
                <w:kern w:val="22"/>
                <w:sz w:val="20"/>
                <w:szCs w:val="20"/>
                <w:lang w:val="fr-CA" w:eastAsia="zh-CN"/>
              </w:rPr>
              <w:t xml:space="preserve"> </w:t>
            </w:r>
            <w:r w:rsidR="00CF40F0" w:rsidRPr="00AE70B8">
              <w:rPr>
                <w:color w:val="000000"/>
                <w:kern w:val="22"/>
                <w:sz w:val="20"/>
                <w:szCs w:val="20"/>
                <w:lang w:val="fr-CA" w:eastAsia="zh-CN"/>
              </w:rPr>
              <w:t>(</w:t>
            </w:r>
            <w:r w:rsidR="005543F7" w:rsidRPr="00AE70B8">
              <w:rPr>
                <w:color w:val="000000"/>
                <w:kern w:val="22"/>
                <w:sz w:val="20"/>
                <w:szCs w:val="20"/>
                <w:lang w:val="fr-CA" w:eastAsia="zh-CN"/>
              </w:rPr>
              <w:t>session virtuelles, comprenant les session formelles, informelles et spéciales</w:t>
            </w:r>
            <w:r w:rsidR="00CF40F0" w:rsidRPr="00AE70B8">
              <w:rPr>
                <w:color w:val="000000"/>
                <w:kern w:val="22"/>
                <w:sz w:val="20"/>
                <w:szCs w:val="20"/>
                <w:lang w:val="fr-CA" w:eastAsia="zh-CN"/>
              </w:rPr>
              <w:t>)</w:t>
            </w:r>
          </w:p>
        </w:tc>
        <w:tc>
          <w:tcPr>
            <w:tcW w:w="1820" w:type="dxa"/>
            <w:shd w:val="clear" w:color="auto" w:fill="auto"/>
            <w:vAlign w:val="center"/>
            <w:hideMark/>
          </w:tcPr>
          <w:p w14:paraId="3D2537BE" w14:textId="65ED84E7" w:rsidR="000375DB" w:rsidRPr="00AE70B8" w:rsidRDefault="000375DB" w:rsidP="00687471">
            <w:pPr>
              <w:jc w:val="right"/>
              <w:rPr>
                <w:color w:val="000000"/>
                <w:kern w:val="22"/>
                <w:sz w:val="20"/>
                <w:szCs w:val="20"/>
                <w:lang w:val="fr-CA" w:eastAsia="zh-CN"/>
              </w:rPr>
            </w:pPr>
            <w:r w:rsidRPr="00AE70B8">
              <w:rPr>
                <w:color w:val="000000"/>
                <w:kern w:val="22"/>
                <w:sz w:val="20"/>
                <w:szCs w:val="20"/>
                <w:lang w:val="fr-CA" w:eastAsia="zh-CN"/>
              </w:rPr>
              <w:t>1</w:t>
            </w:r>
            <w:r w:rsidR="00DC3881" w:rsidRPr="00AE70B8">
              <w:rPr>
                <w:color w:val="000000"/>
                <w:kern w:val="22"/>
                <w:sz w:val="20"/>
                <w:szCs w:val="20"/>
                <w:lang w:val="fr-CA" w:eastAsia="zh-CN"/>
              </w:rPr>
              <w:t xml:space="preserve"> 939,</w:t>
            </w:r>
            <w:r w:rsidRPr="00AE70B8">
              <w:rPr>
                <w:color w:val="000000"/>
                <w:kern w:val="22"/>
                <w:sz w:val="20"/>
                <w:szCs w:val="20"/>
                <w:lang w:val="fr-CA" w:eastAsia="zh-CN"/>
              </w:rPr>
              <w:t>4</w:t>
            </w:r>
          </w:p>
        </w:tc>
      </w:tr>
      <w:tr w:rsidR="000375DB" w:rsidRPr="00AE70B8" w14:paraId="12CC372D" w14:textId="77777777" w:rsidTr="00282AF6">
        <w:trPr>
          <w:jc w:val="center"/>
        </w:trPr>
        <w:tc>
          <w:tcPr>
            <w:tcW w:w="7500" w:type="dxa"/>
            <w:shd w:val="clear" w:color="auto" w:fill="auto"/>
            <w:vAlign w:val="center"/>
            <w:hideMark/>
          </w:tcPr>
          <w:p w14:paraId="466169E8" w14:textId="5131E0B8" w:rsidR="000375DB" w:rsidRPr="00AE70B8" w:rsidRDefault="005543F7" w:rsidP="0074516B">
            <w:pPr>
              <w:rPr>
                <w:b/>
                <w:bCs/>
                <w:color w:val="000000"/>
                <w:kern w:val="22"/>
                <w:sz w:val="20"/>
                <w:szCs w:val="20"/>
                <w:lang w:val="fr-CA" w:eastAsia="zh-CN"/>
              </w:rPr>
            </w:pPr>
            <w:r w:rsidRPr="00AE70B8">
              <w:rPr>
                <w:b/>
                <w:bCs/>
                <w:color w:val="000000"/>
                <w:kern w:val="22"/>
                <w:sz w:val="20"/>
                <w:szCs w:val="20"/>
                <w:lang w:val="fr-CA" w:eastAsia="zh-CN"/>
              </w:rPr>
              <w:t xml:space="preserve">Coût total </w:t>
            </w:r>
            <w:r w:rsidRPr="00AE70B8">
              <w:rPr>
                <w:bCs/>
                <w:color w:val="000000"/>
                <w:kern w:val="22"/>
                <w:sz w:val="20"/>
                <w:szCs w:val="20"/>
                <w:lang w:val="fr-CA" w:eastAsia="zh-CN"/>
              </w:rPr>
              <w:t xml:space="preserve">au 30 juin 2021 (ne comprenant pas </w:t>
            </w:r>
            <w:r w:rsidR="0074516B">
              <w:rPr>
                <w:bCs/>
                <w:color w:val="000000"/>
                <w:kern w:val="22"/>
                <w:sz w:val="20"/>
                <w:szCs w:val="20"/>
                <w:lang w:val="fr-CA" w:eastAsia="zh-CN"/>
              </w:rPr>
              <w:t>l</w:t>
            </w:r>
            <w:r w:rsidR="006847DE">
              <w:rPr>
                <w:bCs/>
                <w:color w:val="000000"/>
                <w:kern w:val="22"/>
                <w:sz w:val="20"/>
                <w:szCs w:val="20"/>
                <w:lang w:val="fr-CA" w:eastAsia="zh-CN"/>
              </w:rPr>
              <w:t>e Gro</w:t>
            </w:r>
            <w:r w:rsidR="0074516B">
              <w:rPr>
                <w:bCs/>
                <w:color w:val="000000"/>
                <w:kern w:val="22"/>
                <w:sz w:val="20"/>
                <w:szCs w:val="20"/>
                <w:lang w:val="fr-CA" w:eastAsia="zh-CN"/>
              </w:rPr>
              <w:t>upe de travail à composition non limitée sur</w:t>
            </w:r>
            <w:r w:rsidR="006847DE">
              <w:rPr>
                <w:bCs/>
                <w:color w:val="000000"/>
                <w:kern w:val="22"/>
                <w:sz w:val="20"/>
                <w:szCs w:val="20"/>
                <w:lang w:val="fr-CA" w:eastAsia="zh-CN"/>
              </w:rPr>
              <w:t xml:space="preserve"> le cadre mondial de la biodiversité pour l'après-2020</w:t>
            </w:r>
            <w:r w:rsidR="00DC1AE0" w:rsidRPr="00AE70B8">
              <w:rPr>
                <w:color w:val="000000"/>
                <w:kern w:val="22"/>
                <w:sz w:val="20"/>
                <w:szCs w:val="20"/>
                <w:lang w:val="fr-CA" w:eastAsia="zh-CN"/>
              </w:rPr>
              <w:t xml:space="preserve">*) </w:t>
            </w:r>
            <w:r w:rsidR="000375DB" w:rsidRPr="00AE70B8">
              <w:rPr>
                <w:b/>
                <w:bCs/>
                <w:color w:val="000000"/>
                <w:kern w:val="22"/>
                <w:sz w:val="20"/>
                <w:szCs w:val="20"/>
                <w:lang w:val="fr-CA" w:eastAsia="zh-CN"/>
              </w:rPr>
              <w:t>(A)</w:t>
            </w:r>
          </w:p>
        </w:tc>
        <w:tc>
          <w:tcPr>
            <w:tcW w:w="1820" w:type="dxa"/>
            <w:shd w:val="clear" w:color="auto" w:fill="auto"/>
            <w:vAlign w:val="center"/>
            <w:hideMark/>
          </w:tcPr>
          <w:p w14:paraId="2228D04F" w14:textId="2F17BDA9" w:rsidR="000375DB" w:rsidRPr="00AE70B8" w:rsidRDefault="000375DB" w:rsidP="00687471">
            <w:pPr>
              <w:jc w:val="right"/>
              <w:rPr>
                <w:b/>
                <w:bCs/>
                <w:color w:val="000000"/>
                <w:kern w:val="22"/>
                <w:sz w:val="20"/>
                <w:szCs w:val="20"/>
                <w:lang w:val="fr-CA" w:eastAsia="zh-CN"/>
              </w:rPr>
            </w:pPr>
            <w:r w:rsidRPr="00AE70B8">
              <w:rPr>
                <w:b/>
                <w:bCs/>
                <w:color w:val="000000"/>
                <w:kern w:val="22"/>
                <w:sz w:val="20"/>
                <w:szCs w:val="20"/>
                <w:lang w:val="fr-CA" w:eastAsia="zh-CN"/>
              </w:rPr>
              <w:t>2</w:t>
            </w:r>
            <w:r w:rsidR="00DC3881" w:rsidRPr="00AE70B8">
              <w:rPr>
                <w:b/>
                <w:bCs/>
                <w:color w:val="000000"/>
                <w:kern w:val="22"/>
                <w:sz w:val="20"/>
                <w:szCs w:val="20"/>
                <w:lang w:val="fr-CA" w:eastAsia="zh-CN"/>
              </w:rPr>
              <w:t> </w:t>
            </w:r>
            <w:r w:rsidR="00DC3881" w:rsidRPr="00AE70B8">
              <w:rPr>
                <w:b/>
                <w:color w:val="000000"/>
                <w:kern w:val="22"/>
                <w:sz w:val="20"/>
                <w:szCs w:val="20"/>
                <w:lang w:val="fr-CA" w:eastAsia="zh-CN"/>
              </w:rPr>
              <w:t>535,</w:t>
            </w:r>
            <w:r w:rsidR="00DC4315" w:rsidRPr="00AE70B8">
              <w:rPr>
                <w:b/>
                <w:color w:val="000000"/>
                <w:kern w:val="22"/>
                <w:sz w:val="20"/>
                <w:szCs w:val="20"/>
                <w:lang w:val="fr-CA" w:eastAsia="zh-CN"/>
              </w:rPr>
              <w:t>4</w:t>
            </w:r>
          </w:p>
        </w:tc>
      </w:tr>
      <w:tr w:rsidR="000375DB" w:rsidRPr="00AE70B8" w14:paraId="541124F3" w14:textId="77777777" w:rsidTr="00282AF6">
        <w:trPr>
          <w:jc w:val="center"/>
        </w:trPr>
        <w:tc>
          <w:tcPr>
            <w:tcW w:w="7500" w:type="dxa"/>
            <w:shd w:val="clear" w:color="auto" w:fill="auto"/>
            <w:vAlign w:val="center"/>
            <w:hideMark/>
          </w:tcPr>
          <w:p w14:paraId="3F6D6FF9" w14:textId="5DB32350" w:rsidR="000375DB" w:rsidRPr="00AE70B8" w:rsidRDefault="005543F7" w:rsidP="00687471">
            <w:pPr>
              <w:rPr>
                <w:b/>
                <w:bCs/>
                <w:color w:val="000000"/>
                <w:kern w:val="22"/>
                <w:sz w:val="20"/>
                <w:szCs w:val="20"/>
                <w:lang w:val="fr-CA" w:eastAsia="zh-CN"/>
              </w:rPr>
            </w:pPr>
            <w:r w:rsidRPr="00AE70B8">
              <w:rPr>
                <w:b/>
                <w:bCs/>
                <w:color w:val="000000"/>
                <w:kern w:val="22"/>
                <w:sz w:val="20"/>
                <w:szCs w:val="20"/>
                <w:lang w:val="fr-CA" w:eastAsia="zh-CN"/>
              </w:rPr>
              <w:t>Budget disponible</w:t>
            </w:r>
            <w:r w:rsidR="000375DB" w:rsidRPr="00AE70B8">
              <w:rPr>
                <w:b/>
                <w:bCs/>
                <w:color w:val="000000"/>
                <w:kern w:val="22"/>
                <w:sz w:val="20"/>
                <w:szCs w:val="20"/>
                <w:lang w:val="fr-CA" w:eastAsia="zh-CN"/>
              </w:rPr>
              <w:t xml:space="preserve"> (B)</w:t>
            </w:r>
            <w:r w:rsidRPr="00AE70B8">
              <w:rPr>
                <w:b/>
                <w:bCs/>
                <w:color w:val="000000"/>
                <w:kern w:val="22"/>
                <w:sz w:val="20"/>
                <w:szCs w:val="20"/>
                <w:lang w:val="fr-CA" w:eastAsia="zh-CN"/>
              </w:rPr>
              <w:t xml:space="preserve"> </w:t>
            </w:r>
            <w:r w:rsidR="000375DB" w:rsidRPr="00AE70B8">
              <w:rPr>
                <w:b/>
                <w:bCs/>
                <w:color w:val="000000"/>
                <w:kern w:val="22"/>
                <w:sz w:val="20"/>
                <w:szCs w:val="20"/>
                <w:lang w:val="fr-CA" w:eastAsia="zh-CN"/>
              </w:rPr>
              <w:t>:</w:t>
            </w:r>
          </w:p>
        </w:tc>
        <w:tc>
          <w:tcPr>
            <w:tcW w:w="1820" w:type="dxa"/>
            <w:vMerge w:val="restart"/>
            <w:shd w:val="clear" w:color="auto" w:fill="auto"/>
            <w:vAlign w:val="center"/>
            <w:hideMark/>
          </w:tcPr>
          <w:p w14:paraId="646D66E4" w14:textId="4787F0D6" w:rsidR="000375DB" w:rsidRPr="00AE70B8" w:rsidRDefault="00DC3881" w:rsidP="00687471">
            <w:pPr>
              <w:jc w:val="right"/>
              <w:rPr>
                <w:color w:val="000000"/>
                <w:kern w:val="22"/>
                <w:sz w:val="20"/>
                <w:szCs w:val="20"/>
                <w:lang w:val="fr-CA" w:eastAsia="zh-CN"/>
              </w:rPr>
            </w:pPr>
            <w:r w:rsidRPr="00AE70B8">
              <w:rPr>
                <w:color w:val="000000"/>
                <w:kern w:val="22"/>
                <w:sz w:val="20"/>
                <w:szCs w:val="20"/>
                <w:lang w:val="fr-CA" w:eastAsia="zh-CN"/>
              </w:rPr>
              <w:t>4 013,</w:t>
            </w:r>
            <w:r w:rsidR="000375DB" w:rsidRPr="00AE70B8">
              <w:rPr>
                <w:color w:val="000000"/>
                <w:kern w:val="22"/>
                <w:sz w:val="20"/>
                <w:szCs w:val="20"/>
                <w:lang w:val="fr-CA" w:eastAsia="zh-CN"/>
              </w:rPr>
              <w:t>4</w:t>
            </w:r>
          </w:p>
        </w:tc>
      </w:tr>
      <w:tr w:rsidR="000375DB" w:rsidRPr="00AE70B8" w14:paraId="5CC5A26A" w14:textId="77777777" w:rsidTr="00282AF6">
        <w:trPr>
          <w:jc w:val="center"/>
        </w:trPr>
        <w:tc>
          <w:tcPr>
            <w:tcW w:w="7500" w:type="dxa"/>
            <w:shd w:val="clear" w:color="auto" w:fill="auto"/>
            <w:vAlign w:val="center"/>
            <w:hideMark/>
          </w:tcPr>
          <w:p w14:paraId="30C35C3D" w14:textId="7F00603E" w:rsidR="000375DB" w:rsidRPr="00AE70B8" w:rsidRDefault="00DC3881" w:rsidP="00DC3881">
            <w:pPr>
              <w:rPr>
                <w:color w:val="000000"/>
                <w:kern w:val="22"/>
                <w:sz w:val="20"/>
                <w:szCs w:val="20"/>
                <w:lang w:val="fr-CA" w:eastAsia="zh-CN"/>
              </w:rPr>
            </w:pPr>
            <w:r w:rsidRPr="00AE70B8">
              <w:rPr>
                <w:color w:val="000000"/>
                <w:kern w:val="22"/>
                <w:sz w:val="20"/>
                <w:szCs w:val="20"/>
                <w:lang w:val="fr-CA" w:eastAsia="zh-CN"/>
              </w:rPr>
              <w:t xml:space="preserve">Budget de </w:t>
            </w:r>
            <w:r w:rsidR="000375DB" w:rsidRPr="00AE70B8">
              <w:rPr>
                <w:color w:val="000000"/>
                <w:kern w:val="22"/>
                <w:sz w:val="20"/>
                <w:szCs w:val="20"/>
                <w:lang w:val="fr-CA" w:eastAsia="zh-CN"/>
              </w:rPr>
              <w:t>2019-2020 : 3</w:t>
            </w:r>
            <w:r w:rsidRPr="00AE70B8">
              <w:rPr>
                <w:color w:val="000000"/>
                <w:kern w:val="22"/>
                <w:sz w:val="20"/>
                <w:szCs w:val="20"/>
                <w:lang w:val="fr-CA" w:eastAsia="zh-CN"/>
              </w:rPr>
              <w:t> </w:t>
            </w:r>
            <w:r w:rsidR="000375DB" w:rsidRPr="00AE70B8">
              <w:rPr>
                <w:color w:val="000000"/>
                <w:kern w:val="22"/>
                <w:sz w:val="20"/>
                <w:szCs w:val="20"/>
                <w:lang w:val="fr-CA" w:eastAsia="zh-CN"/>
              </w:rPr>
              <w:t>688</w:t>
            </w:r>
            <w:r w:rsidRPr="00AE70B8">
              <w:rPr>
                <w:color w:val="000000"/>
                <w:kern w:val="22"/>
                <w:sz w:val="20"/>
                <w:szCs w:val="20"/>
                <w:lang w:val="fr-CA" w:eastAsia="zh-CN"/>
              </w:rPr>
              <w:t> </w:t>
            </w:r>
            <w:r w:rsidR="000375DB" w:rsidRPr="00AE70B8">
              <w:rPr>
                <w:color w:val="000000"/>
                <w:kern w:val="22"/>
                <w:sz w:val="20"/>
                <w:szCs w:val="20"/>
                <w:lang w:val="fr-CA" w:eastAsia="zh-CN"/>
              </w:rPr>
              <w:t>000</w:t>
            </w:r>
            <w:r w:rsidRPr="00AE70B8">
              <w:rPr>
                <w:color w:val="000000"/>
                <w:kern w:val="22"/>
                <w:sz w:val="20"/>
                <w:szCs w:val="20"/>
                <w:lang w:val="fr-CA" w:eastAsia="zh-CN"/>
              </w:rPr>
              <w:t xml:space="preserve"> $US</w:t>
            </w:r>
          </w:p>
        </w:tc>
        <w:tc>
          <w:tcPr>
            <w:tcW w:w="1820" w:type="dxa"/>
            <w:vMerge/>
            <w:vAlign w:val="center"/>
            <w:hideMark/>
          </w:tcPr>
          <w:p w14:paraId="51B66175" w14:textId="77777777" w:rsidR="000375DB" w:rsidRPr="00AE70B8" w:rsidRDefault="000375DB" w:rsidP="00687471">
            <w:pPr>
              <w:jc w:val="left"/>
              <w:rPr>
                <w:color w:val="000000"/>
                <w:kern w:val="22"/>
                <w:sz w:val="20"/>
                <w:szCs w:val="20"/>
                <w:lang w:val="fr-CA" w:eastAsia="zh-CN"/>
              </w:rPr>
            </w:pPr>
          </w:p>
        </w:tc>
      </w:tr>
      <w:tr w:rsidR="000375DB" w:rsidRPr="00AE70B8" w14:paraId="0746F0A3" w14:textId="77777777" w:rsidTr="00282AF6">
        <w:trPr>
          <w:jc w:val="center"/>
        </w:trPr>
        <w:tc>
          <w:tcPr>
            <w:tcW w:w="7500" w:type="dxa"/>
            <w:shd w:val="clear" w:color="auto" w:fill="auto"/>
            <w:vAlign w:val="center"/>
            <w:hideMark/>
          </w:tcPr>
          <w:p w14:paraId="24F49F57" w14:textId="7F706D9F" w:rsidR="000375DB" w:rsidRPr="00AE70B8" w:rsidRDefault="00DC3881" w:rsidP="00687471">
            <w:pPr>
              <w:rPr>
                <w:color w:val="000000"/>
                <w:kern w:val="22"/>
                <w:sz w:val="20"/>
                <w:szCs w:val="20"/>
                <w:lang w:val="fr-CA" w:eastAsia="zh-CN"/>
              </w:rPr>
            </w:pPr>
            <w:r w:rsidRPr="00AE70B8">
              <w:rPr>
                <w:color w:val="000000"/>
                <w:kern w:val="22"/>
                <w:sz w:val="20"/>
                <w:szCs w:val="20"/>
                <w:lang w:val="fr-CA" w:eastAsia="zh-CN"/>
              </w:rPr>
              <w:t>Budget provisoire de 2021 : 271 000 $US</w:t>
            </w:r>
          </w:p>
        </w:tc>
        <w:tc>
          <w:tcPr>
            <w:tcW w:w="1820" w:type="dxa"/>
            <w:vMerge/>
            <w:vAlign w:val="center"/>
            <w:hideMark/>
          </w:tcPr>
          <w:p w14:paraId="5791967C" w14:textId="77777777" w:rsidR="000375DB" w:rsidRPr="00AE70B8" w:rsidRDefault="000375DB" w:rsidP="00687471">
            <w:pPr>
              <w:jc w:val="left"/>
              <w:rPr>
                <w:color w:val="000000"/>
                <w:kern w:val="22"/>
                <w:sz w:val="20"/>
                <w:szCs w:val="20"/>
                <w:lang w:val="fr-CA" w:eastAsia="zh-CN"/>
              </w:rPr>
            </w:pPr>
          </w:p>
        </w:tc>
      </w:tr>
      <w:tr w:rsidR="000375DB" w:rsidRPr="00E70A04" w14:paraId="6BA1DE2B" w14:textId="77777777" w:rsidTr="00282AF6">
        <w:trPr>
          <w:jc w:val="center"/>
        </w:trPr>
        <w:tc>
          <w:tcPr>
            <w:tcW w:w="7500" w:type="dxa"/>
            <w:shd w:val="clear" w:color="auto" w:fill="auto"/>
            <w:vAlign w:val="center"/>
            <w:hideMark/>
          </w:tcPr>
          <w:p w14:paraId="478A4BAC" w14:textId="23844D91" w:rsidR="000375DB" w:rsidRPr="00AE70B8" w:rsidRDefault="00DC3881" w:rsidP="00687471">
            <w:pPr>
              <w:rPr>
                <w:color w:val="000000"/>
                <w:kern w:val="22"/>
                <w:sz w:val="20"/>
                <w:szCs w:val="20"/>
                <w:lang w:val="fr-CA" w:eastAsia="zh-CN"/>
              </w:rPr>
            </w:pPr>
            <w:r w:rsidRPr="00AE70B8">
              <w:rPr>
                <w:color w:val="000000"/>
                <w:kern w:val="22"/>
                <w:sz w:val="20"/>
                <w:szCs w:val="20"/>
                <w:lang w:val="fr-CA" w:eastAsia="zh-CN"/>
              </w:rPr>
              <w:t>Contributions volontaires des gouvernements du Canada et du Royaume-Uni : 53 637 $US</w:t>
            </w:r>
          </w:p>
        </w:tc>
        <w:tc>
          <w:tcPr>
            <w:tcW w:w="1820" w:type="dxa"/>
            <w:vMerge/>
            <w:vAlign w:val="center"/>
            <w:hideMark/>
          </w:tcPr>
          <w:p w14:paraId="1F85D0A4" w14:textId="77777777" w:rsidR="000375DB" w:rsidRPr="00AE70B8" w:rsidRDefault="000375DB" w:rsidP="00687471">
            <w:pPr>
              <w:jc w:val="left"/>
              <w:rPr>
                <w:color w:val="000000"/>
                <w:kern w:val="22"/>
                <w:sz w:val="20"/>
                <w:szCs w:val="20"/>
                <w:lang w:val="fr-CA" w:eastAsia="zh-CN"/>
              </w:rPr>
            </w:pPr>
          </w:p>
        </w:tc>
      </w:tr>
      <w:tr w:rsidR="000375DB" w:rsidRPr="00AE70B8" w14:paraId="02380203" w14:textId="77777777" w:rsidTr="00282AF6">
        <w:trPr>
          <w:jc w:val="center"/>
        </w:trPr>
        <w:tc>
          <w:tcPr>
            <w:tcW w:w="7500" w:type="dxa"/>
            <w:shd w:val="clear" w:color="auto" w:fill="auto"/>
            <w:vAlign w:val="center"/>
            <w:hideMark/>
          </w:tcPr>
          <w:p w14:paraId="3BD51979" w14:textId="48835445" w:rsidR="000375DB" w:rsidRPr="00AE70B8" w:rsidRDefault="00DC3881" w:rsidP="00687471">
            <w:pPr>
              <w:rPr>
                <w:b/>
                <w:bCs/>
                <w:color w:val="000000"/>
                <w:kern w:val="22"/>
                <w:sz w:val="20"/>
                <w:szCs w:val="20"/>
                <w:lang w:val="fr-CA" w:eastAsia="zh-CN"/>
              </w:rPr>
            </w:pPr>
            <w:r w:rsidRPr="00AE70B8">
              <w:rPr>
                <w:b/>
                <w:bCs/>
                <w:color w:val="000000"/>
                <w:kern w:val="22"/>
                <w:sz w:val="20"/>
                <w:szCs w:val="20"/>
                <w:lang w:val="fr-CA" w:eastAsia="zh-CN"/>
              </w:rPr>
              <w:t>Ressources nécessaires en 20</w:t>
            </w:r>
            <w:r w:rsidR="000375DB" w:rsidRPr="00AE70B8">
              <w:rPr>
                <w:b/>
                <w:bCs/>
                <w:color w:val="000000"/>
                <w:kern w:val="22"/>
                <w:sz w:val="20"/>
                <w:szCs w:val="20"/>
                <w:lang w:val="fr-CA" w:eastAsia="zh-CN"/>
              </w:rPr>
              <w:t>22 (C)</w:t>
            </w:r>
          </w:p>
        </w:tc>
        <w:tc>
          <w:tcPr>
            <w:tcW w:w="1820" w:type="dxa"/>
            <w:vMerge w:val="restart"/>
            <w:shd w:val="clear" w:color="auto" w:fill="auto"/>
            <w:vAlign w:val="center"/>
            <w:hideMark/>
          </w:tcPr>
          <w:p w14:paraId="793F088D" w14:textId="09436CAE" w:rsidR="000375DB" w:rsidRPr="00AE70B8" w:rsidRDefault="00DC3881" w:rsidP="00687471">
            <w:pPr>
              <w:jc w:val="right"/>
              <w:rPr>
                <w:color w:val="000000"/>
                <w:kern w:val="22"/>
                <w:sz w:val="20"/>
                <w:szCs w:val="20"/>
                <w:lang w:val="fr-CA" w:eastAsia="zh-CN"/>
              </w:rPr>
            </w:pPr>
            <w:r w:rsidRPr="00AE70B8">
              <w:rPr>
                <w:color w:val="000000"/>
                <w:kern w:val="22"/>
                <w:sz w:val="20"/>
                <w:szCs w:val="20"/>
                <w:lang w:val="fr-CA" w:eastAsia="zh-CN"/>
              </w:rPr>
              <w:t>2 </w:t>
            </w:r>
            <w:r w:rsidR="00DC4315" w:rsidRPr="00AE70B8">
              <w:rPr>
                <w:color w:val="000000"/>
                <w:kern w:val="22"/>
                <w:sz w:val="20"/>
                <w:szCs w:val="20"/>
                <w:lang w:val="fr-CA" w:eastAsia="zh-CN"/>
              </w:rPr>
              <w:t>870</w:t>
            </w:r>
            <w:r w:rsidRPr="00AE70B8">
              <w:rPr>
                <w:color w:val="000000"/>
                <w:kern w:val="22"/>
                <w:sz w:val="20"/>
                <w:szCs w:val="20"/>
                <w:lang w:val="fr-CA" w:eastAsia="zh-CN"/>
              </w:rPr>
              <w:t>,</w:t>
            </w:r>
            <w:r w:rsidR="000375DB" w:rsidRPr="00AE70B8">
              <w:rPr>
                <w:color w:val="000000"/>
                <w:kern w:val="22"/>
                <w:sz w:val="20"/>
                <w:szCs w:val="20"/>
                <w:lang w:val="fr-CA" w:eastAsia="zh-CN"/>
              </w:rPr>
              <w:t>0</w:t>
            </w:r>
          </w:p>
        </w:tc>
      </w:tr>
      <w:tr w:rsidR="000375DB" w:rsidRPr="00E70A04" w14:paraId="42F6A5A9" w14:textId="77777777" w:rsidTr="00282AF6">
        <w:trPr>
          <w:jc w:val="center"/>
        </w:trPr>
        <w:tc>
          <w:tcPr>
            <w:tcW w:w="7500" w:type="dxa"/>
            <w:shd w:val="clear" w:color="auto" w:fill="auto"/>
            <w:vAlign w:val="center"/>
            <w:hideMark/>
          </w:tcPr>
          <w:p w14:paraId="39B1D913" w14:textId="3B683BFD" w:rsidR="000375DB" w:rsidRPr="00AE70B8" w:rsidRDefault="00DC3881" w:rsidP="00191392">
            <w:pPr>
              <w:rPr>
                <w:color w:val="000000"/>
                <w:kern w:val="22"/>
                <w:sz w:val="20"/>
                <w:szCs w:val="20"/>
                <w:lang w:val="fr-CA" w:eastAsia="zh-CN"/>
              </w:rPr>
            </w:pPr>
            <w:r w:rsidRPr="00AE70B8">
              <w:rPr>
                <w:color w:val="000000"/>
                <w:kern w:val="22"/>
                <w:sz w:val="20"/>
                <w:szCs w:val="20"/>
                <w:lang w:val="fr-CA" w:eastAsia="zh-CN"/>
              </w:rPr>
              <w:t xml:space="preserve">Reprise </w:t>
            </w:r>
            <w:r w:rsidR="006847DE">
              <w:rPr>
                <w:color w:val="000000"/>
                <w:kern w:val="22"/>
                <w:sz w:val="20"/>
                <w:szCs w:val="20"/>
                <w:lang w:val="fr-CA" w:eastAsia="zh-CN"/>
              </w:rPr>
              <w:t>de la v</w:t>
            </w:r>
            <w:r w:rsidR="006847DE" w:rsidRPr="00E333B6">
              <w:rPr>
                <w:color w:val="000000"/>
                <w:kern w:val="22"/>
                <w:sz w:val="20"/>
                <w:szCs w:val="20"/>
                <w:lang w:val="fr-CA" w:eastAsia="zh-CN"/>
              </w:rPr>
              <w:t>ingt-</w:t>
            </w:r>
            <w:r w:rsidR="006847DE">
              <w:rPr>
                <w:color w:val="000000"/>
                <w:kern w:val="22"/>
                <w:sz w:val="20"/>
                <w:szCs w:val="20"/>
                <w:lang w:val="fr-CA" w:eastAsia="zh-CN"/>
              </w:rPr>
              <w:t>quatrième</w:t>
            </w:r>
            <w:r w:rsidR="006847DE" w:rsidRPr="00E333B6">
              <w:rPr>
                <w:color w:val="000000"/>
                <w:kern w:val="22"/>
                <w:sz w:val="20"/>
                <w:szCs w:val="20"/>
                <w:lang w:val="fr-CA" w:eastAsia="zh-CN"/>
              </w:rPr>
              <w:t xml:space="preserve"> réunion de l’Organe subsidiaire chargé de fournir des avis scientifiques, techniques et technologique</w:t>
            </w:r>
            <w:r w:rsidR="006847DE">
              <w:rPr>
                <w:color w:val="000000"/>
                <w:kern w:val="22"/>
                <w:sz w:val="20"/>
                <w:szCs w:val="20"/>
                <w:lang w:val="fr-CA" w:eastAsia="zh-CN"/>
              </w:rPr>
              <w:t xml:space="preserve">s, de la troisième réunion de l’Organe subsidiaire chargé de l’application et de la troisième réunion du </w:t>
            </w:r>
            <w:r w:rsidR="006847DE">
              <w:rPr>
                <w:bCs/>
                <w:color w:val="000000"/>
                <w:kern w:val="22"/>
                <w:sz w:val="20"/>
                <w:szCs w:val="20"/>
                <w:lang w:val="fr-CA" w:eastAsia="zh-CN"/>
              </w:rPr>
              <w:t>Groupe de travail à composition non limitée sur le cadre mondial de la biodiversité pour l'après-2020</w:t>
            </w:r>
            <w:r w:rsidRPr="00AE70B8">
              <w:rPr>
                <w:color w:val="000000"/>
                <w:kern w:val="22"/>
                <w:sz w:val="20"/>
                <w:szCs w:val="20"/>
                <w:lang w:val="fr-CA" w:eastAsia="zh-CN"/>
              </w:rPr>
              <w:t xml:space="preserve"> </w:t>
            </w:r>
            <w:r w:rsidR="000375DB" w:rsidRPr="00AE70B8">
              <w:rPr>
                <w:color w:val="000000"/>
                <w:kern w:val="22"/>
                <w:sz w:val="20"/>
                <w:szCs w:val="20"/>
                <w:lang w:val="fr-CA" w:eastAsia="zh-CN"/>
              </w:rPr>
              <w:t xml:space="preserve">: </w:t>
            </w:r>
            <w:r w:rsidRPr="00AE70B8">
              <w:rPr>
                <w:color w:val="000000"/>
                <w:kern w:val="22"/>
                <w:sz w:val="20"/>
                <w:szCs w:val="20"/>
                <w:lang w:val="fr-CA" w:eastAsia="zh-CN"/>
              </w:rPr>
              <w:t>951 000 $US</w:t>
            </w:r>
          </w:p>
        </w:tc>
        <w:tc>
          <w:tcPr>
            <w:tcW w:w="1820" w:type="dxa"/>
            <w:vMerge/>
            <w:vAlign w:val="center"/>
            <w:hideMark/>
          </w:tcPr>
          <w:p w14:paraId="76E17948" w14:textId="77777777" w:rsidR="000375DB" w:rsidRPr="00AE70B8" w:rsidRDefault="000375DB" w:rsidP="00687471">
            <w:pPr>
              <w:jc w:val="left"/>
              <w:rPr>
                <w:color w:val="000000"/>
                <w:kern w:val="22"/>
                <w:sz w:val="20"/>
                <w:szCs w:val="20"/>
                <w:lang w:val="fr-CA" w:eastAsia="zh-CN"/>
              </w:rPr>
            </w:pPr>
          </w:p>
        </w:tc>
      </w:tr>
      <w:tr w:rsidR="000375DB" w:rsidRPr="00E70A04" w14:paraId="081362DA" w14:textId="77777777" w:rsidTr="00282AF6">
        <w:trPr>
          <w:jc w:val="center"/>
        </w:trPr>
        <w:tc>
          <w:tcPr>
            <w:tcW w:w="7500" w:type="dxa"/>
            <w:shd w:val="clear" w:color="auto" w:fill="auto"/>
            <w:vAlign w:val="center"/>
            <w:hideMark/>
          </w:tcPr>
          <w:p w14:paraId="0B3E0A75" w14:textId="3B2A1E43" w:rsidR="000375DB" w:rsidRPr="006847DE" w:rsidRDefault="006847DE" w:rsidP="00DC3881">
            <w:pPr>
              <w:rPr>
                <w:color w:val="000000"/>
                <w:kern w:val="22"/>
                <w:sz w:val="20"/>
                <w:szCs w:val="20"/>
                <w:lang w:val="fr-CA" w:eastAsia="zh-CN"/>
              </w:rPr>
            </w:pPr>
            <w:r w:rsidRPr="006847DE">
              <w:rPr>
                <w:color w:val="000000"/>
                <w:kern w:val="22"/>
                <w:sz w:val="20"/>
                <w:szCs w:val="20"/>
                <w:lang w:val="fr-CA" w:eastAsia="zh-CN"/>
              </w:rPr>
              <w:t xml:space="preserve">Quinzième </w:t>
            </w:r>
            <w:r w:rsidR="00366C18">
              <w:rPr>
                <w:color w:val="000000"/>
                <w:kern w:val="22"/>
                <w:sz w:val="20"/>
                <w:szCs w:val="20"/>
                <w:lang w:val="fr-CA" w:eastAsia="zh-CN"/>
              </w:rPr>
              <w:t>ré</w:t>
            </w:r>
            <w:r w:rsidRPr="006847DE">
              <w:rPr>
                <w:color w:val="000000"/>
                <w:kern w:val="22"/>
                <w:sz w:val="20"/>
                <w:szCs w:val="20"/>
                <w:lang w:val="fr-CA" w:eastAsia="zh-CN"/>
              </w:rPr>
              <w:t xml:space="preserve">union </w:t>
            </w:r>
            <w:r w:rsidR="00366C18">
              <w:rPr>
                <w:color w:val="000000"/>
                <w:kern w:val="22"/>
                <w:sz w:val="20"/>
                <w:szCs w:val="20"/>
                <w:lang w:val="fr-CA" w:eastAsia="zh-CN"/>
              </w:rPr>
              <w:t>de la Co</w:t>
            </w:r>
            <w:r w:rsidRPr="006847DE">
              <w:rPr>
                <w:color w:val="000000"/>
                <w:kern w:val="22"/>
                <w:sz w:val="20"/>
                <w:szCs w:val="20"/>
                <w:lang w:val="fr-CA" w:eastAsia="zh-CN"/>
              </w:rPr>
              <w:t>nférence des Parties, dixi</w:t>
            </w:r>
            <w:r>
              <w:rPr>
                <w:color w:val="000000"/>
                <w:kern w:val="22"/>
                <w:sz w:val="20"/>
                <w:szCs w:val="20"/>
                <w:lang w:val="fr-CA" w:eastAsia="zh-CN"/>
              </w:rPr>
              <w:t xml:space="preserve">ème réunion de la Conférence des Parties siégeant en tant que réunion des Parties </w:t>
            </w:r>
            <w:r w:rsidR="00366C18">
              <w:rPr>
                <w:color w:val="000000"/>
                <w:kern w:val="22"/>
                <w:sz w:val="20"/>
                <w:szCs w:val="20"/>
                <w:lang w:val="fr-CA" w:eastAsia="zh-CN"/>
              </w:rPr>
              <w:t>au Protocole de Cartagena et quatrième réunion de la Conférence des Parties siégeant en tant que réunion des Parties au Protocole de Nagoya</w:t>
            </w:r>
            <w:r w:rsidR="00DC3881" w:rsidRPr="006847DE">
              <w:rPr>
                <w:color w:val="000000"/>
                <w:kern w:val="22"/>
                <w:sz w:val="20"/>
                <w:szCs w:val="20"/>
                <w:lang w:val="fr-CA" w:eastAsia="zh-CN"/>
              </w:rPr>
              <w:t xml:space="preserve"> </w:t>
            </w:r>
            <w:r w:rsidR="000375DB" w:rsidRPr="006847DE">
              <w:rPr>
                <w:color w:val="000000"/>
                <w:kern w:val="22"/>
                <w:sz w:val="20"/>
                <w:szCs w:val="20"/>
                <w:lang w:val="fr-CA" w:eastAsia="zh-CN"/>
              </w:rPr>
              <w:t xml:space="preserve">: </w:t>
            </w:r>
            <w:r w:rsidR="00DC3881" w:rsidRPr="006847DE">
              <w:rPr>
                <w:color w:val="000000"/>
                <w:kern w:val="22"/>
                <w:sz w:val="20"/>
                <w:szCs w:val="20"/>
                <w:lang w:val="fr-CA" w:eastAsia="zh-CN"/>
              </w:rPr>
              <w:t>1 919 000 $US</w:t>
            </w:r>
          </w:p>
        </w:tc>
        <w:tc>
          <w:tcPr>
            <w:tcW w:w="1820" w:type="dxa"/>
            <w:vMerge/>
            <w:vAlign w:val="center"/>
            <w:hideMark/>
          </w:tcPr>
          <w:p w14:paraId="6623D79C" w14:textId="77777777" w:rsidR="000375DB" w:rsidRPr="006847DE" w:rsidRDefault="000375DB" w:rsidP="00687471">
            <w:pPr>
              <w:jc w:val="left"/>
              <w:rPr>
                <w:color w:val="000000"/>
                <w:kern w:val="22"/>
                <w:sz w:val="20"/>
                <w:szCs w:val="20"/>
                <w:lang w:val="fr-CA" w:eastAsia="zh-CN"/>
              </w:rPr>
            </w:pPr>
          </w:p>
        </w:tc>
      </w:tr>
      <w:tr w:rsidR="000375DB" w:rsidRPr="00AE70B8" w14:paraId="03650341" w14:textId="77777777" w:rsidTr="00282AF6">
        <w:trPr>
          <w:jc w:val="center"/>
        </w:trPr>
        <w:tc>
          <w:tcPr>
            <w:tcW w:w="7500" w:type="dxa"/>
            <w:shd w:val="clear" w:color="auto" w:fill="auto"/>
            <w:vAlign w:val="center"/>
            <w:hideMark/>
          </w:tcPr>
          <w:p w14:paraId="6AC3FD3D" w14:textId="7C69964D" w:rsidR="000375DB" w:rsidRPr="00AE70B8" w:rsidRDefault="00DC3881" w:rsidP="00687471">
            <w:pPr>
              <w:rPr>
                <w:b/>
                <w:bCs/>
                <w:color w:val="000000"/>
                <w:kern w:val="22"/>
                <w:sz w:val="20"/>
                <w:szCs w:val="20"/>
                <w:lang w:val="fr-CA" w:eastAsia="zh-CN"/>
              </w:rPr>
            </w:pPr>
            <w:r w:rsidRPr="00AE70B8">
              <w:rPr>
                <w:b/>
                <w:bCs/>
                <w:color w:val="000000"/>
                <w:kern w:val="22"/>
                <w:sz w:val="20"/>
                <w:szCs w:val="20"/>
                <w:lang w:val="fr-CA" w:eastAsia="zh-CN"/>
              </w:rPr>
              <w:t xml:space="preserve">Ressources supplémentaires nécessaires pour les réunions prévues en 2022 </w:t>
            </w:r>
            <w:r w:rsidR="00E62C41" w:rsidRPr="00AE70B8">
              <w:rPr>
                <w:b/>
                <w:color w:val="000000"/>
                <w:kern w:val="22"/>
                <w:sz w:val="20"/>
                <w:szCs w:val="20"/>
                <w:lang w:val="fr-CA" w:eastAsia="zh-CN"/>
              </w:rPr>
              <w:t>(</w:t>
            </w:r>
            <w:r w:rsidR="00E62C41" w:rsidRPr="00AE70B8">
              <w:rPr>
                <w:b/>
                <w:bCs/>
                <w:color w:val="000000"/>
                <w:kern w:val="22"/>
                <w:sz w:val="20"/>
                <w:szCs w:val="20"/>
                <w:lang w:val="fr-CA" w:eastAsia="zh-CN"/>
              </w:rPr>
              <w:t>(A+C)-B))</w:t>
            </w:r>
          </w:p>
        </w:tc>
        <w:tc>
          <w:tcPr>
            <w:tcW w:w="1820" w:type="dxa"/>
            <w:shd w:val="clear" w:color="auto" w:fill="auto"/>
            <w:vAlign w:val="center"/>
            <w:hideMark/>
          </w:tcPr>
          <w:p w14:paraId="7BD70844" w14:textId="5CEAB8FA" w:rsidR="000375DB" w:rsidRPr="00AE70B8" w:rsidRDefault="00DC3881" w:rsidP="00687471">
            <w:pPr>
              <w:jc w:val="right"/>
              <w:rPr>
                <w:b/>
                <w:bCs/>
                <w:color w:val="000000"/>
                <w:kern w:val="22"/>
                <w:sz w:val="20"/>
                <w:szCs w:val="20"/>
                <w:lang w:val="fr-CA" w:eastAsia="zh-CN"/>
              </w:rPr>
            </w:pPr>
            <w:r w:rsidRPr="00AE70B8">
              <w:rPr>
                <w:b/>
                <w:bCs/>
                <w:color w:val="000000"/>
                <w:kern w:val="22"/>
                <w:sz w:val="20"/>
                <w:szCs w:val="20"/>
                <w:lang w:val="fr-CA" w:eastAsia="zh-CN"/>
              </w:rPr>
              <w:t xml:space="preserve">1 </w:t>
            </w:r>
            <w:r w:rsidR="00DC6B0B" w:rsidRPr="00AE70B8">
              <w:rPr>
                <w:b/>
                <w:color w:val="000000"/>
                <w:kern w:val="22"/>
                <w:sz w:val="20"/>
                <w:szCs w:val="20"/>
                <w:lang w:val="fr-CA" w:eastAsia="zh-CN"/>
              </w:rPr>
              <w:t>392</w:t>
            </w:r>
          </w:p>
        </w:tc>
      </w:tr>
    </w:tbl>
    <w:p w14:paraId="7955BD3A" w14:textId="58D5471B" w:rsidR="00E62C41" w:rsidRPr="00AE70B8" w:rsidRDefault="007647BE" w:rsidP="00A42CCA">
      <w:pPr>
        <w:suppressLineNumbers/>
        <w:suppressAutoHyphens/>
        <w:spacing w:before="120" w:after="120"/>
        <w:rPr>
          <w:kern w:val="22"/>
          <w:sz w:val="18"/>
          <w:szCs w:val="18"/>
          <w:lang w:val="fr-CA" w:eastAsia="x-none"/>
        </w:rPr>
      </w:pPr>
      <w:r w:rsidRPr="00AE70B8">
        <w:rPr>
          <w:kern w:val="22"/>
          <w:sz w:val="18"/>
          <w:szCs w:val="18"/>
          <w:lang w:val="fr-CA"/>
        </w:rPr>
        <w:t xml:space="preserve">* </w:t>
      </w:r>
      <w:r w:rsidR="00D135B5" w:rsidRPr="00AE70B8">
        <w:rPr>
          <w:kern w:val="22"/>
          <w:sz w:val="18"/>
          <w:szCs w:val="18"/>
          <w:lang w:val="fr-CA"/>
        </w:rPr>
        <w:t>Prendre note que les coûts du Groupe de travail sur le cadre mondial de la biodiversité pour l'après-2020 engagés à ce jour sont imputés à un poste budgétaire du budget approuvé pour la quatorzième réunion de la Conférence des Parties</w:t>
      </w:r>
      <w:r w:rsidR="00E62C41" w:rsidRPr="00AE70B8">
        <w:rPr>
          <w:kern w:val="22"/>
          <w:sz w:val="18"/>
          <w:szCs w:val="18"/>
          <w:lang w:val="fr-CA"/>
        </w:rPr>
        <w:t>.</w:t>
      </w:r>
    </w:p>
    <w:p w14:paraId="35DCB303" w14:textId="435EB004" w:rsidR="00FE0B22" w:rsidRPr="00AE70B8" w:rsidRDefault="53DDA8E5" w:rsidP="00282AF6">
      <w:pPr>
        <w:pStyle w:val="ListParagraph"/>
        <w:keepNext/>
        <w:keepLines/>
        <w:suppressLineNumbers/>
        <w:suppressAutoHyphens/>
        <w:ind w:left="0"/>
        <w:contextualSpacing w:val="0"/>
        <w:jc w:val="left"/>
        <w:rPr>
          <w:i/>
          <w:iCs/>
          <w:kern w:val="22"/>
          <w:lang w:val="fr-CA"/>
        </w:rPr>
      </w:pPr>
      <w:r w:rsidRPr="00AE70B8">
        <w:rPr>
          <w:b/>
          <w:snapToGrid w:val="0"/>
          <w:kern w:val="22"/>
          <w:lang w:val="fr-CA"/>
        </w:rPr>
        <w:lastRenderedPageBreak/>
        <w:t>Tabl</w:t>
      </w:r>
      <w:r w:rsidR="00D135B5" w:rsidRPr="00AE70B8">
        <w:rPr>
          <w:b/>
          <w:snapToGrid w:val="0"/>
          <w:kern w:val="22"/>
          <w:lang w:val="fr-CA"/>
        </w:rPr>
        <w:t>eau</w:t>
      </w:r>
      <w:r w:rsidRPr="00AE70B8">
        <w:rPr>
          <w:b/>
          <w:snapToGrid w:val="0"/>
          <w:kern w:val="22"/>
          <w:lang w:val="fr-CA"/>
        </w:rPr>
        <w:t xml:space="preserve"> </w:t>
      </w:r>
      <w:r w:rsidR="30303A6A" w:rsidRPr="00AE70B8">
        <w:rPr>
          <w:b/>
          <w:snapToGrid w:val="0"/>
          <w:kern w:val="22"/>
          <w:lang w:val="fr-CA"/>
        </w:rPr>
        <w:t>2</w:t>
      </w:r>
      <w:r w:rsidR="00F83AB5" w:rsidRPr="00AE70B8">
        <w:rPr>
          <w:b/>
          <w:snapToGrid w:val="0"/>
          <w:kern w:val="22"/>
          <w:szCs w:val="22"/>
          <w:lang w:val="fr-CA"/>
        </w:rPr>
        <w:br/>
      </w:r>
      <w:r w:rsidR="00D135B5" w:rsidRPr="00AE70B8">
        <w:rPr>
          <w:b/>
          <w:snapToGrid w:val="0"/>
          <w:kern w:val="22"/>
          <w:lang w:val="fr-CA"/>
        </w:rPr>
        <w:t>État du budget de 2019-2020 approuvé reporté</w:t>
      </w:r>
      <w:r w:rsidR="001010C3" w:rsidRPr="00AE70B8">
        <w:rPr>
          <w:b/>
          <w:snapToGrid w:val="0"/>
          <w:kern w:val="22"/>
          <w:lang w:val="fr-CA"/>
        </w:rPr>
        <w:t>,</w:t>
      </w:r>
      <w:r w:rsidR="00D135B5" w:rsidRPr="00AE70B8">
        <w:rPr>
          <w:b/>
          <w:snapToGrid w:val="0"/>
          <w:kern w:val="22"/>
          <w:lang w:val="fr-CA"/>
        </w:rPr>
        <w:t xml:space="preserve"> par objet de dépense</w:t>
      </w:r>
    </w:p>
    <w:p w14:paraId="5F007346" w14:textId="3F662272" w:rsidR="00FE0B22" w:rsidRPr="00AE70B8" w:rsidRDefault="36046592" w:rsidP="00282AF6">
      <w:pPr>
        <w:pStyle w:val="ListParagraph"/>
        <w:keepNext/>
        <w:keepLines/>
        <w:suppressLineNumbers/>
        <w:suppressAutoHyphens/>
        <w:spacing w:after="120"/>
        <w:ind w:left="0"/>
        <w:contextualSpacing w:val="0"/>
        <w:jc w:val="left"/>
        <w:rPr>
          <w:i/>
          <w:snapToGrid w:val="0"/>
          <w:kern w:val="22"/>
          <w:lang w:val="fr-CA"/>
        </w:rPr>
      </w:pPr>
      <w:r w:rsidRPr="00AE70B8">
        <w:rPr>
          <w:i/>
          <w:snapToGrid w:val="0"/>
          <w:kern w:val="22"/>
          <w:lang w:val="fr-CA"/>
        </w:rPr>
        <w:t>(</w:t>
      </w:r>
      <w:r w:rsidR="009D72E2">
        <w:rPr>
          <w:i/>
          <w:snapToGrid w:val="0"/>
          <w:kern w:val="22"/>
          <w:lang w:val="fr-CA"/>
        </w:rPr>
        <w:t>En m</w:t>
      </w:r>
      <w:r w:rsidR="001010C3" w:rsidRPr="00AE70B8">
        <w:rPr>
          <w:i/>
          <w:snapToGrid w:val="0"/>
          <w:kern w:val="22"/>
          <w:lang w:val="fr-CA"/>
        </w:rPr>
        <w:t>illiers de dollars des États-Unis</w:t>
      </w:r>
      <w:r w:rsidRPr="00AE70B8">
        <w:rPr>
          <w:i/>
          <w:snapToGrid w:val="0"/>
          <w:kern w:val="22"/>
          <w:lang w:val="fr-CA"/>
        </w:rPr>
        <w:t>)</w:t>
      </w:r>
    </w:p>
    <w:tbl>
      <w:tblPr>
        <w:tblW w:w="9179" w:type="dxa"/>
        <w:jc w:val="center"/>
        <w:tblLayout w:type="fixed"/>
        <w:tblLook w:val="04A0" w:firstRow="1" w:lastRow="0" w:firstColumn="1" w:lastColumn="0" w:noHBand="0" w:noVBand="1"/>
      </w:tblPr>
      <w:tblGrid>
        <w:gridCol w:w="4135"/>
        <w:gridCol w:w="1856"/>
        <w:gridCol w:w="2088"/>
        <w:gridCol w:w="1100"/>
      </w:tblGrid>
      <w:tr w:rsidR="006D6B67" w:rsidRPr="00AE70B8" w14:paraId="0847B6D3" w14:textId="77777777" w:rsidTr="00282AF6">
        <w:trPr>
          <w:tblHeader/>
          <w:jc w:val="center"/>
        </w:trPr>
        <w:tc>
          <w:tcPr>
            <w:tcW w:w="4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57667" w14:textId="512978A3" w:rsidR="006D6B67" w:rsidRPr="00AE70B8" w:rsidRDefault="001010C3" w:rsidP="00282AF6">
            <w:pPr>
              <w:keepNext/>
              <w:keepLines/>
              <w:jc w:val="center"/>
              <w:rPr>
                <w:i/>
                <w:iCs/>
                <w:color w:val="000000"/>
                <w:kern w:val="22"/>
                <w:sz w:val="20"/>
                <w:szCs w:val="20"/>
                <w:lang w:val="fr-CA" w:eastAsia="zh-CN"/>
              </w:rPr>
            </w:pPr>
            <w:r w:rsidRPr="00AE70B8">
              <w:rPr>
                <w:i/>
                <w:iCs/>
                <w:color w:val="000000" w:themeColor="text1"/>
                <w:kern w:val="22"/>
                <w:sz w:val="20"/>
                <w:szCs w:val="20"/>
                <w:lang w:val="fr-CA" w:eastAsia="zh-CN"/>
              </w:rPr>
              <w:t>Objet de la dépense</w:t>
            </w:r>
          </w:p>
        </w:tc>
        <w:tc>
          <w:tcPr>
            <w:tcW w:w="1856" w:type="dxa"/>
            <w:tcBorders>
              <w:top w:val="single" w:sz="4" w:space="0" w:color="auto"/>
              <w:left w:val="nil"/>
              <w:bottom w:val="single" w:sz="4" w:space="0" w:color="auto"/>
              <w:right w:val="single" w:sz="4" w:space="0" w:color="auto"/>
            </w:tcBorders>
            <w:shd w:val="clear" w:color="auto" w:fill="auto"/>
            <w:vAlign w:val="center"/>
            <w:hideMark/>
          </w:tcPr>
          <w:p w14:paraId="415C35A5" w14:textId="413998AE" w:rsidR="006D6B67" w:rsidRPr="00AE70B8" w:rsidRDefault="001010C3" w:rsidP="00282AF6">
            <w:pPr>
              <w:keepNext/>
              <w:keepLines/>
              <w:jc w:val="center"/>
              <w:rPr>
                <w:i/>
                <w:iCs/>
                <w:color w:val="000000"/>
                <w:kern w:val="22"/>
                <w:sz w:val="20"/>
                <w:szCs w:val="20"/>
                <w:lang w:val="fr-CA" w:eastAsia="zh-CN"/>
              </w:rPr>
            </w:pPr>
            <w:r w:rsidRPr="00AE70B8">
              <w:rPr>
                <w:i/>
                <w:iCs/>
                <w:color w:val="000000" w:themeColor="text1"/>
                <w:kern w:val="22"/>
                <w:sz w:val="20"/>
                <w:szCs w:val="20"/>
                <w:lang w:val="fr-CA" w:eastAsia="zh-CN"/>
              </w:rPr>
              <w:t>Budget reporté</w:t>
            </w:r>
          </w:p>
        </w:tc>
        <w:tc>
          <w:tcPr>
            <w:tcW w:w="2088" w:type="dxa"/>
            <w:tcBorders>
              <w:top w:val="single" w:sz="4" w:space="0" w:color="auto"/>
              <w:left w:val="nil"/>
              <w:bottom w:val="single" w:sz="4" w:space="0" w:color="auto"/>
              <w:right w:val="single" w:sz="4" w:space="0" w:color="auto"/>
            </w:tcBorders>
            <w:shd w:val="clear" w:color="auto" w:fill="auto"/>
            <w:vAlign w:val="center"/>
            <w:hideMark/>
          </w:tcPr>
          <w:p w14:paraId="0982C7D2" w14:textId="14BB7665" w:rsidR="006D6B67" w:rsidRPr="00AE70B8" w:rsidRDefault="001010C3" w:rsidP="001010C3">
            <w:pPr>
              <w:keepNext/>
              <w:keepLines/>
              <w:jc w:val="center"/>
              <w:rPr>
                <w:i/>
                <w:iCs/>
                <w:color w:val="000000"/>
                <w:kern w:val="22"/>
                <w:sz w:val="20"/>
                <w:szCs w:val="20"/>
                <w:lang w:val="fr-CA" w:eastAsia="zh-CN"/>
              </w:rPr>
            </w:pPr>
            <w:r w:rsidRPr="00AE70B8">
              <w:rPr>
                <w:i/>
                <w:iCs/>
                <w:color w:val="000000" w:themeColor="text1"/>
                <w:kern w:val="22"/>
                <w:sz w:val="20"/>
                <w:szCs w:val="20"/>
                <w:lang w:val="fr-CA" w:eastAsia="zh-CN"/>
              </w:rPr>
              <w:t>Dépense</w:t>
            </w:r>
            <w:r w:rsidR="00366C18">
              <w:rPr>
                <w:i/>
                <w:iCs/>
                <w:color w:val="000000" w:themeColor="text1"/>
                <w:kern w:val="22"/>
                <w:sz w:val="20"/>
                <w:szCs w:val="20"/>
                <w:lang w:val="fr-CA" w:eastAsia="zh-CN"/>
              </w:rPr>
              <w:t>s</w:t>
            </w:r>
            <w:r w:rsidRPr="00AE70B8">
              <w:rPr>
                <w:i/>
                <w:iCs/>
                <w:color w:val="000000" w:themeColor="text1"/>
                <w:kern w:val="22"/>
                <w:sz w:val="20"/>
                <w:szCs w:val="20"/>
                <w:lang w:val="fr-CA" w:eastAsia="zh-CN"/>
              </w:rPr>
              <w:t xml:space="preserve"> totale</w:t>
            </w:r>
            <w:r w:rsidR="00366C18">
              <w:rPr>
                <w:i/>
                <w:iCs/>
                <w:color w:val="000000" w:themeColor="text1"/>
                <w:kern w:val="22"/>
                <w:sz w:val="20"/>
                <w:szCs w:val="20"/>
                <w:lang w:val="fr-CA" w:eastAsia="zh-CN"/>
              </w:rPr>
              <w:t>s</w:t>
            </w:r>
            <w:r w:rsidRPr="00AE70B8">
              <w:rPr>
                <w:i/>
                <w:iCs/>
                <w:color w:val="000000" w:themeColor="text1"/>
                <w:kern w:val="22"/>
                <w:sz w:val="20"/>
                <w:szCs w:val="20"/>
                <w:lang w:val="fr-CA" w:eastAsia="zh-CN"/>
              </w:rPr>
              <w:t xml:space="preserve"> (31 décembre 2021)</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793884B3" w14:textId="5BA4A02C" w:rsidR="006D6B67" w:rsidRPr="00AE70B8" w:rsidRDefault="001010C3" w:rsidP="00282AF6">
            <w:pPr>
              <w:keepNext/>
              <w:keepLines/>
              <w:jc w:val="center"/>
              <w:rPr>
                <w:i/>
                <w:iCs/>
                <w:color w:val="000000"/>
                <w:kern w:val="22"/>
                <w:sz w:val="20"/>
                <w:szCs w:val="20"/>
                <w:lang w:val="fr-CA" w:eastAsia="zh-CN"/>
              </w:rPr>
            </w:pPr>
            <w:r w:rsidRPr="00AE70B8">
              <w:rPr>
                <w:i/>
                <w:iCs/>
                <w:color w:val="000000" w:themeColor="text1"/>
                <w:kern w:val="22"/>
                <w:sz w:val="20"/>
                <w:szCs w:val="20"/>
                <w:lang w:val="fr-CA" w:eastAsia="zh-CN"/>
              </w:rPr>
              <w:t>Écart</w:t>
            </w:r>
          </w:p>
        </w:tc>
      </w:tr>
      <w:tr w:rsidR="006D6B67" w:rsidRPr="00AE70B8" w14:paraId="33BD7E1E" w14:textId="77777777" w:rsidTr="00282AF6">
        <w:trPr>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423D706E" w14:textId="30A4C9F0" w:rsidR="006D6B67" w:rsidRPr="00AE70B8" w:rsidRDefault="006D6B67" w:rsidP="001010C3">
            <w:pPr>
              <w:jc w:val="left"/>
              <w:rPr>
                <w:color w:val="000000"/>
                <w:kern w:val="22"/>
                <w:sz w:val="20"/>
                <w:szCs w:val="20"/>
                <w:lang w:val="fr-CA" w:eastAsia="zh-CN"/>
              </w:rPr>
            </w:pPr>
            <w:r w:rsidRPr="00AE70B8">
              <w:rPr>
                <w:color w:val="000000" w:themeColor="text1"/>
                <w:kern w:val="22"/>
                <w:sz w:val="20"/>
                <w:szCs w:val="20"/>
                <w:lang w:val="fr-CA" w:eastAsia="zh-CN"/>
              </w:rPr>
              <w:t>A.</w:t>
            </w:r>
            <w:r w:rsidRPr="00AE70B8">
              <w:rPr>
                <w:color w:val="000000"/>
                <w:kern w:val="22"/>
                <w:sz w:val="20"/>
                <w:szCs w:val="20"/>
                <w:lang w:val="fr-CA" w:eastAsia="zh-CN"/>
              </w:rPr>
              <w:t xml:space="preserve"> </w:t>
            </w:r>
            <w:r w:rsidR="001010C3" w:rsidRPr="00AE70B8">
              <w:rPr>
                <w:color w:val="000000"/>
                <w:kern w:val="22"/>
                <w:sz w:val="20"/>
                <w:szCs w:val="20"/>
                <w:lang w:val="fr-CA" w:eastAsia="zh-CN"/>
              </w:rPr>
              <w:t>Coûts de personnel</w:t>
            </w:r>
          </w:p>
        </w:tc>
        <w:tc>
          <w:tcPr>
            <w:tcW w:w="1856" w:type="dxa"/>
            <w:tcBorders>
              <w:top w:val="nil"/>
              <w:left w:val="nil"/>
              <w:bottom w:val="single" w:sz="4" w:space="0" w:color="auto"/>
              <w:right w:val="single" w:sz="4" w:space="0" w:color="auto"/>
            </w:tcBorders>
            <w:shd w:val="clear" w:color="auto" w:fill="auto"/>
            <w:vAlign w:val="center"/>
            <w:hideMark/>
          </w:tcPr>
          <w:p w14:paraId="4A0EF324" w14:textId="6E75CF9E" w:rsidR="006D6B67" w:rsidRPr="00AE70B8" w:rsidRDefault="006D6B67" w:rsidP="006D6B67">
            <w:pPr>
              <w:jc w:val="right"/>
              <w:rPr>
                <w:color w:val="000000"/>
                <w:kern w:val="22"/>
                <w:sz w:val="18"/>
                <w:szCs w:val="18"/>
                <w:lang w:val="fr-CA" w:eastAsia="zh-CN"/>
              </w:rPr>
            </w:pPr>
          </w:p>
        </w:tc>
        <w:tc>
          <w:tcPr>
            <w:tcW w:w="2088" w:type="dxa"/>
            <w:tcBorders>
              <w:top w:val="nil"/>
              <w:left w:val="nil"/>
              <w:bottom w:val="single" w:sz="4" w:space="0" w:color="auto"/>
              <w:right w:val="single" w:sz="4" w:space="0" w:color="auto"/>
            </w:tcBorders>
            <w:shd w:val="clear" w:color="auto" w:fill="auto"/>
            <w:vAlign w:val="center"/>
            <w:hideMark/>
          </w:tcPr>
          <w:p w14:paraId="3A929B59" w14:textId="38AAC674" w:rsidR="006D6B67" w:rsidRPr="00AE70B8" w:rsidRDefault="006D6B67" w:rsidP="006D6B67">
            <w:pPr>
              <w:jc w:val="right"/>
              <w:rPr>
                <w:color w:val="000000"/>
                <w:kern w:val="22"/>
                <w:sz w:val="18"/>
                <w:szCs w:val="18"/>
                <w:lang w:val="fr-CA" w:eastAsia="zh-CN"/>
              </w:rPr>
            </w:pPr>
          </w:p>
        </w:tc>
        <w:tc>
          <w:tcPr>
            <w:tcW w:w="1100" w:type="dxa"/>
            <w:tcBorders>
              <w:top w:val="nil"/>
              <w:left w:val="nil"/>
              <w:bottom w:val="single" w:sz="4" w:space="0" w:color="auto"/>
              <w:right w:val="single" w:sz="4" w:space="0" w:color="auto"/>
            </w:tcBorders>
            <w:shd w:val="clear" w:color="auto" w:fill="auto"/>
            <w:vAlign w:val="center"/>
            <w:hideMark/>
          </w:tcPr>
          <w:p w14:paraId="255E750F" w14:textId="0A8C12E8" w:rsidR="006D6B67" w:rsidRPr="00AE70B8" w:rsidRDefault="006D6B67" w:rsidP="006D6B67">
            <w:pPr>
              <w:jc w:val="right"/>
              <w:rPr>
                <w:color w:val="000000"/>
                <w:kern w:val="22"/>
                <w:sz w:val="18"/>
                <w:szCs w:val="18"/>
                <w:lang w:val="fr-CA" w:eastAsia="zh-CN"/>
              </w:rPr>
            </w:pPr>
          </w:p>
        </w:tc>
      </w:tr>
      <w:tr w:rsidR="006D6B67" w:rsidRPr="00AE70B8" w14:paraId="534BDEB1" w14:textId="77777777" w:rsidTr="00282AF6">
        <w:trPr>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079C0B2F" w14:textId="13F8AF1E" w:rsidR="006D6B67" w:rsidRPr="00AE70B8" w:rsidRDefault="006D6B67" w:rsidP="001010C3">
            <w:pPr>
              <w:jc w:val="left"/>
              <w:rPr>
                <w:color w:val="000000"/>
                <w:kern w:val="22"/>
                <w:sz w:val="20"/>
                <w:szCs w:val="20"/>
                <w:lang w:val="fr-CA" w:eastAsia="zh-CN"/>
              </w:rPr>
            </w:pPr>
            <w:r w:rsidRPr="00AE70B8">
              <w:rPr>
                <w:color w:val="000000" w:themeColor="text1"/>
                <w:kern w:val="22"/>
                <w:sz w:val="20"/>
                <w:szCs w:val="20"/>
                <w:lang w:val="fr-CA" w:eastAsia="zh-CN"/>
              </w:rPr>
              <w:t>B.</w:t>
            </w:r>
            <w:r w:rsidRPr="00AE70B8">
              <w:rPr>
                <w:color w:val="000000"/>
                <w:kern w:val="22"/>
                <w:sz w:val="20"/>
                <w:szCs w:val="20"/>
                <w:lang w:val="fr-CA" w:eastAsia="zh-CN"/>
              </w:rPr>
              <w:t xml:space="preserve"> </w:t>
            </w:r>
            <w:r w:rsidR="001010C3" w:rsidRPr="00AE70B8">
              <w:rPr>
                <w:color w:val="000000"/>
                <w:kern w:val="22"/>
                <w:sz w:val="20"/>
                <w:szCs w:val="20"/>
                <w:lang w:val="fr-CA" w:eastAsia="zh-CN"/>
              </w:rPr>
              <w:t>Réunions du Bureau</w:t>
            </w:r>
          </w:p>
        </w:tc>
        <w:tc>
          <w:tcPr>
            <w:tcW w:w="1856" w:type="dxa"/>
            <w:tcBorders>
              <w:top w:val="nil"/>
              <w:left w:val="nil"/>
              <w:bottom w:val="single" w:sz="4" w:space="0" w:color="auto"/>
              <w:right w:val="single" w:sz="4" w:space="0" w:color="auto"/>
            </w:tcBorders>
            <w:shd w:val="clear" w:color="auto" w:fill="auto"/>
            <w:vAlign w:val="center"/>
            <w:hideMark/>
          </w:tcPr>
          <w:p w14:paraId="0865CC17" w14:textId="33DFFB66" w:rsidR="006D6B67" w:rsidRPr="00AE70B8" w:rsidRDefault="006D6B67" w:rsidP="006D6B67">
            <w:pPr>
              <w:jc w:val="right"/>
              <w:rPr>
                <w:color w:val="000000"/>
                <w:kern w:val="22"/>
                <w:sz w:val="18"/>
                <w:szCs w:val="18"/>
                <w:lang w:val="fr-CA" w:eastAsia="zh-CN"/>
              </w:rPr>
            </w:pPr>
            <w:r w:rsidRPr="00AE70B8">
              <w:rPr>
                <w:color w:val="000000"/>
                <w:kern w:val="22"/>
                <w:sz w:val="18"/>
                <w:szCs w:val="18"/>
                <w:lang w:val="fr-CA" w:eastAsia="zh-CN"/>
              </w:rPr>
              <w:t>165</w:t>
            </w:r>
            <w:r w:rsidR="008823BD" w:rsidRPr="00AE70B8">
              <w:rPr>
                <w:color w:val="000000"/>
                <w:kern w:val="22"/>
                <w:sz w:val="18"/>
                <w:szCs w:val="18"/>
                <w:lang w:val="fr-CA" w:eastAsia="zh-CN"/>
              </w:rPr>
              <w:t>,</w:t>
            </w:r>
            <w:r w:rsidRPr="00AE70B8">
              <w:rPr>
                <w:color w:val="000000"/>
                <w:kern w:val="22"/>
                <w:sz w:val="18"/>
                <w:szCs w:val="18"/>
                <w:lang w:val="fr-CA" w:eastAsia="zh-CN"/>
              </w:rPr>
              <w:t>0</w:t>
            </w:r>
          </w:p>
        </w:tc>
        <w:tc>
          <w:tcPr>
            <w:tcW w:w="2088" w:type="dxa"/>
            <w:tcBorders>
              <w:top w:val="nil"/>
              <w:left w:val="nil"/>
              <w:bottom w:val="single" w:sz="4" w:space="0" w:color="auto"/>
              <w:right w:val="single" w:sz="4" w:space="0" w:color="auto"/>
            </w:tcBorders>
            <w:shd w:val="clear" w:color="auto" w:fill="auto"/>
            <w:vAlign w:val="center"/>
            <w:hideMark/>
          </w:tcPr>
          <w:p w14:paraId="445342CE" w14:textId="7DB2AEF4" w:rsidR="006D6B67" w:rsidRPr="00AE70B8" w:rsidRDefault="006D6B67" w:rsidP="006D6B67">
            <w:pPr>
              <w:jc w:val="right"/>
              <w:rPr>
                <w:color w:val="000000"/>
                <w:kern w:val="22"/>
                <w:sz w:val="18"/>
                <w:szCs w:val="18"/>
                <w:lang w:val="fr-CA" w:eastAsia="zh-CN"/>
              </w:rPr>
            </w:pPr>
            <w:r w:rsidRPr="00AE70B8">
              <w:rPr>
                <w:color w:val="000000"/>
                <w:kern w:val="22"/>
                <w:sz w:val="18"/>
                <w:szCs w:val="18"/>
                <w:lang w:val="fr-CA" w:eastAsia="zh-CN"/>
              </w:rPr>
              <w:t>0</w:t>
            </w:r>
            <w:r w:rsidR="008823BD" w:rsidRPr="00AE70B8">
              <w:rPr>
                <w:color w:val="000000"/>
                <w:kern w:val="22"/>
                <w:sz w:val="18"/>
                <w:szCs w:val="18"/>
                <w:lang w:val="fr-CA" w:eastAsia="zh-CN"/>
              </w:rPr>
              <w:t>,</w:t>
            </w:r>
            <w:r w:rsidRPr="00AE70B8">
              <w:rPr>
                <w:color w:val="000000"/>
                <w:kern w:val="22"/>
                <w:sz w:val="18"/>
                <w:szCs w:val="18"/>
                <w:lang w:val="fr-CA" w:eastAsia="zh-CN"/>
              </w:rPr>
              <w:t>0</w:t>
            </w:r>
          </w:p>
        </w:tc>
        <w:tc>
          <w:tcPr>
            <w:tcW w:w="1100" w:type="dxa"/>
            <w:tcBorders>
              <w:top w:val="nil"/>
              <w:left w:val="nil"/>
              <w:bottom w:val="single" w:sz="4" w:space="0" w:color="auto"/>
              <w:right w:val="single" w:sz="4" w:space="0" w:color="auto"/>
            </w:tcBorders>
            <w:shd w:val="clear" w:color="auto" w:fill="auto"/>
            <w:vAlign w:val="center"/>
            <w:hideMark/>
          </w:tcPr>
          <w:p w14:paraId="4936B85F" w14:textId="46AAEE7E" w:rsidR="006D6B67" w:rsidRPr="00AE70B8" w:rsidRDefault="006D6B67" w:rsidP="006D6B67">
            <w:pPr>
              <w:jc w:val="right"/>
              <w:rPr>
                <w:color w:val="000000"/>
                <w:kern w:val="22"/>
                <w:sz w:val="18"/>
                <w:szCs w:val="18"/>
                <w:lang w:val="fr-CA" w:eastAsia="zh-CN"/>
              </w:rPr>
            </w:pPr>
            <w:r w:rsidRPr="00AE70B8">
              <w:rPr>
                <w:color w:val="000000"/>
                <w:kern w:val="22"/>
                <w:sz w:val="18"/>
                <w:szCs w:val="18"/>
                <w:lang w:val="fr-CA" w:eastAsia="zh-CN"/>
              </w:rPr>
              <w:t>165</w:t>
            </w:r>
            <w:r w:rsidR="008823BD" w:rsidRPr="00AE70B8">
              <w:rPr>
                <w:color w:val="000000"/>
                <w:kern w:val="22"/>
                <w:sz w:val="18"/>
                <w:szCs w:val="18"/>
                <w:lang w:val="fr-CA" w:eastAsia="zh-CN"/>
              </w:rPr>
              <w:t>,</w:t>
            </w:r>
            <w:r w:rsidRPr="00AE70B8">
              <w:rPr>
                <w:color w:val="000000"/>
                <w:kern w:val="22"/>
                <w:sz w:val="18"/>
                <w:szCs w:val="18"/>
                <w:lang w:val="fr-CA" w:eastAsia="zh-CN"/>
              </w:rPr>
              <w:t>0</w:t>
            </w:r>
          </w:p>
        </w:tc>
      </w:tr>
      <w:tr w:rsidR="006D6B67" w:rsidRPr="00AE70B8" w14:paraId="7D6116E0" w14:textId="77777777" w:rsidTr="00282AF6">
        <w:trPr>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20AAFF66" w14:textId="238E45CD" w:rsidR="006D6B67" w:rsidRPr="00AE70B8" w:rsidRDefault="006D6B67" w:rsidP="001010C3">
            <w:pPr>
              <w:jc w:val="left"/>
              <w:rPr>
                <w:color w:val="000000"/>
                <w:kern w:val="22"/>
                <w:sz w:val="20"/>
                <w:szCs w:val="20"/>
                <w:lang w:val="fr-CA" w:eastAsia="zh-CN"/>
              </w:rPr>
            </w:pPr>
            <w:r w:rsidRPr="00AE70B8">
              <w:rPr>
                <w:color w:val="000000" w:themeColor="text1"/>
                <w:kern w:val="22"/>
                <w:sz w:val="20"/>
                <w:szCs w:val="20"/>
                <w:lang w:val="fr-CA" w:eastAsia="zh-CN"/>
              </w:rPr>
              <w:t>C.</w:t>
            </w:r>
            <w:r w:rsidRPr="00AE70B8">
              <w:rPr>
                <w:color w:val="000000"/>
                <w:kern w:val="22"/>
                <w:sz w:val="20"/>
                <w:szCs w:val="20"/>
                <w:lang w:val="fr-CA" w:eastAsia="zh-CN"/>
              </w:rPr>
              <w:t xml:space="preserve"> </w:t>
            </w:r>
            <w:r w:rsidR="001010C3" w:rsidRPr="00AE70B8">
              <w:rPr>
                <w:color w:val="000000"/>
                <w:kern w:val="22"/>
                <w:sz w:val="20"/>
                <w:szCs w:val="20"/>
                <w:lang w:val="fr-CA" w:eastAsia="zh-CN"/>
              </w:rPr>
              <w:t>Voyages officiels</w:t>
            </w:r>
          </w:p>
        </w:tc>
        <w:tc>
          <w:tcPr>
            <w:tcW w:w="1856" w:type="dxa"/>
            <w:tcBorders>
              <w:top w:val="nil"/>
              <w:left w:val="nil"/>
              <w:bottom w:val="single" w:sz="4" w:space="0" w:color="auto"/>
              <w:right w:val="single" w:sz="4" w:space="0" w:color="auto"/>
            </w:tcBorders>
            <w:shd w:val="clear" w:color="auto" w:fill="auto"/>
            <w:vAlign w:val="center"/>
            <w:hideMark/>
          </w:tcPr>
          <w:p w14:paraId="5B14B063" w14:textId="71C6A70C" w:rsidR="006D6B67" w:rsidRPr="00AE70B8" w:rsidRDefault="006D6B67" w:rsidP="006D6B67">
            <w:pPr>
              <w:jc w:val="right"/>
              <w:rPr>
                <w:color w:val="000000"/>
                <w:kern w:val="22"/>
                <w:sz w:val="18"/>
                <w:szCs w:val="18"/>
                <w:lang w:val="fr-CA" w:eastAsia="zh-CN"/>
              </w:rPr>
            </w:pPr>
          </w:p>
        </w:tc>
        <w:tc>
          <w:tcPr>
            <w:tcW w:w="2088" w:type="dxa"/>
            <w:tcBorders>
              <w:top w:val="nil"/>
              <w:left w:val="nil"/>
              <w:bottom w:val="single" w:sz="4" w:space="0" w:color="auto"/>
              <w:right w:val="single" w:sz="4" w:space="0" w:color="auto"/>
            </w:tcBorders>
            <w:shd w:val="clear" w:color="auto" w:fill="auto"/>
            <w:vAlign w:val="center"/>
            <w:hideMark/>
          </w:tcPr>
          <w:p w14:paraId="43BFB8FB" w14:textId="6D0373F6" w:rsidR="006D6B67" w:rsidRPr="00AE70B8" w:rsidRDefault="006D6B67" w:rsidP="006D6B67">
            <w:pPr>
              <w:jc w:val="right"/>
              <w:rPr>
                <w:color w:val="000000"/>
                <w:kern w:val="22"/>
                <w:sz w:val="18"/>
                <w:szCs w:val="18"/>
                <w:lang w:val="fr-CA" w:eastAsia="zh-CN"/>
              </w:rPr>
            </w:pPr>
          </w:p>
        </w:tc>
        <w:tc>
          <w:tcPr>
            <w:tcW w:w="1100" w:type="dxa"/>
            <w:tcBorders>
              <w:top w:val="nil"/>
              <w:left w:val="nil"/>
              <w:bottom w:val="single" w:sz="4" w:space="0" w:color="auto"/>
              <w:right w:val="single" w:sz="4" w:space="0" w:color="auto"/>
            </w:tcBorders>
            <w:shd w:val="clear" w:color="auto" w:fill="auto"/>
            <w:vAlign w:val="center"/>
            <w:hideMark/>
          </w:tcPr>
          <w:p w14:paraId="2D28480E" w14:textId="3884A745" w:rsidR="006D6B67" w:rsidRPr="00AE70B8" w:rsidRDefault="006D6B67" w:rsidP="006D6B67">
            <w:pPr>
              <w:jc w:val="right"/>
              <w:rPr>
                <w:color w:val="000000"/>
                <w:kern w:val="22"/>
                <w:sz w:val="18"/>
                <w:szCs w:val="18"/>
                <w:lang w:val="fr-CA" w:eastAsia="zh-CN"/>
              </w:rPr>
            </w:pPr>
          </w:p>
        </w:tc>
      </w:tr>
      <w:tr w:rsidR="006D6B67" w:rsidRPr="00AE70B8" w14:paraId="74919135" w14:textId="77777777" w:rsidTr="00282AF6">
        <w:trPr>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10B78EC2" w14:textId="04A0E097" w:rsidR="006D6B67" w:rsidRPr="00AE70B8" w:rsidRDefault="006D6B67" w:rsidP="00476259">
            <w:pPr>
              <w:jc w:val="left"/>
              <w:rPr>
                <w:color w:val="000000"/>
                <w:kern w:val="22"/>
                <w:sz w:val="20"/>
                <w:szCs w:val="20"/>
                <w:lang w:val="fr-CA" w:eastAsia="zh-CN"/>
              </w:rPr>
            </w:pPr>
            <w:r w:rsidRPr="00AE70B8">
              <w:rPr>
                <w:color w:val="000000" w:themeColor="text1"/>
                <w:kern w:val="22"/>
                <w:sz w:val="20"/>
                <w:szCs w:val="20"/>
                <w:lang w:val="fr-CA" w:eastAsia="zh-CN"/>
              </w:rPr>
              <w:t>D.</w:t>
            </w:r>
            <w:r w:rsidRPr="00AE70B8">
              <w:rPr>
                <w:color w:val="000000"/>
                <w:kern w:val="22"/>
                <w:sz w:val="20"/>
                <w:szCs w:val="20"/>
                <w:lang w:val="fr-CA" w:eastAsia="zh-CN"/>
              </w:rPr>
              <w:t xml:space="preserve"> Consultants/s</w:t>
            </w:r>
            <w:r w:rsidR="00476259" w:rsidRPr="00AE70B8">
              <w:rPr>
                <w:color w:val="000000"/>
                <w:kern w:val="22"/>
                <w:sz w:val="20"/>
                <w:szCs w:val="20"/>
                <w:lang w:val="fr-CA" w:eastAsia="zh-CN"/>
              </w:rPr>
              <w:t>ous-traitants</w:t>
            </w:r>
          </w:p>
        </w:tc>
        <w:tc>
          <w:tcPr>
            <w:tcW w:w="1856" w:type="dxa"/>
            <w:tcBorders>
              <w:top w:val="nil"/>
              <w:left w:val="nil"/>
              <w:bottom w:val="single" w:sz="4" w:space="0" w:color="auto"/>
              <w:right w:val="single" w:sz="4" w:space="0" w:color="auto"/>
            </w:tcBorders>
            <w:shd w:val="clear" w:color="auto" w:fill="auto"/>
            <w:vAlign w:val="center"/>
            <w:hideMark/>
          </w:tcPr>
          <w:p w14:paraId="6CEC53DC" w14:textId="48515171" w:rsidR="006D6B67" w:rsidRPr="00AE70B8" w:rsidRDefault="006D6B67" w:rsidP="006D6B67">
            <w:pPr>
              <w:jc w:val="right"/>
              <w:rPr>
                <w:color w:val="000000"/>
                <w:kern w:val="22"/>
                <w:sz w:val="18"/>
                <w:szCs w:val="18"/>
                <w:lang w:val="fr-CA" w:eastAsia="zh-CN"/>
              </w:rPr>
            </w:pPr>
          </w:p>
        </w:tc>
        <w:tc>
          <w:tcPr>
            <w:tcW w:w="2088" w:type="dxa"/>
            <w:tcBorders>
              <w:top w:val="nil"/>
              <w:left w:val="nil"/>
              <w:bottom w:val="single" w:sz="4" w:space="0" w:color="auto"/>
              <w:right w:val="single" w:sz="4" w:space="0" w:color="auto"/>
            </w:tcBorders>
            <w:shd w:val="clear" w:color="auto" w:fill="auto"/>
            <w:vAlign w:val="center"/>
            <w:hideMark/>
          </w:tcPr>
          <w:p w14:paraId="4159FF48" w14:textId="72AE33A4" w:rsidR="006D6B67" w:rsidRPr="00AE70B8" w:rsidRDefault="006D6B67" w:rsidP="00282AF6">
            <w:pPr>
              <w:jc w:val="right"/>
              <w:rPr>
                <w:color w:val="000000"/>
                <w:kern w:val="22"/>
                <w:sz w:val="18"/>
                <w:szCs w:val="18"/>
                <w:lang w:val="fr-CA" w:eastAsia="zh-CN"/>
              </w:rPr>
            </w:pPr>
          </w:p>
        </w:tc>
        <w:tc>
          <w:tcPr>
            <w:tcW w:w="1100" w:type="dxa"/>
            <w:tcBorders>
              <w:top w:val="nil"/>
              <w:left w:val="nil"/>
              <w:bottom w:val="single" w:sz="4" w:space="0" w:color="auto"/>
              <w:right w:val="single" w:sz="4" w:space="0" w:color="auto"/>
            </w:tcBorders>
            <w:shd w:val="clear" w:color="auto" w:fill="auto"/>
            <w:vAlign w:val="center"/>
            <w:hideMark/>
          </w:tcPr>
          <w:p w14:paraId="34A33769" w14:textId="20000162" w:rsidR="006D6B67" w:rsidRPr="00AE70B8" w:rsidRDefault="006D6B67" w:rsidP="006D6B67">
            <w:pPr>
              <w:jc w:val="right"/>
              <w:rPr>
                <w:color w:val="000000"/>
                <w:kern w:val="22"/>
                <w:sz w:val="18"/>
                <w:szCs w:val="18"/>
                <w:lang w:val="fr-CA" w:eastAsia="zh-CN"/>
              </w:rPr>
            </w:pPr>
          </w:p>
        </w:tc>
      </w:tr>
      <w:tr w:rsidR="006D6B67" w:rsidRPr="00E70A04" w14:paraId="125F573A" w14:textId="77777777" w:rsidTr="00282AF6">
        <w:trPr>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0F7C84D6" w14:textId="50276612" w:rsidR="006D6B67" w:rsidRPr="00AE70B8" w:rsidRDefault="006D6B67" w:rsidP="00476259">
            <w:pPr>
              <w:jc w:val="left"/>
              <w:rPr>
                <w:color w:val="000000"/>
                <w:kern w:val="22"/>
                <w:sz w:val="20"/>
                <w:szCs w:val="20"/>
                <w:lang w:val="fr-CA" w:eastAsia="zh-CN"/>
              </w:rPr>
            </w:pPr>
            <w:r w:rsidRPr="00AE70B8">
              <w:rPr>
                <w:color w:val="000000" w:themeColor="text1"/>
                <w:kern w:val="22"/>
                <w:sz w:val="20"/>
                <w:szCs w:val="20"/>
                <w:lang w:val="fr-CA" w:eastAsia="zh-CN"/>
              </w:rPr>
              <w:t>E.</w:t>
            </w:r>
            <w:r w:rsidRPr="00AE70B8">
              <w:rPr>
                <w:color w:val="000000"/>
                <w:kern w:val="22"/>
                <w:sz w:val="20"/>
                <w:szCs w:val="20"/>
                <w:lang w:val="fr-CA" w:eastAsia="zh-CN"/>
              </w:rPr>
              <w:t xml:space="preserve"> </w:t>
            </w:r>
            <w:r w:rsidR="00476259" w:rsidRPr="00AE70B8">
              <w:rPr>
                <w:color w:val="000000"/>
                <w:kern w:val="22"/>
                <w:sz w:val="20"/>
                <w:szCs w:val="20"/>
                <w:lang w:val="fr-CA" w:eastAsia="zh-CN"/>
              </w:rPr>
              <w:t>Matériel de sensibilisation du public / communication</w:t>
            </w:r>
          </w:p>
        </w:tc>
        <w:tc>
          <w:tcPr>
            <w:tcW w:w="1856" w:type="dxa"/>
            <w:tcBorders>
              <w:top w:val="nil"/>
              <w:left w:val="nil"/>
              <w:bottom w:val="single" w:sz="4" w:space="0" w:color="auto"/>
              <w:right w:val="single" w:sz="4" w:space="0" w:color="auto"/>
            </w:tcBorders>
            <w:shd w:val="clear" w:color="auto" w:fill="auto"/>
            <w:vAlign w:val="center"/>
            <w:hideMark/>
          </w:tcPr>
          <w:p w14:paraId="3700AC7B" w14:textId="65A902F8" w:rsidR="006D6B67" w:rsidRPr="00AE70B8" w:rsidRDefault="006D6B67" w:rsidP="006D6B67">
            <w:pPr>
              <w:jc w:val="right"/>
              <w:rPr>
                <w:color w:val="000000"/>
                <w:kern w:val="22"/>
                <w:sz w:val="18"/>
                <w:szCs w:val="18"/>
                <w:lang w:val="fr-CA" w:eastAsia="zh-CN"/>
              </w:rPr>
            </w:pPr>
          </w:p>
        </w:tc>
        <w:tc>
          <w:tcPr>
            <w:tcW w:w="2088" w:type="dxa"/>
            <w:tcBorders>
              <w:top w:val="nil"/>
              <w:left w:val="nil"/>
              <w:bottom w:val="single" w:sz="4" w:space="0" w:color="auto"/>
              <w:right w:val="single" w:sz="4" w:space="0" w:color="auto"/>
            </w:tcBorders>
            <w:shd w:val="clear" w:color="auto" w:fill="auto"/>
            <w:vAlign w:val="center"/>
            <w:hideMark/>
          </w:tcPr>
          <w:p w14:paraId="2FE5C101" w14:textId="1FE3CCC5" w:rsidR="006D6B67" w:rsidRPr="00AE70B8" w:rsidRDefault="006D6B67" w:rsidP="006D6B67">
            <w:pPr>
              <w:jc w:val="right"/>
              <w:rPr>
                <w:color w:val="000000"/>
                <w:kern w:val="22"/>
                <w:sz w:val="18"/>
                <w:szCs w:val="18"/>
                <w:lang w:val="fr-CA" w:eastAsia="zh-CN"/>
              </w:rPr>
            </w:pPr>
          </w:p>
        </w:tc>
        <w:tc>
          <w:tcPr>
            <w:tcW w:w="1100" w:type="dxa"/>
            <w:tcBorders>
              <w:top w:val="nil"/>
              <w:left w:val="nil"/>
              <w:bottom w:val="single" w:sz="4" w:space="0" w:color="auto"/>
              <w:right w:val="single" w:sz="4" w:space="0" w:color="auto"/>
            </w:tcBorders>
            <w:shd w:val="clear" w:color="auto" w:fill="auto"/>
            <w:vAlign w:val="center"/>
            <w:hideMark/>
          </w:tcPr>
          <w:p w14:paraId="1C2A006F" w14:textId="013371E5" w:rsidR="006D6B67" w:rsidRPr="00AE70B8" w:rsidRDefault="006D6B67" w:rsidP="006D6B67">
            <w:pPr>
              <w:jc w:val="right"/>
              <w:rPr>
                <w:color w:val="000000"/>
                <w:kern w:val="22"/>
                <w:sz w:val="18"/>
                <w:szCs w:val="18"/>
                <w:lang w:val="fr-CA" w:eastAsia="zh-CN"/>
              </w:rPr>
            </w:pPr>
          </w:p>
        </w:tc>
      </w:tr>
      <w:tr w:rsidR="006D6B67" w:rsidRPr="00E70A04" w14:paraId="208DE704" w14:textId="77777777" w:rsidTr="00282AF6">
        <w:trPr>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6EA208AF" w14:textId="5A3096AE" w:rsidR="006D6B67" w:rsidRPr="00AE70B8" w:rsidRDefault="006D6B67" w:rsidP="00476259">
            <w:pPr>
              <w:jc w:val="left"/>
              <w:rPr>
                <w:color w:val="000000"/>
                <w:kern w:val="22"/>
                <w:sz w:val="20"/>
                <w:szCs w:val="20"/>
                <w:lang w:val="fr-CA" w:eastAsia="zh-CN"/>
              </w:rPr>
            </w:pPr>
            <w:r w:rsidRPr="00AE70B8">
              <w:rPr>
                <w:color w:val="000000" w:themeColor="text1"/>
                <w:kern w:val="22"/>
                <w:sz w:val="20"/>
                <w:szCs w:val="20"/>
                <w:lang w:val="fr-CA" w:eastAsia="zh-CN"/>
              </w:rPr>
              <w:t>F.</w:t>
            </w:r>
            <w:r w:rsidRPr="00AE70B8">
              <w:rPr>
                <w:color w:val="000000"/>
                <w:kern w:val="22"/>
                <w:sz w:val="20"/>
                <w:szCs w:val="20"/>
                <w:lang w:val="fr-CA" w:eastAsia="zh-CN"/>
              </w:rPr>
              <w:t xml:space="preserve"> </w:t>
            </w:r>
            <w:r w:rsidR="00476259" w:rsidRPr="00AE70B8">
              <w:rPr>
                <w:color w:val="000000"/>
                <w:kern w:val="22"/>
                <w:sz w:val="20"/>
                <w:szCs w:val="20"/>
                <w:lang w:val="fr-CA" w:eastAsia="zh-CN"/>
              </w:rPr>
              <w:t>Assistance temporaire / temps supplémentaire</w:t>
            </w:r>
          </w:p>
        </w:tc>
        <w:tc>
          <w:tcPr>
            <w:tcW w:w="1856" w:type="dxa"/>
            <w:tcBorders>
              <w:top w:val="nil"/>
              <w:left w:val="nil"/>
              <w:bottom w:val="single" w:sz="4" w:space="0" w:color="auto"/>
              <w:right w:val="single" w:sz="4" w:space="0" w:color="auto"/>
            </w:tcBorders>
            <w:shd w:val="clear" w:color="auto" w:fill="auto"/>
            <w:vAlign w:val="center"/>
            <w:hideMark/>
          </w:tcPr>
          <w:p w14:paraId="59341FC1" w14:textId="2F05B16B" w:rsidR="006D6B67" w:rsidRPr="00AE70B8" w:rsidRDefault="006D6B67" w:rsidP="006D6B67">
            <w:pPr>
              <w:jc w:val="right"/>
              <w:rPr>
                <w:color w:val="000000"/>
                <w:kern w:val="22"/>
                <w:sz w:val="18"/>
                <w:szCs w:val="18"/>
                <w:lang w:val="fr-CA" w:eastAsia="zh-CN"/>
              </w:rPr>
            </w:pPr>
          </w:p>
        </w:tc>
        <w:tc>
          <w:tcPr>
            <w:tcW w:w="2088" w:type="dxa"/>
            <w:tcBorders>
              <w:top w:val="nil"/>
              <w:left w:val="nil"/>
              <w:bottom w:val="single" w:sz="4" w:space="0" w:color="auto"/>
              <w:right w:val="single" w:sz="4" w:space="0" w:color="auto"/>
            </w:tcBorders>
            <w:shd w:val="clear" w:color="auto" w:fill="auto"/>
            <w:vAlign w:val="center"/>
            <w:hideMark/>
          </w:tcPr>
          <w:p w14:paraId="3FB30475" w14:textId="08742663" w:rsidR="006D6B67" w:rsidRPr="00AE70B8" w:rsidRDefault="006D6B67" w:rsidP="006D6B67">
            <w:pPr>
              <w:jc w:val="right"/>
              <w:rPr>
                <w:color w:val="000000"/>
                <w:kern w:val="22"/>
                <w:sz w:val="18"/>
                <w:szCs w:val="18"/>
                <w:lang w:val="fr-CA" w:eastAsia="zh-CN"/>
              </w:rPr>
            </w:pPr>
          </w:p>
        </w:tc>
        <w:tc>
          <w:tcPr>
            <w:tcW w:w="1100" w:type="dxa"/>
            <w:tcBorders>
              <w:top w:val="nil"/>
              <w:left w:val="nil"/>
              <w:bottom w:val="single" w:sz="4" w:space="0" w:color="auto"/>
              <w:right w:val="single" w:sz="4" w:space="0" w:color="auto"/>
            </w:tcBorders>
            <w:shd w:val="clear" w:color="auto" w:fill="auto"/>
            <w:vAlign w:val="center"/>
            <w:hideMark/>
          </w:tcPr>
          <w:p w14:paraId="51BED212" w14:textId="6AF14AE3" w:rsidR="006D6B67" w:rsidRPr="00AE70B8" w:rsidRDefault="006D6B67" w:rsidP="006D6B67">
            <w:pPr>
              <w:jc w:val="right"/>
              <w:rPr>
                <w:color w:val="000000"/>
                <w:kern w:val="22"/>
                <w:sz w:val="18"/>
                <w:szCs w:val="18"/>
                <w:lang w:val="fr-CA" w:eastAsia="zh-CN"/>
              </w:rPr>
            </w:pPr>
          </w:p>
        </w:tc>
      </w:tr>
      <w:tr w:rsidR="006D6B67" w:rsidRPr="00AE70B8" w14:paraId="37FD17ED" w14:textId="77777777" w:rsidTr="00282AF6">
        <w:trPr>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7EE43C32" w14:textId="2863BBF6" w:rsidR="006D6B67" w:rsidRPr="00AE70B8" w:rsidRDefault="006D6B67" w:rsidP="00476259">
            <w:pPr>
              <w:jc w:val="left"/>
              <w:rPr>
                <w:color w:val="000000"/>
                <w:kern w:val="22"/>
                <w:sz w:val="20"/>
                <w:szCs w:val="20"/>
                <w:lang w:val="fr-CA" w:eastAsia="zh-CN"/>
              </w:rPr>
            </w:pPr>
            <w:r w:rsidRPr="00AE70B8">
              <w:rPr>
                <w:color w:val="000000" w:themeColor="text1"/>
                <w:kern w:val="22"/>
                <w:sz w:val="20"/>
                <w:szCs w:val="20"/>
                <w:lang w:val="fr-CA" w:eastAsia="zh-CN"/>
              </w:rPr>
              <w:t>G.</w:t>
            </w:r>
            <w:r w:rsidRPr="00AE70B8">
              <w:rPr>
                <w:color w:val="000000"/>
                <w:kern w:val="22"/>
                <w:sz w:val="20"/>
                <w:szCs w:val="20"/>
                <w:lang w:val="fr-CA" w:eastAsia="zh-CN"/>
              </w:rPr>
              <w:t xml:space="preserve"> </w:t>
            </w:r>
            <w:r w:rsidR="00476259" w:rsidRPr="00AE70B8">
              <w:rPr>
                <w:color w:val="000000"/>
                <w:kern w:val="22"/>
                <w:sz w:val="20"/>
                <w:szCs w:val="20"/>
                <w:lang w:val="fr-CA" w:eastAsia="zh-CN"/>
              </w:rPr>
              <w:t>Formation</w:t>
            </w:r>
          </w:p>
        </w:tc>
        <w:tc>
          <w:tcPr>
            <w:tcW w:w="1856" w:type="dxa"/>
            <w:tcBorders>
              <w:top w:val="nil"/>
              <w:left w:val="nil"/>
              <w:bottom w:val="single" w:sz="4" w:space="0" w:color="auto"/>
              <w:right w:val="single" w:sz="4" w:space="0" w:color="auto"/>
            </w:tcBorders>
            <w:shd w:val="clear" w:color="auto" w:fill="auto"/>
            <w:vAlign w:val="center"/>
            <w:hideMark/>
          </w:tcPr>
          <w:p w14:paraId="14E64FC4" w14:textId="461D5906" w:rsidR="006D6B67" w:rsidRPr="00AE70B8" w:rsidRDefault="006D6B67" w:rsidP="006D6B67">
            <w:pPr>
              <w:jc w:val="right"/>
              <w:rPr>
                <w:color w:val="000000"/>
                <w:kern w:val="22"/>
                <w:sz w:val="18"/>
                <w:szCs w:val="18"/>
                <w:lang w:val="fr-CA" w:eastAsia="zh-CN"/>
              </w:rPr>
            </w:pPr>
          </w:p>
        </w:tc>
        <w:tc>
          <w:tcPr>
            <w:tcW w:w="2088" w:type="dxa"/>
            <w:tcBorders>
              <w:top w:val="nil"/>
              <w:left w:val="nil"/>
              <w:bottom w:val="single" w:sz="4" w:space="0" w:color="auto"/>
              <w:right w:val="single" w:sz="4" w:space="0" w:color="auto"/>
            </w:tcBorders>
            <w:shd w:val="clear" w:color="auto" w:fill="auto"/>
            <w:vAlign w:val="center"/>
            <w:hideMark/>
          </w:tcPr>
          <w:p w14:paraId="628EC095" w14:textId="6EED0EA6" w:rsidR="006D6B67" w:rsidRPr="00AE70B8" w:rsidRDefault="006D6B67" w:rsidP="006D6B67">
            <w:pPr>
              <w:jc w:val="right"/>
              <w:rPr>
                <w:color w:val="000000"/>
                <w:kern w:val="22"/>
                <w:sz w:val="18"/>
                <w:szCs w:val="18"/>
                <w:lang w:val="fr-CA" w:eastAsia="zh-CN"/>
              </w:rPr>
            </w:pPr>
          </w:p>
        </w:tc>
        <w:tc>
          <w:tcPr>
            <w:tcW w:w="1100" w:type="dxa"/>
            <w:tcBorders>
              <w:top w:val="nil"/>
              <w:left w:val="nil"/>
              <w:bottom w:val="single" w:sz="4" w:space="0" w:color="auto"/>
              <w:right w:val="single" w:sz="4" w:space="0" w:color="auto"/>
            </w:tcBorders>
            <w:shd w:val="clear" w:color="auto" w:fill="auto"/>
            <w:vAlign w:val="center"/>
            <w:hideMark/>
          </w:tcPr>
          <w:p w14:paraId="197EFEAE" w14:textId="1757DD7C" w:rsidR="006D6B67" w:rsidRPr="00AE70B8" w:rsidRDefault="006D6B67" w:rsidP="006D6B67">
            <w:pPr>
              <w:jc w:val="right"/>
              <w:rPr>
                <w:color w:val="000000"/>
                <w:kern w:val="22"/>
                <w:sz w:val="18"/>
                <w:szCs w:val="18"/>
                <w:lang w:val="fr-CA" w:eastAsia="zh-CN"/>
              </w:rPr>
            </w:pPr>
          </w:p>
        </w:tc>
      </w:tr>
      <w:tr w:rsidR="006D6B67" w:rsidRPr="00E70A04" w14:paraId="437D27E9" w14:textId="77777777" w:rsidTr="00282AF6">
        <w:trPr>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038BBA37" w14:textId="38B99BCA" w:rsidR="006D6B67" w:rsidRPr="00AE70B8" w:rsidRDefault="006D6B67">
            <w:pPr>
              <w:jc w:val="left"/>
              <w:rPr>
                <w:color w:val="000000"/>
                <w:kern w:val="22"/>
                <w:sz w:val="20"/>
                <w:szCs w:val="20"/>
                <w:lang w:val="fr-CA" w:eastAsia="zh-CN"/>
              </w:rPr>
            </w:pPr>
            <w:r w:rsidRPr="00AE70B8">
              <w:rPr>
                <w:color w:val="000000" w:themeColor="text1"/>
                <w:kern w:val="22"/>
                <w:sz w:val="20"/>
                <w:szCs w:val="20"/>
                <w:lang w:val="fr-CA" w:eastAsia="zh-CN"/>
              </w:rPr>
              <w:t>H.</w:t>
            </w:r>
            <w:r w:rsidRPr="00AE70B8">
              <w:rPr>
                <w:color w:val="000000"/>
                <w:kern w:val="22"/>
                <w:sz w:val="20"/>
                <w:szCs w:val="20"/>
                <w:lang w:val="fr-CA" w:eastAsia="zh-CN"/>
              </w:rPr>
              <w:t xml:space="preserve"> </w:t>
            </w:r>
            <w:r w:rsidR="00476259" w:rsidRPr="00AE70B8">
              <w:rPr>
                <w:color w:val="000000"/>
                <w:sz w:val="20"/>
                <w:szCs w:val="17"/>
                <w:lang w:val="fr-CA" w:eastAsia="en-CA"/>
              </w:rPr>
              <w:t>Traduction du site Web du mécanisme de centre d’échange / projets de site Web</w:t>
            </w:r>
          </w:p>
        </w:tc>
        <w:tc>
          <w:tcPr>
            <w:tcW w:w="1856" w:type="dxa"/>
            <w:tcBorders>
              <w:top w:val="nil"/>
              <w:left w:val="nil"/>
              <w:bottom w:val="single" w:sz="4" w:space="0" w:color="auto"/>
              <w:right w:val="single" w:sz="4" w:space="0" w:color="auto"/>
            </w:tcBorders>
            <w:shd w:val="clear" w:color="auto" w:fill="auto"/>
            <w:vAlign w:val="center"/>
            <w:hideMark/>
          </w:tcPr>
          <w:p w14:paraId="22737EAA" w14:textId="48914A42" w:rsidR="006D6B67" w:rsidRPr="00AE70B8" w:rsidRDefault="006D6B67" w:rsidP="006D6B67">
            <w:pPr>
              <w:jc w:val="right"/>
              <w:rPr>
                <w:color w:val="000000"/>
                <w:kern w:val="22"/>
                <w:sz w:val="18"/>
                <w:szCs w:val="18"/>
                <w:lang w:val="fr-CA" w:eastAsia="zh-CN"/>
              </w:rPr>
            </w:pPr>
          </w:p>
        </w:tc>
        <w:tc>
          <w:tcPr>
            <w:tcW w:w="2088" w:type="dxa"/>
            <w:tcBorders>
              <w:top w:val="nil"/>
              <w:left w:val="nil"/>
              <w:bottom w:val="single" w:sz="4" w:space="0" w:color="auto"/>
              <w:right w:val="single" w:sz="4" w:space="0" w:color="auto"/>
            </w:tcBorders>
            <w:shd w:val="clear" w:color="auto" w:fill="auto"/>
            <w:vAlign w:val="center"/>
            <w:hideMark/>
          </w:tcPr>
          <w:p w14:paraId="43CEF974" w14:textId="08DAA7E9" w:rsidR="006D6B67" w:rsidRPr="00AE70B8" w:rsidRDefault="006D6B67" w:rsidP="006D6B67">
            <w:pPr>
              <w:jc w:val="right"/>
              <w:rPr>
                <w:color w:val="000000"/>
                <w:kern w:val="22"/>
                <w:sz w:val="18"/>
                <w:szCs w:val="18"/>
                <w:lang w:val="fr-CA" w:eastAsia="zh-CN"/>
              </w:rPr>
            </w:pPr>
          </w:p>
        </w:tc>
        <w:tc>
          <w:tcPr>
            <w:tcW w:w="1100" w:type="dxa"/>
            <w:tcBorders>
              <w:top w:val="nil"/>
              <w:left w:val="nil"/>
              <w:bottom w:val="single" w:sz="4" w:space="0" w:color="auto"/>
              <w:right w:val="single" w:sz="4" w:space="0" w:color="auto"/>
            </w:tcBorders>
            <w:shd w:val="clear" w:color="auto" w:fill="auto"/>
            <w:vAlign w:val="center"/>
            <w:hideMark/>
          </w:tcPr>
          <w:p w14:paraId="7644ABBB" w14:textId="476858A1" w:rsidR="006D6B67" w:rsidRPr="00AE70B8" w:rsidRDefault="006D6B67" w:rsidP="006D6B67">
            <w:pPr>
              <w:jc w:val="right"/>
              <w:rPr>
                <w:color w:val="000000"/>
                <w:kern w:val="22"/>
                <w:sz w:val="18"/>
                <w:szCs w:val="18"/>
                <w:lang w:val="fr-CA" w:eastAsia="zh-CN"/>
              </w:rPr>
            </w:pPr>
          </w:p>
        </w:tc>
      </w:tr>
      <w:tr w:rsidR="006D6B67" w:rsidRPr="00AE70B8" w14:paraId="570EB5F2" w14:textId="77777777" w:rsidTr="00282AF6">
        <w:trPr>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3370DC9A" w14:textId="5CA2A7F8" w:rsidR="006D6B67" w:rsidRPr="00AE70B8" w:rsidRDefault="006D6B67" w:rsidP="00476259">
            <w:pPr>
              <w:jc w:val="left"/>
              <w:rPr>
                <w:color w:val="000000"/>
                <w:kern w:val="22"/>
                <w:sz w:val="20"/>
                <w:szCs w:val="20"/>
                <w:lang w:val="fr-CA" w:eastAsia="zh-CN"/>
              </w:rPr>
            </w:pPr>
            <w:r w:rsidRPr="00AE70B8">
              <w:rPr>
                <w:color w:val="000000" w:themeColor="text1"/>
                <w:kern w:val="22"/>
                <w:sz w:val="20"/>
                <w:szCs w:val="20"/>
                <w:lang w:val="fr-CA" w:eastAsia="zh-CN"/>
              </w:rPr>
              <w:t>I.</w:t>
            </w:r>
            <w:r w:rsidRPr="00AE70B8">
              <w:rPr>
                <w:color w:val="000000"/>
                <w:kern w:val="22"/>
                <w:sz w:val="20"/>
                <w:szCs w:val="20"/>
                <w:lang w:val="fr-CA" w:eastAsia="zh-CN"/>
              </w:rPr>
              <w:t xml:space="preserve"> </w:t>
            </w:r>
            <w:r w:rsidR="00476259" w:rsidRPr="00AE70B8">
              <w:rPr>
                <w:color w:val="000000"/>
                <w:kern w:val="22"/>
                <w:sz w:val="20"/>
                <w:szCs w:val="20"/>
                <w:lang w:val="fr-CA" w:eastAsia="zh-CN"/>
              </w:rPr>
              <w:t>Réunions</w:t>
            </w:r>
          </w:p>
        </w:tc>
        <w:tc>
          <w:tcPr>
            <w:tcW w:w="1856" w:type="dxa"/>
            <w:tcBorders>
              <w:top w:val="nil"/>
              <w:left w:val="nil"/>
              <w:bottom w:val="single" w:sz="4" w:space="0" w:color="auto"/>
              <w:right w:val="single" w:sz="4" w:space="0" w:color="auto"/>
            </w:tcBorders>
            <w:shd w:val="clear" w:color="auto" w:fill="auto"/>
            <w:vAlign w:val="center"/>
            <w:hideMark/>
          </w:tcPr>
          <w:p w14:paraId="0BCBDA50" w14:textId="6B49C65A" w:rsidR="006D6B67" w:rsidRPr="00AE70B8" w:rsidRDefault="006D6B67" w:rsidP="006D6B67">
            <w:pPr>
              <w:jc w:val="right"/>
              <w:rPr>
                <w:color w:val="000000"/>
                <w:kern w:val="22"/>
                <w:sz w:val="18"/>
                <w:szCs w:val="18"/>
                <w:lang w:val="fr-CA" w:eastAsia="zh-CN"/>
              </w:rPr>
            </w:pPr>
            <w:r w:rsidRPr="00AE70B8">
              <w:rPr>
                <w:color w:val="000000"/>
                <w:kern w:val="22"/>
                <w:sz w:val="18"/>
                <w:szCs w:val="18"/>
                <w:lang w:val="fr-CA" w:eastAsia="zh-CN"/>
              </w:rPr>
              <w:t>2</w:t>
            </w:r>
            <w:r w:rsidR="008823BD" w:rsidRPr="00AE70B8">
              <w:rPr>
                <w:color w:val="000000"/>
                <w:kern w:val="22"/>
                <w:sz w:val="18"/>
                <w:szCs w:val="18"/>
                <w:lang w:val="fr-CA" w:eastAsia="zh-CN"/>
              </w:rPr>
              <w:t xml:space="preserve"> </w:t>
            </w:r>
            <w:r w:rsidRPr="00AE70B8">
              <w:rPr>
                <w:color w:val="000000"/>
                <w:kern w:val="22"/>
                <w:sz w:val="18"/>
                <w:szCs w:val="18"/>
                <w:lang w:val="fr-CA" w:eastAsia="zh-CN"/>
              </w:rPr>
              <w:t>842</w:t>
            </w:r>
            <w:r w:rsidR="008823BD" w:rsidRPr="00AE70B8">
              <w:rPr>
                <w:color w:val="000000"/>
                <w:kern w:val="22"/>
                <w:sz w:val="18"/>
                <w:szCs w:val="18"/>
                <w:lang w:val="fr-CA" w:eastAsia="zh-CN"/>
              </w:rPr>
              <w:t>,</w:t>
            </w:r>
            <w:r w:rsidRPr="00AE70B8">
              <w:rPr>
                <w:color w:val="000000"/>
                <w:kern w:val="22"/>
                <w:sz w:val="18"/>
                <w:szCs w:val="18"/>
                <w:lang w:val="fr-CA" w:eastAsia="zh-CN"/>
              </w:rPr>
              <w:t>2</w:t>
            </w:r>
          </w:p>
        </w:tc>
        <w:tc>
          <w:tcPr>
            <w:tcW w:w="2088" w:type="dxa"/>
            <w:tcBorders>
              <w:top w:val="nil"/>
              <w:left w:val="nil"/>
              <w:bottom w:val="single" w:sz="4" w:space="0" w:color="auto"/>
              <w:right w:val="single" w:sz="4" w:space="0" w:color="auto"/>
            </w:tcBorders>
            <w:shd w:val="clear" w:color="auto" w:fill="auto"/>
            <w:vAlign w:val="center"/>
            <w:hideMark/>
          </w:tcPr>
          <w:p w14:paraId="2682E4CA" w14:textId="4D964AA7" w:rsidR="006D6B67" w:rsidRPr="00AE70B8" w:rsidRDefault="00EF733C" w:rsidP="006D6B67">
            <w:pPr>
              <w:jc w:val="right"/>
              <w:rPr>
                <w:color w:val="000000"/>
                <w:kern w:val="22"/>
                <w:sz w:val="18"/>
                <w:szCs w:val="18"/>
                <w:lang w:val="fr-CA" w:eastAsia="zh-CN"/>
              </w:rPr>
            </w:pPr>
            <w:r w:rsidRPr="00AE70B8">
              <w:rPr>
                <w:color w:val="000000"/>
                <w:kern w:val="22"/>
                <w:sz w:val="18"/>
                <w:szCs w:val="18"/>
                <w:lang w:val="fr-CA" w:eastAsia="zh-CN"/>
              </w:rPr>
              <w:t>1</w:t>
            </w:r>
            <w:r w:rsidR="008823BD" w:rsidRPr="00AE70B8">
              <w:rPr>
                <w:color w:val="000000"/>
                <w:kern w:val="22"/>
                <w:sz w:val="18"/>
                <w:szCs w:val="18"/>
                <w:lang w:val="fr-CA" w:eastAsia="zh-CN"/>
              </w:rPr>
              <w:t xml:space="preserve"> </w:t>
            </w:r>
            <w:r w:rsidRPr="00AE70B8">
              <w:rPr>
                <w:color w:val="000000"/>
                <w:kern w:val="22"/>
                <w:sz w:val="18"/>
                <w:szCs w:val="18"/>
                <w:lang w:val="fr-CA" w:eastAsia="zh-CN"/>
              </w:rPr>
              <w:t>364</w:t>
            </w:r>
            <w:r w:rsidR="008823BD" w:rsidRPr="00AE70B8">
              <w:rPr>
                <w:color w:val="000000"/>
                <w:kern w:val="22"/>
                <w:sz w:val="18"/>
                <w:szCs w:val="18"/>
                <w:lang w:val="fr-CA" w:eastAsia="zh-CN"/>
              </w:rPr>
              <w:t>,</w:t>
            </w:r>
            <w:r w:rsidRPr="00AE70B8">
              <w:rPr>
                <w:color w:val="000000"/>
                <w:kern w:val="22"/>
                <w:sz w:val="18"/>
                <w:szCs w:val="18"/>
                <w:lang w:val="fr-CA" w:eastAsia="zh-CN"/>
              </w:rPr>
              <w:t>2</w:t>
            </w:r>
          </w:p>
        </w:tc>
        <w:tc>
          <w:tcPr>
            <w:tcW w:w="1100" w:type="dxa"/>
            <w:tcBorders>
              <w:top w:val="nil"/>
              <w:left w:val="nil"/>
              <w:bottom w:val="single" w:sz="4" w:space="0" w:color="auto"/>
              <w:right w:val="single" w:sz="4" w:space="0" w:color="auto"/>
            </w:tcBorders>
            <w:shd w:val="clear" w:color="auto" w:fill="auto"/>
            <w:vAlign w:val="center"/>
            <w:hideMark/>
          </w:tcPr>
          <w:p w14:paraId="068FD5EE" w14:textId="6ED6ADB9" w:rsidR="006D6B67" w:rsidRPr="00AE70B8" w:rsidRDefault="000262EE" w:rsidP="006D6B67">
            <w:pPr>
              <w:jc w:val="right"/>
              <w:rPr>
                <w:color w:val="000000"/>
                <w:kern w:val="22"/>
                <w:sz w:val="18"/>
                <w:szCs w:val="18"/>
                <w:lang w:val="fr-CA" w:eastAsia="zh-CN"/>
              </w:rPr>
            </w:pPr>
            <w:r w:rsidRPr="00AE70B8">
              <w:rPr>
                <w:color w:val="000000"/>
                <w:kern w:val="22"/>
                <w:sz w:val="18"/>
                <w:szCs w:val="18"/>
                <w:lang w:val="fr-CA" w:eastAsia="zh-CN"/>
              </w:rPr>
              <w:t>1</w:t>
            </w:r>
            <w:r w:rsidR="008823BD" w:rsidRPr="00AE70B8">
              <w:rPr>
                <w:color w:val="000000"/>
                <w:kern w:val="22"/>
                <w:sz w:val="18"/>
                <w:szCs w:val="18"/>
                <w:lang w:val="fr-CA" w:eastAsia="zh-CN"/>
              </w:rPr>
              <w:t xml:space="preserve"> </w:t>
            </w:r>
            <w:r w:rsidRPr="00AE70B8">
              <w:rPr>
                <w:color w:val="000000"/>
                <w:kern w:val="22"/>
                <w:sz w:val="18"/>
                <w:szCs w:val="18"/>
                <w:lang w:val="fr-CA" w:eastAsia="zh-CN"/>
              </w:rPr>
              <w:t>478</w:t>
            </w:r>
          </w:p>
        </w:tc>
      </w:tr>
      <w:tr w:rsidR="006D6B67" w:rsidRPr="00AE70B8" w14:paraId="116B9C6C" w14:textId="77777777" w:rsidTr="00282AF6">
        <w:trPr>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6A66DE60" w14:textId="0A2B70EF" w:rsidR="006D6B67" w:rsidRPr="00AE70B8" w:rsidRDefault="006D6B67" w:rsidP="00476259">
            <w:pPr>
              <w:jc w:val="left"/>
              <w:rPr>
                <w:color w:val="000000"/>
                <w:kern w:val="22"/>
                <w:sz w:val="20"/>
                <w:szCs w:val="20"/>
                <w:lang w:val="fr-CA" w:eastAsia="zh-CN"/>
              </w:rPr>
            </w:pPr>
            <w:r w:rsidRPr="00AE70B8">
              <w:rPr>
                <w:color w:val="000000" w:themeColor="text1"/>
                <w:kern w:val="22"/>
                <w:sz w:val="20"/>
                <w:szCs w:val="20"/>
                <w:lang w:val="fr-CA" w:eastAsia="zh-CN"/>
              </w:rPr>
              <w:t>J.</w:t>
            </w:r>
            <w:r w:rsidRPr="00AE70B8">
              <w:rPr>
                <w:color w:val="000000"/>
                <w:kern w:val="22"/>
                <w:sz w:val="20"/>
                <w:szCs w:val="20"/>
                <w:lang w:val="fr-CA" w:eastAsia="zh-CN"/>
              </w:rPr>
              <w:t xml:space="preserve"> </w:t>
            </w:r>
            <w:r w:rsidR="00476259" w:rsidRPr="00AE70B8">
              <w:rPr>
                <w:color w:val="000000"/>
                <w:kern w:val="22"/>
                <w:sz w:val="20"/>
                <w:szCs w:val="20"/>
                <w:lang w:val="fr-CA" w:eastAsia="zh-CN"/>
              </w:rPr>
              <w:t>Réunions d’experts</w:t>
            </w:r>
          </w:p>
        </w:tc>
        <w:tc>
          <w:tcPr>
            <w:tcW w:w="1856" w:type="dxa"/>
            <w:tcBorders>
              <w:top w:val="nil"/>
              <w:left w:val="nil"/>
              <w:bottom w:val="single" w:sz="4" w:space="0" w:color="auto"/>
              <w:right w:val="single" w:sz="4" w:space="0" w:color="auto"/>
            </w:tcBorders>
            <w:shd w:val="clear" w:color="auto" w:fill="auto"/>
            <w:vAlign w:val="center"/>
            <w:hideMark/>
          </w:tcPr>
          <w:p w14:paraId="076E046F" w14:textId="2D4BE0D2" w:rsidR="006D6B67" w:rsidRPr="00AE70B8" w:rsidRDefault="006D6B67" w:rsidP="006D6B67">
            <w:pPr>
              <w:jc w:val="right"/>
              <w:rPr>
                <w:color w:val="000000"/>
                <w:kern w:val="22"/>
                <w:sz w:val="18"/>
                <w:szCs w:val="18"/>
                <w:lang w:val="fr-CA" w:eastAsia="zh-CN"/>
              </w:rPr>
            </w:pPr>
            <w:r w:rsidRPr="00AE70B8">
              <w:rPr>
                <w:color w:val="000000"/>
                <w:kern w:val="22"/>
                <w:sz w:val="18"/>
                <w:szCs w:val="18"/>
                <w:lang w:val="fr-CA" w:eastAsia="zh-CN"/>
              </w:rPr>
              <w:t>150</w:t>
            </w:r>
            <w:r w:rsidR="008823BD" w:rsidRPr="00AE70B8">
              <w:rPr>
                <w:color w:val="000000"/>
                <w:kern w:val="22"/>
                <w:sz w:val="18"/>
                <w:szCs w:val="18"/>
                <w:lang w:val="fr-CA" w:eastAsia="zh-CN"/>
              </w:rPr>
              <w:t>,</w:t>
            </w:r>
            <w:r w:rsidRPr="00AE70B8">
              <w:rPr>
                <w:color w:val="000000"/>
                <w:kern w:val="22"/>
                <w:sz w:val="18"/>
                <w:szCs w:val="18"/>
                <w:lang w:val="fr-CA" w:eastAsia="zh-CN"/>
              </w:rPr>
              <w:t>0</w:t>
            </w:r>
          </w:p>
        </w:tc>
        <w:tc>
          <w:tcPr>
            <w:tcW w:w="2088" w:type="dxa"/>
            <w:tcBorders>
              <w:top w:val="nil"/>
              <w:left w:val="nil"/>
              <w:bottom w:val="single" w:sz="4" w:space="0" w:color="auto"/>
              <w:right w:val="single" w:sz="4" w:space="0" w:color="auto"/>
            </w:tcBorders>
            <w:shd w:val="clear" w:color="auto" w:fill="auto"/>
            <w:vAlign w:val="center"/>
            <w:hideMark/>
          </w:tcPr>
          <w:p w14:paraId="22ACDDF5" w14:textId="42F151AB" w:rsidR="006D6B67" w:rsidRPr="00AE70B8" w:rsidRDefault="006D6B67" w:rsidP="006D6B67">
            <w:pPr>
              <w:jc w:val="right"/>
              <w:rPr>
                <w:color w:val="000000"/>
                <w:kern w:val="22"/>
                <w:sz w:val="18"/>
                <w:szCs w:val="18"/>
                <w:lang w:val="fr-CA" w:eastAsia="zh-CN"/>
              </w:rPr>
            </w:pPr>
            <w:r w:rsidRPr="00AE70B8">
              <w:rPr>
                <w:color w:val="000000"/>
                <w:kern w:val="22"/>
                <w:sz w:val="18"/>
                <w:szCs w:val="18"/>
                <w:lang w:val="fr-CA" w:eastAsia="zh-CN"/>
              </w:rPr>
              <w:t>0</w:t>
            </w:r>
            <w:r w:rsidR="008823BD" w:rsidRPr="00AE70B8">
              <w:rPr>
                <w:color w:val="000000"/>
                <w:kern w:val="22"/>
                <w:sz w:val="18"/>
                <w:szCs w:val="18"/>
                <w:lang w:val="fr-CA" w:eastAsia="zh-CN"/>
              </w:rPr>
              <w:t>,</w:t>
            </w:r>
            <w:r w:rsidRPr="00AE70B8">
              <w:rPr>
                <w:color w:val="000000"/>
                <w:kern w:val="22"/>
                <w:sz w:val="18"/>
                <w:szCs w:val="18"/>
                <w:lang w:val="fr-CA" w:eastAsia="zh-CN"/>
              </w:rPr>
              <w:t>0</w:t>
            </w:r>
          </w:p>
        </w:tc>
        <w:tc>
          <w:tcPr>
            <w:tcW w:w="1100" w:type="dxa"/>
            <w:tcBorders>
              <w:top w:val="nil"/>
              <w:left w:val="nil"/>
              <w:bottom w:val="single" w:sz="4" w:space="0" w:color="auto"/>
              <w:right w:val="single" w:sz="4" w:space="0" w:color="auto"/>
            </w:tcBorders>
            <w:shd w:val="clear" w:color="auto" w:fill="auto"/>
            <w:vAlign w:val="center"/>
            <w:hideMark/>
          </w:tcPr>
          <w:p w14:paraId="5CCBCC5B" w14:textId="573BC7F5" w:rsidR="006D6B67" w:rsidRPr="00AE70B8" w:rsidRDefault="006D6B67" w:rsidP="006D6B67">
            <w:pPr>
              <w:jc w:val="right"/>
              <w:rPr>
                <w:color w:val="000000"/>
                <w:kern w:val="22"/>
                <w:sz w:val="18"/>
                <w:szCs w:val="18"/>
                <w:lang w:val="fr-CA" w:eastAsia="zh-CN"/>
              </w:rPr>
            </w:pPr>
            <w:r w:rsidRPr="00AE70B8">
              <w:rPr>
                <w:color w:val="000000"/>
                <w:kern w:val="22"/>
                <w:sz w:val="18"/>
                <w:szCs w:val="18"/>
                <w:lang w:val="fr-CA" w:eastAsia="zh-CN"/>
              </w:rPr>
              <w:t>150</w:t>
            </w:r>
            <w:r w:rsidR="008823BD" w:rsidRPr="00AE70B8">
              <w:rPr>
                <w:color w:val="000000"/>
                <w:kern w:val="22"/>
                <w:sz w:val="18"/>
                <w:szCs w:val="18"/>
                <w:lang w:val="fr-CA" w:eastAsia="zh-CN"/>
              </w:rPr>
              <w:t>,</w:t>
            </w:r>
            <w:r w:rsidRPr="00AE70B8">
              <w:rPr>
                <w:color w:val="000000"/>
                <w:kern w:val="22"/>
                <w:sz w:val="18"/>
                <w:szCs w:val="18"/>
                <w:lang w:val="fr-CA" w:eastAsia="zh-CN"/>
              </w:rPr>
              <w:t>0</w:t>
            </w:r>
          </w:p>
        </w:tc>
      </w:tr>
      <w:tr w:rsidR="006D6B67" w:rsidRPr="00AE70B8" w14:paraId="1F5BB28A" w14:textId="77777777" w:rsidTr="00282AF6">
        <w:trPr>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685C9B25" w14:textId="590D319A" w:rsidR="006D6B67" w:rsidRPr="00AE70B8" w:rsidRDefault="006D6B67" w:rsidP="00476259">
            <w:pPr>
              <w:jc w:val="left"/>
              <w:rPr>
                <w:color w:val="000000"/>
                <w:kern w:val="22"/>
                <w:sz w:val="20"/>
                <w:szCs w:val="20"/>
                <w:lang w:val="fr-CA" w:eastAsia="zh-CN"/>
              </w:rPr>
            </w:pPr>
            <w:r w:rsidRPr="00AE70B8">
              <w:rPr>
                <w:color w:val="000000" w:themeColor="text1"/>
                <w:kern w:val="22"/>
                <w:sz w:val="20"/>
                <w:szCs w:val="20"/>
                <w:lang w:val="fr-CA" w:eastAsia="zh-CN"/>
              </w:rPr>
              <w:t>K.</w:t>
            </w:r>
            <w:r w:rsidRPr="00AE70B8">
              <w:rPr>
                <w:color w:val="000000"/>
                <w:kern w:val="22"/>
                <w:sz w:val="20"/>
                <w:szCs w:val="20"/>
                <w:lang w:val="fr-CA" w:eastAsia="zh-CN"/>
              </w:rPr>
              <w:t xml:space="preserve"> </w:t>
            </w:r>
            <w:r w:rsidR="00476259" w:rsidRPr="00AE70B8">
              <w:rPr>
                <w:color w:val="000000"/>
                <w:kern w:val="22"/>
                <w:sz w:val="20"/>
                <w:szCs w:val="20"/>
                <w:lang w:val="fr-CA" w:eastAsia="zh-CN"/>
              </w:rPr>
              <w:t>Réunions extraordinaires sur l’après-2020</w:t>
            </w:r>
          </w:p>
        </w:tc>
        <w:tc>
          <w:tcPr>
            <w:tcW w:w="1856" w:type="dxa"/>
            <w:tcBorders>
              <w:top w:val="nil"/>
              <w:left w:val="nil"/>
              <w:bottom w:val="single" w:sz="4" w:space="0" w:color="auto"/>
              <w:right w:val="single" w:sz="4" w:space="0" w:color="auto"/>
            </w:tcBorders>
            <w:shd w:val="clear" w:color="auto" w:fill="auto"/>
            <w:vAlign w:val="center"/>
            <w:hideMark/>
          </w:tcPr>
          <w:p w14:paraId="43B8D852" w14:textId="7328FF74" w:rsidR="006D6B67" w:rsidRPr="00AE70B8" w:rsidRDefault="006D6B67" w:rsidP="006D6B67">
            <w:pPr>
              <w:jc w:val="right"/>
              <w:rPr>
                <w:color w:val="000000"/>
                <w:kern w:val="22"/>
                <w:sz w:val="18"/>
                <w:szCs w:val="18"/>
                <w:lang w:val="fr-CA" w:eastAsia="zh-CN"/>
              </w:rPr>
            </w:pPr>
            <w:r w:rsidRPr="00AE70B8">
              <w:rPr>
                <w:color w:val="000000"/>
                <w:kern w:val="22"/>
                <w:sz w:val="18"/>
                <w:szCs w:val="18"/>
                <w:lang w:val="fr-CA" w:eastAsia="zh-CN"/>
              </w:rPr>
              <w:t>210</w:t>
            </w:r>
            <w:r w:rsidR="008823BD" w:rsidRPr="00AE70B8">
              <w:rPr>
                <w:color w:val="000000"/>
                <w:kern w:val="22"/>
                <w:sz w:val="18"/>
                <w:szCs w:val="18"/>
                <w:lang w:val="fr-CA" w:eastAsia="zh-CN"/>
              </w:rPr>
              <w:t>,</w:t>
            </w:r>
            <w:r w:rsidRPr="00AE70B8">
              <w:rPr>
                <w:color w:val="000000"/>
                <w:kern w:val="22"/>
                <w:sz w:val="18"/>
                <w:szCs w:val="18"/>
                <w:lang w:val="fr-CA" w:eastAsia="zh-CN"/>
              </w:rPr>
              <w:t>0</w:t>
            </w:r>
          </w:p>
        </w:tc>
        <w:tc>
          <w:tcPr>
            <w:tcW w:w="2088" w:type="dxa"/>
            <w:tcBorders>
              <w:top w:val="nil"/>
              <w:left w:val="nil"/>
              <w:bottom w:val="single" w:sz="4" w:space="0" w:color="auto"/>
              <w:right w:val="single" w:sz="4" w:space="0" w:color="auto"/>
            </w:tcBorders>
            <w:shd w:val="clear" w:color="auto" w:fill="auto"/>
            <w:vAlign w:val="center"/>
            <w:hideMark/>
          </w:tcPr>
          <w:p w14:paraId="254FA1A0" w14:textId="663D08A5" w:rsidR="006D6B67" w:rsidRPr="00AE70B8" w:rsidRDefault="006D6B67" w:rsidP="006D6B67">
            <w:pPr>
              <w:jc w:val="right"/>
              <w:rPr>
                <w:color w:val="000000"/>
                <w:kern w:val="22"/>
                <w:sz w:val="18"/>
                <w:szCs w:val="18"/>
                <w:lang w:val="fr-CA" w:eastAsia="zh-CN"/>
              </w:rPr>
            </w:pPr>
            <w:r w:rsidRPr="00AE70B8">
              <w:rPr>
                <w:color w:val="000000"/>
                <w:kern w:val="22"/>
                <w:sz w:val="18"/>
                <w:szCs w:val="18"/>
                <w:lang w:val="fr-CA" w:eastAsia="zh-CN"/>
              </w:rPr>
              <w:t>210</w:t>
            </w:r>
            <w:r w:rsidR="008823BD" w:rsidRPr="00AE70B8">
              <w:rPr>
                <w:color w:val="000000"/>
                <w:kern w:val="22"/>
                <w:sz w:val="18"/>
                <w:szCs w:val="18"/>
                <w:lang w:val="fr-CA" w:eastAsia="zh-CN"/>
              </w:rPr>
              <w:t>,</w:t>
            </w:r>
            <w:r w:rsidRPr="00AE70B8">
              <w:rPr>
                <w:color w:val="000000"/>
                <w:kern w:val="22"/>
                <w:sz w:val="18"/>
                <w:szCs w:val="18"/>
                <w:lang w:val="fr-CA" w:eastAsia="zh-CN"/>
              </w:rPr>
              <w:t>0</w:t>
            </w:r>
          </w:p>
        </w:tc>
        <w:tc>
          <w:tcPr>
            <w:tcW w:w="1100" w:type="dxa"/>
            <w:tcBorders>
              <w:top w:val="nil"/>
              <w:left w:val="nil"/>
              <w:bottom w:val="single" w:sz="4" w:space="0" w:color="auto"/>
              <w:right w:val="single" w:sz="4" w:space="0" w:color="auto"/>
            </w:tcBorders>
            <w:shd w:val="clear" w:color="auto" w:fill="auto"/>
            <w:vAlign w:val="center"/>
            <w:hideMark/>
          </w:tcPr>
          <w:p w14:paraId="7AF836D0" w14:textId="5B5EF7D5" w:rsidR="006D6B67" w:rsidRPr="00AE70B8" w:rsidRDefault="006D6B67" w:rsidP="006D6B67">
            <w:pPr>
              <w:jc w:val="right"/>
              <w:rPr>
                <w:color w:val="000000"/>
                <w:kern w:val="22"/>
                <w:sz w:val="18"/>
                <w:szCs w:val="18"/>
                <w:lang w:val="fr-CA" w:eastAsia="zh-CN"/>
              </w:rPr>
            </w:pPr>
            <w:r w:rsidRPr="00AE70B8">
              <w:rPr>
                <w:color w:val="000000"/>
                <w:kern w:val="22"/>
                <w:sz w:val="18"/>
                <w:szCs w:val="18"/>
                <w:lang w:val="fr-CA" w:eastAsia="zh-CN"/>
              </w:rPr>
              <w:t>0</w:t>
            </w:r>
            <w:r w:rsidR="008823BD" w:rsidRPr="00AE70B8">
              <w:rPr>
                <w:color w:val="000000"/>
                <w:kern w:val="22"/>
                <w:sz w:val="18"/>
                <w:szCs w:val="18"/>
                <w:lang w:val="fr-CA" w:eastAsia="zh-CN"/>
              </w:rPr>
              <w:t>,</w:t>
            </w:r>
            <w:r w:rsidRPr="00AE70B8">
              <w:rPr>
                <w:color w:val="000000"/>
                <w:kern w:val="22"/>
                <w:sz w:val="18"/>
                <w:szCs w:val="18"/>
                <w:lang w:val="fr-CA" w:eastAsia="zh-CN"/>
              </w:rPr>
              <w:t>0</w:t>
            </w:r>
          </w:p>
        </w:tc>
      </w:tr>
      <w:tr w:rsidR="006D6B67" w:rsidRPr="00E70A04" w14:paraId="0F8581D5" w14:textId="77777777" w:rsidTr="00282AF6">
        <w:trPr>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1BDD1E0B" w14:textId="5F9EF755" w:rsidR="006D6B67" w:rsidRPr="00AE70B8" w:rsidRDefault="006D6B67" w:rsidP="00476259">
            <w:pPr>
              <w:jc w:val="left"/>
              <w:rPr>
                <w:color w:val="000000"/>
                <w:kern w:val="22"/>
                <w:sz w:val="20"/>
                <w:szCs w:val="20"/>
                <w:lang w:val="fr-CA" w:eastAsia="zh-CN"/>
              </w:rPr>
            </w:pPr>
            <w:r w:rsidRPr="00AE70B8">
              <w:rPr>
                <w:color w:val="000000" w:themeColor="text1"/>
                <w:kern w:val="22"/>
                <w:sz w:val="20"/>
                <w:szCs w:val="20"/>
                <w:lang w:val="fr-CA" w:eastAsia="zh-CN"/>
              </w:rPr>
              <w:t>L.</w:t>
            </w:r>
            <w:r w:rsidRPr="00AE70B8">
              <w:rPr>
                <w:color w:val="000000"/>
                <w:kern w:val="22"/>
                <w:sz w:val="20"/>
                <w:szCs w:val="20"/>
                <w:lang w:val="fr-CA" w:eastAsia="zh-CN"/>
              </w:rPr>
              <w:t xml:space="preserve"> </w:t>
            </w:r>
            <w:r w:rsidR="00476259" w:rsidRPr="00AE70B8">
              <w:rPr>
                <w:color w:val="000000"/>
                <w:kern w:val="22"/>
                <w:sz w:val="20"/>
                <w:szCs w:val="20"/>
                <w:lang w:val="fr-CA" w:eastAsia="zh-CN"/>
              </w:rPr>
              <w:t>Loyer et coûts apparentés</w:t>
            </w:r>
          </w:p>
        </w:tc>
        <w:tc>
          <w:tcPr>
            <w:tcW w:w="1856" w:type="dxa"/>
            <w:tcBorders>
              <w:top w:val="nil"/>
              <w:left w:val="nil"/>
              <w:bottom w:val="single" w:sz="4" w:space="0" w:color="auto"/>
              <w:right w:val="single" w:sz="4" w:space="0" w:color="auto"/>
            </w:tcBorders>
            <w:shd w:val="clear" w:color="auto" w:fill="auto"/>
            <w:vAlign w:val="center"/>
            <w:hideMark/>
          </w:tcPr>
          <w:p w14:paraId="0CD65188" w14:textId="1C3B9109" w:rsidR="006D6B67" w:rsidRPr="00AE70B8" w:rsidRDefault="006D6B67" w:rsidP="006D6B67">
            <w:pPr>
              <w:jc w:val="right"/>
              <w:rPr>
                <w:color w:val="000000"/>
                <w:kern w:val="22"/>
                <w:sz w:val="18"/>
                <w:szCs w:val="18"/>
                <w:lang w:val="fr-CA" w:eastAsia="zh-CN"/>
              </w:rPr>
            </w:pPr>
          </w:p>
        </w:tc>
        <w:tc>
          <w:tcPr>
            <w:tcW w:w="2088" w:type="dxa"/>
            <w:tcBorders>
              <w:top w:val="nil"/>
              <w:left w:val="nil"/>
              <w:bottom w:val="single" w:sz="4" w:space="0" w:color="auto"/>
              <w:right w:val="single" w:sz="4" w:space="0" w:color="auto"/>
            </w:tcBorders>
            <w:shd w:val="clear" w:color="auto" w:fill="auto"/>
            <w:vAlign w:val="center"/>
            <w:hideMark/>
          </w:tcPr>
          <w:p w14:paraId="15029777" w14:textId="3437B912" w:rsidR="006D6B67" w:rsidRPr="00AE70B8" w:rsidRDefault="006D6B67" w:rsidP="006D6B67">
            <w:pPr>
              <w:jc w:val="right"/>
              <w:rPr>
                <w:color w:val="000000"/>
                <w:kern w:val="22"/>
                <w:sz w:val="18"/>
                <w:szCs w:val="18"/>
                <w:lang w:val="fr-CA" w:eastAsia="zh-CN"/>
              </w:rPr>
            </w:pPr>
          </w:p>
        </w:tc>
        <w:tc>
          <w:tcPr>
            <w:tcW w:w="1100" w:type="dxa"/>
            <w:tcBorders>
              <w:top w:val="nil"/>
              <w:left w:val="nil"/>
              <w:bottom w:val="single" w:sz="4" w:space="0" w:color="auto"/>
              <w:right w:val="single" w:sz="4" w:space="0" w:color="auto"/>
            </w:tcBorders>
            <w:shd w:val="clear" w:color="auto" w:fill="auto"/>
            <w:vAlign w:val="center"/>
            <w:hideMark/>
          </w:tcPr>
          <w:p w14:paraId="1F796788" w14:textId="58C3C739" w:rsidR="006D6B67" w:rsidRPr="00AE70B8" w:rsidRDefault="006D6B67" w:rsidP="006D6B67">
            <w:pPr>
              <w:jc w:val="right"/>
              <w:rPr>
                <w:color w:val="000000"/>
                <w:kern w:val="22"/>
                <w:sz w:val="18"/>
                <w:szCs w:val="18"/>
                <w:lang w:val="fr-CA" w:eastAsia="zh-CN"/>
              </w:rPr>
            </w:pPr>
          </w:p>
        </w:tc>
      </w:tr>
      <w:tr w:rsidR="006D6B67" w:rsidRPr="00E70A04" w14:paraId="6DDC1CCC" w14:textId="77777777" w:rsidTr="00282AF6">
        <w:trPr>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0FD28F6A" w14:textId="4613ECA8" w:rsidR="006D6B67" w:rsidRPr="00AE70B8" w:rsidRDefault="006D6B67" w:rsidP="00476259">
            <w:pPr>
              <w:jc w:val="left"/>
              <w:rPr>
                <w:color w:val="000000"/>
                <w:kern w:val="22"/>
                <w:sz w:val="20"/>
                <w:szCs w:val="20"/>
                <w:lang w:val="fr-CA" w:eastAsia="zh-CN"/>
              </w:rPr>
            </w:pPr>
            <w:r w:rsidRPr="00AE70B8">
              <w:rPr>
                <w:color w:val="000000" w:themeColor="text1"/>
                <w:kern w:val="22"/>
                <w:sz w:val="20"/>
                <w:szCs w:val="20"/>
                <w:lang w:val="fr-CA" w:eastAsia="zh-CN"/>
              </w:rPr>
              <w:t>M.</w:t>
            </w:r>
            <w:r w:rsidRPr="00AE70B8">
              <w:rPr>
                <w:color w:val="000000"/>
                <w:kern w:val="22"/>
                <w:sz w:val="20"/>
                <w:szCs w:val="20"/>
                <w:lang w:val="fr-CA" w:eastAsia="zh-CN"/>
              </w:rPr>
              <w:t xml:space="preserve"> </w:t>
            </w:r>
            <w:r w:rsidR="00476259" w:rsidRPr="00AE70B8">
              <w:rPr>
                <w:color w:val="000000"/>
                <w:kern w:val="22"/>
                <w:sz w:val="20"/>
                <w:szCs w:val="20"/>
                <w:lang w:val="fr-CA" w:eastAsia="zh-CN"/>
              </w:rPr>
              <w:t>Frais de fonctionnement généraux</w:t>
            </w:r>
          </w:p>
        </w:tc>
        <w:tc>
          <w:tcPr>
            <w:tcW w:w="1856" w:type="dxa"/>
            <w:tcBorders>
              <w:top w:val="nil"/>
              <w:left w:val="nil"/>
              <w:bottom w:val="single" w:sz="4" w:space="0" w:color="auto"/>
              <w:right w:val="single" w:sz="4" w:space="0" w:color="auto"/>
            </w:tcBorders>
            <w:shd w:val="clear" w:color="auto" w:fill="auto"/>
            <w:vAlign w:val="center"/>
            <w:hideMark/>
          </w:tcPr>
          <w:p w14:paraId="1BD4907B" w14:textId="531F4281" w:rsidR="006D6B67" w:rsidRPr="00AE70B8" w:rsidRDefault="006D6B67" w:rsidP="006D6B67">
            <w:pPr>
              <w:jc w:val="right"/>
              <w:rPr>
                <w:color w:val="000000"/>
                <w:kern w:val="22"/>
                <w:sz w:val="18"/>
                <w:szCs w:val="18"/>
                <w:lang w:val="fr-CA" w:eastAsia="zh-CN"/>
              </w:rPr>
            </w:pPr>
          </w:p>
        </w:tc>
        <w:tc>
          <w:tcPr>
            <w:tcW w:w="2088" w:type="dxa"/>
            <w:tcBorders>
              <w:top w:val="nil"/>
              <w:left w:val="nil"/>
              <w:bottom w:val="single" w:sz="4" w:space="0" w:color="auto"/>
              <w:right w:val="single" w:sz="4" w:space="0" w:color="auto"/>
            </w:tcBorders>
            <w:shd w:val="clear" w:color="auto" w:fill="auto"/>
            <w:vAlign w:val="center"/>
            <w:hideMark/>
          </w:tcPr>
          <w:p w14:paraId="44B77049" w14:textId="71473A4F" w:rsidR="006D6B67" w:rsidRPr="00AE70B8" w:rsidRDefault="006D6B67" w:rsidP="006D6B67">
            <w:pPr>
              <w:jc w:val="right"/>
              <w:rPr>
                <w:color w:val="000000"/>
                <w:kern w:val="22"/>
                <w:sz w:val="18"/>
                <w:szCs w:val="18"/>
                <w:lang w:val="fr-CA" w:eastAsia="zh-CN"/>
              </w:rPr>
            </w:pPr>
          </w:p>
        </w:tc>
        <w:tc>
          <w:tcPr>
            <w:tcW w:w="1100" w:type="dxa"/>
            <w:tcBorders>
              <w:top w:val="nil"/>
              <w:left w:val="nil"/>
              <w:bottom w:val="single" w:sz="4" w:space="0" w:color="auto"/>
              <w:right w:val="single" w:sz="4" w:space="0" w:color="auto"/>
            </w:tcBorders>
            <w:shd w:val="clear" w:color="auto" w:fill="auto"/>
            <w:vAlign w:val="center"/>
            <w:hideMark/>
          </w:tcPr>
          <w:p w14:paraId="4C5B83CD" w14:textId="5494D4AC" w:rsidR="006D6B67" w:rsidRPr="00AE70B8" w:rsidRDefault="006D6B67" w:rsidP="006D6B67">
            <w:pPr>
              <w:jc w:val="right"/>
              <w:rPr>
                <w:color w:val="000000"/>
                <w:kern w:val="22"/>
                <w:sz w:val="18"/>
                <w:szCs w:val="18"/>
                <w:lang w:val="fr-CA" w:eastAsia="zh-CN"/>
              </w:rPr>
            </w:pPr>
          </w:p>
        </w:tc>
      </w:tr>
      <w:tr w:rsidR="006D6B67" w:rsidRPr="00AE70B8" w14:paraId="6D7B9EE4" w14:textId="77777777" w:rsidTr="00282AF6">
        <w:trPr>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3049A955" w14:textId="1C51F5C1" w:rsidR="006D6B67" w:rsidRPr="00AE70B8" w:rsidRDefault="00476259" w:rsidP="006D6B67">
            <w:pPr>
              <w:jc w:val="left"/>
              <w:rPr>
                <w:b/>
                <w:bCs/>
                <w:color w:val="000000"/>
                <w:kern w:val="22"/>
                <w:sz w:val="20"/>
                <w:szCs w:val="20"/>
                <w:lang w:val="fr-CA" w:eastAsia="zh-CN"/>
              </w:rPr>
            </w:pPr>
            <w:r w:rsidRPr="00AE70B8">
              <w:rPr>
                <w:b/>
                <w:color w:val="000000" w:themeColor="text1"/>
                <w:kern w:val="22"/>
                <w:sz w:val="20"/>
                <w:szCs w:val="20"/>
                <w:lang w:val="fr-CA" w:eastAsia="zh-CN"/>
              </w:rPr>
              <w:t>Total partie</w:t>
            </w:r>
            <w:r w:rsidR="006D6B67" w:rsidRPr="00AE70B8">
              <w:rPr>
                <w:b/>
                <w:color w:val="000000" w:themeColor="text1"/>
                <w:kern w:val="22"/>
                <w:sz w:val="20"/>
                <w:szCs w:val="20"/>
                <w:lang w:val="fr-CA" w:eastAsia="zh-CN"/>
              </w:rPr>
              <w:t>l (I)</w:t>
            </w:r>
          </w:p>
        </w:tc>
        <w:tc>
          <w:tcPr>
            <w:tcW w:w="1856" w:type="dxa"/>
            <w:tcBorders>
              <w:top w:val="nil"/>
              <w:left w:val="nil"/>
              <w:bottom w:val="single" w:sz="4" w:space="0" w:color="auto"/>
              <w:right w:val="single" w:sz="4" w:space="0" w:color="auto"/>
            </w:tcBorders>
            <w:shd w:val="clear" w:color="auto" w:fill="auto"/>
            <w:vAlign w:val="center"/>
            <w:hideMark/>
          </w:tcPr>
          <w:p w14:paraId="14F1F906" w14:textId="43760B06" w:rsidR="006D6B67" w:rsidRPr="00AE70B8" w:rsidRDefault="006D6B67" w:rsidP="006D6B67">
            <w:pPr>
              <w:jc w:val="right"/>
              <w:rPr>
                <w:b/>
                <w:bCs/>
                <w:color w:val="000000"/>
                <w:kern w:val="22"/>
                <w:sz w:val="18"/>
                <w:szCs w:val="18"/>
                <w:lang w:val="fr-CA" w:eastAsia="zh-CN"/>
              </w:rPr>
            </w:pPr>
            <w:r w:rsidRPr="00AE70B8">
              <w:rPr>
                <w:b/>
                <w:bCs/>
                <w:color w:val="000000"/>
                <w:kern w:val="22"/>
                <w:sz w:val="18"/>
                <w:szCs w:val="18"/>
                <w:lang w:val="fr-CA" w:eastAsia="zh-CN"/>
              </w:rPr>
              <w:t>3</w:t>
            </w:r>
            <w:r w:rsidR="008823BD" w:rsidRPr="00AE70B8">
              <w:rPr>
                <w:b/>
                <w:bCs/>
                <w:color w:val="000000"/>
                <w:kern w:val="22"/>
                <w:sz w:val="18"/>
                <w:szCs w:val="18"/>
                <w:lang w:val="fr-CA" w:eastAsia="zh-CN"/>
              </w:rPr>
              <w:t xml:space="preserve"> </w:t>
            </w:r>
            <w:r w:rsidRPr="00AE70B8">
              <w:rPr>
                <w:b/>
                <w:bCs/>
                <w:color w:val="000000"/>
                <w:kern w:val="22"/>
                <w:sz w:val="18"/>
                <w:szCs w:val="18"/>
                <w:lang w:val="fr-CA" w:eastAsia="zh-CN"/>
              </w:rPr>
              <w:t>367</w:t>
            </w:r>
            <w:r w:rsidR="008823BD" w:rsidRPr="00AE70B8">
              <w:rPr>
                <w:b/>
                <w:bCs/>
                <w:color w:val="000000"/>
                <w:kern w:val="22"/>
                <w:sz w:val="18"/>
                <w:szCs w:val="18"/>
                <w:lang w:val="fr-CA" w:eastAsia="zh-CN"/>
              </w:rPr>
              <w:t>,</w:t>
            </w:r>
            <w:r w:rsidRPr="00AE70B8">
              <w:rPr>
                <w:b/>
                <w:bCs/>
                <w:color w:val="000000"/>
                <w:kern w:val="22"/>
                <w:sz w:val="18"/>
                <w:szCs w:val="18"/>
                <w:lang w:val="fr-CA" w:eastAsia="zh-CN"/>
              </w:rPr>
              <w:t>2</w:t>
            </w:r>
          </w:p>
        </w:tc>
        <w:tc>
          <w:tcPr>
            <w:tcW w:w="2088" w:type="dxa"/>
            <w:tcBorders>
              <w:top w:val="nil"/>
              <w:left w:val="nil"/>
              <w:bottom w:val="single" w:sz="4" w:space="0" w:color="auto"/>
              <w:right w:val="single" w:sz="4" w:space="0" w:color="auto"/>
            </w:tcBorders>
            <w:shd w:val="clear" w:color="auto" w:fill="auto"/>
            <w:vAlign w:val="center"/>
            <w:hideMark/>
          </w:tcPr>
          <w:p w14:paraId="21EB182C" w14:textId="4B881DEE" w:rsidR="006D6B67" w:rsidRPr="00AE70B8" w:rsidRDefault="000262EE" w:rsidP="006D6B67">
            <w:pPr>
              <w:jc w:val="right"/>
              <w:rPr>
                <w:b/>
                <w:bCs/>
                <w:color w:val="000000"/>
                <w:kern w:val="22"/>
                <w:sz w:val="18"/>
                <w:szCs w:val="18"/>
                <w:lang w:val="fr-CA" w:eastAsia="zh-CN"/>
              </w:rPr>
            </w:pPr>
            <w:r w:rsidRPr="00AE70B8">
              <w:rPr>
                <w:b/>
                <w:color w:val="000000"/>
                <w:kern w:val="22"/>
                <w:sz w:val="18"/>
                <w:szCs w:val="18"/>
                <w:lang w:val="fr-CA" w:eastAsia="zh-CN"/>
              </w:rPr>
              <w:t>1</w:t>
            </w:r>
            <w:r w:rsidR="008823BD" w:rsidRPr="00AE70B8">
              <w:rPr>
                <w:b/>
                <w:color w:val="000000"/>
                <w:kern w:val="22"/>
                <w:sz w:val="18"/>
                <w:szCs w:val="18"/>
                <w:lang w:val="fr-CA" w:eastAsia="zh-CN"/>
              </w:rPr>
              <w:t xml:space="preserve"> </w:t>
            </w:r>
            <w:r w:rsidRPr="00AE70B8">
              <w:rPr>
                <w:b/>
                <w:color w:val="000000"/>
                <w:kern w:val="22"/>
                <w:sz w:val="18"/>
                <w:szCs w:val="18"/>
                <w:lang w:val="fr-CA" w:eastAsia="zh-CN"/>
              </w:rPr>
              <w:t>574</w:t>
            </w:r>
            <w:r w:rsidR="008823BD" w:rsidRPr="00AE70B8">
              <w:rPr>
                <w:b/>
                <w:color w:val="000000"/>
                <w:kern w:val="22"/>
                <w:sz w:val="18"/>
                <w:szCs w:val="18"/>
                <w:lang w:val="fr-CA" w:eastAsia="zh-CN"/>
              </w:rPr>
              <w:t>,</w:t>
            </w:r>
            <w:r w:rsidRPr="00AE70B8">
              <w:rPr>
                <w:b/>
                <w:color w:val="000000"/>
                <w:kern w:val="22"/>
                <w:sz w:val="18"/>
                <w:szCs w:val="18"/>
                <w:lang w:val="fr-CA" w:eastAsia="zh-CN"/>
              </w:rPr>
              <w:t>2</w:t>
            </w:r>
          </w:p>
        </w:tc>
        <w:tc>
          <w:tcPr>
            <w:tcW w:w="1100" w:type="dxa"/>
            <w:tcBorders>
              <w:top w:val="nil"/>
              <w:left w:val="nil"/>
              <w:bottom w:val="single" w:sz="4" w:space="0" w:color="auto"/>
              <w:right w:val="single" w:sz="4" w:space="0" w:color="auto"/>
            </w:tcBorders>
            <w:shd w:val="clear" w:color="auto" w:fill="auto"/>
            <w:vAlign w:val="center"/>
            <w:hideMark/>
          </w:tcPr>
          <w:p w14:paraId="530B2447" w14:textId="731A3EF2" w:rsidR="006D6B67" w:rsidRPr="00AE70B8" w:rsidRDefault="000262EE" w:rsidP="006D6B67">
            <w:pPr>
              <w:jc w:val="right"/>
              <w:rPr>
                <w:b/>
                <w:bCs/>
                <w:color w:val="000000"/>
                <w:kern w:val="22"/>
                <w:sz w:val="18"/>
                <w:szCs w:val="18"/>
                <w:lang w:val="fr-CA" w:eastAsia="zh-CN"/>
              </w:rPr>
            </w:pPr>
            <w:r w:rsidRPr="00AE70B8">
              <w:rPr>
                <w:b/>
                <w:color w:val="000000"/>
                <w:kern w:val="22"/>
                <w:sz w:val="18"/>
                <w:szCs w:val="18"/>
                <w:lang w:val="fr-CA" w:eastAsia="zh-CN"/>
              </w:rPr>
              <w:t>1</w:t>
            </w:r>
            <w:r w:rsidR="008823BD" w:rsidRPr="00AE70B8">
              <w:rPr>
                <w:b/>
                <w:color w:val="000000"/>
                <w:kern w:val="22"/>
                <w:sz w:val="18"/>
                <w:szCs w:val="18"/>
                <w:lang w:val="fr-CA" w:eastAsia="zh-CN"/>
              </w:rPr>
              <w:t xml:space="preserve"> </w:t>
            </w:r>
            <w:r w:rsidRPr="00AE70B8">
              <w:rPr>
                <w:b/>
                <w:color w:val="000000"/>
                <w:kern w:val="22"/>
                <w:sz w:val="18"/>
                <w:szCs w:val="18"/>
                <w:lang w:val="fr-CA" w:eastAsia="zh-CN"/>
              </w:rPr>
              <w:t>793</w:t>
            </w:r>
          </w:p>
        </w:tc>
      </w:tr>
      <w:tr w:rsidR="006D6B67" w:rsidRPr="00AE70B8" w14:paraId="27D152B3" w14:textId="77777777" w:rsidTr="00282AF6">
        <w:trPr>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3A8B8EA2" w14:textId="3ADB252E" w:rsidR="006D6B67" w:rsidRPr="00AE70B8" w:rsidRDefault="006D6B67" w:rsidP="00476259">
            <w:pPr>
              <w:jc w:val="left"/>
              <w:rPr>
                <w:b/>
                <w:bCs/>
                <w:color w:val="000000"/>
                <w:kern w:val="22"/>
                <w:sz w:val="20"/>
                <w:szCs w:val="20"/>
                <w:lang w:val="fr-CA" w:eastAsia="zh-CN"/>
              </w:rPr>
            </w:pPr>
            <w:r w:rsidRPr="00AE70B8">
              <w:rPr>
                <w:b/>
                <w:bCs/>
                <w:color w:val="000000" w:themeColor="text1"/>
                <w:kern w:val="22"/>
                <w:sz w:val="20"/>
                <w:szCs w:val="20"/>
                <w:lang w:val="fr-CA" w:eastAsia="zh-CN"/>
              </w:rPr>
              <w:t xml:space="preserve">II. </w:t>
            </w:r>
            <w:r w:rsidR="00476259" w:rsidRPr="00AE70B8">
              <w:rPr>
                <w:b/>
                <w:bCs/>
                <w:color w:val="000000" w:themeColor="text1"/>
                <w:kern w:val="22"/>
                <w:sz w:val="20"/>
                <w:szCs w:val="20"/>
                <w:lang w:val="fr-CA" w:eastAsia="zh-CN"/>
              </w:rPr>
              <w:t>Coûts d’appui au programme</w:t>
            </w:r>
            <w:r w:rsidRPr="00AE70B8">
              <w:rPr>
                <w:b/>
                <w:bCs/>
                <w:color w:val="000000" w:themeColor="text1"/>
                <w:kern w:val="22"/>
                <w:sz w:val="20"/>
                <w:szCs w:val="20"/>
                <w:lang w:val="fr-CA" w:eastAsia="zh-CN"/>
              </w:rPr>
              <w:t xml:space="preserve"> (13</w:t>
            </w:r>
            <w:r w:rsidR="00476259" w:rsidRPr="00AE70B8">
              <w:rPr>
                <w:b/>
                <w:bCs/>
                <w:color w:val="000000" w:themeColor="text1"/>
                <w:kern w:val="22"/>
                <w:sz w:val="20"/>
                <w:szCs w:val="20"/>
                <w:lang w:val="fr-CA" w:eastAsia="zh-CN"/>
              </w:rPr>
              <w:t xml:space="preserve"> </w:t>
            </w:r>
            <w:r w:rsidRPr="00AE70B8">
              <w:rPr>
                <w:b/>
                <w:bCs/>
                <w:color w:val="000000" w:themeColor="text1"/>
                <w:kern w:val="22"/>
                <w:sz w:val="20"/>
                <w:szCs w:val="20"/>
                <w:lang w:val="fr-CA" w:eastAsia="zh-CN"/>
              </w:rPr>
              <w:t>%)</w:t>
            </w:r>
          </w:p>
        </w:tc>
        <w:tc>
          <w:tcPr>
            <w:tcW w:w="1856" w:type="dxa"/>
            <w:tcBorders>
              <w:top w:val="nil"/>
              <w:left w:val="nil"/>
              <w:bottom w:val="single" w:sz="4" w:space="0" w:color="auto"/>
              <w:right w:val="single" w:sz="4" w:space="0" w:color="auto"/>
            </w:tcBorders>
            <w:shd w:val="clear" w:color="auto" w:fill="auto"/>
            <w:vAlign w:val="center"/>
            <w:hideMark/>
          </w:tcPr>
          <w:p w14:paraId="16EBB5CB" w14:textId="1C9DFFE6" w:rsidR="006D6B67" w:rsidRPr="00AE70B8" w:rsidRDefault="006D6B67" w:rsidP="006D6B67">
            <w:pPr>
              <w:jc w:val="right"/>
              <w:rPr>
                <w:color w:val="000000"/>
                <w:kern w:val="22"/>
                <w:sz w:val="18"/>
                <w:szCs w:val="18"/>
                <w:lang w:val="fr-CA" w:eastAsia="zh-CN"/>
              </w:rPr>
            </w:pPr>
            <w:r w:rsidRPr="00AE70B8">
              <w:rPr>
                <w:color w:val="000000"/>
                <w:kern w:val="22"/>
                <w:sz w:val="18"/>
                <w:szCs w:val="18"/>
                <w:lang w:val="fr-CA" w:eastAsia="zh-CN"/>
              </w:rPr>
              <w:t>437</w:t>
            </w:r>
            <w:r w:rsidR="008823BD" w:rsidRPr="00AE70B8">
              <w:rPr>
                <w:color w:val="000000"/>
                <w:kern w:val="22"/>
                <w:sz w:val="18"/>
                <w:szCs w:val="18"/>
                <w:lang w:val="fr-CA" w:eastAsia="zh-CN"/>
              </w:rPr>
              <w:t>,</w:t>
            </w:r>
            <w:r w:rsidRPr="00AE70B8">
              <w:rPr>
                <w:color w:val="000000"/>
                <w:kern w:val="22"/>
                <w:sz w:val="18"/>
                <w:szCs w:val="18"/>
                <w:lang w:val="fr-CA" w:eastAsia="zh-CN"/>
              </w:rPr>
              <w:t>7</w:t>
            </w:r>
          </w:p>
        </w:tc>
        <w:tc>
          <w:tcPr>
            <w:tcW w:w="2088" w:type="dxa"/>
            <w:tcBorders>
              <w:top w:val="nil"/>
              <w:left w:val="nil"/>
              <w:bottom w:val="single" w:sz="4" w:space="0" w:color="auto"/>
              <w:right w:val="single" w:sz="4" w:space="0" w:color="auto"/>
            </w:tcBorders>
            <w:shd w:val="clear" w:color="auto" w:fill="auto"/>
            <w:vAlign w:val="center"/>
            <w:hideMark/>
          </w:tcPr>
          <w:p w14:paraId="6BA9F786" w14:textId="5BCE6476" w:rsidR="006D6B67" w:rsidRPr="00AE70B8" w:rsidRDefault="000262EE" w:rsidP="006D6B67">
            <w:pPr>
              <w:jc w:val="right"/>
              <w:rPr>
                <w:color w:val="000000"/>
                <w:kern w:val="22"/>
                <w:sz w:val="18"/>
                <w:szCs w:val="18"/>
                <w:lang w:val="fr-CA" w:eastAsia="zh-CN"/>
              </w:rPr>
            </w:pPr>
            <w:r w:rsidRPr="00AE70B8">
              <w:rPr>
                <w:color w:val="000000"/>
                <w:kern w:val="22"/>
                <w:sz w:val="18"/>
                <w:szCs w:val="18"/>
                <w:lang w:val="fr-CA" w:eastAsia="zh-CN"/>
              </w:rPr>
              <w:t>204</w:t>
            </w:r>
            <w:r w:rsidR="008823BD" w:rsidRPr="00AE70B8">
              <w:rPr>
                <w:color w:val="000000"/>
                <w:kern w:val="22"/>
                <w:sz w:val="18"/>
                <w:szCs w:val="18"/>
                <w:lang w:val="fr-CA" w:eastAsia="zh-CN"/>
              </w:rPr>
              <w:t>,</w:t>
            </w:r>
            <w:r w:rsidRPr="00AE70B8">
              <w:rPr>
                <w:color w:val="000000"/>
                <w:kern w:val="22"/>
                <w:sz w:val="18"/>
                <w:szCs w:val="18"/>
                <w:lang w:val="fr-CA" w:eastAsia="zh-CN"/>
              </w:rPr>
              <w:t>65</w:t>
            </w:r>
          </w:p>
        </w:tc>
        <w:tc>
          <w:tcPr>
            <w:tcW w:w="1100" w:type="dxa"/>
            <w:tcBorders>
              <w:top w:val="nil"/>
              <w:left w:val="nil"/>
              <w:bottom w:val="single" w:sz="4" w:space="0" w:color="auto"/>
              <w:right w:val="single" w:sz="4" w:space="0" w:color="auto"/>
            </w:tcBorders>
            <w:shd w:val="clear" w:color="auto" w:fill="auto"/>
            <w:vAlign w:val="center"/>
            <w:hideMark/>
          </w:tcPr>
          <w:p w14:paraId="7289B428" w14:textId="11E1F44E" w:rsidR="006D6B67" w:rsidRPr="00AE70B8" w:rsidRDefault="000262EE" w:rsidP="006D6B67">
            <w:pPr>
              <w:jc w:val="right"/>
              <w:rPr>
                <w:color w:val="000000"/>
                <w:kern w:val="22"/>
                <w:sz w:val="18"/>
                <w:szCs w:val="18"/>
                <w:lang w:val="fr-CA" w:eastAsia="zh-CN"/>
              </w:rPr>
            </w:pPr>
            <w:r w:rsidRPr="00AE70B8">
              <w:rPr>
                <w:color w:val="000000"/>
                <w:kern w:val="22"/>
                <w:sz w:val="18"/>
                <w:szCs w:val="18"/>
                <w:lang w:val="fr-CA" w:eastAsia="zh-CN"/>
              </w:rPr>
              <w:t>233</w:t>
            </w:r>
            <w:r w:rsidR="008823BD" w:rsidRPr="00AE70B8">
              <w:rPr>
                <w:color w:val="000000"/>
                <w:kern w:val="22"/>
                <w:sz w:val="18"/>
                <w:szCs w:val="18"/>
                <w:lang w:val="fr-CA" w:eastAsia="zh-CN"/>
              </w:rPr>
              <w:t>,</w:t>
            </w:r>
            <w:r w:rsidRPr="00AE70B8">
              <w:rPr>
                <w:color w:val="000000"/>
                <w:kern w:val="22"/>
                <w:sz w:val="18"/>
                <w:szCs w:val="18"/>
                <w:lang w:val="fr-CA" w:eastAsia="zh-CN"/>
              </w:rPr>
              <w:t>09</w:t>
            </w:r>
          </w:p>
        </w:tc>
      </w:tr>
      <w:tr w:rsidR="006D6B67" w:rsidRPr="00AE70B8" w14:paraId="57A35671" w14:textId="77777777" w:rsidTr="00282AF6">
        <w:trPr>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245E73B9" w14:textId="6AAB2402" w:rsidR="006D6B67" w:rsidRPr="00AE70B8" w:rsidRDefault="00476259" w:rsidP="006D6B67">
            <w:pPr>
              <w:jc w:val="left"/>
              <w:rPr>
                <w:b/>
                <w:bCs/>
                <w:color w:val="000000"/>
                <w:kern w:val="22"/>
                <w:sz w:val="20"/>
                <w:szCs w:val="20"/>
                <w:lang w:val="fr-CA" w:eastAsia="zh-CN"/>
              </w:rPr>
            </w:pPr>
            <w:r w:rsidRPr="00AE70B8">
              <w:rPr>
                <w:b/>
                <w:bCs/>
                <w:color w:val="000000" w:themeColor="text1"/>
                <w:kern w:val="22"/>
                <w:sz w:val="20"/>
                <w:szCs w:val="20"/>
                <w:lang w:val="fr-CA" w:eastAsia="zh-CN"/>
              </w:rPr>
              <w:t xml:space="preserve">Total partiel </w:t>
            </w:r>
            <w:r w:rsidR="006D6B67" w:rsidRPr="00AE70B8">
              <w:rPr>
                <w:b/>
                <w:bCs/>
                <w:color w:val="000000" w:themeColor="text1"/>
                <w:kern w:val="22"/>
                <w:sz w:val="20"/>
                <w:szCs w:val="20"/>
                <w:lang w:val="fr-CA" w:eastAsia="zh-CN"/>
              </w:rPr>
              <w:t xml:space="preserve"> (I + II)</w:t>
            </w:r>
          </w:p>
        </w:tc>
        <w:tc>
          <w:tcPr>
            <w:tcW w:w="1856" w:type="dxa"/>
            <w:tcBorders>
              <w:top w:val="nil"/>
              <w:left w:val="nil"/>
              <w:bottom w:val="single" w:sz="4" w:space="0" w:color="auto"/>
              <w:right w:val="single" w:sz="4" w:space="0" w:color="auto"/>
            </w:tcBorders>
            <w:shd w:val="clear" w:color="auto" w:fill="auto"/>
            <w:vAlign w:val="center"/>
            <w:hideMark/>
          </w:tcPr>
          <w:p w14:paraId="568A39C0" w14:textId="7849939D" w:rsidR="006D6B67" w:rsidRPr="00AE70B8" w:rsidRDefault="006D6B67" w:rsidP="006D6B67">
            <w:pPr>
              <w:jc w:val="right"/>
              <w:rPr>
                <w:b/>
                <w:bCs/>
                <w:color w:val="000000"/>
                <w:kern w:val="22"/>
                <w:sz w:val="18"/>
                <w:szCs w:val="18"/>
                <w:lang w:val="fr-CA" w:eastAsia="zh-CN"/>
              </w:rPr>
            </w:pPr>
            <w:r w:rsidRPr="00AE70B8">
              <w:rPr>
                <w:b/>
                <w:bCs/>
                <w:color w:val="000000"/>
                <w:kern w:val="22"/>
                <w:sz w:val="18"/>
                <w:szCs w:val="18"/>
                <w:lang w:val="fr-CA" w:eastAsia="zh-CN"/>
              </w:rPr>
              <w:t>3</w:t>
            </w:r>
            <w:r w:rsidR="008823BD" w:rsidRPr="00AE70B8">
              <w:rPr>
                <w:b/>
                <w:bCs/>
                <w:color w:val="000000"/>
                <w:kern w:val="22"/>
                <w:sz w:val="18"/>
                <w:szCs w:val="18"/>
                <w:lang w:val="fr-CA" w:eastAsia="zh-CN"/>
              </w:rPr>
              <w:t xml:space="preserve"> </w:t>
            </w:r>
            <w:r w:rsidRPr="00AE70B8">
              <w:rPr>
                <w:b/>
                <w:bCs/>
                <w:color w:val="000000"/>
                <w:kern w:val="22"/>
                <w:sz w:val="18"/>
                <w:szCs w:val="18"/>
                <w:lang w:val="fr-CA" w:eastAsia="zh-CN"/>
              </w:rPr>
              <w:t>804</w:t>
            </w:r>
            <w:r w:rsidR="008823BD" w:rsidRPr="00AE70B8">
              <w:rPr>
                <w:b/>
                <w:bCs/>
                <w:color w:val="000000"/>
                <w:kern w:val="22"/>
                <w:sz w:val="18"/>
                <w:szCs w:val="18"/>
                <w:lang w:val="fr-CA" w:eastAsia="zh-CN"/>
              </w:rPr>
              <w:t>,</w:t>
            </w:r>
            <w:r w:rsidRPr="00AE70B8">
              <w:rPr>
                <w:b/>
                <w:bCs/>
                <w:color w:val="000000"/>
                <w:kern w:val="22"/>
                <w:sz w:val="18"/>
                <w:szCs w:val="18"/>
                <w:lang w:val="fr-CA" w:eastAsia="zh-CN"/>
              </w:rPr>
              <w:t>9</w:t>
            </w:r>
          </w:p>
        </w:tc>
        <w:tc>
          <w:tcPr>
            <w:tcW w:w="2088" w:type="dxa"/>
            <w:tcBorders>
              <w:top w:val="nil"/>
              <w:left w:val="nil"/>
              <w:bottom w:val="single" w:sz="4" w:space="0" w:color="auto"/>
              <w:right w:val="single" w:sz="4" w:space="0" w:color="auto"/>
            </w:tcBorders>
            <w:shd w:val="clear" w:color="auto" w:fill="auto"/>
            <w:vAlign w:val="center"/>
            <w:hideMark/>
          </w:tcPr>
          <w:p w14:paraId="0FD667C6" w14:textId="507A50E5" w:rsidR="006D6B67" w:rsidRPr="00AE70B8" w:rsidRDefault="000262EE" w:rsidP="006D6B67">
            <w:pPr>
              <w:jc w:val="right"/>
              <w:rPr>
                <w:b/>
                <w:bCs/>
                <w:color w:val="000000"/>
                <w:kern w:val="22"/>
                <w:sz w:val="18"/>
                <w:szCs w:val="18"/>
                <w:lang w:val="fr-CA" w:eastAsia="zh-CN"/>
              </w:rPr>
            </w:pPr>
            <w:r w:rsidRPr="00AE70B8">
              <w:rPr>
                <w:b/>
                <w:color w:val="000000"/>
                <w:kern w:val="22"/>
                <w:sz w:val="18"/>
                <w:szCs w:val="18"/>
                <w:lang w:val="fr-CA" w:eastAsia="zh-CN"/>
              </w:rPr>
              <w:t>1</w:t>
            </w:r>
            <w:r w:rsidR="008823BD" w:rsidRPr="00AE70B8">
              <w:rPr>
                <w:b/>
                <w:color w:val="000000"/>
                <w:kern w:val="22"/>
                <w:sz w:val="18"/>
                <w:szCs w:val="18"/>
                <w:lang w:val="fr-CA" w:eastAsia="zh-CN"/>
              </w:rPr>
              <w:t xml:space="preserve"> </w:t>
            </w:r>
            <w:r w:rsidRPr="00AE70B8">
              <w:rPr>
                <w:b/>
                <w:color w:val="000000"/>
                <w:kern w:val="22"/>
                <w:sz w:val="18"/>
                <w:szCs w:val="18"/>
                <w:lang w:val="fr-CA" w:eastAsia="zh-CN"/>
              </w:rPr>
              <w:t>778</w:t>
            </w:r>
            <w:r w:rsidR="008823BD" w:rsidRPr="00AE70B8">
              <w:rPr>
                <w:b/>
                <w:color w:val="000000"/>
                <w:kern w:val="22"/>
                <w:sz w:val="18"/>
                <w:szCs w:val="18"/>
                <w:lang w:val="fr-CA" w:eastAsia="zh-CN"/>
              </w:rPr>
              <w:t>,</w:t>
            </w:r>
            <w:r w:rsidRPr="00AE70B8">
              <w:rPr>
                <w:b/>
                <w:color w:val="000000"/>
                <w:kern w:val="22"/>
                <w:sz w:val="18"/>
                <w:szCs w:val="18"/>
                <w:lang w:val="fr-CA" w:eastAsia="zh-CN"/>
              </w:rPr>
              <w:t>85</w:t>
            </w:r>
          </w:p>
        </w:tc>
        <w:tc>
          <w:tcPr>
            <w:tcW w:w="1100" w:type="dxa"/>
            <w:tcBorders>
              <w:top w:val="nil"/>
              <w:left w:val="nil"/>
              <w:bottom w:val="single" w:sz="4" w:space="0" w:color="auto"/>
              <w:right w:val="single" w:sz="4" w:space="0" w:color="auto"/>
            </w:tcBorders>
            <w:shd w:val="clear" w:color="auto" w:fill="auto"/>
            <w:vAlign w:val="center"/>
            <w:hideMark/>
          </w:tcPr>
          <w:p w14:paraId="2F57D56C" w14:textId="280D5AB1" w:rsidR="006D6B67" w:rsidRPr="00AE70B8" w:rsidRDefault="00202C03" w:rsidP="006D6B67">
            <w:pPr>
              <w:jc w:val="right"/>
              <w:rPr>
                <w:b/>
                <w:bCs/>
                <w:color w:val="000000"/>
                <w:kern w:val="22"/>
                <w:sz w:val="18"/>
                <w:szCs w:val="18"/>
                <w:lang w:val="fr-CA" w:eastAsia="zh-CN"/>
              </w:rPr>
            </w:pPr>
            <w:r w:rsidRPr="00AE70B8">
              <w:rPr>
                <w:b/>
                <w:color w:val="000000"/>
                <w:kern w:val="22"/>
                <w:sz w:val="18"/>
                <w:szCs w:val="18"/>
                <w:lang w:val="fr-CA" w:eastAsia="zh-CN"/>
              </w:rPr>
              <w:t>2</w:t>
            </w:r>
            <w:r w:rsidR="008823BD" w:rsidRPr="00AE70B8">
              <w:rPr>
                <w:b/>
                <w:color w:val="000000"/>
                <w:kern w:val="22"/>
                <w:sz w:val="18"/>
                <w:szCs w:val="18"/>
                <w:lang w:val="fr-CA" w:eastAsia="zh-CN"/>
              </w:rPr>
              <w:t xml:space="preserve"> </w:t>
            </w:r>
            <w:r w:rsidRPr="00AE70B8">
              <w:rPr>
                <w:b/>
                <w:color w:val="000000"/>
                <w:kern w:val="22"/>
                <w:sz w:val="18"/>
                <w:szCs w:val="18"/>
                <w:lang w:val="fr-CA" w:eastAsia="zh-CN"/>
              </w:rPr>
              <w:t>026</w:t>
            </w:r>
            <w:r w:rsidR="008823BD" w:rsidRPr="00AE70B8">
              <w:rPr>
                <w:b/>
                <w:color w:val="000000"/>
                <w:kern w:val="22"/>
                <w:sz w:val="18"/>
                <w:szCs w:val="18"/>
                <w:lang w:val="fr-CA" w:eastAsia="zh-CN"/>
              </w:rPr>
              <w:t>,</w:t>
            </w:r>
            <w:r w:rsidRPr="00AE70B8">
              <w:rPr>
                <w:b/>
                <w:color w:val="000000"/>
                <w:kern w:val="22"/>
                <w:sz w:val="18"/>
                <w:szCs w:val="18"/>
                <w:lang w:val="fr-CA" w:eastAsia="zh-CN"/>
              </w:rPr>
              <w:t>09</w:t>
            </w:r>
          </w:p>
        </w:tc>
      </w:tr>
      <w:tr w:rsidR="006D6B67" w:rsidRPr="00AE70B8" w14:paraId="54D262D9" w14:textId="77777777" w:rsidTr="00282AF6">
        <w:trPr>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30380E75" w14:textId="21F90082" w:rsidR="006D6B67" w:rsidRPr="00AE70B8" w:rsidRDefault="006D6B67" w:rsidP="008657DB">
            <w:pPr>
              <w:jc w:val="left"/>
              <w:rPr>
                <w:b/>
                <w:bCs/>
                <w:color w:val="000000"/>
                <w:kern w:val="22"/>
                <w:sz w:val="20"/>
                <w:szCs w:val="20"/>
                <w:lang w:val="fr-CA" w:eastAsia="zh-CN"/>
              </w:rPr>
            </w:pPr>
            <w:r w:rsidRPr="00AE70B8">
              <w:rPr>
                <w:b/>
                <w:bCs/>
                <w:color w:val="000000" w:themeColor="text1"/>
                <w:kern w:val="22"/>
                <w:sz w:val="20"/>
                <w:szCs w:val="20"/>
                <w:lang w:val="fr-CA" w:eastAsia="zh-CN"/>
              </w:rPr>
              <w:t xml:space="preserve">III. </w:t>
            </w:r>
            <w:r w:rsidR="008657DB" w:rsidRPr="00AE70B8">
              <w:rPr>
                <w:b/>
                <w:bCs/>
                <w:color w:val="000000" w:themeColor="text1"/>
                <w:kern w:val="22"/>
                <w:sz w:val="20"/>
                <w:szCs w:val="20"/>
                <w:lang w:val="fr-CA" w:eastAsia="zh-CN"/>
              </w:rPr>
              <w:t>Réserve de trésorerie</w:t>
            </w:r>
          </w:p>
        </w:tc>
        <w:tc>
          <w:tcPr>
            <w:tcW w:w="1856" w:type="dxa"/>
            <w:tcBorders>
              <w:top w:val="nil"/>
              <w:left w:val="nil"/>
              <w:bottom w:val="single" w:sz="4" w:space="0" w:color="auto"/>
              <w:right w:val="single" w:sz="4" w:space="0" w:color="auto"/>
            </w:tcBorders>
            <w:shd w:val="clear" w:color="auto" w:fill="auto"/>
            <w:vAlign w:val="center"/>
            <w:hideMark/>
          </w:tcPr>
          <w:p w14:paraId="718F7D6F" w14:textId="5DB2E1BE" w:rsidR="006D6B67" w:rsidRPr="00AE70B8" w:rsidRDefault="006D6B67" w:rsidP="006D6B67">
            <w:pPr>
              <w:jc w:val="right"/>
              <w:rPr>
                <w:color w:val="000000"/>
                <w:kern w:val="22"/>
                <w:sz w:val="18"/>
                <w:szCs w:val="18"/>
                <w:lang w:val="fr-CA" w:eastAsia="zh-CN"/>
              </w:rPr>
            </w:pPr>
          </w:p>
        </w:tc>
        <w:tc>
          <w:tcPr>
            <w:tcW w:w="2088" w:type="dxa"/>
            <w:tcBorders>
              <w:top w:val="nil"/>
              <w:left w:val="nil"/>
              <w:bottom w:val="single" w:sz="4" w:space="0" w:color="auto"/>
              <w:right w:val="single" w:sz="4" w:space="0" w:color="auto"/>
            </w:tcBorders>
            <w:shd w:val="clear" w:color="auto" w:fill="auto"/>
            <w:vAlign w:val="center"/>
            <w:hideMark/>
          </w:tcPr>
          <w:p w14:paraId="28CC10D9" w14:textId="328B115D" w:rsidR="006D6B67" w:rsidRPr="00AE70B8" w:rsidRDefault="006D6B67" w:rsidP="006D6B67">
            <w:pPr>
              <w:jc w:val="right"/>
              <w:rPr>
                <w:color w:val="000000"/>
                <w:kern w:val="22"/>
                <w:sz w:val="18"/>
                <w:szCs w:val="18"/>
                <w:lang w:val="fr-CA" w:eastAsia="zh-CN"/>
              </w:rPr>
            </w:pPr>
          </w:p>
        </w:tc>
        <w:tc>
          <w:tcPr>
            <w:tcW w:w="1100" w:type="dxa"/>
            <w:tcBorders>
              <w:top w:val="nil"/>
              <w:left w:val="nil"/>
              <w:bottom w:val="single" w:sz="4" w:space="0" w:color="auto"/>
              <w:right w:val="single" w:sz="4" w:space="0" w:color="auto"/>
            </w:tcBorders>
            <w:shd w:val="clear" w:color="auto" w:fill="auto"/>
            <w:vAlign w:val="center"/>
            <w:hideMark/>
          </w:tcPr>
          <w:p w14:paraId="37AF22AF" w14:textId="43F8477A" w:rsidR="006D6B67" w:rsidRPr="00AE70B8" w:rsidRDefault="006D6B67" w:rsidP="006D6B67">
            <w:pPr>
              <w:jc w:val="right"/>
              <w:rPr>
                <w:color w:val="000000"/>
                <w:kern w:val="22"/>
                <w:sz w:val="18"/>
                <w:szCs w:val="18"/>
                <w:lang w:val="fr-CA" w:eastAsia="zh-CN"/>
              </w:rPr>
            </w:pPr>
            <w:r w:rsidRPr="00AE70B8">
              <w:rPr>
                <w:color w:val="000000"/>
                <w:kern w:val="22"/>
                <w:sz w:val="18"/>
                <w:szCs w:val="18"/>
                <w:lang w:val="fr-CA" w:eastAsia="zh-CN"/>
              </w:rPr>
              <w:t>0</w:t>
            </w:r>
            <w:r w:rsidR="008823BD" w:rsidRPr="00AE70B8">
              <w:rPr>
                <w:color w:val="000000"/>
                <w:kern w:val="22"/>
                <w:sz w:val="18"/>
                <w:szCs w:val="18"/>
                <w:lang w:val="fr-CA" w:eastAsia="zh-CN"/>
              </w:rPr>
              <w:t>,</w:t>
            </w:r>
            <w:r w:rsidRPr="00AE70B8">
              <w:rPr>
                <w:color w:val="000000"/>
                <w:kern w:val="22"/>
                <w:sz w:val="18"/>
                <w:szCs w:val="18"/>
                <w:lang w:val="fr-CA" w:eastAsia="zh-CN"/>
              </w:rPr>
              <w:t>0</w:t>
            </w:r>
          </w:p>
        </w:tc>
      </w:tr>
      <w:tr w:rsidR="006D6B67" w:rsidRPr="00AE70B8" w14:paraId="543E3E54" w14:textId="77777777" w:rsidTr="00282AF6">
        <w:trPr>
          <w:jc w:val="center"/>
        </w:trPr>
        <w:tc>
          <w:tcPr>
            <w:tcW w:w="4135" w:type="dxa"/>
            <w:tcBorders>
              <w:top w:val="nil"/>
              <w:left w:val="single" w:sz="4" w:space="0" w:color="auto"/>
              <w:bottom w:val="single" w:sz="4" w:space="0" w:color="auto"/>
              <w:right w:val="single" w:sz="4" w:space="0" w:color="auto"/>
            </w:tcBorders>
            <w:shd w:val="clear" w:color="auto" w:fill="auto"/>
            <w:vAlign w:val="center"/>
            <w:hideMark/>
          </w:tcPr>
          <w:p w14:paraId="2626FF6B" w14:textId="6C381A17" w:rsidR="006D6B67" w:rsidRPr="00AE70B8" w:rsidRDefault="008657DB" w:rsidP="006D6B67">
            <w:pPr>
              <w:jc w:val="left"/>
              <w:rPr>
                <w:b/>
                <w:bCs/>
                <w:color w:val="000000"/>
                <w:kern w:val="22"/>
                <w:sz w:val="20"/>
                <w:szCs w:val="20"/>
                <w:lang w:val="fr-CA" w:eastAsia="zh-CN"/>
              </w:rPr>
            </w:pPr>
            <w:r w:rsidRPr="00AE70B8">
              <w:rPr>
                <w:b/>
                <w:bCs/>
                <w:color w:val="000000" w:themeColor="text1"/>
                <w:kern w:val="22"/>
                <w:sz w:val="20"/>
                <w:szCs w:val="20"/>
                <w:lang w:val="fr-CA" w:eastAsia="zh-CN"/>
              </w:rPr>
              <w:t>T</w:t>
            </w:r>
            <w:r w:rsidR="00492A98" w:rsidRPr="00AE70B8">
              <w:rPr>
                <w:b/>
                <w:bCs/>
                <w:color w:val="000000" w:themeColor="text1"/>
                <w:kern w:val="22"/>
                <w:sz w:val="20"/>
                <w:szCs w:val="20"/>
                <w:lang w:val="fr-CA" w:eastAsia="zh-CN"/>
              </w:rPr>
              <w:t>otal</w:t>
            </w:r>
            <w:r w:rsidR="006D6B67" w:rsidRPr="00AE70B8">
              <w:rPr>
                <w:b/>
                <w:bCs/>
                <w:color w:val="000000" w:themeColor="text1"/>
                <w:kern w:val="22"/>
                <w:sz w:val="20"/>
                <w:szCs w:val="20"/>
                <w:lang w:val="fr-CA" w:eastAsia="zh-CN"/>
              </w:rPr>
              <w:t xml:space="preserve"> (I + II + II)</w:t>
            </w:r>
          </w:p>
        </w:tc>
        <w:tc>
          <w:tcPr>
            <w:tcW w:w="1856" w:type="dxa"/>
            <w:tcBorders>
              <w:top w:val="nil"/>
              <w:left w:val="nil"/>
              <w:bottom w:val="single" w:sz="4" w:space="0" w:color="auto"/>
              <w:right w:val="single" w:sz="4" w:space="0" w:color="auto"/>
            </w:tcBorders>
            <w:shd w:val="clear" w:color="auto" w:fill="auto"/>
            <w:vAlign w:val="center"/>
            <w:hideMark/>
          </w:tcPr>
          <w:p w14:paraId="41216484" w14:textId="35566BC3" w:rsidR="006D6B67" w:rsidRPr="00AE70B8" w:rsidRDefault="006D6B67" w:rsidP="006D6B67">
            <w:pPr>
              <w:jc w:val="right"/>
              <w:rPr>
                <w:b/>
                <w:bCs/>
                <w:color w:val="000000"/>
                <w:kern w:val="22"/>
                <w:sz w:val="18"/>
                <w:szCs w:val="18"/>
                <w:lang w:val="fr-CA" w:eastAsia="zh-CN"/>
              </w:rPr>
            </w:pPr>
            <w:r w:rsidRPr="00AE70B8">
              <w:rPr>
                <w:b/>
                <w:bCs/>
                <w:color w:val="000000"/>
                <w:kern w:val="22"/>
                <w:sz w:val="18"/>
                <w:szCs w:val="18"/>
                <w:lang w:val="fr-CA" w:eastAsia="zh-CN"/>
              </w:rPr>
              <w:t>3</w:t>
            </w:r>
            <w:r w:rsidR="008657DB" w:rsidRPr="00AE70B8">
              <w:rPr>
                <w:b/>
                <w:bCs/>
                <w:color w:val="000000"/>
                <w:kern w:val="22"/>
                <w:sz w:val="18"/>
                <w:szCs w:val="18"/>
                <w:lang w:val="fr-CA" w:eastAsia="zh-CN"/>
              </w:rPr>
              <w:t xml:space="preserve"> </w:t>
            </w:r>
            <w:r w:rsidRPr="00AE70B8">
              <w:rPr>
                <w:b/>
                <w:bCs/>
                <w:color w:val="000000"/>
                <w:kern w:val="22"/>
                <w:sz w:val="18"/>
                <w:szCs w:val="18"/>
                <w:lang w:val="fr-CA" w:eastAsia="zh-CN"/>
              </w:rPr>
              <w:t>804</w:t>
            </w:r>
            <w:r w:rsidR="008823BD" w:rsidRPr="00AE70B8">
              <w:rPr>
                <w:b/>
                <w:bCs/>
                <w:color w:val="000000"/>
                <w:kern w:val="22"/>
                <w:sz w:val="18"/>
                <w:szCs w:val="18"/>
                <w:lang w:val="fr-CA" w:eastAsia="zh-CN"/>
              </w:rPr>
              <w:t>,</w:t>
            </w:r>
            <w:r w:rsidRPr="00AE70B8">
              <w:rPr>
                <w:b/>
                <w:bCs/>
                <w:color w:val="000000"/>
                <w:kern w:val="22"/>
                <w:sz w:val="18"/>
                <w:szCs w:val="18"/>
                <w:lang w:val="fr-CA" w:eastAsia="zh-CN"/>
              </w:rPr>
              <w:t>9</w:t>
            </w:r>
          </w:p>
        </w:tc>
        <w:tc>
          <w:tcPr>
            <w:tcW w:w="2088" w:type="dxa"/>
            <w:tcBorders>
              <w:top w:val="nil"/>
              <w:left w:val="nil"/>
              <w:bottom w:val="single" w:sz="4" w:space="0" w:color="auto"/>
              <w:right w:val="single" w:sz="4" w:space="0" w:color="auto"/>
            </w:tcBorders>
            <w:shd w:val="clear" w:color="auto" w:fill="auto"/>
            <w:vAlign w:val="center"/>
            <w:hideMark/>
          </w:tcPr>
          <w:p w14:paraId="391A0215" w14:textId="378A9933" w:rsidR="006D6B67" w:rsidRPr="00AE70B8" w:rsidRDefault="000262EE" w:rsidP="006D6B67">
            <w:pPr>
              <w:jc w:val="right"/>
              <w:rPr>
                <w:b/>
                <w:bCs/>
                <w:color w:val="000000"/>
                <w:kern w:val="22"/>
                <w:sz w:val="18"/>
                <w:szCs w:val="18"/>
                <w:lang w:val="fr-CA" w:eastAsia="zh-CN"/>
              </w:rPr>
            </w:pPr>
            <w:r w:rsidRPr="00AE70B8">
              <w:rPr>
                <w:b/>
                <w:color w:val="000000"/>
                <w:kern w:val="22"/>
                <w:sz w:val="18"/>
                <w:szCs w:val="18"/>
                <w:lang w:val="fr-CA" w:eastAsia="zh-CN"/>
              </w:rPr>
              <w:t>1</w:t>
            </w:r>
            <w:r w:rsidR="008657DB" w:rsidRPr="00AE70B8">
              <w:rPr>
                <w:b/>
                <w:color w:val="000000"/>
                <w:kern w:val="22"/>
                <w:sz w:val="18"/>
                <w:szCs w:val="18"/>
                <w:lang w:val="fr-CA" w:eastAsia="zh-CN"/>
              </w:rPr>
              <w:t xml:space="preserve"> </w:t>
            </w:r>
            <w:r w:rsidRPr="00AE70B8">
              <w:rPr>
                <w:b/>
                <w:color w:val="000000"/>
                <w:kern w:val="22"/>
                <w:sz w:val="18"/>
                <w:szCs w:val="18"/>
                <w:lang w:val="fr-CA" w:eastAsia="zh-CN"/>
              </w:rPr>
              <w:t>778</w:t>
            </w:r>
            <w:r w:rsidR="008823BD" w:rsidRPr="00AE70B8">
              <w:rPr>
                <w:b/>
                <w:color w:val="000000"/>
                <w:kern w:val="22"/>
                <w:sz w:val="18"/>
                <w:szCs w:val="18"/>
                <w:lang w:val="fr-CA" w:eastAsia="zh-CN"/>
              </w:rPr>
              <w:t>,</w:t>
            </w:r>
            <w:r w:rsidRPr="00AE70B8">
              <w:rPr>
                <w:b/>
                <w:color w:val="000000"/>
                <w:kern w:val="22"/>
                <w:sz w:val="18"/>
                <w:szCs w:val="18"/>
                <w:lang w:val="fr-CA" w:eastAsia="zh-CN"/>
              </w:rPr>
              <w:t>85</w:t>
            </w:r>
          </w:p>
        </w:tc>
        <w:tc>
          <w:tcPr>
            <w:tcW w:w="1100" w:type="dxa"/>
            <w:tcBorders>
              <w:top w:val="nil"/>
              <w:left w:val="nil"/>
              <w:bottom w:val="single" w:sz="4" w:space="0" w:color="auto"/>
              <w:right w:val="single" w:sz="4" w:space="0" w:color="auto"/>
            </w:tcBorders>
            <w:shd w:val="clear" w:color="auto" w:fill="auto"/>
            <w:vAlign w:val="center"/>
            <w:hideMark/>
          </w:tcPr>
          <w:p w14:paraId="35CEA936" w14:textId="0FFCA65C" w:rsidR="006D6B67" w:rsidRPr="00AE70B8" w:rsidRDefault="002C1C15" w:rsidP="006D6B67">
            <w:pPr>
              <w:jc w:val="right"/>
              <w:rPr>
                <w:b/>
                <w:bCs/>
                <w:color w:val="000000"/>
                <w:kern w:val="22"/>
                <w:sz w:val="18"/>
                <w:szCs w:val="18"/>
                <w:lang w:val="fr-CA" w:eastAsia="zh-CN"/>
              </w:rPr>
            </w:pPr>
            <w:r w:rsidRPr="00AE70B8">
              <w:rPr>
                <w:b/>
                <w:color w:val="000000"/>
                <w:kern w:val="22"/>
                <w:sz w:val="18"/>
                <w:szCs w:val="18"/>
                <w:lang w:val="fr-CA" w:eastAsia="zh-CN"/>
              </w:rPr>
              <w:t>2</w:t>
            </w:r>
            <w:r w:rsidR="008657DB" w:rsidRPr="00AE70B8">
              <w:rPr>
                <w:b/>
                <w:color w:val="000000"/>
                <w:kern w:val="22"/>
                <w:sz w:val="18"/>
                <w:szCs w:val="18"/>
                <w:lang w:val="fr-CA" w:eastAsia="zh-CN"/>
              </w:rPr>
              <w:t xml:space="preserve"> </w:t>
            </w:r>
            <w:r w:rsidRPr="00AE70B8">
              <w:rPr>
                <w:b/>
                <w:color w:val="000000"/>
                <w:kern w:val="22"/>
                <w:sz w:val="18"/>
                <w:szCs w:val="18"/>
                <w:lang w:val="fr-CA" w:eastAsia="zh-CN"/>
              </w:rPr>
              <w:t>026</w:t>
            </w:r>
            <w:r w:rsidR="008823BD" w:rsidRPr="00AE70B8">
              <w:rPr>
                <w:b/>
                <w:color w:val="000000"/>
                <w:kern w:val="22"/>
                <w:sz w:val="18"/>
                <w:szCs w:val="18"/>
                <w:lang w:val="fr-CA" w:eastAsia="zh-CN"/>
              </w:rPr>
              <w:t>,</w:t>
            </w:r>
            <w:r w:rsidRPr="00AE70B8">
              <w:rPr>
                <w:b/>
                <w:color w:val="000000"/>
                <w:kern w:val="22"/>
                <w:sz w:val="18"/>
                <w:szCs w:val="18"/>
                <w:lang w:val="fr-CA" w:eastAsia="zh-CN"/>
              </w:rPr>
              <w:t>09</w:t>
            </w:r>
          </w:p>
        </w:tc>
      </w:tr>
    </w:tbl>
    <w:p w14:paraId="330093E7" w14:textId="77777777" w:rsidR="006D6B67" w:rsidRPr="00AE70B8" w:rsidRDefault="006D6B67" w:rsidP="025C64B4">
      <w:pPr>
        <w:pStyle w:val="ListParagraph"/>
        <w:keepNext/>
        <w:suppressLineNumbers/>
        <w:suppressAutoHyphens/>
        <w:ind w:left="0"/>
        <w:contextualSpacing w:val="0"/>
        <w:jc w:val="left"/>
        <w:rPr>
          <w:iCs/>
          <w:snapToGrid w:val="0"/>
          <w:kern w:val="22"/>
          <w:lang w:val="fr-CA"/>
        </w:rPr>
      </w:pPr>
    </w:p>
    <w:p w14:paraId="1192B6C2" w14:textId="54F32ABB" w:rsidR="00CF0A48" w:rsidRPr="00AE70B8" w:rsidRDefault="00CF0A48" w:rsidP="00282AF6">
      <w:pPr>
        <w:jc w:val="left"/>
        <w:rPr>
          <w:iCs/>
          <w:snapToGrid w:val="0"/>
          <w:kern w:val="22"/>
          <w:lang w:val="fr-CA"/>
        </w:rPr>
      </w:pPr>
    </w:p>
    <w:p w14:paraId="0779A666" w14:textId="439B6A9A" w:rsidR="00CF0A48" w:rsidRPr="00AE70B8" w:rsidRDefault="00CF0A48" w:rsidP="00282AF6">
      <w:pPr>
        <w:pStyle w:val="paragraph"/>
        <w:keepNext/>
        <w:keepLines/>
        <w:spacing w:before="0" w:beforeAutospacing="0" w:after="0" w:afterAutospacing="0"/>
        <w:ind w:left="274"/>
        <w:textAlignment w:val="baseline"/>
        <w:rPr>
          <w:kern w:val="22"/>
          <w:sz w:val="22"/>
          <w:szCs w:val="22"/>
          <w:lang w:val="fr-CA"/>
        </w:rPr>
      </w:pPr>
      <w:r w:rsidRPr="00AE70B8">
        <w:rPr>
          <w:rStyle w:val="normaltextrun"/>
          <w:b/>
          <w:bCs/>
          <w:kern w:val="22"/>
          <w:sz w:val="22"/>
          <w:szCs w:val="22"/>
          <w:lang w:val="fr-CA"/>
        </w:rPr>
        <w:t>Table</w:t>
      </w:r>
      <w:r w:rsidR="008823BD" w:rsidRPr="00AE70B8">
        <w:rPr>
          <w:rStyle w:val="normaltextrun"/>
          <w:b/>
          <w:bCs/>
          <w:kern w:val="22"/>
          <w:sz w:val="22"/>
          <w:szCs w:val="22"/>
          <w:lang w:val="fr-CA"/>
        </w:rPr>
        <w:t>au</w:t>
      </w:r>
      <w:r w:rsidRPr="00AE70B8">
        <w:rPr>
          <w:rStyle w:val="normaltextrun"/>
          <w:b/>
          <w:bCs/>
          <w:kern w:val="22"/>
          <w:sz w:val="22"/>
          <w:szCs w:val="22"/>
          <w:lang w:val="fr-CA"/>
        </w:rPr>
        <w:t xml:space="preserve"> 3</w:t>
      </w:r>
      <w:r w:rsidRPr="00AE70B8">
        <w:rPr>
          <w:kern w:val="22"/>
          <w:sz w:val="22"/>
          <w:szCs w:val="22"/>
          <w:lang w:val="fr-CA"/>
        </w:rPr>
        <w:br/>
      </w:r>
      <w:r w:rsidR="008823BD" w:rsidRPr="00AE70B8">
        <w:rPr>
          <w:rStyle w:val="normaltextrun"/>
          <w:b/>
          <w:bCs/>
          <w:kern w:val="22"/>
          <w:sz w:val="22"/>
          <w:szCs w:val="22"/>
          <w:lang w:val="fr-CA"/>
        </w:rPr>
        <w:t>Dépenses réelles et prévues du budget provisoire approuvé pour 2021, par objet de dépense</w:t>
      </w:r>
      <w:r w:rsidR="00492A98" w:rsidRPr="00AE70B8">
        <w:rPr>
          <w:rStyle w:val="normaltextrun"/>
          <w:b/>
          <w:bCs/>
          <w:kern w:val="22"/>
          <w:sz w:val="22"/>
          <w:szCs w:val="22"/>
          <w:lang w:val="fr-CA"/>
        </w:rPr>
        <w:t>,</w:t>
      </w:r>
      <w:r w:rsidR="008823BD" w:rsidRPr="00AE70B8">
        <w:rPr>
          <w:rStyle w:val="normaltextrun"/>
          <w:b/>
          <w:bCs/>
          <w:kern w:val="22"/>
          <w:sz w:val="22"/>
          <w:szCs w:val="22"/>
          <w:lang w:val="fr-CA"/>
        </w:rPr>
        <w:t xml:space="preserve"> au 31 décembre 2021</w:t>
      </w:r>
    </w:p>
    <w:p w14:paraId="60F14822" w14:textId="7150E494" w:rsidR="00CF0A48" w:rsidRPr="00AE70B8" w:rsidRDefault="00CF0A48" w:rsidP="00282AF6">
      <w:pPr>
        <w:pStyle w:val="paragraph"/>
        <w:keepNext/>
        <w:keepLines/>
        <w:spacing w:before="0" w:beforeAutospacing="0" w:after="0" w:afterAutospacing="0"/>
        <w:ind w:left="274"/>
        <w:textAlignment w:val="baseline"/>
        <w:rPr>
          <w:rStyle w:val="eop"/>
          <w:kern w:val="22"/>
          <w:sz w:val="22"/>
          <w:szCs w:val="22"/>
          <w:lang w:val="fr-CA"/>
        </w:rPr>
      </w:pPr>
      <w:r w:rsidRPr="00AE70B8">
        <w:rPr>
          <w:rStyle w:val="normaltextrun"/>
          <w:i/>
          <w:iCs/>
          <w:kern w:val="22"/>
          <w:sz w:val="22"/>
          <w:szCs w:val="22"/>
          <w:lang w:val="fr-CA"/>
        </w:rPr>
        <w:t>(</w:t>
      </w:r>
      <w:r w:rsidR="009D72E2">
        <w:rPr>
          <w:rStyle w:val="normaltextrun"/>
          <w:i/>
          <w:iCs/>
          <w:kern w:val="22"/>
          <w:sz w:val="22"/>
          <w:szCs w:val="22"/>
          <w:lang w:val="fr-CA"/>
        </w:rPr>
        <w:t>En m</w:t>
      </w:r>
      <w:r w:rsidR="00492A98" w:rsidRPr="00AE70B8">
        <w:rPr>
          <w:rStyle w:val="normaltextrun"/>
          <w:i/>
          <w:iCs/>
          <w:kern w:val="22"/>
          <w:sz w:val="22"/>
          <w:szCs w:val="22"/>
          <w:lang w:val="fr-CA"/>
        </w:rPr>
        <w:t>illiers de dollars des États-Unis</w:t>
      </w:r>
      <w:r w:rsidRPr="00AE70B8">
        <w:rPr>
          <w:rStyle w:val="normaltextrun"/>
          <w:i/>
          <w:iCs/>
          <w:kern w:val="22"/>
          <w:sz w:val="22"/>
          <w:szCs w:val="22"/>
          <w:lang w:val="fr-CA"/>
        </w:rPr>
        <w:t>)</w:t>
      </w:r>
    </w:p>
    <w:p w14:paraId="13B4D31C" w14:textId="77777777" w:rsidR="00CF0A48" w:rsidRPr="00AE70B8" w:rsidRDefault="00CF0A48" w:rsidP="00282AF6">
      <w:pPr>
        <w:pStyle w:val="ListParagraph"/>
        <w:keepNext/>
        <w:keepLines/>
        <w:suppressLineNumbers/>
        <w:suppressAutoHyphens/>
        <w:ind w:left="274"/>
        <w:contextualSpacing w:val="0"/>
        <w:jc w:val="left"/>
        <w:rPr>
          <w:kern w:val="22"/>
          <w:szCs w:val="22"/>
          <w:lang w:val="fr-CA"/>
        </w:rPr>
      </w:pPr>
    </w:p>
    <w:tbl>
      <w:tblPr>
        <w:tblW w:w="8940" w:type="dxa"/>
        <w:jc w:val="center"/>
        <w:tblLook w:val="04A0" w:firstRow="1" w:lastRow="0" w:firstColumn="1" w:lastColumn="0" w:noHBand="0" w:noVBand="1"/>
      </w:tblPr>
      <w:tblGrid>
        <w:gridCol w:w="4045"/>
        <w:gridCol w:w="1455"/>
        <w:gridCol w:w="1720"/>
        <w:gridCol w:w="1720"/>
      </w:tblGrid>
      <w:tr w:rsidR="00AF70CA" w:rsidRPr="00AE70B8" w14:paraId="10D0B503" w14:textId="77777777" w:rsidTr="00282AF6">
        <w:trPr>
          <w:jc w:val="center"/>
        </w:trPr>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DDD63" w14:textId="51B8B3B2" w:rsidR="00AF70CA" w:rsidRPr="00AE70B8" w:rsidRDefault="00492A98" w:rsidP="00282AF6">
            <w:pPr>
              <w:keepNext/>
              <w:keepLines/>
              <w:jc w:val="center"/>
              <w:rPr>
                <w:i/>
                <w:iCs/>
                <w:color w:val="000000"/>
                <w:kern w:val="22"/>
                <w:sz w:val="20"/>
                <w:szCs w:val="20"/>
                <w:lang w:val="fr-CA" w:eastAsia="zh-CN"/>
              </w:rPr>
            </w:pPr>
            <w:r w:rsidRPr="00AE70B8">
              <w:rPr>
                <w:i/>
                <w:iCs/>
                <w:color w:val="000000" w:themeColor="text1"/>
                <w:kern w:val="22"/>
                <w:sz w:val="20"/>
                <w:szCs w:val="20"/>
                <w:lang w:val="fr-CA" w:eastAsia="zh-CN"/>
              </w:rPr>
              <w:t>Objet de la dépense</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2E32E613" w14:textId="32160C29" w:rsidR="00AF70CA" w:rsidRPr="00AE70B8" w:rsidRDefault="00492A98" w:rsidP="00282AF6">
            <w:pPr>
              <w:keepNext/>
              <w:keepLines/>
              <w:jc w:val="center"/>
              <w:rPr>
                <w:i/>
                <w:iCs/>
                <w:color w:val="000000"/>
                <w:kern w:val="22"/>
                <w:sz w:val="20"/>
                <w:szCs w:val="20"/>
                <w:lang w:val="fr-CA" w:eastAsia="zh-CN"/>
              </w:rPr>
            </w:pPr>
            <w:r w:rsidRPr="00AE70B8">
              <w:rPr>
                <w:i/>
                <w:iCs/>
                <w:color w:val="000000" w:themeColor="text1"/>
                <w:kern w:val="22"/>
                <w:sz w:val="20"/>
                <w:szCs w:val="20"/>
                <w:lang w:val="fr-CA" w:eastAsia="zh-CN"/>
              </w:rPr>
              <w:t>Budget total approuvé</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71B128D6" w14:textId="7CC40EF8" w:rsidR="00AF70CA" w:rsidRPr="00AE70B8" w:rsidRDefault="00492A98" w:rsidP="00282AF6">
            <w:pPr>
              <w:keepNext/>
              <w:keepLines/>
              <w:jc w:val="center"/>
              <w:rPr>
                <w:i/>
                <w:iCs/>
                <w:color w:val="000000"/>
                <w:kern w:val="22"/>
                <w:sz w:val="20"/>
                <w:szCs w:val="20"/>
                <w:lang w:val="fr-CA" w:eastAsia="zh-CN"/>
              </w:rPr>
            </w:pPr>
            <w:r w:rsidRPr="00AE70B8">
              <w:rPr>
                <w:i/>
                <w:iCs/>
                <w:color w:val="000000" w:themeColor="text1"/>
                <w:kern w:val="22"/>
                <w:sz w:val="20"/>
                <w:szCs w:val="20"/>
                <w:lang w:val="fr-CA" w:eastAsia="zh-CN"/>
              </w:rPr>
              <w:t>Dépense</w:t>
            </w:r>
            <w:r w:rsidR="00366C18">
              <w:rPr>
                <w:i/>
                <w:iCs/>
                <w:color w:val="000000" w:themeColor="text1"/>
                <w:kern w:val="22"/>
                <w:sz w:val="20"/>
                <w:szCs w:val="20"/>
                <w:lang w:val="fr-CA" w:eastAsia="zh-CN"/>
              </w:rPr>
              <w:t>s</w:t>
            </w:r>
            <w:r w:rsidRPr="00AE70B8">
              <w:rPr>
                <w:i/>
                <w:iCs/>
                <w:color w:val="000000" w:themeColor="text1"/>
                <w:kern w:val="22"/>
                <w:sz w:val="20"/>
                <w:szCs w:val="20"/>
                <w:lang w:val="fr-CA" w:eastAsia="zh-CN"/>
              </w:rPr>
              <w:t xml:space="preserve"> total</w:t>
            </w:r>
            <w:r w:rsidR="00366C18">
              <w:rPr>
                <w:i/>
                <w:iCs/>
                <w:color w:val="000000" w:themeColor="text1"/>
                <w:kern w:val="22"/>
                <w:sz w:val="20"/>
                <w:szCs w:val="20"/>
                <w:lang w:val="fr-CA" w:eastAsia="zh-CN"/>
              </w:rPr>
              <w:t>es</w:t>
            </w:r>
            <w:r w:rsidRPr="00AE70B8">
              <w:rPr>
                <w:i/>
                <w:iCs/>
                <w:color w:val="000000" w:themeColor="text1"/>
                <w:kern w:val="22"/>
                <w:sz w:val="20"/>
                <w:szCs w:val="20"/>
                <w:lang w:val="fr-CA" w:eastAsia="zh-CN"/>
              </w:rPr>
              <w:t xml:space="preserve"> prévue</w:t>
            </w:r>
            <w:r w:rsidR="00366C18">
              <w:rPr>
                <w:i/>
                <w:iCs/>
                <w:color w:val="000000" w:themeColor="text1"/>
                <w:kern w:val="22"/>
                <w:sz w:val="20"/>
                <w:szCs w:val="20"/>
                <w:lang w:val="fr-CA" w:eastAsia="zh-CN"/>
              </w:rPr>
              <w:t>s</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347893F4" w14:textId="431ED3B3" w:rsidR="00AF70CA" w:rsidRPr="00AE70B8" w:rsidRDefault="00492A98" w:rsidP="00282AF6">
            <w:pPr>
              <w:keepNext/>
              <w:keepLines/>
              <w:jc w:val="center"/>
              <w:rPr>
                <w:i/>
                <w:iCs/>
                <w:color w:val="000000"/>
                <w:kern w:val="22"/>
                <w:sz w:val="20"/>
                <w:szCs w:val="20"/>
                <w:lang w:val="fr-CA" w:eastAsia="zh-CN"/>
              </w:rPr>
            </w:pPr>
            <w:r w:rsidRPr="00AE70B8">
              <w:rPr>
                <w:i/>
                <w:iCs/>
                <w:color w:val="000000" w:themeColor="text1"/>
                <w:kern w:val="22"/>
                <w:sz w:val="20"/>
                <w:szCs w:val="20"/>
                <w:lang w:val="fr-CA" w:eastAsia="zh-CN"/>
              </w:rPr>
              <w:t>Écart</w:t>
            </w:r>
          </w:p>
        </w:tc>
      </w:tr>
      <w:tr w:rsidR="00492A98" w:rsidRPr="00AE70B8" w14:paraId="6D52E76D" w14:textId="77777777" w:rsidTr="00282AF6">
        <w:trPr>
          <w:jc w:val="center"/>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31BCDE80" w14:textId="0C2C001E" w:rsidR="00492A98" w:rsidRPr="00AE70B8" w:rsidRDefault="00492A98" w:rsidP="00492A98">
            <w:pPr>
              <w:jc w:val="left"/>
              <w:rPr>
                <w:color w:val="000000"/>
                <w:kern w:val="22"/>
                <w:sz w:val="20"/>
                <w:szCs w:val="20"/>
                <w:lang w:val="fr-CA" w:eastAsia="zh-CN"/>
              </w:rPr>
            </w:pPr>
            <w:r w:rsidRPr="00AE70B8">
              <w:rPr>
                <w:color w:val="000000" w:themeColor="text1"/>
                <w:kern w:val="22"/>
                <w:sz w:val="20"/>
                <w:szCs w:val="20"/>
                <w:lang w:val="fr-CA" w:eastAsia="zh-CN"/>
              </w:rPr>
              <w:t>A.</w:t>
            </w:r>
            <w:r w:rsidRPr="00AE70B8">
              <w:rPr>
                <w:color w:val="000000"/>
                <w:kern w:val="22"/>
                <w:sz w:val="20"/>
                <w:szCs w:val="20"/>
                <w:lang w:val="fr-CA" w:eastAsia="zh-CN"/>
              </w:rPr>
              <w:t xml:space="preserve"> Coûts de personnel</w:t>
            </w:r>
          </w:p>
        </w:tc>
        <w:tc>
          <w:tcPr>
            <w:tcW w:w="1455" w:type="dxa"/>
            <w:tcBorders>
              <w:top w:val="nil"/>
              <w:left w:val="nil"/>
              <w:bottom w:val="single" w:sz="4" w:space="0" w:color="auto"/>
              <w:right w:val="single" w:sz="4" w:space="0" w:color="auto"/>
            </w:tcBorders>
            <w:shd w:val="clear" w:color="auto" w:fill="auto"/>
            <w:vAlign w:val="center"/>
            <w:hideMark/>
          </w:tcPr>
          <w:p w14:paraId="35B0A6FF" w14:textId="5B59CFEC" w:rsidR="00492A98" w:rsidRPr="00AE70B8" w:rsidRDefault="00492A98" w:rsidP="00492A98">
            <w:pPr>
              <w:jc w:val="right"/>
              <w:rPr>
                <w:color w:val="000000"/>
                <w:kern w:val="22"/>
                <w:sz w:val="20"/>
                <w:szCs w:val="20"/>
                <w:lang w:val="fr-CA" w:eastAsia="zh-CN"/>
              </w:rPr>
            </w:pPr>
            <w:r w:rsidRPr="00AE70B8">
              <w:rPr>
                <w:color w:val="000000" w:themeColor="text1"/>
                <w:kern w:val="22"/>
                <w:sz w:val="20"/>
                <w:szCs w:val="20"/>
                <w:lang w:val="fr-CA" w:eastAsia="zh-CN"/>
              </w:rPr>
              <w:t>11 936,8</w:t>
            </w:r>
          </w:p>
        </w:tc>
        <w:tc>
          <w:tcPr>
            <w:tcW w:w="1720" w:type="dxa"/>
            <w:tcBorders>
              <w:top w:val="nil"/>
              <w:left w:val="nil"/>
              <w:bottom w:val="single" w:sz="4" w:space="0" w:color="auto"/>
              <w:right w:val="single" w:sz="4" w:space="0" w:color="auto"/>
            </w:tcBorders>
            <w:shd w:val="clear" w:color="auto" w:fill="auto"/>
            <w:vAlign w:val="center"/>
            <w:hideMark/>
          </w:tcPr>
          <w:p w14:paraId="55035DF3" w14:textId="409FBB6B" w:rsidR="00492A98" w:rsidRPr="00AE70B8" w:rsidRDefault="00492A98" w:rsidP="00492A98">
            <w:pPr>
              <w:jc w:val="right"/>
              <w:rPr>
                <w:color w:val="000000"/>
                <w:kern w:val="22"/>
                <w:sz w:val="20"/>
                <w:szCs w:val="20"/>
                <w:lang w:val="fr-CA" w:eastAsia="zh-CN"/>
              </w:rPr>
            </w:pPr>
            <w:r w:rsidRPr="00AE70B8">
              <w:rPr>
                <w:color w:val="000000" w:themeColor="text1"/>
                <w:kern w:val="22"/>
                <w:sz w:val="20"/>
                <w:szCs w:val="20"/>
                <w:lang w:val="fr-CA" w:eastAsia="zh-CN"/>
              </w:rPr>
              <w:t>10 312,6</w:t>
            </w:r>
          </w:p>
        </w:tc>
        <w:tc>
          <w:tcPr>
            <w:tcW w:w="1720" w:type="dxa"/>
            <w:tcBorders>
              <w:top w:val="nil"/>
              <w:left w:val="nil"/>
              <w:bottom w:val="single" w:sz="4" w:space="0" w:color="auto"/>
              <w:right w:val="single" w:sz="4" w:space="0" w:color="auto"/>
            </w:tcBorders>
            <w:shd w:val="clear" w:color="auto" w:fill="auto"/>
            <w:vAlign w:val="center"/>
            <w:hideMark/>
          </w:tcPr>
          <w:p w14:paraId="7D3820E5" w14:textId="2059F755" w:rsidR="00492A98" w:rsidRPr="00AE70B8" w:rsidRDefault="00492A98" w:rsidP="00492A98">
            <w:pPr>
              <w:jc w:val="right"/>
              <w:rPr>
                <w:color w:val="000000"/>
                <w:kern w:val="22"/>
                <w:sz w:val="20"/>
                <w:szCs w:val="20"/>
                <w:lang w:val="fr-CA" w:eastAsia="zh-CN"/>
              </w:rPr>
            </w:pPr>
            <w:r w:rsidRPr="00AE70B8">
              <w:rPr>
                <w:color w:val="000000" w:themeColor="text1"/>
                <w:kern w:val="22"/>
                <w:sz w:val="20"/>
                <w:szCs w:val="20"/>
                <w:lang w:val="fr-CA" w:eastAsia="zh-CN"/>
              </w:rPr>
              <w:t>1 624,2</w:t>
            </w:r>
          </w:p>
        </w:tc>
      </w:tr>
      <w:tr w:rsidR="00492A98" w:rsidRPr="00AE70B8" w14:paraId="277ED7E5" w14:textId="77777777" w:rsidTr="00282AF6">
        <w:trPr>
          <w:jc w:val="center"/>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208532B7" w14:textId="09F04BED" w:rsidR="00492A98" w:rsidRPr="00AE70B8" w:rsidRDefault="00492A98" w:rsidP="00492A98">
            <w:pPr>
              <w:jc w:val="left"/>
              <w:rPr>
                <w:color w:val="000000"/>
                <w:kern w:val="22"/>
                <w:sz w:val="20"/>
                <w:szCs w:val="20"/>
                <w:lang w:val="fr-CA" w:eastAsia="zh-CN"/>
              </w:rPr>
            </w:pPr>
            <w:r w:rsidRPr="00AE70B8">
              <w:rPr>
                <w:color w:val="000000" w:themeColor="text1"/>
                <w:kern w:val="22"/>
                <w:sz w:val="20"/>
                <w:szCs w:val="20"/>
                <w:lang w:val="fr-CA" w:eastAsia="zh-CN"/>
              </w:rPr>
              <w:t>B.</w:t>
            </w:r>
            <w:r w:rsidRPr="00AE70B8">
              <w:rPr>
                <w:color w:val="000000"/>
                <w:kern w:val="22"/>
                <w:sz w:val="20"/>
                <w:szCs w:val="20"/>
                <w:lang w:val="fr-CA" w:eastAsia="zh-CN"/>
              </w:rPr>
              <w:t xml:space="preserve"> Réunions du Bureau</w:t>
            </w:r>
          </w:p>
        </w:tc>
        <w:tc>
          <w:tcPr>
            <w:tcW w:w="1455" w:type="dxa"/>
            <w:tcBorders>
              <w:top w:val="nil"/>
              <w:left w:val="nil"/>
              <w:bottom w:val="single" w:sz="4" w:space="0" w:color="auto"/>
              <w:right w:val="single" w:sz="4" w:space="0" w:color="auto"/>
            </w:tcBorders>
            <w:shd w:val="clear" w:color="auto" w:fill="auto"/>
            <w:vAlign w:val="center"/>
            <w:hideMark/>
          </w:tcPr>
          <w:p w14:paraId="30F76289" w14:textId="5FD56724" w:rsidR="00492A98" w:rsidRPr="00AE70B8" w:rsidRDefault="00492A98" w:rsidP="00492A98">
            <w:pPr>
              <w:jc w:val="right"/>
              <w:rPr>
                <w:color w:val="000000"/>
                <w:kern w:val="22"/>
                <w:sz w:val="20"/>
                <w:szCs w:val="20"/>
                <w:lang w:val="fr-CA" w:eastAsia="zh-CN"/>
              </w:rPr>
            </w:pPr>
            <w:r w:rsidRPr="00AE70B8">
              <w:rPr>
                <w:color w:val="000000"/>
                <w:kern w:val="22"/>
                <w:sz w:val="20"/>
                <w:szCs w:val="20"/>
                <w:lang w:val="fr-CA" w:eastAsia="zh-CN"/>
              </w:rPr>
              <w:tab/>
            </w:r>
          </w:p>
        </w:tc>
        <w:tc>
          <w:tcPr>
            <w:tcW w:w="1720" w:type="dxa"/>
            <w:tcBorders>
              <w:top w:val="nil"/>
              <w:left w:val="nil"/>
              <w:bottom w:val="single" w:sz="4" w:space="0" w:color="auto"/>
              <w:right w:val="single" w:sz="4" w:space="0" w:color="auto"/>
            </w:tcBorders>
            <w:shd w:val="clear" w:color="auto" w:fill="auto"/>
            <w:vAlign w:val="center"/>
            <w:hideMark/>
          </w:tcPr>
          <w:p w14:paraId="1D8BE342" w14:textId="18E2C8CA" w:rsidR="00492A98" w:rsidRPr="00AE70B8" w:rsidRDefault="00492A98" w:rsidP="00492A98">
            <w:pPr>
              <w:jc w:val="right"/>
              <w:rPr>
                <w:color w:val="000000"/>
                <w:kern w:val="22"/>
                <w:sz w:val="20"/>
                <w:szCs w:val="20"/>
                <w:lang w:val="fr-CA" w:eastAsia="zh-CN"/>
              </w:rPr>
            </w:pPr>
          </w:p>
        </w:tc>
        <w:tc>
          <w:tcPr>
            <w:tcW w:w="1720" w:type="dxa"/>
            <w:tcBorders>
              <w:top w:val="nil"/>
              <w:left w:val="nil"/>
              <w:bottom w:val="single" w:sz="4" w:space="0" w:color="auto"/>
              <w:right w:val="single" w:sz="4" w:space="0" w:color="auto"/>
            </w:tcBorders>
            <w:shd w:val="clear" w:color="auto" w:fill="auto"/>
            <w:vAlign w:val="center"/>
            <w:hideMark/>
          </w:tcPr>
          <w:p w14:paraId="1A9A2B61" w14:textId="36724B0D" w:rsidR="00492A98" w:rsidRPr="00AE70B8" w:rsidRDefault="00492A98" w:rsidP="00492A98">
            <w:pPr>
              <w:jc w:val="center"/>
              <w:rPr>
                <w:color w:val="000000"/>
                <w:kern w:val="22"/>
                <w:sz w:val="20"/>
                <w:szCs w:val="20"/>
                <w:lang w:val="fr-CA" w:eastAsia="zh-CN"/>
              </w:rPr>
            </w:pPr>
            <w:r w:rsidRPr="00AE70B8">
              <w:rPr>
                <w:color w:val="000000"/>
                <w:kern w:val="22"/>
                <w:sz w:val="20"/>
                <w:szCs w:val="20"/>
                <w:lang w:val="fr-CA" w:eastAsia="zh-CN"/>
              </w:rPr>
              <w:t>,</w:t>
            </w:r>
          </w:p>
        </w:tc>
      </w:tr>
      <w:tr w:rsidR="00492A98" w:rsidRPr="00AE70B8" w14:paraId="782A6D31" w14:textId="77777777" w:rsidTr="00282AF6">
        <w:trPr>
          <w:jc w:val="center"/>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482D33BF" w14:textId="50D754AC" w:rsidR="00492A98" w:rsidRPr="00AE70B8" w:rsidRDefault="00492A98" w:rsidP="00492A98">
            <w:pPr>
              <w:jc w:val="left"/>
              <w:rPr>
                <w:color w:val="000000"/>
                <w:kern w:val="22"/>
                <w:sz w:val="20"/>
                <w:szCs w:val="20"/>
                <w:lang w:val="en-US" w:eastAsia="zh-CN"/>
              </w:rPr>
            </w:pPr>
            <w:r w:rsidRPr="00AE70B8">
              <w:rPr>
                <w:color w:val="000000" w:themeColor="text1"/>
                <w:kern w:val="22"/>
                <w:sz w:val="20"/>
                <w:szCs w:val="20"/>
                <w:lang w:val="fr-CA" w:eastAsia="zh-CN"/>
              </w:rPr>
              <w:t>C.</w:t>
            </w:r>
            <w:r w:rsidRPr="00AE70B8">
              <w:rPr>
                <w:color w:val="000000"/>
                <w:kern w:val="22"/>
                <w:sz w:val="20"/>
                <w:szCs w:val="20"/>
                <w:lang w:val="fr-CA" w:eastAsia="zh-CN"/>
              </w:rPr>
              <w:t xml:space="preserve"> Voyages officiels</w:t>
            </w:r>
          </w:p>
        </w:tc>
        <w:tc>
          <w:tcPr>
            <w:tcW w:w="1455" w:type="dxa"/>
            <w:tcBorders>
              <w:top w:val="nil"/>
              <w:left w:val="nil"/>
              <w:bottom w:val="single" w:sz="4" w:space="0" w:color="auto"/>
              <w:right w:val="single" w:sz="4" w:space="0" w:color="auto"/>
            </w:tcBorders>
            <w:shd w:val="clear" w:color="auto" w:fill="auto"/>
            <w:vAlign w:val="center"/>
            <w:hideMark/>
          </w:tcPr>
          <w:p w14:paraId="09271223" w14:textId="1D272F91" w:rsidR="00492A98" w:rsidRPr="00AE70B8" w:rsidRDefault="00492A98" w:rsidP="00492A98">
            <w:pPr>
              <w:jc w:val="right"/>
              <w:rPr>
                <w:color w:val="000000"/>
                <w:kern w:val="22"/>
                <w:sz w:val="20"/>
                <w:szCs w:val="20"/>
                <w:lang w:val="fr-CA" w:eastAsia="zh-CN"/>
              </w:rPr>
            </w:pPr>
            <w:r w:rsidRPr="00AE70B8">
              <w:rPr>
                <w:color w:val="000000" w:themeColor="text1"/>
                <w:kern w:val="22"/>
                <w:sz w:val="20"/>
                <w:szCs w:val="20"/>
                <w:lang w:val="fr-CA" w:eastAsia="zh-CN"/>
              </w:rPr>
              <w:t>275,0</w:t>
            </w:r>
          </w:p>
        </w:tc>
        <w:tc>
          <w:tcPr>
            <w:tcW w:w="1720" w:type="dxa"/>
            <w:tcBorders>
              <w:top w:val="nil"/>
              <w:left w:val="nil"/>
              <w:bottom w:val="single" w:sz="4" w:space="0" w:color="auto"/>
              <w:right w:val="single" w:sz="4" w:space="0" w:color="auto"/>
            </w:tcBorders>
            <w:shd w:val="clear" w:color="auto" w:fill="auto"/>
            <w:vAlign w:val="center"/>
            <w:hideMark/>
          </w:tcPr>
          <w:p w14:paraId="3AEF83D5" w14:textId="6F7F8FB5" w:rsidR="00492A98" w:rsidRPr="00AE70B8" w:rsidRDefault="00492A98" w:rsidP="00492A98">
            <w:pPr>
              <w:jc w:val="right"/>
              <w:rPr>
                <w:color w:val="000000"/>
                <w:kern w:val="22"/>
                <w:sz w:val="20"/>
                <w:szCs w:val="20"/>
                <w:lang w:val="fr-CA" w:eastAsia="zh-CN"/>
              </w:rPr>
            </w:pPr>
            <w:r w:rsidRPr="00AE70B8">
              <w:rPr>
                <w:color w:val="000000" w:themeColor="text1"/>
                <w:kern w:val="22"/>
                <w:sz w:val="20"/>
                <w:szCs w:val="20"/>
                <w:lang w:val="fr-CA" w:eastAsia="zh-CN"/>
              </w:rPr>
              <w:t>20,0</w:t>
            </w:r>
          </w:p>
        </w:tc>
        <w:tc>
          <w:tcPr>
            <w:tcW w:w="1720" w:type="dxa"/>
            <w:tcBorders>
              <w:top w:val="nil"/>
              <w:left w:val="nil"/>
              <w:bottom w:val="single" w:sz="4" w:space="0" w:color="auto"/>
              <w:right w:val="single" w:sz="4" w:space="0" w:color="auto"/>
            </w:tcBorders>
            <w:shd w:val="clear" w:color="auto" w:fill="auto"/>
            <w:vAlign w:val="center"/>
            <w:hideMark/>
          </w:tcPr>
          <w:p w14:paraId="11A16849" w14:textId="35B8BE13" w:rsidR="00492A98" w:rsidRPr="00AE70B8" w:rsidRDefault="00492A98" w:rsidP="00492A98">
            <w:pPr>
              <w:jc w:val="right"/>
              <w:rPr>
                <w:color w:val="000000"/>
                <w:kern w:val="22"/>
                <w:sz w:val="20"/>
                <w:szCs w:val="20"/>
                <w:lang w:val="fr-CA" w:eastAsia="zh-CN"/>
              </w:rPr>
            </w:pPr>
            <w:r w:rsidRPr="00AE70B8">
              <w:rPr>
                <w:color w:val="000000" w:themeColor="text1"/>
                <w:kern w:val="22"/>
                <w:sz w:val="20"/>
                <w:szCs w:val="20"/>
                <w:lang w:val="fr-CA" w:eastAsia="zh-CN"/>
              </w:rPr>
              <w:t>255,0</w:t>
            </w:r>
          </w:p>
        </w:tc>
      </w:tr>
      <w:tr w:rsidR="00492A98" w:rsidRPr="00AE70B8" w14:paraId="7745C2CD" w14:textId="77777777" w:rsidTr="00282AF6">
        <w:trPr>
          <w:jc w:val="center"/>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0EABE53E" w14:textId="5457BA68" w:rsidR="00492A98" w:rsidRPr="00AE70B8" w:rsidRDefault="00492A98" w:rsidP="00492A98">
            <w:pPr>
              <w:jc w:val="left"/>
              <w:rPr>
                <w:color w:val="000000"/>
                <w:kern w:val="22"/>
                <w:sz w:val="20"/>
                <w:szCs w:val="20"/>
                <w:lang w:val="fr-CA" w:eastAsia="zh-CN"/>
              </w:rPr>
            </w:pPr>
            <w:r w:rsidRPr="00AE70B8">
              <w:rPr>
                <w:color w:val="000000" w:themeColor="text1"/>
                <w:kern w:val="22"/>
                <w:sz w:val="20"/>
                <w:szCs w:val="20"/>
                <w:lang w:val="fr-CA" w:eastAsia="zh-CN"/>
              </w:rPr>
              <w:t>D.</w:t>
            </w:r>
            <w:r w:rsidRPr="00AE70B8">
              <w:rPr>
                <w:color w:val="000000"/>
                <w:kern w:val="22"/>
                <w:sz w:val="20"/>
                <w:szCs w:val="20"/>
                <w:lang w:val="fr-CA" w:eastAsia="zh-CN"/>
              </w:rPr>
              <w:t xml:space="preserve"> Consultants/sous-traitants</w:t>
            </w:r>
          </w:p>
        </w:tc>
        <w:tc>
          <w:tcPr>
            <w:tcW w:w="1455" w:type="dxa"/>
            <w:tcBorders>
              <w:top w:val="nil"/>
              <w:left w:val="nil"/>
              <w:bottom w:val="single" w:sz="4" w:space="0" w:color="auto"/>
              <w:right w:val="single" w:sz="4" w:space="0" w:color="auto"/>
            </w:tcBorders>
            <w:shd w:val="clear" w:color="auto" w:fill="auto"/>
            <w:vAlign w:val="center"/>
            <w:hideMark/>
          </w:tcPr>
          <w:p w14:paraId="7386397C" w14:textId="77D50A84" w:rsidR="00492A98" w:rsidRPr="00AE70B8" w:rsidRDefault="00492A98" w:rsidP="00492A98">
            <w:pPr>
              <w:jc w:val="right"/>
              <w:rPr>
                <w:color w:val="000000"/>
                <w:kern w:val="22"/>
                <w:sz w:val="20"/>
                <w:szCs w:val="20"/>
                <w:lang w:val="fr-CA" w:eastAsia="zh-CN"/>
              </w:rPr>
            </w:pPr>
            <w:r w:rsidRPr="00AE70B8">
              <w:rPr>
                <w:color w:val="000000" w:themeColor="text1"/>
                <w:kern w:val="22"/>
                <w:sz w:val="20"/>
                <w:szCs w:val="20"/>
                <w:lang w:val="fr-CA" w:eastAsia="zh-CN"/>
              </w:rPr>
              <w:t>50,0</w:t>
            </w:r>
          </w:p>
        </w:tc>
        <w:tc>
          <w:tcPr>
            <w:tcW w:w="1720" w:type="dxa"/>
            <w:tcBorders>
              <w:top w:val="nil"/>
              <w:left w:val="nil"/>
              <w:bottom w:val="single" w:sz="4" w:space="0" w:color="auto"/>
              <w:right w:val="single" w:sz="4" w:space="0" w:color="auto"/>
            </w:tcBorders>
            <w:shd w:val="clear" w:color="auto" w:fill="auto"/>
            <w:vAlign w:val="center"/>
            <w:hideMark/>
          </w:tcPr>
          <w:p w14:paraId="7F585290" w14:textId="53199534" w:rsidR="00492A98" w:rsidRPr="00AE70B8" w:rsidRDefault="00492A98" w:rsidP="00492A98">
            <w:pPr>
              <w:jc w:val="right"/>
              <w:rPr>
                <w:color w:val="000000"/>
                <w:kern w:val="22"/>
                <w:sz w:val="20"/>
                <w:szCs w:val="20"/>
                <w:lang w:val="fr-CA" w:eastAsia="zh-CN"/>
              </w:rPr>
            </w:pPr>
            <w:r w:rsidRPr="00AE70B8">
              <w:rPr>
                <w:color w:val="000000" w:themeColor="text1"/>
                <w:kern w:val="22"/>
                <w:sz w:val="20"/>
                <w:szCs w:val="20"/>
                <w:lang w:val="fr-CA" w:eastAsia="zh-CN"/>
              </w:rPr>
              <w:t>50,0</w:t>
            </w:r>
          </w:p>
        </w:tc>
        <w:tc>
          <w:tcPr>
            <w:tcW w:w="1720" w:type="dxa"/>
            <w:tcBorders>
              <w:top w:val="nil"/>
              <w:left w:val="nil"/>
              <w:bottom w:val="single" w:sz="4" w:space="0" w:color="auto"/>
              <w:right w:val="single" w:sz="4" w:space="0" w:color="auto"/>
            </w:tcBorders>
            <w:shd w:val="clear" w:color="auto" w:fill="auto"/>
            <w:vAlign w:val="center"/>
            <w:hideMark/>
          </w:tcPr>
          <w:p w14:paraId="7A645CB7" w14:textId="09793095" w:rsidR="00492A98" w:rsidRPr="00AE70B8" w:rsidRDefault="00492A98" w:rsidP="00492A98">
            <w:pPr>
              <w:jc w:val="right"/>
              <w:rPr>
                <w:color w:val="000000"/>
                <w:kern w:val="22"/>
                <w:sz w:val="20"/>
                <w:szCs w:val="20"/>
                <w:lang w:val="fr-CA" w:eastAsia="zh-CN"/>
              </w:rPr>
            </w:pPr>
          </w:p>
        </w:tc>
      </w:tr>
      <w:tr w:rsidR="00492A98" w:rsidRPr="00AE70B8" w14:paraId="3F60E9E8" w14:textId="77777777" w:rsidTr="00282AF6">
        <w:trPr>
          <w:jc w:val="center"/>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4A4F2915" w14:textId="7167F3F2" w:rsidR="00492A98" w:rsidRPr="00AE70B8" w:rsidRDefault="00492A98" w:rsidP="00492A98">
            <w:pPr>
              <w:jc w:val="left"/>
              <w:rPr>
                <w:color w:val="000000"/>
                <w:kern w:val="22"/>
                <w:sz w:val="20"/>
                <w:szCs w:val="20"/>
                <w:lang w:val="fr-CA" w:eastAsia="zh-CN"/>
              </w:rPr>
            </w:pPr>
            <w:r w:rsidRPr="00AE70B8">
              <w:rPr>
                <w:color w:val="000000" w:themeColor="text1"/>
                <w:kern w:val="22"/>
                <w:sz w:val="20"/>
                <w:szCs w:val="20"/>
                <w:lang w:val="fr-CA" w:eastAsia="zh-CN"/>
              </w:rPr>
              <w:t>E.</w:t>
            </w:r>
            <w:r w:rsidRPr="00AE70B8">
              <w:rPr>
                <w:color w:val="000000"/>
                <w:kern w:val="22"/>
                <w:sz w:val="20"/>
                <w:szCs w:val="20"/>
                <w:lang w:val="fr-CA" w:eastAsia="zh-CN"/>
              </w:rPr>
              <w:t xml:space="preserve"> Matériel de sensibilisation du public / communication</w:t>
            </w:r>
          </w:p>
        </w:tc>
        <w:tc>
          <w:tcPr>
            <w:tcW w:w="1455" w:type="dxa"/>
            <w:tcBorders>
              <w:top w:val="nil"/>
              <w:left w:val="nil"/>
              <w:bottom w:val="single" w:sz="4" w:space="0" w:color="auto"/>
              <w:right w:val="single" w:sz="4" w:space="0" w:color="auto"/>
            </w:tcBorders>
            <w:shd w:val="clear" w:color="auto" w:fill="auto"/>
            <w:vAlign w:val="center"/>
            <w:hideMark/>
          </w:tcPr>
          <w:p w14:paraId="59E7F926" w14:textId="253BD5C5" w:rsidR="00492A98" w:rsidRPr="00AE70B8" w:rsidRDefault="00492A98" w:rsidP="00492A98">
            <w:pPr>
              <w:jc w:val="right"/>
              <w:rPr>
                <w:color w:val="000000"/>
                <w:kern w:val="22"/>
                <w:sz w:val="20"/>
                <w:szCs w:val="20"/>
                <w:lang w:val="fr-CA" w:eastAsia="zh-CN"/>
              </w:rPr>
            </w:pPr>
            <w:r w:rsidRPr="00AE70B8">
              <w:rPr>
                <w:color w:val="000000" w:themeColor="text1"/>
                <w:kern w:val="22"/>
                <w:sz w:val="20"/>
                <w:szCs w:val="20"/>
                <w:lang w:val="fr-CA" w:eastAsia="zh-CN"/>
              </w:rPr>
              <w:t>50,0</w:t>
            </w:r>
          </w:p>
        </w:tc>
        <w:tc>
          <w:tcPr>
            <w:tcW w:w="1720" w:type="dxa"/>
            <w:tcBorders>
              <w:top w:val="nil"/>
              <w:left w:val="nil"/>
              <w:bottom w:val="single" w:sz="4" w:space="0" w:color="auto"/>
              <w:right w:val="single" w:sz="4" w:space="0" w:color="auto"/>
            </w:tcBorders>
            <w:shd w:val="clear" w:color="auto" w:fill="auto"/>
            <w:vAlign w:val="center"/>
            <w:hideMark/>
          </w:tcPr>
          <w:p w14:paraId="334DFD93" w14:textId="52F15C3F" w:rsidR="00492A98" w:rsidRPr="00AE70B8" w:rsidRDefault="00492A98" w:rsidP="00492A98">
            <w:pPr>
              <w:jc w:val="right"/>
              <w:rPr>
                <w:color w:val="000000"/>
                <w:kern w:val="22"/>
                <w:sz w:val="20"/>
                <w:szCs w:val="20"/>
                <w:lang w:val="fr-CA" w:eastAsia="zh-CN"/>
              </w:rPr>
            </w:pPr>
            <w:r w:rsidRPr="00AE70B8">
              <w:rPr>
                <w:color w:val="000000" w:themeColor="text1"/>
                <w:kern w:val="22"/>
                <w:sz w:val="20"/>
                <w:szCs w:val="20"/>
                <w:lang w:val="fr-CA" w:eastAsia="zh-CN"/>
              </w:rPr>
              <w:t>50,0</w:t>
            </w:r>
          </w:p>
        </w:tc>
        <w:tc>
          <w:tcPr>
            <w:tcW w:w="1720" w:type="dxa"/>
            <w:tcBorders>
              <w:top w:val="nil"/>
              <w:left w:val="nil"/>
              <w:bottom w:val="single" w:sz="4" w:space="0" w:color="auto"/>
              <w:right w:val="single" w:sz="4" w:space="0" w:color="auto"/>
            </w:tcBorders>
            <w:shd w:val="clear" w:color="auto" w:fill="auto"/>
            <w:vAlign w:val="center"/>
            <w:hideMark/>
          </w:tcPr>
          <w:p w14:paraId="5205B0EA" w14:textId="6480CFD4" w:rsidR="00492A98" w:rsidRPr="00AE70B8" w:rsidRDefault="00492A98" w:rsidP="00492A98">
            <w:pPr>
              <w:jc w:val="right"/>
              <w:rPr>
                <w:color w:val="000000"/>
                <w:kern w:val="22"/>
                <w:sz w:val="20"/>
                <w:szCs w:val="20"/>
                <w:lang w:val="fr-CA" w:eastAsia="zh-CN"/>
              </w:rPr>
            </w:pPr>
          </w:p>
        </w:tc>
      </w:tr>
      <w:tr w:rsidR="00492A98" w:rsidRPr="00AE70B8" w14:paraId="5B867418" w14:textId="77777777" w:rsidTr="00282AF6">
        <w:trPr>
          <w:jc w:val="center"/>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03FA4E83" w14:textId="61D4927D" w:rsidR="00492A98" w:rsidRPr="00AE70B8" w:rsidRDefault="00492A98" w:rsidP="00492A98">
            <w:pPr>
              <w:jc w:val="left"/>
              <w:rPr>
                <w:color w:val="000000"/>
                <w:kern w:val="22"/>
                <w:sz w:val="20"/>
                <w:szCs w:val="20"/>
                <w:lang w:val="fr-CA" w:eastAsia="zh-CN"/>
              </w:rPr>
            </w:pPr>
            <w:r w:rsidRPr="00AE70B8">
              <w:rPr>
                <w:color w:val="000000" w:themeColor="text1"/>
                <w:kern w:val="22"/>
                <w:sz w:val="20"/>
                <w:szCs w:val="20"/>
                <w:lang w:val="fr-CA" w:eastAsia="zh-CN"/>
              </w:rPr>
              <w:t>F.</w:t>
            </w:r>
            <w:r w:rsidRPr="00AE70B8">
              <w:rPr>
                <w:color w:val="000000"/>
                <w:kern w:val="22"/>
                <w:sz w:val="20"/>
                <w:szCs w:val="20"/>
                <w:lang w:val="fr-CA" w:eastAsia="zh-CN"/>
              </w:rPr>
              <w:t xml:space="preserve"> Assistance temporaire / temps supplémentaire</w:t>
            </w:r>
          </w:p>
        </w:tc>
        <w:tc>
          <w:tcPr>
            <w:tcW w:w="1455" w:type="dxa"/>
            <w:tcBorders>
              <w:top w:val="nil"/>
              <w:left w:val="nil"/>
              <w:bottom w:val="single" w:sz="4" w:space="0" w:color="auto"/>
              <w:right w:val="single" w:sz="4" w:space="0" w:color="auto"/>
            </w:tcBorders>
            <w:shd w:val="clear" w:color="auto" w:fill="auto"/>
            <w:vAlign w:val="center"/>
            <w:hideMark/>
          </w:tcPr>
          <w:p w14:paraId="34A2BA47" w14:textId="142166A0" w:rsidR="00492A98" w:rsidRPr="00AE70B8" w:rsidRDefault="00492A98" w:rsidP="00492A98">
            <w:pPr>
              <w:jc w:val="right"/>
              <w:rPr>
                <w:color w:val="000000"/>
                <w:kern w:val="22"/>
                <w:sz w:val="20"/>
                <w:szCs w:val="20"/>
                <w:lang w:val="fr-CA" w:eastAsia="zh-CN"/>
              </w:rPr>
            </w:pPr>
            <w:r w:rsidRPr="00AE70B8">
              <w:rPr>
                <w:color w:val="000000" w:themeColor="text1"/>
                <w:kern w:val="22"/>
                <w:sz w:val="20"/>
                <w:szCs w:val="20"/>
                <w:lang w:val="fr-CA" w:eastAsia="zh-CN"/>
              </w:rPr>
              <w:t>100,0</w:t>
            </w:r>
          </w:p>
        </w:tc>
        <w:tc>
          <w:tcPr>
            <w:tcW w:w="1720" w:type="dxa"/>
            <w:tcBorders>
              <w:top w:val="nil"/>
              <w:left w:val="nil"/>
              <w:bottom w:val="single" w:sz="4" w:space="0" w:color="auto"/>
              <w:right w:val="single" w:sz="4" w:space="0" w:color="auto"/>
            </w:tcBorders>
            <w:shd w:val="clear" w:color="auto" w:fill="auto"/>
            <w:vAlign w:val="center"/>
            <w:hideMark/>
          </w:tcPr>
          <w:p w14:paraId="61D10298" w14:textId="367CA5CD" w:rsidR="00492A98" w:rsidRPr="00AE70B8" w:rsidRDefault="00492A98" w:rsidP="00492A98">
            <w:pPr>
              <w:jc w:val="right"/>
              <w:rPr>
                <w:color w:val="000000"/>
                <w:kern w:val="22"/>
                <w:sz w:val="20"/>
                <w:szCs w:val="20"/>
                <w:lang w:val="fr-CA" w:eastAsia="zh-CN"/>
              </w:rPr>
            </w:pPr>
            <w:r w:rsidRPr="00AE70B8">
              <w:rPr>
                <w:color w:val="000000" w:themeColor="text1"/>
                <w:kern w:val="22"/>
                <w:sz w:val="20"/>
                <w:szCs w:val="20"/>
                <w:lang w:val="fr-CA" w:eastAsia="zh-CN"/>
              </w:rPr>
              <w:t>100,0</w:t>
            </w:r>
          </w:p>
        </w:tc>
        <w:tc>
          <w:tcPr>
            <w:tcW w:w="1720" w:type="dxa"/>
            <w:tcBorders>
              <w:top w:val="nil"/>
              <w:left w:val="nil"/>
              <w:bottom w:val="single" w:sz="4" w:space="0" w:color="auto"/>
              <w:right w:val="single" w:sz="4" w:space="0" w:color="auto"/>
            </w:tcBorders>
            <w:shd w:val="clear" w:color="auto" w:fill="auto"/>
            <w:vAlign w:val="center"/>
            <w:hideMark/>
          </w:tcPr>
          <w:p w14:paraId="2A5D6207" w14:textId="112ABDED" w:rsidR="00492A98" w:rsidRPr="00AE70B8" w:rsidRDefault="00492A98" w:rsidP="00492A98">
            <w:pPr>
              <w:jc w:val="right"/>
              <w:rPr>
                <w:color w:val="000000"/>
                <w:kern w:val="22"/>
                <w:sz w:val="20"/>
                <w:szCs w:val="20"/>
                <w:lang w:val="fr-CA" w:eastAsia="zh-CN"/>
              </w:rPr>
            </w:pPr>
          </w:p>
        </w:tc>
      </w:tr>
      <w:tr w:rsidR="00492A98" w:rsidRPr="00AE70B8" w14:paraId="2241EB27" w14:textId="77777777" w:rsidTr="00282AF6">
        <w:trPr>
          <w:jc w:val="center"/>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5020967B" w14:textId="566EE89D" w:rsidR="00492A98" w:rsidRPr="00AE70B8" w:rsidRDefault="00492A98" w:rsidP="00492A98">
            <w:pPr>
              <w:jc w:val="left"/>
              <w:rPr>
                <w:color w:val="000000"/>
                <w:kern w:val="22"/>
                <w:sz w:val="20"/>
                <w:szCs w:val="20"/>
                <w:lang w:val="fr-CA" w:eastAsia="zh-CN"/>
              </w:rPr>
            </w:pPr>
            <w:r w:rsidRPr="00AE70B8">
              <w:rPr>
                <w:color w:val="000000" w:themeColor="text1"/>
                <w:kern w:val="22"/>
                <w:sz w:val="20"/>
                <w:szCs w:val="20"/>
                <w:lang w:val="fr-CA" w:eastAsia="zh-CN"/>
              </w:rPr>
              <w:t>G.</w:t>
            </w:r>
            <w:r w:rsidRPr="00AE70B8">
              <w:rPr>
                <w:color w:val="000000"/>
                <w:kern w:val="22"/>
                <w:sz w:val="20"/>
                <w:szCs w:val="20"/>
                <w:lang w:val="fr-CA" w:eastAsia="zh-CN"/>
              </w:rPr>
              <w:t xml:space="preserve"> Formation</w:t>
            </w:r>
          </w:p>
        </w:tc>
        <w:tc>
          <w:tcPr>
            <w:tcW w:w="1455" w:type="dxa"/>
            <w:tcBorders>
              <w:top w:val="nil"/>
              <w:left w:val="nil"/>
              <w:bottom w:val="single" w:sz="4" w:space="0" w:color="auto"/>
              <w:right w:val="single" w:sz="4" w:space="0" w:color="auto"/>
            </w:tcBorders>
            <w:shd w:val="clear" w:color="auto" w:fill="auto"/>
            <w:vAlign w:val="center"/>
            <w:hideMark/>
          </w:tcPr>
          <w:p w14:paraId="0D39DDC1" w14:textId="78F6BCC3" w:rsidR="00492A98" w:rsidRPr="00AE70B8" w:rsidRDefault="00492A98" w:rsidP="00492A98">
            <w:pPr>
              <w:jc w:val="right"/>
              <w:rPr>
                <w:color w:val="000000"/>
                <w:kern w:val="22"/>
                <w:sz w:val="20"/>
                <w:szCs w:val="20"/>
                <w:lang w:val="fr-CA" w:eastAsia="zh-CN"/>
              </w:rPr>
            </w:pPr>
            <w:r w:rsidRPr="00AE70B8">
              <w:rPr>
                <w:color w:val="000000" w:themeColor="text1"/>
                <w:kern w:val="22"/>
                <w:sz w:val="20"/>
                <w:szCs w:val="20"/>
                <w:lang w:val="fr-CA" w:eastAsia="zh-CN"/>
              </w:rPr>
              <w:t>5,0</w:t>
            </w:r>
          </w:p>
        </w:tc>
        <w:tc>
          <w:tcPr>
            <w:tcW w:w="1720" w:type="dxa"/>
            <w:tcBorders>
              <w:top w:val="nil"/>
              <w:left w:val="nil"/>
              <w:bottom w:val="single" w:sz="4" w:space="0" w:color="auto"/>
              <w:right w:val="single" w:sz="4" w:space="0" w:color="auto"/>
            </w:tcBorders>
            <w:shd w:val="clear" w:color="auto" w:fill="auto"/>
            <w:vAlign w:val="center"/>
            <w:hideMark/>
          </w:tcPr>
          <w:p w14:paraId="7FFCEC42" w14:textId="5B1EFC09" w:rsidR="00492A98" w:rsidRPr="00AE70B8" w:rsidRDefault="00492A98" w:rsidP="00492A98">
            <w:pPr>
              <w:jc w:val="right"/>
              <w:rPr>
                <w:color w:val="000000"/>
                <w:kern w:val="22"/>
                <w:sz w:val="20"/>
                <w:szCs w:val="20"/>
                <w:lang w:val="fr-CA" w:eastAsia="zh-CN"/>
              </w:rPr>
            </w:pPr>
            <w:r w:rsidRPr="00AE70B8">
              <w:rPr>
                <w:color w:val="000000" w:themeColor="text1"/>
                <w:kern w:val="22"/>
                <w:sz w:val="20"/>
                <w:szCs w:val="20"/>
                <w:lang w:val="fr-CA" w:eastAsia="zh-CN"/>
              </w:rPr>
              <w:t>5,0</w:t>
            </w:r>
          </w:p>
        </w:tc>
        <w:tc>
          <w:tcPr>
            <w:tcW w:w="1720" w:type="dxa"/>
            <w:tcBorders>
              <w:top w:val="nil"/>
              <w:left w:val="nil"/>
              <w:bottom w:val="single" w:sz="4" w:space="0" w:color="auto"/>
              <w:right w:val="single" w:sz="4" w:space="0" w:color="auto"/>
            </w:tcBorders>
            <w:shd w:val="clear" w:color="auto" w:fill="auto"/>
            <w:vAlign w:val="center"/>
            <w:hideMark/>
          </w:tcPr>
          <w:p w14:paraId="25009431" w14:textId="30104BC1" w:rsidR="00492A98" w:rsidRPr="00AE70B8" w:rsidRDefault="00492A98" w:rsidP="00492A98">
            <w:pPr>
              <w:jc w:val="right"/>
              <w:rPr>
                <w:color w:val="000000"/>
                <w:kern w:val="22"/>
                <w:sz w:val="20"/>
                <w:szCs w:val="20"/>
                <w:lang w:val="fr-CA" w:eastAsia="zh-CN"/>
              </w:rPr>
            </w:pPr>
          </w:p>
        </w:tc>
      </w:tr>
      <w:tr w:rsidR="00492A98" w:rsidRPr="00AE70B8" w14:paraId="065C36EF" w14:textId="77777777" w:rsidTr="00282AF6">
        <w:trPr>
          <w:jc w:val="center"/>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55E6F85B" w14:textId="37CFDF35" w:rsidR="00492A98" w:rsidRPr="00AE70B8" w:rsidRDefault="00492A98" w:rsidP="00492A98">
            <w:pPr>
              <w:jc w:val="left"/>
              <w:rPr>
                <w:color w:val="000000"/>
                <w:kern w:val="22"/>
                <w:sz w:val="20"/>
                <w:szCs w:val="20"/>
                <w:lang w:val="fr-CA" w:eastAsia="zh-CN"/>
              </w:rPr>
            </w:pPr>
            <w:r w:rsidRPr="00AE70B8">
              <w:rPr>
                <w:color w:val="000000" w:themeColor="text1"/>
                <w:kern w:val="22"/>
                <w:sz w:val="20"/>
                <w:szCs w:val="20"/>
                <w:lang w:val="fr-CA" w:eastAsia="zh-CN"/>
              </w:rPr>
              <w:t>H.</w:t>
            </w:r>
            <w:r w:rsidRPr="00AE70B8">
              <w:rPr>
                <w:color w:val="000000"/>
                <w:kern w:val="22"/>
                <w:sz w:val="20"/>
                <w:szCs w:val="20"/>
                <w:lang w:val="fr-CA" w:eastAsia="zh-CN"/>
              </w:rPr>
              <w:t xml:space="preserve"> </w:t>
            </w:r>
            <w:r w:rsidRPr="00AE70B8">
              <w:rPr>
                <w:color w:val="000000"/>
                <w:sz w:val="20"/>
                <w:szCs w:val="17"/>
                <w:lang w:val="fr-CA" w:eastAsia="en-CA"/>
              </w:rPr>
              <w:t>Traduction du site Web du mécanisme de centre d’échange / projets de site Web</w:t>
            </w:r>
          </w:p>
        </w:tc>
        <w:tc>
          <w:tcPr>
            <w:tcW w:w="1455" w:type="dxa"/>
            <w:tcBorders>
              <w:top w:val="nil"/>
              <w:left w:val="nil"/>
              <w:bottom w:val="single" w:sz="4" w:space="0" w:color="auto"/>
              <w:right w:val="single" w:sz="4" w:space="0" w:color="auto"/>
            </w:tcBorders>
            <w:shd w:val="clear" w:color="auto" w:fill="auto"/>
            <w:vAlign w:val="center"/>
            <w:hideMark/>
          </w:tcPr>
          <w:p w14:paraId="18D295F3" w14:textId="22F978FC" w:rsidR="00492A98" w:rsidRPr="00AE70B8" w:rsidRDefault="00492A98" w:rsidP="00492A98">
            <w:pPr>
              <w:jc w:val="right"/>
              <w:rPr>
                <w:color w:val="000000"/>
                <w:kern w:val="22"/>
                <w:sz w:val="20"/>
                <w:szCs w:val="20"/>
                <w:lang w:val="fr-CA" w:eastAsia="zh-CN"/>
              </w:rPr>
            </w:pPr>
            <w:r w:rsidRPr="00AE70B8">
              <w:rPr>
                <w:color w:val="000000" w:themeColor="text1"/>
                <w:kern w:val="22"/>
                <w:sz w:val="20"/>
                <w:szCs w:val="20"/>
                <w:lang w:val="fr-CA" w:eastAsia="zh-CN"/>
              </w:rPr>
              <w:t>65,0</w:t>
            </w:r>
          </w:p>
        </w:tc>
        <w:tc>
          <w:tcPr>
            <w:tcW w:w="1720" w:type="dxa"/>
            <w:tcBorders>
              <w:top w:val="nil"/>
              <w:left w:val="nil"/>
              <w:bottom w:val="single" w:sz="4" w:space="0" w:color="auto"/>
              <w:right w:val="single" w:sz="4" w:space="0" w:color="auto"/>
            </w:tcBorders>
            <w:shd w:val="clear" w:color="auto" w:fill="auto"/>
            <w:vAlign w:val="center"/>
            <w:hideMark/>
          </w:tcPr>
          <w:p w14:paraId="61CF4B6A" w14:textId="79C6CB5E" w:rsidR="00492A98" w:rsidRPr="00AE70B8" w:rsidRDefault="00492A98" w:rsidP="00492A98">
            <w:pPr>
              <w:jc w:val="right"/>
              <w:rPr>
                <w:color w:val="000000"/>
                <w:kern w:val="22"/>
                <w:sz w:val="20"/>
                <w:szCs w:val="20"/>
                <w:lang w:val="fr-CA" w:eastAsia="zh-CN"/>
              </w:rPr>
            </w:pPr>
            <w:r w:rsidRPr="00AE70B8">
              <w:rPr>
                <w:color w:val="000000" w:themeColor="text1"/>
                <w:kern w:val="22"/>
                <w:sz w:val="20"/>
                <w:szCs w:val="20"/>
                <w:lang w:val="fr-CA" w:eastAsia="zh-CN"/>
              </w:rPr>
              <w:t>65,0</w:t>
            </w:r>
          </w:p>
        </w:tc>
        <w:tc>
          <w:tcPr>
            <w:tcW w:w="1720" w:type="dxa"/>
            <w:tcBorders>
              <w:top w:val="nil"/>
              <w:left w:val="nil"/>
              <w:bottom w:val="single" w:sz="4" w:space="0" w:color="auto"/>
              <w:right w:val="single" w:sz="4" w:space="0" w:color="auto"/>
            </w:tcBorders>
            <w:shd w:val="clear" w:color="auto" w:fill="auto"/>
            <w:vAlign w:val="center"/>
            <w:hideMark/>
          </w:tcPr>
          <w:p w14:paraId="688D0DED" w14:textId="6555BB5B" w:rsidR="00492A98" w:rsidRPr="00AE70B8" w:rsidRDefault="00492A98" w:rsidP="00492A98">
            <w:pPr>
              <w:jc w:val="right"/>
              <w:rPr>
                <w:color w:val="000000"/>
                <w:kern w:val="22"/>
                <w:sz w:val="20"/>
                <w:szCs w:val="20"/>
                <w:lang w:val="fr-CA" w:eastAsia="zh-CN"/>
              </w:rPr>
            </w:pPr>
          </w:p>
        </w:tc>
      </w:tr>
      <w:tr w:rsidR="00492A98" w:rsidRPr="00AE70B8" w14:paraId="2B270A3E" w14:textId="77777777" w:rsidTr="00282AF6">
        <w:trPr>
          <w:jc w:val="center"/>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1AB42FA4" w14:textId="30269C96" w:rsidR="00492A98" w:rsidRPr="00AE70B8" w:rsidRDefault="00492A98" w:rsidP="00492A98">
            <w:pPr>
              <w:jc w:val="left"/>
              <w:rPr>
                <w:color w:val="000000"/>
                <w:kern w:val="22"/>
                <w:sz w:val="20"/>
                <w:szCs w:val="20"/>
                <w:lang w:val="fr-CA" w:eastAsia="zh-CN"/>
              </w:rPr>
            </w:pPr>
            <w:r w:rsidRPr="00AE70B8">
              <w:rPr>
                <w:color w:val="000000" w:themeColor="text1"/>
                <w:kern w:val="22"/>
                <w:sz w:val="20"/>
                <w:szCs w:val="20"/>
                <w:lang w:val="fr-CA" w:eastAsia="zh-CN"/>
              </w:rPr>
              <w:t>I.</w:t>
            </w:r>
            <w:r w:rsidRPr="00AE70B8">
              <w:rPr>
                <w:color w:val="000000"/>
                <w:kern w:val="22"/>
                <w:sz w:val="20"/>
                <w:szCs w:val="20"/>
                <w:lang w:val="fr-CA" w:eastAsia="zh-CN"/>
              </w:rPr>
              <w:t xml:space="preserve"> Réunions</w:t>
            </w:r>
          </w:p>
        </w:tc>
        <w:tc>
          <w:tcPr>
            <w:tcW w:w="1455" w:type="dxa"/>
            <w:tcBorders>
              <w:top w:val="nil"/>
              <w:left w:val="nil"/>
              <w:bottom w:val="single" w:sz="4" w:space="0" w:color="auto"/>
              <w:right w:val="single" w:sz="4" w:space="0" w:color="auto"/>
            </w:tcBorders>
            <w:shd w:val="clear" w:color="auto" w:fill="auto"/>
            <w:vAlign w:val="center"/>
            <w:hideMark/>
          </w:tcPr>
          <w:p w14:paraId="0D945EA1" w14:textId="29FF1741" w:rsidR="00492A98" w:rsidRPr="00AE70B8" w:rsidRDefault="00492A98" w:rsidP="00492A98">
            <w:pPr>
              <w:jc w:val="right"/>
              <w:rPr>
                <w:color w:val="000000"/>
                <w:kern w:val="22"/>
                <w:sz w:val="20"/>
                <w:szCs w:val="20"/>
                <w:lang w:val="fr-CA" w:eastAsia="zh-CN"/>
              </w:rPr>
            </w:pPr>
            <w:r w:rsidRPr="00AE70B8">
              <w:rPr>
                <w:color w:val="000000" w:themeColor="text1"/>
                <w:kern w:val="22"/>
                <w:sz w:val="20"/>
                <w:szCs w:val="20"/>
                <w:lang w:val="fr-CA" w:eastAsia="zh-CN"/>
              </w:rPr>
              <w:t>271,8</w:t>
            </w:r>
          </w:p>
        </w:tc>
        <w:tc>
          <w:tcPr>
            <w:tcW w:w="1720" w:type="dxa"/>
            <w:tcBorders>
              <w:top w:val="nil"/>
              <w:left w:val="nil"/>
              <w:bottom w:val="single" w:sz="4" w:space="0" w:color="auto"/>
              <w:right w:val="single" w:sz="4" w:space="0" w:color="auto"/>
            </w:tcBorders>
            <w:shd w:val="clear" w:color="auto" w:fill="auto"/>
            <w:vAlign w:val="center"/>
            <w:hideMark/>
          </w:tcPr>
          <w:p w14:paraId="0FFEF4DF" w14:textId="4DB6E033" w:rsidR="00492A98" w:rsidRPr="00AE70B8" w:rsidRDefault="00492A98" w:rsidP="00492A98">
            <w:pPr>
              <w:jc w:val="right"/>
              <w:rPr>
                <w:color w:val="000000"/>
                <w:kern w:val="22"/>
                <w:sz w:val="20"/>
                <w:szCs w:val="20"/>
                <w:lang w:val="fr-CA" w:eastAsia="zh-CN"/>
              </w:rPr>
            </w:pPr>
            <w:r w:rsidRPr="00AE70B8">
              <w:rPr>
                <w:color w:val="000000"/>
                <w:kern w:val="22"/>
                <w:sz w:val="20"/>
                <w:szCs w:val="20"/>
                <w:lang w:val="fr-CA" w:eastAsia="zh-CN"/>
              </w:rPr>
              <w:t>271,8</w:t>
            </w:r>
          </w:p>
        </w:tc>
        <w:tc>
          <w:tcPr>
            <w:tcW w:w="1720" w:type="dxa"/>
            <w:tcBorders>
              <w:top w:val="nil"/>
              <w:left w:val="nil"/>
              <w:bottom w:val="single" w:sz="4" w:space="0" w:color="auto"/>
              <w:right w:val="single" w:sz="4" w:space="0" w:color="auto"/>
            </w:tcBorders>
            <w:shd w:val="clear" w:color="auto" w:fill="auto"/>
            <w:vAlign w:val="center"/>
            <w:hideMark/>
          </w:tcPr>
          <w:p w14:paraId="4304D332" w14:textId="439D9C54" w:rsidR="00492A98" w:rsidRPr="00AE70B8" w:rsidRDefault="00492A98" w:rsidP="00492A98">
            <w:pPr>
              <w:jc w:val="right"/>
              <w:rPr>
                <w:color w:val="000000"/>
                <w:kern w:val="22"/>
                <w:sz w:val="20"/>
                <w:szCs w:val="20"/>
                <w:lang w:val="fr-CA" w:eastAsia="zh-CN"/>
              </w:rPr>
            </w:pPr>
          </w:p>
        </w:tc>
      </w:tr>
      <w:tr w:rsidR="00492A98" w:rsidRPr="00AE70B8" w14:paraId="7353F8E5" w14:textId="77777777" w:rsidTr="00282AF6">
        <w:trPr>
          <w:jc w:val="center"/>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13C0C7A4" w14:textId="6579B5DD" w:rsidR="00492A98" w:rsidRPr="00AE70B8" w:rsidRDefault="00492A98" w:rsidP="00492A98">
            <w:pPr>
              <w:jc w:val="left"/>
              <w:rPr>
                <w:color w:val="000000"/>
                <w:kern w:val="22"/>
                <w:sz w:val="20"/>
                <w:szCs w:val="20"/>
                <w:lang w:val="fr-CA" w:eastAsia="zh-CN"/>
              </w:rPr>
            </w:pPr>
            <w:r w:rsidRPr="00AE70B8">
              <w:rPr>
                <w:color w:val="000000" w:themeColor="text1"/>
                <w:kern w:val="22"/>
                <w:sz w:val="20"/>
                <w:szCs w:val="20"/>
                <w:lang w:val="fr-CA" w:eastAsia="zh-CN"/>
              </w:rPr>
              <w:t>J.</w:t>
            </w:r>
            <w:r w:rsidRPr="00AE70B8">
              <w:rPr>
                <w:color w:val="000000"/>
                <w:kern w:val="22"/>
                <w:sz w:val="20"/>
                <w:szCs w:val="20"/>
                <w:lang w:val="fr-CA" w:eastAsia="zh-CN"/>
              </w:rPr>
              <w:t xml:space="preserve"> Réunions d’experts</w:t>
            </w:r>
          </w:p>
        </w:tc>
        <w:tc>
          <w:tcPr>
            <w:tcW w:w="1455" w:type="dxa"/>
            <w:tcBorders>
              <w:top w:val="nil"/>
              <w:left w:val="nil"/>
              <w:bottom w:val="single" w:sz="4" w:space="0" w:color="auto"/>
              <w:right w:val="single" w:sz="4" w:space="0" w:color="auto"/>
            </w:tcBorders>
            <w:shd w:val="clear" w:color="auto" w:fill="auto"/>
            <w:vAlign w:val="center"/>
            <w:hideMark/>
          </w:tcPr>
          <w:p w14:paraId="65B78D42" w14:textId="117ED9C0" w:rsidR="00492A98" w:rsidRPr="00AE70B8" w:rsidRDefault="00492A98" w:rsidP="00492A98">
            <w:pPr>
              <w:jc w:val="right"/>
              <w:rPr>
                <w:color w:val="000000"/>
                <w:kern w:val="22"/>
                <w:sz w:val="20"/>
                <w:szCs w:val="20"/>
                <w:lang w:val="fr-CA" w:eastAsia="zh-CN"/>
              </w:rPr>
            </w:pPr>
          </w:p>
        </w:tc>
        <w:tc>
          <w:tcPr>
            <w:tcW w:w="1720" w:type="dxa"/>
            <w:tcBorders>
              <w:top w:val="nil"/>
              <w:left w:val="nil"/>
              <w:bottom w:val="single" w:sz="4" w:space="0" w:color="auto"/>
              <w:right w:val="single" w:sz="4" w:space="0" w:color="auto"/>
            </w:tcBorders>
            <w:shd w:val="clear" w:color="auto" w:fill="auto"/>
            <w:vAlign w:val="center"/>
            <w:hideMark/>
          </w:tcPr>
          <w:p w14:paraId="4DB2FD09" w14:textId="4A74556B" w:rsidR="00492A98" w:rsidRPr="00AE70B8" w:rsidRDefault="00492A98" w:rsidP="00492A98">
            <w:pPr>
              <w:jc w:val="center"/>
              <w:rPr>
                <w:color w:val="000000"/>
                <w:kern w:val="22"/>
                <w:sz w:val="20"/>
                <w:szCs w:val="20"/>
                <w:lang w:val="fr-CA" w:eastAsia="zh-CN"/>
              </w:rPr>
            </w:pPr>
          </w:p>
        </w:tc>
        <w:tc>
          <w:tcPr>
            <w:tcW w:w="1720" w:type="dxa"/>
            <w:tcBorders>
              <w:top w:val="nil"/>
              <w:left w:val="nil"/>
              <w:bottom w:val="single" w:sz="4" w:space="0" w:color="auto"/>
              <w:right w:val="single" w:sz="4" w:space="0" w:color="auto"/>
            </w:tcBorders>
            <w:shd w:val="clear" w:color="auto" w:fill="auto"/>
            <w:vAlign w:val="center"/>
            <w:hideMark/>
          </w:tcPr>
          <w:p w14:paraId="66A216DD" w14:textId="6BFDCC53" w:rsidR="00492A98" w:rsidRPr="00AE70B8" w:rsidRDefault="00492A98" w:rsidP="00492A98">
            <w:pPr>
              <w:jc w:val="right"/>
              <w:rPr>
                <w:color w:val="000000"/>
                <w:kern w:val="22"/>
                <w:sz w:val="20"/>
                <w:szCs w:val="20"/>
                <w:lang w:val="fr-CA" w:eastAsia="zh-CN"/>
              </w:rPr>
            </w:pPr>
          </w:p>
        </w:tc>
      </w:tr>
      <w:tr w:rsidR="00492A98" w:rsidRPr="00AE70B8" w14:paraId="1CF0B644" w14:textId="77777777" w:rsidTr="00282AF6">
        <w:trPr>
          <w:jc w:val="center"/>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77805682" w14:textId="77F24F88" w:rsidR="00492A98" w:rsidRPr="00AE70B8" w:rsidRDefault="00492A98" w:rsidP="00492A98">
            <w:pPr>
              <w:jc w:val="left"/>
              <w:rPr>
                <w:color w:val="000000"/>
                <w:kern w:val="22"/>
                <w:sz w:val="20"/>
                <w:szCs w:val="20"/>
                <w:lang w:val="fr-CA" w:eastAsia="zh-CN"/>
              </w:rPr>
            </w:pPr>
            <w:r w:rsidRPr="00AE70B8">
              <w:rPr>
                <w:color w:val="000000" w:themeColor="text1"/>
                <w:kern w:val="22"/>
                <w:sz w:val="20"/>
                <w:szCs w:val="20"/>
                <w:lang w:val="fr-CA" w:eastAsia="zh-CN"/>
              </w:rPr>
              <w:t>K.</w:t>
            </w:r>
            <w:r w:rsidRPr="00AE70B8">
              <w:rPr>
                <w:color w:val="000000"/>
                <w:kern w:val="22"/>
                <w:sz w:val="20"/>
                <w:szCs w:val="20"/>
                <w:lang w:val="fr-CA" w:eastAsia="zh-CN"/>
              </w:rPr>
              <w:t xml:space="preserve"> Réunions extraordinaires sur l’après-2020</w:t>
            </w:r>
          </w:p>
        </w:tc>
        <w:tc>
          <w:tcPr>
            <w:tcW w:w="1455" w:type="dxa"/>
            <w:tcBorders>
              <w:top w:val="nil"/>
              <w:left w:val="nil"/>
              <w:bottom w:val="single" w:sz="4" w:space="0" w:color="auto"/>
              <w:right w:val="single" w:sz="4" w:space="0" w:color="auto"/>
            </w:tcBorders>
            <w:shd w:val="clear" w:color="auto" w:fill="auto"/>
            <w:vAlign w:val="center"/>
            <w:hideMark/>
          </w:tcPr>
          <w:p w14:paraId="1183BA08" w14:textId="3DFC379F" w:rsidR="00492A98" w:rsidRPr="00AE70B8" w:rsidRDefault="00492A98" w:rsidP="00492A98">
            <w:pPr>
              <w:jc w:val="right"/>
              <w:rPr>
                <w:color w:val="000000"/>
                <w:kern w:val="22"/>
                <w:sz w:val="20"/>
                <w:szCs w:val="20"/>
                <w:lang w:val="fr-CA" w:eastAsia="zh-CN"/>
              </w:rPr>
            </w:pPr>
            <w:r w:rsidRPr="00AE70B8">
              <w:rPr>
                <w:color w:val="000000" w:themeColor="text1"/>
                <w:kern w:val="22"/>
                <w:sz w:val="20"/>
                <w:szCs w:val="20"/>
                <w:lang w:val="fr-CA" w:eastAsia="zh-CN"/>
              </w:rPr>
              <w:t>350,0</w:t>
            </w:r>
          </w:p>
        </w:tc>
        <w:tc>
          <w:tcPr>
            <w:tcW w:w="1720" w:type="dxa"/>
            <w:tcBorders>
              <w:top w:val="nil"/>
              <w:left w:val="nil"/>
              <w:bottom w:val="single" w:sz="4" w:space="0" w:color="auto"/>
              <w:right w:val="single" w:sz="4" w:space="0" w:color="auto"/>
            </w:tcBorders>
            <w:shd w:val="clear" w:color="auto" w:fill="auto"/>
            <w:vAlign w:val="center"/>
            <w:hideMark/>
          </w:tcPr>
          <w:p w14:paraId="058481AD" w14:textId="256A1FFC" w:rsidR="00492A98" w:rsidRPr="00AE70B8" w:rsidRDefault="00492A98" w:rsidP="00492A98">
            <w:pPr>
              <w:jc w:val="right"/>
              <w:rPr>
                <w:color w:val="000000"/>
                <w:kern w:val="22"/>
                <w:sz w:val="20"/>
                <w:szCs w:val="20"/>
                <w:lang w:val="fr-CA" w:eastAsia="zh-CN"/>
              </w:rPr>
            </w:pPr>
            <w:r w:rsidRPr="00AE70B8">
              <w:rPr>
                <w:color w:val="000000" w:themeColor="text1"/>
                <w:kern w:val="22"/>
                <w:sz w:val="20"/>
                <w:szCs w:val="20"/>
                <w:lang w:val="fr-CA" w:eastAsia="zh-CN"/>
              </w:rPr>
              <w:t>350,0</w:t>
            </w:r>
          </w:p>
        </w:tc>
        <w:tc>
          <w:tcPr>
            <w:tcW w:w="1720" w:type="dxa"/>
            <w:tcBorders>
              <w:top w:val="nil"/>
              <w:left w:val="nil"/>
              <w:bottom w:val="single" w:sz="4" w:space="0" w:color="auto"/>
              <w:right w:val="single" w:sz="4" w:space="0" w:color="auto"/>
            </w:tcBorders>
            <w:shd w:val="clear" w:color="auto" w:fill="auto"/>
            <w:vAlign w:val="center"/>
            <w:hideMark/>
          </w:tcPr>
          <w:p w14:paraId="476F893D" w14:textId="15FC2647" w:rsidR="00492A98" w:rsidRPr="00AE70B8" w:rsidRDefault="00492A98" w:rsidP="00492A98">
            <w:pPr>
              <w:jc w:val="right"/>
              <w:rPr>
                <w:color w:val="000000"/>
                <w:kern w:val="22"/>
                <w:sz w:val="20"/>
                <w:szCs w:val="20"/>
                <w:lang w:val="fr-CA" w:eastAsia="zh-CN"/>
              </w:rPr>
            </w:pPr>
          </w:p>
        </w:tc>
      </w:tr>
      <w:tr w:rsidR="00492A98" w:rsidRPr="00AE70B8" w14:paraId="6D8C0DE8" w14:textId="77777777" w:rsidTr="00282AF6">
        <w:trPr>
          <w:jc w:val="center"/>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598CFEA8" w14:textId="6E9F0695" w:rsidR="00492A98" w:rsidRPr="00AE70B8" w:rsidRDefault="00492A98" w:rsidP="00492A98">
            <w:pPr>
              <w:jc w:val="left"/>
              <w:rPr>
                <w:color w:val="000000"/>
                <w:kern w:val="22"/>
                <w:sz w:val="20"/>
                <w:szCs w:val="20"/>
                <w:lang w:val="fr-CA" w:eastAsia="zh-CN"/>
              </w:rPr>
            </w:pPr>
            <w:r w:rsidRPr="00AE70B8">
              <w:rPr>
                <w:color w:val="000000" w:themeColor="text1"/>
                <w:kern w:val="22"/>
                <w:sz w:val="20"/>
                <w:szCs w:val="20"/>
                <w:lang w:val="fr-CA" w:eastAsia="zh-CN"/>
              </w:rPr>
              <w:t>L.</w:t>
            </w:r>
            <w:r w:rsidRPr="00AE70B8">
              <w:rPr>
                <w:color w:val="000000"/>
                <w:kern w:val="22"/>
                <w:sz w:val="20"/>
                <w:szCs w:val="20"/>
                <w:lang w:val="fr-CA" w:eastAsia="zh-CN"/>
              </w:rPr>
              <w:t xml:space="preserve"> Loyer et coûts apparentés</w:t>
            </w:r>
          </w:p>
        </w:tc>
        <w:tc>
          <w:tcPr>
            <w:tcW w:w="1455" w:type="dxa"/>
            <w:tcBorders>
              <w:top w:val="nil"/>
              <w:left w:val="nil"/>
              <w:bottom w:val="single" w:sz="4" w:space="0" w:color="auto"/>
              <w:right w:val="single" w:sz="4" w:space="0" w:color="auto"/>
            </w:tcBorders>
            <w:shd w:val="clear" w:color="auto" w:fill="auto"/>
            <w:vAlign w:val="center"/>
            <w:hideMark/>
          </w:tcPr>
          <w:p w14:paraId="11125677" w14:textId="5261C737" w:rsidR="00492A98" w:rsidRPr="00AE70B8" w:rsidRDefault="00492A98" w:rsidP="00492A98">
            <w:pPr>
              <w:jc w:val="right"/>
              <w:rPr>
                <w:color w:val="000000"/>
                <w:kern w:val="22"/>
                <w:sz w:val="20"/>
                <w:szCs w:val="20"/>
                <w:lang w:val="fr-CA" w:eastAsia="zh-CN"/>
              </w:rPr>
            </w:pPr>
            <w:r w:rsidRPr="00AE70B8">
              <w:rPr>
                <w:color w:val="000000" w:themeColor="text1"/>
                <w:kern w:val="22"/>
                <w:sz w:val="20"/>
                <w:szCs w:val="20"/>
                <w:lang w:val="fr-CA" w:eastAsia="zh-CN"/>
              </w:rPr>
              <w:t>1 358,2</w:t>
            </w:r>
          </w:p>
        </w:tc>
        <w:tc>
          <w:tcPr>
            <w:tcW w:w="1720" w:type="dxa"/>
            <w:tcBorders>
              <w:top w:val="nil"/>
              <w:left w:val="nil"/>
              <w:bottom w:val="single" w:sz="4" w:space="0" w:color="auto"/>
              <w:right w:val="single" w:sz="4" w:space="0" w:color="auto"/>
            </w:tcBorders>
            <w:shd w:val="clear" w:color="auto" w:fill="auto"/>
            <w:vAlign w:val="center"/>
            <w:hideMark/>
          </w:tcPr>
          <w:p w14:paraId="078BC822" w14:textId="10EC2139" w:rsidR="00492A98" w:rsidRPr="00AE70B8" w:rsidRDefault="00492A98" w:rsidP="00492A98">
            <w:pPr>
              <w:jc w:val="right"/>
              <w:rPr>
                <w:color w:val="000000"/>
                <w:kern w:val="22"/>
                <w:sz w:val="20"/>
                <w:szCs w:val="20"/>
                <w:lang w:val="fr-CA" w:eastAsia="zh-CN"/>
              </w:rPr>
            </w:pPr>
            <w:r w:rsidRPr="00AE70B8">
              <w:rPr>
                <w:color w:val="000000"/>
                <w:kern w:val="22"/>
                <w:sz w:val="20"/>
                <w:szCs w:val="20"/>
                <w:lang w:val="fr-CA" w:eastAsia="zh-CN"/>
              </w:rPr>
              <w:t>1 358,2</w:t>
            </w:r>
          </w:p>
        </w:tc>
        <w:tc>
          <w:tcPr>
            <w:tcW w:w="1720" w:type="dxa"/>
            <w:tcBorders>
              <w:top w:val="nil"/>
              <w:left w:val="nil"/>
              <w:bottom w:val="single" w:sz="4" w:space="0" w:color="auto"/>
              <w:right w:val="single" w:sz="4" w:space="0" w:color="auto"/>
            </w:tcBorders>
            <w:shd w:val="clear" w:color="auto" w:fill="auto"/>
            <w:vAlign w:val="center"/>
            <w:hideMark/>
          </w:tcPr>
          <w:p w14:paraId="18897CF9" w14:textId="2E86909D" w:rsidR="00492A98" w:rsidRPr="00AE70B8" w:rsidRDefault="00492A98" w:rsidP="00492A98">
            <w:pPr>
              <w:jc w:val="right"/>
              <w:rPr>
                <w:color w:val="000000"/>
                <w:kern w:val="22"/>
                <w:sz w:val="20"/>
                <w:szCs w:val="20"/>
                <w:lang w:val="fr-CA" w:eastAsia="zh-CN"/>
              </w:rPr>
            </w:pPr>
          </w:p>
        </w:tc>
      </w:tr>
      <w:tr w:rsidR="00492A98" w:rsidRPr="00AE70B8" w14:paraId="07AF7B00" w14:textId="77777777" w:rsidTr="00282AF6">
        <w:trPr>
          <w:jc w:val="center"/>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30FE78FD" w14:textId="727CDF84" w:rsidR="00492A98" w:rsidRPr="00AE70B8" w:rsidRDefault="00492A98" w:rsidP="00492A98">
            <w:pPr>
              <w:jc w:val="left"/>
              <w:rPr>
                <w:color w:val="000000"/>
                <w:kern w:val="22"/>
                <w:sz w:val="20"/>
                <w:szCs w:val="20"/>
                <w:lang w:val="fr-CA" w:eastAsia="zh-CN"/>
              </w:rPr>
            </w:pPr>
            <w:r w:rsidRPr="00AE70B8">
              <w:rPr>
                <w:color w:val="000000" w:themeColor="text1"/>
                <w:kern w:val="22"/>
                <w:sz w:val="20"/>
                <w:szCs w:val="20"/>
                <w:lang w:val="fr-CA" w:eastAsia="zh-CN"/>
              </w:rPr>
              <w:t>M.</w:t>
            </w:r>
            <w:r w:rsidRPr="00AE70B8">
              <w:rPr>
                <w:color w:val="000000"/>
                <w:kern w:val="22"/>
                <w:sz w:val="20"/>
                <w:szCs w:val="20"/>
                <w:lang w:val="fr-CA" w:eastAsia="zh-CN"/>
              </w:rPr>
              <w:t xml:space="preserve"> Frais de fonctionnement généraux</w:t>
            </w:r>
          </w:p>
        </w:tc>
        <w:tc>
          <w:tcPr>
            <w:tcW w:w="1455" w:type="dxa"/>
            <w:tcBorders>
              <w:top w:val="nil"/>
              <w:left w:val="nil"/>
              <w:bottom w:val="single" w:sz="4" w:space="0" w:color="auto"/>
              <w:right w:val="single" w:sz="4" w:space="0" w:color="auto"/>
            </w:tcBorders>
            <w:shd w:val="clear" w:color="auto" w:fill="auto"/>
            <w:vAlign w:val="center"/>
            <w:hideMark/>
          </w:tcPr>
          <w:p w14:paraId="2D74578E" w14:textId="6CFDEC4B" w:rsidR="00492A98" w:rsidRPr="00AE70B8" w:rsidRDefault="00492A98" w:rsidP="00492A98">
            <w:pPr>
              <w:jc w:val="right"/>
              <w:rPr>
                <w:color w:val="000000"/>
                <w:kern w:val="22"/>
                <w:sz w:val="20"/>
                <w:szCs w:val="20"/>
                <w:lang w:val="fr-CA" w:eastAsia="zh-CN"/>
              </w:rPr>
            </w:pPr>
            <w:r w:rsidRPr="00AE70B8">
              <w:rPr>
                <w:color w:val="000000" w:themeColor="text1"/>
                <w:kern w:val="22"/>
                <w:sz w:val="20"/>
                <w:szCs w:val="20"/>
                <w:lang w:val="fr-CA" w:eastAsia="zh-CN"/>
              </w:rPr>
              <w:t>726,6</w:t>
            </w:r>
          </w:p>
        </w:tc>
        <w:tc>
          <w:tcPr>
            <w:tcW w:w="1720" w:type="dxa"/>
            <w:tcBorders>
              <w:top w:val="nil"/>
              <w:left w:val="nil"/>
              <w:bottom w:val="single" w:sz="4" w:space="0" w:color="auto"/>
              <w:right w:val="single" w:sz="4" w:space="0" w:color="auto"/>
            </w:tcBorders>
            <w:shd w:val="clear" w:color="auto" w:fill="auto"/>
            <w:vAlign w:val="center"/>
            <w:hideMark/>
          </w:tcPr>
          <w:p w14:paraId="634FADAA" w14:textId="5799B689" w:rsidR="00492A98" w:rsidRPr="00AE70B8" w:rsidRDefault="00492A98" w:rsidP="00492A98">
            <w:pPr>
              <w:jc w:val="right"/>
              <w:rPr>
                <w:color w:val="000000"/>
                <w:kern w:val="22"/>
                <w:sz w:val="20"/>
                <w:szCs w:val="20"/>
                <w:lang w:val="fr-CA" w:eastAsia="zh-CN"/>
              </w:rPr>
            </w:pPr>
            <w:r w:rsidRPr="00AE70B8">
              <w:rPr>
                <w:color w:val="000000" w:themeColor="text1"/>
                <w:kern w:val="22"/>
                <w:sz w:val="20"/>
                <w:szCs w:val="20"/>
                <w:lang w:val="fr-CA" w:eastAsia="zh-CN"/>
              </w:rPr>
              <w:t>726,6</w:t>
            </w:r>
          </w:p>
        </w:tc>
        <w:tc>
          <w:tcPr>
            <w:tcW w:w="1720" w:type="dxa"/>
            <w:tcBorders>
              <w:top w:val="nil"/>
              <w:left w:val="nil"/>
              <w:bottom w:val="single" w:sz="4" w:space="0" w:color="auto"/>
              <w:right w:val="single" w:sz="4" w:space="0" w:color="auto"/>
            </w:tcBorders>
            <w:shd w:val="clear" w:color="auto" w:fill="auto"/>
            <w:vAlign w:val="center"/>
            <w:hideMark/>
          </w:tcPr>
          <w:p w14:paraId="02C62CC0" w14:textId="2B912A96" w:rsidR="00492A98" w:rsidRPr="00AE70B8" w:rsidRDefault="00492A98" w:rsidP="00492A98">
            <w:pPr>
              <w:jc w:val="right"/>
              <w:rPr>
                <w:color w:val="000000"/>
                <w:kern w:val="22"/>
                <w:sz w:val="20"/>
                <w:szCs w:val="20"/>
                <w:lang w:val="fr-CA" w:eastAsia="zh-CN"/>
              </w:rPr>
            </w:pPr>
          </w:p>
        </w:tc>
      </w:tr>
      <w:tr w:rsidR="00AF70CA" w:rsidRPr="00AE70B8" w14:paraId="6C16D9E6" w14:textId="77777777" w:rsidTr="00190EF6">
        <w:trPr>
          <w:jc w:val="center"/>
        </w:trPr>
        <w:tc>
          <w:tcPr>
            <w:tcW w:w="4045" w:type="dxa"/>
            <w:tcBorders>
              <w:top w:val="nil"/>
              <w:left w:val="single" w:sz="4" w:space="0" w:color="auto"/>
              <w:bottom w:val="single" w:sz="4" w:space="0" w:color="auto"/>
              <w:right w:val="single" w:sz="4" w:space="0" w:color="auto"/>
            </w:tcBorders>
            <w:shd w:val="clear" w:color="auto" w:fill="auto"/>
            <w:vAlign w:val="center"/>
            <w:hideMark/>
          </w:tcPr>
          <w:p w14:paraId="720E59C9" w14:textId="3FDA9876" w:rsidR="00AF70CA" w:rsidRPr="00AE70B8" w:rsidRDefault="00492A98" w:rsidP="00AF70CA">
            <w:pPr>
              <w:jc w:val="left"/>
              <w:rPr>
                <w:b/>
                <w:bCs/>
                <w:color w:val="000000"/>
                <w:kern w:val="22"/>
                <w:sz w:val="20"/>
                <w:szCs w:val="20"/>
                <w:lang w:val="fr-CA" w:eastAsia="zh-CN"/>
              </w:rPr>
            </w:pPr>
            <w:r w:rsidRPr="00AE70B8">
              <w:rPr>
                <w:b/>
                <w:bCs/>
                <w:color w:val="000000" w:themeColor="text1"/>
                <w:kern w:val="22"/>
                <w:sz w:val="20"/>
                <w:szCs w:val="20"/>
                <w:lang w:val="fr-CA" w:eastAsia="zh-CN"/>
              </w:rPr>
              <w:t>Total partiel</w:t>
            </w:r>
            <w:r w:rsidR="00AF70CA" w:rsidRPr="00AE70B8">
              <w:rPr>
                <w:b/>
                <w:bCs/>
                <w:color w:val="000000" w:themeColor="text1"/>
                <w:kern w:val="22"/>
                <w:sz w:val="20"/>
                <w:szCs w:val="20"/>
                <w:lang w:val="fr-CA" w:eastAsia="zh-CN"/>
              </w:rPr>
              <w:t xml:space="preserve"> (I)</w:t>
            </w:r>
          </w:p>
        </w:tc>
        <w:tc>
          <w:tcPr>
            <w:tcW w:w="1455" w:type="dxa"/>
            <w:tcBorders>
              <w:top w:val="nil"/>
              <w:left w:val="nil"/>
              <w:bottom w:val="single" w:sz="4" w:space="0" w:color="auto"/>
              <w:right w:val="single" w:sz="4" w:space="0" w:color="auto"/>
            </w:tcBorders>
            <w:shd w:val="clear" w:color="auto" w:fill="auto"/>
            <w:vAlign w:val="center"/>
            <w:hideMark/>
          </w:tcPr>
          <w:p w14:paraId="2B9759FD" w14:textId="11737D4D" w:rsidR="00AF70CA" w:rsidRPr="00AE70B8" w:rsidRDefault="00AF70CA" w:rsidP="00AF70CA">
            <w:pPr>
              <w:jc w:val="right"/>
              <w:rPr>
                <w:b/>
                <w:bCs/>
                <w:color w:val="000000"/>
                <w:kern w:val="22"/>
                <w:sz w:val="20"/>
                <w:szCs w:val="20"/>
                <w:lang w:val="fr-CA" w:eastAsia="zh-CN"/>
              </w:rPr>
            </w:pPr>
            <w:r w:rsidRPr="00AE70B8">
              <w:rPr>
                <w:b/>
                <w:bCs/>
                <w:color w:val="000000" w:themeColor="text1"/>
                <w:kern w:val="22"/>
                <w:sz w:val="20"/>
                <w:szCs w:val="20"/>
                <w:lang w:val="fr-CA" w:eastAsia="zh-CN"/>
              </w:rPr>
              <w:t>15</w:t>
            </w:r>
            <w:r w:rsidR="00492A98" w:rsidRPr="00AE70B8">
              <w:rPr>
                <w:b/>
                <w:bCs/>
                <w:color w:val="000000" w:themeColor="text1"/>
                <w:kern w:val="22"/>
                <w:sz w:val="20"/>
                <w:szCs w:val="20"/>
                <w:lang w:val="fr-CA" w:eastAsia="zh-CN"/>
              </w:rPr>
              <w:t> </w:t>
            </w:r>
            <w:r w:rsidRPr="00AE70B8">
              <w:rPr>
                <w:b/>
                <w:bCs/>
                <w:color w:val="000000" w:themeColor="text1"/>
                <w:kern w:val="22"/>
                <w:sz w:val="20"/>
                <w:szCs w:val="20"/>
                <w:lang w:val="fr-CA" w:eastAsia="zh-CN"/>
              </w:rPr>
              <w:t>188</w:t>
            </w:r>
            <w:r w:rsidR="00492A98" w:rsidRPr="00AE70B8">
              <w:rPr>
                <w:b/>
                <w:bCs/>
                <w:color w:val="000000" w:themeColor="text1"/>
                <w:kern w:val="22"/>
                <w:sz w:val="20"/>
                <w:szCs w:val="20"/>
                <w:lang w:val="fr-CA" w:eastAsia="zh-CN"/>
              </w:rPr>
              <w:t>,</w:t>
            </w:r>
            <w:r w:rsidRPr="00AE70B8">
              <w:rPr>
                <w:b/>
                <w:bCs/>
                <w:color w:val="000000" w:themeColor="text1"/>
                <w:kern w:val="22"/>
                <w:sz w:val="20"/>
                <w:szCs w:val="20"/>
                <w:lang w:val="fr-CA" w:eastAsia="zh-CN"/>
              </w:rPr>
              <w:t>4</w:t>
            </w:r>
          </w:p>
        </w:tc>
        <w:tc>
          <w:tcPr>
            <w:tcW w:w="1720" w:type="dxa"/>
            <w:tcBorders>
              <w:top w:val="nil"/>
              <w:left w:val="nil"/>
              <w:bottom w:val="single" w:sz="4" w:space="0" w:color="auto"/>
              <w:right w:val="single" w:sz="4" w:space="0" w:color="auto"/>
            </w:tcBorders>
            <w:shd w:val="clear" w:color="auto" w:fill="auto"/>
            <w:vAlign w:val="center"/>
            <w:hideMark/>
          </w:tcPr>
          <w:p w14:paraId="686411B4" w14:textId="4505203F" w:rsidR="00AF70CA" w:rsidRPr="00AE70B8" w:rsidRDefault="00AF70CA" w:rsidP="00AF70CA">
            <w:pPr>
              <w:jc w:val="right"/>
              <w:rPr>
                <w:b/>
                <w:bCs/>
                <w:color w:val="000000"/>
                <w:kern w:val="22"/>
                <w:sz w:val="20"/>
                <w:szCs w:val="20"/>
                <w:lang w:val="fr-CA" w:eastAsia="zh-CN"/>
              </w:rPr>
            </w:pPr>
            <w:r w:rsidRPr="00AE70B8">
              <w:rPr>
                <w:b/>
                <w:bCs/>
                <w:color w:val="000000" w:themeColor="text1"/>
                <w:kern w:val="22"/>
                <w:sz w:val="20"/>
                <w:szCs w:val="20"/>
                <w:lang w:val="fr-CA" w:eastAsia="zh-CN"/>
              </w:rPr>
              <w:t>13</w:t>
            </w:r>
            <w:r w:rsidR="00492A98" w:rsidRPr="00AE70B8">
              <w:rPr>
                <w:b/>
                <w:bCs/>
                <w:color w:val="000000" w:themeColor="text1"/>
                <w:kern w:val="22"/>
                <w:sz w:val="20"/>
                <w:szCs w:val="20"/>
                <w:lang w:val="fr-CA" w:eastAsia="zh-CN"/>
              </w:rPr>
              <w:t> </w:t>
            </w:r>
            <w:r w:rsidRPr="00AE70B8">
              <w:rPr>
                <w:b/>
                <w:bCs/>
                <w:color w:val="000000" w:themeColor="text1"/>
                <w:kern w:val="22"/>
                <w:sz w:val="20"/>
                <w:szCs w:val="20"/>
                <w:lang w:val="fr-CA" w:eastAsia="zh-CN"/>
              </w:rPr>
              <w:t>309</w:t>
            </w:r>
            <w:r w:rsidR="00492A98" w:rsidRPr="00AE70B8">
              <w:rPr>
                <w:b/>
                <w:bCs/>
                <w:color w:val="000000" w:themeColor="text1"/>
                <w:kern w:val="22"/>
                <w:sz w:val="20"/>
                <w:szCs w:val="20"/>
                <w:lang w:val="fr-CA" w:eastAsia="zh-CN"/>
              </w:rPr>
              <w:t>,</w:t>
            </w:r>
            <w:r w:rsidRPr="00AE70B8">
              <w:rPr>
                <w:b/>
                <w:bCs/>
                <w:color w:val="000000" w:themeColor="text1"/>
                <w:kern w:val="22"/>
                <w:sz w:val="20"/>
                <w:szCs w:val="20"/>
                <w:lang w:val="fr-CA" w:eastAsia="zh-CN"/>
              </w:rPr>
              <w:t>2</w:t>
            </w:r>
          </w:p>
        </w:tc>
        <w:tc>
          <w:tcPr>
            <w:tcW w:w="1720" w:type="dxa"/>
            <w:tcBorders>
              <w:top w:val="nil"/>
              <w:left w:val="nil"/>
              <w:bottom w:val="single" w:sz="4" w:space="0" w:color="auto"/>
              <w:right w:val="single" w:sz="4" w:space="0" w:color="auto"/>
            </w:tcBorders>
            <w:shd w:val="clear" w:color="auto" w:fill="auto"/>
            <w:vAlign w:val="center"/>
            <w:hideMark/>
          </w:tcPr>
          <w:p w14:paraId="62081B94" w14:textId="019AC40F" w:rsidR="00AF70CA" w:rsidRPr="00AE70B8" w:rsidRDefault="00AF70CA" w:rsidP="00AF70CA">
            <w:pPr>
              <w:jc w:val="right"/>
              <w:rPr>
                <w:b/>
                <w:bCs/>
                <w:color w:val="000000"/>
                <w:kern w:val="22"/>
                <w:sz w:val="20"/>
                <w:szCs w:val="20"/>
                <w:lang w:val="fr-CA" w:eastAsia="zh-CN"/>
              </w:rPr>
            </w:pPr>
            <w:r w:rsidRPr="00AE70B8">
              <w:rPr>
                <w:b/>
                <w:bCs/>
                <w:color w:val="000000" w:themeColor="text1"/>
                <w:kern w:val="22"/>
                <w:sz w:val="20"/>
                <w:szCs w:val="20"/>
                <w:lang w:val="fr-CA" w:eastAsia="zh-CN"/>
              </w:rPr>
              <w:t>1</w:t>
            </w:r>
            <w:r w:rsidR="006E7734" w:rsidRPr="00AE70B8">
              <w:rPr>
                <w:b/>
                <w:bCs/>
                <w:color w:val="000000" w:themeColor="text1"/>
                <w:kern w:val="22"/>
                <w:sz w:val="20"/>
                <w:szCs w:val="20"/>
                <w:lang w:val="fr-CA" w:eastAsia="zh-CN"/>
              </w:rPr>
              <w:t> </w:t>
            </w:r>
            <w:r w:rsidRPr="00AE70B8">
              <w:rPr>
                <w:b/>
                <w:bCs/>
                <w:color w:val="000000" w:themeColor="text1"/>
                <w:kern w:val="22"/>
                <w:sz w:val="20"/>
                <w:szCs w:val="20"/>
                <w:lang w:val="fr-CA" w:eastAsia="zh-CN"/>
              </w:rPr>
              <w:t>879</w:t>
            </w:r>
            <w:r w:rsidR="006E7734" w:rsidRPr="00AE70B8">
              <w:rPr>
                <w:b/>
                <w:bCs/>
                <w:color w:val="000000" w:themeColor="text1"/>
                <w:kern w:val="22"/>
                <w:sz w:val="20"/>
                <w:szCs w:val="20"/>
                <w:lang w:val="fr-CA" w:eastAsia="zh-CN"/>
              </w:rPr>
              <w:t>,</w:t>
            </w:r>
            <w:r w:rsidRPr="00AE70B8">
              <w:rPr>
                <w:b/>
                <w:bCs/>
                <w:color w:val="000000" w:themeColor="text1"/>
                <w:kern w:val="22"/>
                <w:sz w:val="20"/>
                <w:szCs w:val="20"/>
                <w:lang w:val="fr-CA" w:eastAsia="zh-CN"/>
              </w:rPr>
              <w:t>2</w:t>
            </w:r>
          </w:p>
        </w:tc>
      </w:tr>
      <w:tr w:rsidR="00AF70CA" w:rsidRPr="00AE70B8" w14:paraId="64A096CA" w14:textId="77777777" w:rsidTr="00190EF6">
        <w:trPr>
          <w:jc w:val="center"/>
        </w:trPr>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2444A" w14:textId="5BD861E9" w:rsidR="00AF70CA" w:rsidRPr="00AE70B8" w:rsidRDefault="00AF70CA" w:rsidP="00492A98">
            <w:pPr>
              <w:jc w:val="left"/>
              <w:rPr>
                <w:b/>
                <w:bCs/>
                <w:color w:val="000000"/>
                <w:kern w:val="22"/>
                <w:sz w:val="20"/>
                <w:szCs w:val="20"/>
                <w:lang w:val="fr-CA" w:eastAsia="zh-CN"/>
              </w:rPr>
            </w:pPr>
            <w:r w:rsidRPr="00AE70B8">
              <w:rPr>
                <w:b/>
                <w:bCs/>
                <w:color w:val="000000" w:themeColor="text1"/>
                <w:kern w:val="22"/>
                <w:sz w:val="20"/>
                <w:szCs w:val="20"/>
                <w:lang w:val="fr-CA" w:eastAsia="zh-CN"/>
              </w:rPr>
              <w:lastRenderedPageBreak/>
              <w:t xml:space="preserve">II. </w:t>
            </w:r>
            <w:r w:rsidR="00492A98" w:rsidRPr="00AE70B8">
              <w:rPr>
                <w:b/>
                <w:bCs/>
                <w:color w:val="000000" w:themeColor="text1"/>
                <w:kern w:val="22"/>
                <w:sz w:val="20"/>
                <w:szCs w:val="20"/>
                <w:lang w:val="fr-CA" w:eastAsia="zh-CN"/>
              </w:rPr>
              <w:t>Coûts d’appui au programme</w:t>
            </w:r>
            <w:r w:rsidRPr="00AE70B8">
              <w:rPr>
                <w:b/>
                <w:bCs/>
                <w:color w:val="000000" w:themeColor="text1"/>
                <w:kern w:val="22"/>
                <w:sz w:val="20"/>
                <w:szCs w:val="20"/>
                <w:lang w:val="fr-CA" w:eastAsia="zh-CN"/>
              </w:rPr>
              <w:t xml:space="preserve"> (13</w:t>
            </w:r>
            <w:r w:rsidR="00492A98" w:rsidRPr="00AE70B8">
              <w:rPr>
                <w:b/>
                <w:bCs/>
                <w:color w:val="000000" w:themeColor="text1"/>
                <w:kern w:val="22"/>
                <w:sz w:val="20"/>
                <w:szCs w:val="20"/>
                <w:lang w:val="fr-CA" w:eastAsia="zh-CN"/>
              </w:rPr>
              <w:t xml:space="preserve"> </w:t>
            </w:r>
            <w:r w:rsidRPr="00AE70B8">
              <w:rPr>
                <w:b/>
                <w:bCs/>
                <w:color w:val="000000" w:themeColor="text1"/>
                <w:kern w:val="22"/>
                <w:sz w:val="20"/>
                <w:szCs w:val="20"/>
                <w:lang w:val="fr-CA" w:eastAsia="zh-CN"/>
              </w:rPr>
              <w:t>%)</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2AEEA" w14:textId="77347036" w:rsidR="00AF70CA" w:rsidRPr="00AE70B8" w:rsidRDefault="00AF70CA" w:rsidP="00AF70CA">
            <w:pPr>
              <w:jc w:val="right"/>
              <w:rPr>
                <w:color w:val="000000"/>
                <w:kern w:val="22"/>
                <w:sz w:val="20"/>
                <w:szCs w:val="20"/>
                <w:lang w:val="fr-CA" w:eastAsia="zh-CN"/>
              </w:rPr>
            </w:pPr>
            <w:r w:rsidRPr="00AE70B8">
              <w:rPr>
                <w:color w:val="000000"/>
                <w:kern w:val="22"/>
                <w:sz w:val="20"/>
                <w:szCs w:val="20"/>
                <w:lang w:val="fr-CA" w:eastAsia="zh-CN"/>
              </w:rPr>
              <w:t>1</w:t>
            </w:r>
            <w:r w:rsidR="00492A98" w:rsidRPr="00AE70B8">
              <w:rPr>
                <w:color w:val="000000"/>
                <w:kern w:val="22"/>
                <w:sz w:val="20"/>
                <w:szCs w:val="20"/>
                <w:lang w:val="fr-CA" w:eastAsia="zh-CN"/>
              </w:rPr>
              <w:t> </w:t>
            </w:r>
            <w:r w:rsidRPr="00AE70B8">
              <w:rPr>
                <w:color w:val="000000"/>
                <w:kern w:val="22"/>
                <w:sz w:val="20"/>
                <w:szCs w:val="20"/>
                <w:lang w:val="fr-CA" w:eastAsia="zh-CN"/>
              </w:rPr>
              <w:t>974</w:t>
            </w:r>
            <w:r w:rsidR="00492A98" w:rsidRPr="00AE70B8">
              <w:rPr>
                <w:color w:val="000000"/>
                <w:kern w:val="22"/>
                <w:sz w:val="20"/>
                <w:szCs w:val="20"/>
                <w:lang w:val="fr-CA" w:eastAsia="zh-CN"/>
              </w:rPr>
              <w:t>,</w:t>
            </w:r>
            <w:r w:rsidRPr="00AE70B8">
              <w:rPr>
                <w:color w:val="000000"/>
                <w:kern w:val="22"/>
                <w:sz w:val="20"/>
                <w:szCs w:val="20"/>
                <w:lang w:val="fr-CA" w:eastAsia="zh-CN"/>
              </w:rPr>
              <w:t>5</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D0D4B" w14:textId="764DD7D4" w:rsidR="00AF70CA" w:rsidRPr="00AE70B8" w:rsidRDefault="00AF70CA" w:rsidP="00AF70CA">
            <w:pPr>
              <w:jc w:val="right"/>
              <w:rPr>
                <w:color w:val="000000"/>
                <w:kern w:val="22"/>
                <w:sz w:val="20"/>
                <w:szCs w:val="20"/>
                <w:lang w:val="fr-CA" w:eastAsia="zh-CN"/>
              </w:rPr>
            </w:pPr>
            <w:r w:rsidRPr="00AE70B8">
              <w:rPr>
                <w:color w:val="000000"/>
                <w:kern w:val="22"/>
                <w:sz w:val="20"/>
                <w:szCs w:val="20"/>
                <w:lang w:val="fr-CA" w:eastAsia="zh-CN"/>
              </w:rPr>
              <w:t>1</w:t>
            </w:r>
            <w:r w:rsidR="00492A98" w:rsidRPr="00AE70B8">
              <w:rPr>
                <w:color w:val="000000"/>
                <w:kern w:val="22"/>
                <w:sz w:val="20"/>
                <w:szCs w:val="20"/>
                <w:lang w:val="fr-CA" w:eastAsia="zh-CN"/>
              </w:rPr>
              <w:t> </w:t>
            </w:r>
            <w:r w:rsidRPr="00AE70B8">
              <w:rPr>
                <w:color w:val="000000"/>
                <w:kern w:val="22"/>
                <w:sz w:val="20"/>
                <w:szCs w:val="20"/>
                <w:lang w:val="fr-CA" w:eastAsia="zh-CN"/>
              </w:rPr>
              <w:t>730</w:t>
            </w:r>
            <w:r w:rsidR="00492A98" w:rsidRPr="00AE70B8">
              <w:rPr>
                <w:color w:val="000000"/>
                <w:kern w:val="22"/>
                <w:sz w:val="20"/>
                <w:szCs w:val="20"/>
                <w:lang w:val="fr-CA" w:eastAsia="zh-CN"/>
              </w:rPr>
              <w:t>,</w:t>
            </w:r>
            <w:r w:rsidRPr="00AE70B8">
              <w:rPr>
                <w:color w:val="000000"/>
                <w:kern w:val="22"/>
                <w:sz w:val="20"/>
                <w:szCs w:val="20"/>
                <w:lang w:val="fr-CA" w:eastAsia="zh-CN"/>
              </w:rPr>
              <w:t>2</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3B842" w14:textId="6AB92D23" w:rsidR="00AF70CA" w:rsidRPr="00AE70B8" w:rsidRDefault="00AF70CA" w:rsidP="00AF70CA">
            <w:pPr>
              <w:jc w:val="right"/>
              <w:rPr>
                <w:color w:val="000000"/>
                <w:kern w:val="22"/>
                <w:sz w:val="20"/>
                <w:szCs w:val="20"/>
                <w:lang w:val="fr-CA" w:eastAsia="zh-CN"/>
              </w:rPr>
            </w:pPr>
            <w:r w:rsidRPr="00AE70B8">
              <w:rPr>
                <w:color w:val="000000"/>
                <w:kern w:val="22"/>
                <w:sz w:val="20"/>
                <w:szCs w:val="20"/>
                <w:lang w:val="fr-CA" w:eastAsia="zh-CN"/>
              </w:rPr>
              <w:t>244</w:t>
            </w:r>
            <w:r w:rsidR="006E7734" w:rsidRPr="00AE70B8">
              <w:rPr>
                <w:color w:val="000000"/>
                <w:kern w:val="22"/>
                <w:sz w:val="20"/>
                <w:szCs w:val="20"/>
                <w:lang w:val="fr-CA" w:eastAsia="zh-CN"/>
              </w:rPr>
              <w:t>,</w:t>
            </w:r>
            <w:r w:rsidRPr="00AE70B8">
              <w:rPr>
                <w:color w:val="000000"/>
                <w:kern w:val="22"/>
                <w:sz w:val="20"/>
                <w:szCs w:val="20"/>
                <w:lang w:val="fr-CA" w:eastAsia="zh-CN"/>
              </w:rPr>
              <w:t>3</w:t>
            </w:r>
          </w:p>
        </w:tc>
      </w:tr>
      <w:tr w:rsidR="00AF70CA" w:rsidRPr="00AE70B8" w14:paraId="6AB2AA9F" w14:textId="77777777" w:rsidTr="00190EF6">
        <w:trPr>
          <w:jc w:val="center"/>
        </w:trPr>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5AE60" w14:textId="348901FF" w:rsidR="00AF70CA" w:rsidRPr="00AE70B8" w:rsidRDefault="00492A98" w:rsidP="00AF70CA">
            <w:pPr>
              <w:jc w:val="left"/>
              <w:rPr>
                <w:b/>
                <w:bCs/>
                <w:color w:val="000000"/>
                <w:kern w:val="22"/>
                <w:sz w:val="20"/>
                <w:szCs w:val="20"/>
                <w:lang w:val="fr-CA" w:eastAsia="zh-CN"/>
              </w:rPr>
            </w:pPr>
            <w:r w:rsidRPr="00AE70B8">
              <w:rPr>
                <w:b/>
                <w:bCs/>
                <w:color w:val="000000" w:themeColor="text1"/>
                <w:kern w:val="22"/>
                <w:sz w:val="20"/>
                <w:szCs w:val="20"/>
                <w:lang w:val="fr-CA" w:eastAsia="zh-CN"/>
              </w:rPr>
              <w:t>Total partiel</w:t>
            </w:r>
            <w:r w:rsidR="00AF70CA" w:rsidRPr="00AE70B8">
              <w:rPr>
                <w:b/>
                <w:bCs/>
                <w:color w:val="000000" w:themeColor="text1"/>
                <w:kern w:val="22"/>
                <w:sz w:val="20"/>
                <w:szCs w:val="20"/>
                <w:lang w:val="fr-CA" w:eastAsia="zh-CN"/>
              </w:rPr>
              <w:t xml:space="preserve"> (I + II)</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FA7C3" w14:textId="66CC403D" w:rsidR="00AF70CA" w:rsidRPr="00AE70B8" w:rsidRDefault="00AF70CA" w:rsidP="00AF70CA">
            <w:pPr>
              <w:jc w:val="right"/>
              <w:rPr>
                <w:b/>
                <w:bCs/>
                <w:color w:val="000000"/>
                <w:kern w:val="22"/>
                <w:sz w:val="20"/>
                <w:szCs w:val="20"/>
                <w:lang w:val="fr-CA" w:eastAsia="zh-CN"/>
              </w:rPr>
            </w:pPr>
            <w:r w:rsidRPr="00AE70B8">
              <w:rPr>
                <w:b/>
                <w:bCs/>
                <w:color w:val="000000"/>
                <w:kern w:val="22"/>
                <w:sz w:val="20"/>
                <w:szCs w:val="20"/>
                <w:lang w:val="fr-CA" w:eastAsia="zh-CN"/>
              </w:rPr>
              <w:t>17</w:t>
            </w:r>
            <w:r w:rsidR="00492A98" w:rsidRPr="00AE70B8">
              <w:rPr>
                <w:b/>
                <w:bCs/>
                <w:color w:val="000000"/>
                <w:kern w:val="22"/>
                <w:sz w:val="20"/>
                <w:szCs w:val="20"/>
                <w:lang w:val="fr-CA" w:eastAsia="zh-CN"/>
              </w:rPr>
              <w:t> </w:t>
            </w:r>
            <w:r w:rsidRPr="00AE70B8">
              <w:rPr>
                <w:b/>
                <w:bCs/>
                <w:color w:val="000000"/>
                <w:kern w:val="22"/>
                <w:sz w:val="20"/>
                <w:szCs w:val="20"/>
                <w:lang w:val="fr-CA" w:eastAsia="zh-CN"/>
              </w:rPr>
              <w:t>162</w:t>
            </w:r>
            <w:r w:rsidR="00492A98" w:rsidRPr="00AE70B8">
              <w:rPr>
                <w:b/>
                <w:bCs/>
                <w:color w:val="000000"/>
                <w:kern w:val="22"/>
                <w:sz w:val="20"/>
                <w:szCs w:val="20"/>
                <w:lang w:val="fr-CA" w:eastAsia="zh-CN"/>
              </w:rPr>
              <w:t>,</w:t>
            </w:r>
            <w:r w:rsidRPr="00AE70B8">
              <w:rPr>
                <w:b/>
                <w:bCs/>
                <w:color w:val="000000"/>
                <w:kern w:val="22"/>
                <w:sz w:val="20"/>
                <w:szCs w:val="20"/>
                <w:lang w:val="fr-CA" w:eastAsia="zh-CN"/>
              </w:rPr>
              <w:t>9</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3CCAB" w14:textId="2D6B85C6" w:rsidR="00AF70CA" w:rsidRPr="00AE70B8" w:rsidRDefault="00AF70CA" w:rsidP="00AF70CA">
            <w:pPr>
              <w:jc w:val="right"/>
              <w:rPr>
                <w:b/>
                <w:bCs/>
                <w:color w:val="000000"/>
                <w:kern w:val="22"/>
                <w:sz w:val="20"/>
                <w:szCs w:val="20"/>
                <w:lang w:val="fr-CA" w:eastAsia="zh-CN"/>
              </w:rPr>
            </w:pPr>
            <w:r w:rsidRPr="00AE70B8">
              <w:rPr>
                <w:b/>
                <w:bCs/>
                <w:color w:val="000000"/>
                <w:kern w:val="22"/>
                <w:sz w:val="20"/>
                <w:szCs w:val="20"/>
                <w:lang w:val="fr-CA" w:eastAsia="zh-CN"/>
              </w:rPr>
              <w:t>15</w:t>
            </w:r>
            <w:r w:rsidR="00492A98" w:rsidRPr="00AE70B8">
              <w:rPr>
                <w:b/>
                <w:bCs/>
                <w:color w:val="000000"/>
                <w:kern w:val="22"/>
                <w:sz w:val="20"/>
                <w:szCs w:val="20"/>
                <w:lang w:val="fr-CA" w:eastAsia="zh-CN"/>
              </w:rPr>
              <w:t> </w:t>
            </w:r>
            <w:r w:rsidRPr="00AE70B8">
              <w:rPr>
                <w:b/>
                <w:bCs/>
                <w:color w:val="000000"/>
                <w:kern w:val="22"/>
                <w:sz w:val="20"/>
                <w:szCs w:val="20"/>
                <w:lang w:val="fr-CA" w:eastAsia="zh-CN"/>
              </w:rPr>
              <w:t>039</w:t>
            </w:r>
            <w:r w:rsidR="00492A98" w:rsidRPr="00AE70B8">
              <w:rPr>
                <w:b/>
                <w:bCs/>
                <w:color w:val="000000"/>
                <w:kern w:val="22"/>
                <w:sz w:val="20"/>
                <w:szCs w:val="20"/>
                <w:lang w:val="fr-CA" w:eastAsia="zh-CN"/>
              </w:rPr>
              <w:t>,</w:t>
            </w:r>
            <w:r w:rsidRPr="00AE70B8">
              <w:rPr>
                <w:b/>
                <w:bCs/>
                <w:color w:val="000000"/>
                <w:kern w:val="22"/>
                <w:sz w:val="20"/>
                <w:szCs w:val="20"/>
                <w:lang w:val="fr-CA" w:eastAsia="zh-CN"/>
              </w:rPr>
              <w:t>4</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F7404" w14:textId="6B12A938" w:rsidR="00AF70CA" w:rsidRPr="00AE70B8" w:rsidRDefault="00AF70CA" w:rsidP="00AF70CA">
            <w:pPr>
              <w:jc w:val="right"/>
              <w:rPr>
                <w:b/>
                <w:bCs/>
                <w:color w:val="000000"/>
                <w:kern w:val="22"/>
                <w:sz w:val="20"/>
                <w:szCs w:val="20"/>
                <w:lang w:val="fr-CA" w:eastAsia="zh-CN"/>
              </w:rPr>
            </w:pPr>
            <w:r w:rsidRPr="00AE70B8">
              <w:rPr>
                <w:b/>
                <w:bCs/>
                <w:color w:val="000000"/>
                <w:kern w:val="22"/>
                <w:sz w:val="20"/>
                <w:szCs w:val="20"/>
                <w:lang w:val="fr-CA" w:eastAsia="zh-CN"/>
              </w:rPr>
              <w:t>2</w:t>
            </w:r>
            <w:r w:rsidR="006E7734" w:rsidRPr="00AE70B8">
              <w:rPr>
                <w:b/>
                <w:bCs/>
                <w:color w:val="000000"/>
                <w:kern w:val="22"/>
                <w:sz w:val="20"/>
                <w:szCs w:val="20"/>
                <w:lang w:val="fr-CA" w:eastAsia="zh-CN"/>
              </w:rPr>
              <w:t> </w:t>
            </w:r>
            <w:r w:rsidRPr="00AE70B8">
              <w:rPr>
                <w:b/>
                <w:bCs/>
                <w:color w:val="000000"/>
                <w:kern w:val="22"/>
                <w:sz w:val="20"/>
                <w:szCs w:val="20"/>
                <w:lang w:val="fr-CA" w:eastAsia="zh-CN"/>
              </w:rPr>
              <w:t>123</w:t>
            </w:r>
            <w:r w:rsidR="006E7734" w:rsidRPr="00AE70B8">
              <w:rPr>
                <w:b/>
                <w:bCs/>
                <w:color w:val="000000"/>
                <w:kern w:val="22"/>
                <w:sz w:val="20"/>
                <w:szCs w:val="20"/>
                <w:lang w:val="fr-CA" w:eastAsia="zh-CN"/>
              </w:rPr>
              <w:t>,</w:t>
            </w:r>
            <w:r w:rsidRPr="00AE70B8">
              <w:rPr>
                <w:b/>
                <w:bCs/>
                <w:color w:val="000000"/>
                <w:kern w:val="22"/>
                <w:sz w:val="20"/>
                <w:szCs w:val="20"/>
                <w:lang w:val="fr-CA" w:eastAsia="zh-CN"/>
              </w:rPr>
              <w:t>5</w:t>
            </w:r>
          </w:p>
        </w:tc>
      </w:tr>
      <w:tr w:rsidR="00AF70CA" w:rsidRPr="00AE70B8" w14:paraId="297A3E8B" w14:textId="77777777" w:rsidTr="00190EF6">
        <w:trPr>
          <w:jc w:val="center"/>
        </w:trPr>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888A0" w14:textId="78447EBF" w:rsidR="00AF70CA" w:rsidRPr="00AE70B8" w:rsidRDefault="00AF70CA" w:rsidP="00492A98">
            <w:pPr>
              <w:jc w:val="left"/>
              <w:rPr>
                <w:b/>
                <w:bCs/>
                <w:color w:val="000000"/>
                <w:kern w:val="22"/>
                <w:sz w:val="20"/>
                <w:szCs w:val="20"/>
                <w:lang w:val="fr-CA" w:eastAsia="zh-CN"/>
              </w:rPr>
            </w:pPr>
            <w:r w:rsidRPr="00AE70B8">
              <w:rPr>
                <w:b/>
                <w:bCs/>
                <w:color w:val="000000" w:themeColor="text1"/>
                <w:kern w:val="22"/>
                <w:sz w:val="20"/>
                <w:szCs w:val="20"/>
                <w:lang w:val="fr-CA" w:eastAsia="zh-CN"/>
              </w:rPr>
              <w:t xml:space="preserve">III. </w:t>
            </w:r>
            <w:r w:rsidR="00492A98" w:rsidRPr="00AE70B8">
              <w:rPr>
                <w:b/>
                <w:bCs/>
                <w:color w:val="000000" w:themeColor="text1"/>
                <w:kern w:val="22"/>
                <w:sz w:val="20"/>
                <w:szCs w:val="20"/>
                <w:lang w:val="fr-CA" w:eastAsia="zh-CN"/>
              </w:rPr>
              <w:t>Réserve de trésorerie</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14:paraId="70AE4D6B" w14:textId="68BC85CA" w:rsidR="00AF70CA" w:rsidRPr="00AE70B8" w:rsidRDefault="00AF70CA" w:rsidP="00AF70CA">
            <w:pPr>
              <w:jc w:val="right"/>
              <w:rPr>
                <w:color w:val="000000"/>
                <w:kern w:val="22"/>
                <w:sz w:val="20"/>
                <w:szCs w:val="20"/>
                <w:lang w:val="fr-CA" w:eastAsia="zh-CN"/>
              </w:rPr>
            </w:pP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69DD0644" w14:textId="2365802F" w:rsidR="00AF70CA" w:rsidRPr="00AE70B8" w:rsidRDefault="00AF70CA" w:rsidP="00AF70CA">
            <w:pPr>
              <w:jc w:val="right"/>
              <w:rPr>
                <w:color w:val="000000"/>
                <w:kern w:val="22"/>
                <w:sz w:val="20"/>
                <w:szCs w:val="20"/>
                <w:lang w:val="fr-CA" w:eastAsia="zh-CN"/>
              </w:rPr>
            </w:pPr>
          </w:p>
        </w:tc>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5F465D68" w14:textId="07F350D6" w:rsidR="00AF70CA" w:rsidRPr="00AE70B8" w:rsidRDefault="00AF70CA" w:rsidP="00AF70CA">
            <w:pPr>
              <w:jc w:val="right"/>
              <w:rPr>
                <w:color w:val="000000"/>
                <w:kern w:val="22"/>
                <w:sz w:val="20"/>
                <w:szCs w:val="20"/>
                <w:lang w:val="fr-CA" w:eastAsia="zh-CN"/>
              </w:rPr>
            </w:pPr>
          </w:p>
        </w:tc>
      </w:tr>
      <w:tr w:rsidR="00AF70CA" w:rsidRPr="00AE70B8" w14:paraId="37B7C9D0" w14:textId="77777777" w:rsidTr="00190EF6">
        <w:trPr>
          <w:jc w:val="center"/>
        </w:trPr>
        <w:tc>
          <w:tcPr>
            <w:tcW w:w="4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E1337" w14:textId="538A35F3" w:rsidR="00AF70CA" w:rsidRPr="00AE70B8" w:rsidRDefault="00492A98" w:rsidP="00AF70CA">
            <w:pPr>
              <w:jc w:val="left"/>
              <w:rPr>
                <w:b/>
                <w:bCs/>
                <w:color w:val="000000"/>
                <w:kern w:val="22"/>
                <w:sz w:val="20"/>
                <w:szCs w:val="20"/>
                <w:lang w:val="en-US" w:eastAsia="zh-CN"/>
              </w:rPr>
            </w:pPr>
            <w:r w:rsidRPr="00AE70B8">
              <w:rPr>
                <w:b/>
                <w:bCs/>
                <w:color w:val="000000" w:themeColor="text1"/>
                <w:kern w:val="22"/>
                <w:sz w:val="20"/>
                <w:szCs w:val="20"/>
                <w:lang w:val="en-US" w:eastAsia="zh-CN"/>
              </w:rPr>
              <w:t>Total</w:t>
            </w:r>
            <w:r w:rsidR="00AF70CA" w:rsidRPr="00AE70B8">
              <w:rPr>
                <w:b/>
                <w:bCs/>
                <w:color w:val="000000" w:themeColor="text1"/>
                <w:kern w:val="22"/>
                <w:sz w:val="20"/>
                <w:szCs w:val="20"/>
                <w:lang w:val="en-US" w:eastAsia="zh-CN"/>
              </w:rPr>
              <w:t xml:space="preserve"> (I + II + II)</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41214" w14:textId="08AE4868" w:rsidR="00AF70CA" w:rsidRPr="00AE70B8" w:rsidRDefault="00AF70CA" w:rsidP="00AF70CA">
            <w:pPr>
              <w:jc w:val="right"/>
              <w:rPr>
                <w:b/>
                <w:bCs/>
                <w:color w:val="000000"/>
                <w:kern w:val="22"/>
                <w:sz w:val="20"/>
                <w:szCs w:val="20"/>
                <w:lang w:val="fr-CA" w:eastAsia="zh-CN"/>
              </w:rPr>
            </w:pPr>
            <w:r w:rsidRPr="00AE70B8">
              <w:rPr>
                <w:b/>
                <w:bCs/>
                <w:color w:val="000000"/>
                <w:kern w:val="22"/>
                <w:sz w:val="20"/>
                <w:szCs w:val="20"/>
                <w:lang w:val="fr-CA" w:eastAsia="zh-CN"/>
              </w:rPr>
              <w:t>17</w:t>
            </w:r>
            <w:r w:rsidR="00492A98" w:rsidRPr="00AE70B8">
              <w:rPr>
                <w:b/>
                <w:bCs/>
                <w:color w:val="000000"/>
                <w:kern w:val="22"/>
                <w:sz w:val="20"/>
                <w:szCs w:val="20"/>
                <w:lang w:val="fr-CA" w:eastAsia="zh-CN"/>
              </w:rPr>
              <w:t> </w:t>
            </w:r>
            <w:r w:rsidRPr="00AE70B8">
              <w:rPr>
                <w:b/>
                <w:bCs/>
                <w:color w:val="000000"/>
                <w:kern w:val="22"/>
                <w:sz w:val="20"/>
                <w:szCs w:val="20"/>
                <w:lang w:val="fr-CA" w:eastAsia="zh-CN"/>
              </w:rPr>
              <w:t>162</w:t>
            </w:r>
            <w:r w:rsidR="00492A98" w:rsidRPr="00AE70B8">
              <w:rPr>
                <w:b/>
                <w:bCs/>
                <w:color w:val="000000"/>
                <w:kern w:val="22"/>
                <w:sz w:val="20"/>
                <w:szCs w:val="20"/>
                <w:lang w:val="fr-CA" w:eastAsia="zh-CN"/>
              </w:rPr>
              <w:t>,</w:t>
            </w:r>
            <w:r w:rsidRPr="00AE70B8">
              <w:rPr>
                <w:b/>
                <w:bCs/>
                <w:color w:val="000000"/>
                <w:kern w:val="22"/>
                <w:sz w:val="20"/>
                <w:szCs w:val="20"/>
                <w:lang w:val="fr-CA" w:eastAsia="zh-CN"/>
              </w:rPr>
              <w:t>9</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64EB9" w14:textId="1BAAE677" w:rsidR="00AF70CA" w:rsidRPr="00AE70B8" w:rsidRDefault="00AF70CA" w:rsidP="00AF70CA">
            <w:pPr>
              <w:jc w:val="right"/>
              <w:rPr>
                <w:b/>
                <w:bCs/>
                <w:color w:val="000000"/>
                <w:kern w:val="22"/>
                <w:sz w:val="20"/>
                <w:szCs w:val="20"/>
                <w:lang w:val="fr-CA" w:eastAsia="zh-CN"/>
              </w:rPr>
            </w:pPr>
            <w:r w:rsidRPr="00AE70B8">
              <w:rPr>
                <w:b/>
                <w:bCs/>
                <w:color w:val="000000"/>
                <w:kern w:val="22"/>
                <w:sz w:val="20"/>
                <w:szCs w:val="20"/>
                <w:lang w:val="fr-CA" w:eastAsia="zh-CN"/>
              </w:rPr>
              <w:t>15</w:t>
            </w:r>
            <w:r w:rsidR="00492A98" w:rsidRPr="00AE70B8">
              <w:rPr>
                <w:b/>
                <w:bCs/>
                <w:color w:val="000000"/>
                <w:kern w:val="22"/>
                <w:sz w:val="20"/>
                <w:szCs w:val="20"/>
                <w:lang w:val="fr-CA" w:eastAsia="zh-CN"/>
              </w:rPr>
              <w:t> </w:t>
            </w:r>
            <w:r w:rsidRPr="00AE70B8">
              <w:rPr>
                <w:b/>
                <w:bCs/>
                <w:color w:val="000000"/>
                <w:kern w:val="22"/>
                <w:sz w:val="20"/>
                <w:szCs w:val="20"/>
                <w:lang w:val="fr-CA" w:eastAsia="zh-CN"/>
              </w:rPr>
              <w:t>039</w:t>
            </w:r>
            <w:r w:rsidR="00492A98" w:rsidRPr="00AE70B8">
              <w:rPr>
                <w:b/>
                <w:bCs/>
                <w:color w:val="000000"/>
                <w:kern w:val="22"/>
                <w:sz w:val="20"/>
                <w:szCs w:val="20"/>
                <w:lang w:val="fr-CA" w:eastAsia="zh-CN"/>
              </w:rPr>
              <w:t>,</w:t>
            </w:r>
            <w:r w:rsidRPr="00AE70B8">
              <w:rPr>
                <w:b/>
                <w:bCs/>
                <w:color w:val="000000"/>
                <w:kern w:val="22"/>
                <w:sz w:val="20"/>
                <w:szCs w:val="20"/>
                <w:lang w:val="fr-CA" w:eastAsia="zh-CN"/>
              </w:rPr>
              <w:t>4</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6F7A9" w14:textId="12000F1C" w:rsidR="00AF70CA" w:rsidRPr="00AE70B8" w:rsidRDefault="00AF70CA" w:rsidP="00AF70CA">
            <w:pPr>
              <w:jc w:val="right"/>
              <w:rPr>
                <w:b/>
                <w:bCs/>
                <w:color w:val="000000"/>
                <w:kern w:val="22"/>
                <w:sz w:val="20"/>
                <w:szCs w:val="20"/>
                <w:lang w:val="fr-CA" w:eastAsia="zh-CN"/>
              </w:rPr>
            </w:pPr>
            <w:r w:rsidRPr="00AE70B8">
              <w:rPr>
                <w:b/>
                <w:bCs/>
                <w:color w:val="000000"/>
                <w:kern w:val="22"/>
                <w:sz w:val="20"/>
                <w:szCs w:val="20"/>
                <w:lang w:val="fr-CA" w:eastAsia="zh-CN"/>
              </w:rPr>
              <w:t>2</w:t>
            </w:r>
            <w:r w:rsidR="006E7734" w:rsidRPr="00AE70B8">
              <w:rPr>
                <w:b/>
                <w:bCs/>
                <w:color w:val="000000"/>
                <w:kern w:val="22"/>
                <w:sz w:val="20"/>
                <w:szCs w:val="20"/>
                <w:lang w:val="fr-CA" w:eastAsia="zh-CN"/>
              </w:rPr>
              <w:t> </w:t>
            </w:r>
            <w:r w:rsidRPr="00AE70B8">
              <w:rPr>
                <w:b/>
                <w:bCs/>
                <w:color w:val="000000"/>
                <w:kern w:val="22"/>
                <w:sz w:val="20"/>
                <w:szCs w:val="20"/>
                <w:lang w:val="fr-CA" w:eastAsia="zh-CN"/>
              </w:rPr>
              <w:t>123</w:t>
            </w:r>
            <w:r w:rsidR="006E7734" w:rsidRPr="00AE70B8">
              <w:rPr>
                <w:b/>
                <w:bCs/>
                <w:color w:val="000000"/>
                <w:kern w:val="22"/>
                <w:sz w:val="20"/>
                <w:szCs w:val="20"/>
                <w:lang w:val="fr-CA" w:eastAsia="zh-CN"/>
              </w:rPr>
              <w:t>,</w:t>
            </w:r>
            <w:r w:rsidRPr="00AE70B8">
              <w:rPr>
                <w:b/>
                <w:bCs/>
                <w:color w:val="000000"/>
                <w:kern w:val="22"/>
                <w:sz w:val="20"/>
                <w:szCs w:val="20"/>
                <w:lang w:val="fr-CA" w:eastAsia="zh-CN"/>
              </w:rPr>
              <w:t>5</w:t>
            </w:r>
          </w:p>
        </w:tc>
      </w:tr>
    </w:tbl>
    <w:p w14:paraId="127E7265" w14:textId="77777777" w:rsidR="00AF70CA" w:rsidRPr="00AE70B8" w:rsidRDefault="00AF70CA" w:rsidP="006914CE">
      <w:pPr>
        <w:pStyle w:val="ListParagraph"/>
        <w:suppressLineNumbers/>
        <w:suppressAutoHyphens/>
        <w:ind w:left="0"/>
        <w:contextualSpacing w:val="0"/>
        <w:rPr>
          <w:kern w:val="22"/>
        </w:rPr>
      </w:pPr>
    </w:p>
    <w:p w14:paraId="1785C45A" w14:textId="236BC5B2" w:rsidR="007871E1" w:rsidRPr="00AE70B8" w:rsidRDefault="006E7734" w:rsidP="006914CE">
      <w:pPr>
        <w:pStyle w:val="ListParagraph"/>
        <w:keepNext/>
        <w:numPr>
          <w:ilvl w:val="0"/>
          <w:numId w:val="21"/>
        </w:numPr>
        <w:suppressLineNumbers/>
        <w:tabs>
          <w:tab w:val="left" w:pos="426"/>
        </w:tabs>
        <w:suppressAutoHyphens/>
        <w:spacing w:after="120"/>
        <w:ind w:left="0" w:firstLine="0"/>
        <w:contextualSpacing w:val="0"/>
        <w:jc w:val="center"/>
        <w:rPr>
          <w:rFonts w:eastAsia="Malgun Gothic"/>
          <w:b/>
          <w:color w:val="000000" w:themeColor="text1"/>
          <w:kern w:val="22"/>
          <w:lang w:val="fr-CA" w:eastAsia="x-none"/>
        </w:rPr>
      </w:pPr>
      <w:r w:rsidRPr="00AE70B8">
        <w:rPr>
          <w:rFonts w:eastAsia="Malgun Gothic"/>
          <w:b/>
          <w:color w:val="000000" w:themeColor="text1"/>
          <w:kern w:val="22"/>
          <w:lang w:val="fr-CA" w:eastAsia="x-none"/>
        </w:rPr>
        <w:t>Réserves de trésorerie au 31 décembre 2021</w:t>
      </w:r>
    </w:p>
    <w:p w14:paraId="1B8C3B36" w14:textId="4FEF38DF" w:rsidR="00667E82" w:rsidRPr="00AE70B8" w:rsidRDefault="006E7734" w:rsidP="006914CE">
      <w:pPr>
        <w:pStyle w:val="ListParagraph"/>
        <w:numPr>
          <w:ilvl w:val="0"/>
          <w:numId w:val="19"/>
        </w:numPr>
        <w:suppressLineNumbers/>
        <w:suppressAutoHyphens/>
        <w:spacing w:before="120" w:after="120"/>
        <w:ind w:left="0" w:firstLine="0"/>
        <w:contextualSpacing w:val="0"/>
        <w:rPr>
          <w:spacing w:val="-2"/>
          <w:kern w:val="22"/>
          <w:lang w:val="fr-CA"/>
        </w:rPr>
      </w:pPr>
      <w:r w:rsidRPr="00AE70B8">
        <w:rPr>
          <w:spacing w:val="-2"/>
          <w:kern w:val="22"/>
          <w:lang w:val="fr-CA"/>
        </w:rPr>
        <w:t xml:space="preserve">La réserve de trésorerie est calculée cumulativement à chaque période biennale, afin </w:t>
      </w:r>
      <w:r w:rsidR="00FE0308">
        <w:rPr>
          <w:spacing w:val="-2"/>
          <w:kern w:val="22"/>
          <w:lang w:val="fr-CA"/>
        </w:rPr>
        <w:t>que la somme</w:t>
      </w:r>
      <w:r w:rsidRPr="00AE70B8">
        <w:rPr>
          <w:spacing w:val="-2"/>
          <w:kern w:val="22"/>
          <w:lang w:val="fr-CA"/>
        </w:rPr>
        <w:t xml:space="preserve"> total</w:t>
      </w:r>
      <w:r w:rsidR="00FE0308">
        <w:rPr>
          <w:spacing w:val="-2"/>
          <w:kern w:val="22"/>
          <w:lang w:val="fr-CA"/>
        </w:rPr>
        <w:t>e</w:t>
      </w:r>
      <w:r w:rsidRPr="00AE70B8">
        <w:rPr>
          <w:spacing w:val="-2"/>
          <w:kern w:val="22"/>
          <w:lang w:val="fr-CA"/>
        </w:rPr>
        <w:t xml:space="preserve"> de la réserve représente 15 pour cent de l’estimation des dépenses annuelles, comprenant</w:t>
      </w:r>
      <w:r w:rsidR="006A61CE" w:rsidRPr="00AE70B8">
        <w:rPr>
          <w:spacing w:val="-2"/>
          <w:kern w:val="22"/>
          <w:lang w:val="fr-CA"/>
        </w:rPr>
        <w:t xml:space="preserve"> les coûts d’appui au programme. Le niveau de la réserve de trésorerie a été augmenté de 7,5 pour cent à 15 pour cent à partir de la période biennale 2019-2020</w:t>
      </w:r>
      <w:r w:rsidR="00FE0308">
        <w:rPr>
          <w:spacing w:val="-2"/>
          <w:kern w:val="22"/>
          <w:lang w:val="fr-CA"/>
        </w:rPr>
        <w:t>,</w:t>
      </w:r>
      <w:r w:rsidR="006A61CE" w:rsidRPr="00AE70B8">
        <w:rPr>
          <w:spacing w:val="-2"/>
          <w:kern w:val="22"/>
          <w:lang w:val="fr-CA"/>
        </w:rPr>
        <w:t xml:space="preserve"> à la suite de la recommandation du Bureau des services de contrôle interne et conformément</w:t>
      </w:r>
      <w:r w:rsidR="00AF77F0" w:rsidRPr="00AE70B8">
        <w:rPr>
          <w:spacing w:val="-2"/>
          <w:kern w:val="22"/>
          <w:lang w:val="fr-CA"/>
        </w:rPr>
        <w:t xml:space="preserve"> </w:t>
      </w:r>
      <w:r w:rsidR="006A61CE" w:rsidRPr="00AE70B8">
        <w:rPr>
          <w:spacing w:val="-2"/>
          <w:kern w:val="22"/>
          <w:lang w:val="fr-CA"/>
        </w:rPr>
        <w:t>au paragraphe 4 de la décision 14/37 de la Conférence des Parties. La réserve de trésorerie a pour b</w:t>
      </w:r>
      <w:r w:rsidR="00AF77F0" w:rsidRPr="00AE70B8">
        <w:rPr>
          <w:spacing w:val="-2"/>
          <w:kern w:val="22"/>
          <w:lang w:val="fr-CA"/>
        </w:rPr>
        <w:t>ut de garantir le maintien du fonctionnement du Secrétariat de la Convention advenant un manque d’argent comptant temporaire. Les retraits effectués dans le fonds de trésorerie sont remboursés à partir des contributions, dans les meilleurs délais</w:t>
      </w:r>
      <w:r w:rsidR="56AB2A4C" w:rsidRPr="00AE70B8">
        <w:rPr>
          <w:spacing w:val="-2"/>
          <w:kern w:val="22"/>
          <w:lang w:val="fr-CA"/>
        </w:rPr>
        <w:t>.</w:t>
      </w:r>
    </w:p>
    <w:p w14:paraId="650161B3" w14:textId="1DC6A6AF" w:rsidR="00125B31" w:rsidRPr="00AE70B8" w:rsidRDefault="004D0BE0">
      <w:pPr>
        <w:keepNext/>
        <w:keepLines/>
        <w:suppressLineNumbers/>
        <w:suppressAutoHyphens/>
        <w:spacing w:before="120"/>
        <w:jc w:val="left"/>
        <w:rPr>
          <w:b/>
          <w:snapToGrid w:val="0"/>
          <w:kern w:val="22"/>
          <w:lang w:val="fr-CA"/>
        </w:rPr>
      </w:pPr>
      <w:r w:rsidRPr="00AE70B8">
        <w:rPr>
          <w:b/>
          <w:snapToGrid w:val="0"/>
          <w:kern w:val="22"/>
          <w:lang w:val="fr-CA"/>
        </w:rPr>
        <w:t>Table</w:t>
      </w:r>
      <w:r w:rsidR="00AF77F0" w:rsidRPr="00AE70B8">
        <w:rPr>
          <w:b/>
          <w:snapToGrid w:val="0"/>
          <w:kern w:val="22"/>
          <w:lang w:val="fr-CA"/>
        </w:rPr>
        <w:t>au</w:t>
      </w:r>
      <w:r w:rsidRPr="00AE70B8">
        <w:rPr>
          <w:b/>
          <w:snapToGrid w:val="0"/>
          <w:kern w:val="22"/>
          <w:lang w:val="fr-CA"/>
        </w:rPr>
        <w:t xml:space="preserve"> </w:t>
      </w:r>
      <w:r w:rsidR="00655E4E" w:rsidRPr="00AE70B8">
        <w:rPr>
          <w:b/>
          <w:snapToGrid w:val="0"/>
          <w:kern w:val="22"/>
          <w:lang w:val="fr-CA"/>
        </w:rPr>
        <w:t>3</w:t>
      </w:r>
      <w:r w:rsidR="00052ADD" w:rsidRPr="00AE70B8">
        <w:rPr>
          <w:b/>
          <w:snapToGrid w:val="0"/>
          <w:kern w:val="22"/>
          <w:szCs w:val="22"/>
          <w:lang w:val="fr-CA"/>
        </w:rPr>
        <w:br/>
      </w:r>
      <w:r w:rsidR="00AF77F0" w:rsidRPr="00AE70B8">
        <w:rPr>
          <w:b/>
          <w:snapToGrid w:val="0"/>
          <w:kern w:val="22"/>
          <w:lang w:val="fr-CA"/>
        </w:rPr>
        <w:t>Réserves de trésorerie au 31 décembre 2021</w:t>
      </w:r>
    </w:p>
    <w:p w14:paraId="7C1EFAEE" w14:textId="66FA6094" w:rsidR="007763A4" w:rsidRPr="00AE70B8" w:rsidRDefault="005170C3">
      <w:pPr>
        <w:keepNext/>
        <w:keepLines/>
        <w:suppressLineNumbers/>
        <w:suppressAutoHyphens/>
        <w:spacing w:after="120"/>
        <w:jc w:val="left"/>
        <w:rPr>
          <w:i/>
          <w:kern w:val="22"/>
          <w:szCs w:val="22"/>
          <w:lang w:val="fr-CA"/>
        </w:rPr>
      </w:pPr>
      <w:r w:rsidRPr="00AE70B8">
        <w:rPr>
          <w:i/>
          <w:kern w:val="22"/>
          <w:szCs w:val="22"/>
          <w:lang w:val="fr-CA"/>
        </w:rPr>
        <w:t>(</w:t>
      </w:r>
      <w:r w:rsidR="00C4018A">
        <w:rPr>
          <w:i/>
          <w:kern w:val="22"/>
          <w:szCs w:val="22"/>
          <w:lang w:val="fr-CA"/>
        </w:rPr>
        <w:t>En m</w:t>
      </w:r>
      <w:r w:rsidR="00AF77F0" w:rsidRPr="00AE70B8">
        <w:rPr>
          <w:i/>
          <w:kern w:val="22"/>
          <w:szCs w:val="22"/>
          <w:lang w:val="fr-CA"/>
        </w:rPr>
        <w:t>illiers de dollars des États-Unis</w:t>
      </w:r>
      <w:r w:rsidRPr="00AE70B8">
        <w:rPr>
          <w:i/>
          <w:kern w:val="22"/>
          <w:szCs w:val="22"/>
          <w:lang w:val="fr-CA"/>
        </w:rPr>
        <w:t>)</w:t>
      </w:r>
    </w:p>
    <w:tbl>
      <w:tblPr>
        <w:tblW w:w="9265" w:type="dxa"/>
        <w:jc w:val="center"/>
        <w:tblLayout w:type="fixed"/>
        <w:tblLook w:val="04A0" w:firstRow="1" w:lastRow="0" w:firstColumn="1" w:lastColumn="0" w:noHBand="0" w:noVBand="1"/>
      </w:tblPr>
      <w:tblGrid>
        <w:gridCol w:w="3235"/>
        <w:gridCol w:w="990"/>
        <w:gridCol w:w="990"/>
        <w:gridCol w:w="990"/>
        <w:gridCol w:w="990"/>
        <w:gridCol w:w="990"/>
        <w:gridCol w:w="1080"/>
      </w:tblGrid>
      <w:tr w:rsidR="00E41829" w:rsidRPr="00AE70B8" w14:paraId="57345646" w14:textId="77777777" w:rsidTr="00940FDD">
        <w:trPr>
          <w:cantSplit/>
          <w:jc w:val="center"/>
        </w:trPr>
        <w:tc>
          <w:tcPr>
            <w:tcW w:w="3235" w:type="dxa"/>
            <w:tcBorders>
              <w:top w:val="single" w:sz="4" w:space="0" w:color="auto"/>
              <w:left w:val="single" w:sz="4" w:space="0" w:color="auto"/>
              <w:bottom w:val="single" w:sz="4" w:space="0" w:color="auto"/>
              <w:right w:val="single" w:sz="4" w:space="0" w:color="auto"/>
            </w:tcBorders>
            <w:shd w:val="clear" w:color="auto" w:fill="auto"/>
            <w:noWrap/>
          </w:tcPr>
          <w:p w14:paraId="508EFDBF" w14:textId="6CC042F3" w:rsidR="00D242BE" w:rsidRPr="00AE70B8" w:rsidRDefault="00AF77F0" w:rsidP="00282AF6">
            <w:pPr>
              <w:keepNext/>
              <w:keepLines/>
              <w:suppressLineNumbers/>
              <w:suppressAutoHyphens/>
              <w:spacing w:before="40" w:after="40"/>
              <w:jc w:val="center"/>
              <w:rPr>
                <w:bCs/>
                <w:i/>
                <w:iCs/>
                <w:color w:val="000000"/>
                <w:kern w:val="22"/>
                <w:szCs w:val="22"/>
                <w:lang w:val="fr-CA" w:eastAsia="en-CA"/>
              </w:rPr>
            </w:pPr>
            <w:r w:rsidRPr="00AE70B8">
              <w:rPr>
                <w:bCs/>
                <w:i/>
                <w:iCs/>
                <w:color w:val="000000"/>
                <w:kern w:val="22"/>
                <w:szCs w:val="22"/>
                <w:lang w:val="fr-CA" w:eastAsia="en-CA"/>
              </w:rPr>
              <w:t>Fonds d’affectation spéciale</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18A97363" w14:textId="77777777" w:rsidR="00D242BE" w:rsidRPr="00AE70B8" w:rsidRDefault="00D242BE" w:rsidP="00282AF6">
            <w:pPr>
              <w:keepNext/>
              <w:keepLines/>
              <w:suppressLineNumbers/>
              <w:suppressAutoHyphens/>
              <w:spacing w:before="40" w:after="40"/>
              <w:jc w:val="center"/>
              <w:rPr>
                <w:bCs/>
                <w:i/>
                <w:iCs/>
                <w:color w:val="000000"/>
                <w:kern w:val="22"/>
                <w:szCs w:val="22"/>
                <w:lang w:val="fr-CA" w:eastAsia="en-CA"/>
              </w:rPr>
            </w:pPr>
            <w:r w:rsidRPr="00AE70B8">
              <w:rPr>
                <w:bCs/>
                <w:i/>
                <w:iCs/>
                <w:color w:val="000000"/>
                <w:kern w:val="22"/>
                <w:szCs w:val="22"/>
                <w:lang w:val="fr-CA" w:eastAsia="en-CA"/>
              </w:rPr>
              <w:t>2003-14</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37BC5F21" w14:textId="77777777" w:rsidR="00D242BE" w:rsidRPr="00AE70B8" w:rsidRDefault="00D242BE" w:rsidP="00282AF6">
            <w:pPr>
              <w:keepNext/>
              <w:keepLines/>
              <w:suppressLineNumbers/>
              <w:suppressAutoHyphens/>
              <w:spacing w:before="40" w:after="40"/>
              <w:jc w:val="center"/>
              <w:rPr>
                <w:bCs/>
                <w:i/>
                <w:iCs/>
                <w:color w:val="000000"/>
                <w:kern w:val="22"/>
                <w:szCs w:val="22"/>
                <w:lang w:val="fr-CA" w:eastAsia="en-CA"/>
              </w:rPr>
            </w:pPr>
            <w:r w:rsidRPr="00AE70B8">
              <w:rPr>
                <w:bCs/>
                <w:i/>
                <w:iCs/>
                <w:color w:val="000000"/>
                <w:kern w:val="22"/>
                <w:szCs w:val="22"/>
                <w:lang w:val="fr-CA" w:eastAsia="en-CA"/>
              </w:rPr>
              <w:t>2015-16</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509A3760" w14:textId="77777777" w:rsidR="00D242BE" w:rsidRPr="00AE70B8" w:rsidRDefault="00D242BE" w:rsidP="00282AF6">
            <w:pPr>
              <w:keepNext/>
              <w:keepLines/>
              <w:suppressLineNumbers/>
              <w:suppressAutoHyphens/>
              <w:spacing w:before="40" w:after="40"/>
              <w:jc w:val="center"/>
              <w:rPr>
                <w:bCs/>
                <w:i/>
                <w:iCs/>
                <w:color w:val="000000"/>
                <w:kern w:val="22"/>
                <w:szCs w:val="22"/>
                <w:lang w:val="fr-CA" w:eastAsia="en-CA"/>
              </w:rPr>
            </w:pPr>
            <w:r w:rsidRPr="00AE70B8">
              <w:rPr>
                <w:bCs/>
                <w:i/>
                <w:iCs/>
                <w:color w:val="000000"/>
                <w:kern w:val="22"/>
                <w:szCs w:val="22"/>
                <w:lang w:val="fr-CA" w:eastAsia="en-CA"/>
              </w:rPr>
              <w:t>2017-18</w:t>
            </w:r>
          </w:p>
        </w:tc>
        <w:tc>
          <w:tcPr>
            <w:tcW w:w="990" w:type="dxa"/>
            <w:tcBorders>
              <w:top w:val="single" w:sz="4" w:space="0" w:color="auto"/>
              <w:left w:val="single" w:sz="4" w:space="0" w:color="auto"/>
              <w:bottom w:val="single" w:sz="4" w:space="0" w:color="000000" w:themeColor="text1"/>
              <w:right w:val="single" w:sz="4" w:space="0" w:color="auto"/>
            </w:tcBorders>
            <w:shd w:val="clear" w:color="auto" w:fill="auto"/>
            <w:hideMark/>
          </w:tcPr>
          <w:p w14:paraId="474B352B" w14:textId="77777777" w:rsidR="00D242BE" w:rsidRPr="00AE70B8" w:rsidRDefault="00D242BE" w:rsidP="00282AF6">
            <w:pPr>
              <w:keepNext/>
              <w:keepLines/>
              <w:suppressLineNumbers/>
              <w:suppressAutoHyphens/>
              <w:spacing w:before="40" w:after="40"/>
              <w:jc w:val="center"/>
              <w:rPr>
                <w:bCs/>
                <w:i/>
                <w:iCs/>
                <w:color w:val="000000"/>
                <w:kern w:val="22"/>
                <w:szCs w:val="22"/>
                <w:lang w:val="fr-CA" w:eastAsia="en-CA"/>
              </w:rPr>
            </w:pPr>
            <w:r w:rsidRPr="00AE70B8">
              <w:rPr>
                <w:bCs/>
                <w:i/>
                <w:iCs/>
                <w:color w:val="000000"/>
                <w:kern w:val="22"/>
                <w:szCs w:val="22"/>
                <w:lang w:val="fr-CA" w:eastAsia="en-CA"/>
              </w:rPr>
              <w:t>2019-20</w:t>
            </w:r>
          </w:p>
        </w:tc>
        <w:tc>
          <w:tcPr>
            <w:tcW w:w="990" w:type="dxa"/>
            <w:tcBorders>
              <w:top w:val="single" w:sz="4" w:space="0" w:color="auto"/>
              <w:left w:val="single" w:sz="4" w:space="0" w:color="auto"/>
              <w:bottom w:val="single" w:sz="4" w:space="0" w:color="auto"/>
              <w:right w:val="single" w:sz="4" w:space="0" w:color="auto"/>
            </w:tcBorders>
          </w:tcPr>
          <w:p w14:paraId="13AD6562" w14:textId="64545EDE" w:rsidR="00D242BE" w:rsidRPr="00AE70B8" w:rsidRDefault="64E0FDC8" w:rsidP="00282AF6">
            <w:pPr>
              <w:keepNext/>
              <w:keepLines/>
              <w:suppressLineNumbers/>
              <w:suppressAutoHyphens/>
              <w:spacing w:before="40" w:after="40"/>
              <w:jc w:val="center"/>
              <w:rPr>
                <w:bCs/>
                <w:i/>
                <w:iCs/>
                <w:color w:val="000000"/>
                <w:kern w:val="22"/>
                <w:szCs w:val="22"/>
                <w:lang w:val="fr-CA" w:eastAsia="en-CA"/>
              </w:rPr>
            </w:pPr>
            <w:r w:rsidRPr="00AE70B8">
              <w:rPr>
                <w:bCs/>
                <w:i/>
                <w:iCs/>
                <w:color w:val="000000"/>
                <w:kern w:val="22"/>
                <w:szCs w:val="22"/>
                <w:lang w:val="fr-CA" w:eastAsia="en-CA"/>
              </w:rPr>
              <w:t>2021</w:t>
            </w:r>
          </w:p>
        </w:tc>
        <w:tc>
          <w:tcPr>
            <w:tcW w:w="1080" w:type="dxa"/>
            <w:tcBorders>
              <w:top w:val="single" w:sz="4" w:space="0" w:color="auto"/>
              <w:left w:val="single" w:sz="4" w:space="0" w:color="auto"/>
              <w:bottom w:val="single" w:sz="4" w:space="0" w:color="auto"/>
              <w:right w:val="single" w:sz="4" w:space="0" w:color="auto"/>
            </w:tcBorders>
            <w:shd w:val="clear" w:color="auto" w:fill="auto"/>
            <w:noWrap/>
            <w:hideMark/>
          </w:tcPr>
          <w:p w14:paraId="2B437D8D" w14:textId="3EEC8B6B" w:rsidR="00D242BE" w:rsidRPr="00AE70B8" w:rsidRDefault="00D242BE" w:rsidP="00282AF6">
            <w:pPr>
              <w:keepNext/>
              <w:keepLines/>
              <w:suppressLineNumbers/>
              <w:suppressAutoHyphens/>
              <w:spacing w:before="40" w:after="40"/>
              <w:jc w:val="center"/>
              <w:rPr>
                <w:bCs/>
                <w:i/>
                <w:iCs/>
                <w:color w:val="000000"/>
                <w:kern w:val="22"/>
                <w:szCs w:val="22"/>
                <w:lang w:val="fr-CA" w:eastAsia="en-CA"/>
              </w:rPr>
            </w:pPr>
            <w:r w:rsidRPr="00AE70B8">
              <w:rPr>
                <w:bCs/>
                <w:i/>
                <w:iCs/>
                <w:color w:val="000000"/>
                <w:kern w:val="22"/>
                <w:szCs w:val="22"/>
                <w:lang w:val="fr-CA" w:eastAsia="en-CA"/>
              </w:rPr>
              <w:t>Total</w:t>
            </w:r>
          </w:p>
        </w:tc>
      </w:tr>
      <w:tr w:rsidR="00E41829" w:rsidRPr="00AE70B8" w14:paraId="2AD90AF3" w14:textId="77777777" w:rsidTr="00940FDD">
        <w:trPr>
          <w:cantSplit/>
          <w:jc w:val="center"/>
        </w:trPr>
        <w:tc>
          <w:tcPr>
            <w:tcW w:w="3235" w:type="dxa"/>
            <w:tcBorders>
              <w:top w:val="nil"/>
              <w:left w:val="single" w:sz="4" w:space="0" w:color="auto"/>
              <w:bottom w:val="single" w:sz="4" w:space="0" w:color="auto"/>
              <w:right w:val="single" w:sz="4" w:space="0" w:color="auto"/>
            </w:tcBorders>
            <w:shd w:val="clear" w:color="auto" w:fill="auto"/>
            <w:noWrap/>
            <w:hideMark/>
          </w:tcPr>
          <w:p w14:paraId="313607B0" w14:textId="0172A6B1" w:rsidR="00D242BE" w:rsidRPr="00AE70B8" w:rsidRDefault="00940FDD" w:rsidP="00282AF6">
            <w:pPr>
              <w:keepNext/>
              <w:keepLines/>
              <w:suppressLineNumbers/>
              <w:suppressAutoHyphens/>
              <w:spacing w:before="40" w:after="40"/>
              <w:jc w:val="left"/>
              <w:rPr>
                <w:color w:val="000000"/>
                <w:kern w:val="22"/>
                <w:szCs w:val="22"/>
                <w:lang w:val="fr-CA" w:eastAsia="en-CA"/>
              </w:rPr>
            </w:pPr>
            <w:r w:rsidRPr="00AE70B8">
              <w:rPr>
                <w:color w:val="000000"/>
                <w:kern w:val="22"/>
                <w:szCs w:val="22"/>
                <w:lang w:val="fr-CA" w:eastAsia="en-CA"/>
              </w:rPr>
              <w:t>Fonds d’affectation spéciale BY</w:t>
            </w:r>
          </w:p>
        </w:tc>
        <w:tc>
          <w:tcPr>
            <w:tcW w:w="990" w:type="dxa"/>
            <w:tcBorders>
              <w:top w:val="nil"/>
              <w:left w:val="single" w:sz="4" w:space="0" w:color="auto"/>
              <w:bottom w:val="single" w:sz="4" w:space="0" w:color="auto"/>
              <w:right w:val="single" w:sz="4" w:space="0" w:color="auto"/>
            </w:tcBorders>
            <w:shd w:val="clear" w:color="auto" w:fill="auto"/>
            <w:noWrap/>
            <w:hideMark/>
          </w:tcPr>
          <w:p w14:paraId="00D1B904" w14:textId="45BDD849" w:rsidR="00D242BE" w:rsidRPr="00AE70B8" w:rsidRDefault="00D242BE" w:rsidP="00282AF6">
            <w:pPr>
              <w:keepNext/>
              <w:keepLines/>
              <w:suppressLineNumbers/>
              <w:suppressAutoHyphens/>
              <w:spacing w:before="40" w:after="40"/>
              <w:jc w:val="right"/>
              <w:rPr>
                <w:color w:val="000000"/>
                <w:kern w:val="22"/>
                <w:szCs w:val="22"/>
                <w:lang w:val="fr-CA" w:eastAsia="en-CA"/>
              </w:rPr>
            </w:pPr>
            <w:r w:rsidRPr="00AE70B8">
              <w:rPr>
                <w:color w:val="000000"/>
                <w:kern w:val="22"/>
                <w:szCs w:val="22"/>
                <w:lang w:val="fr-CA" w:eastAsia="en-CA"/>
              </w:rPr>
              <w:t>1 324</w:t>
            </w:r>
            <w:r w:rsidR="00940FDD" w:rsidRPr="00AE70B8">
              <w:rPr>
                <w:color w:val="000000"/>
                <w:kern w:val="22"/>
                <w:szCs w:val="22"/>
                <w:lang w:val="fr-CA" w:eastAsia="en-CA"/>
              </w:rPr>
              <w:t>,</w:t>
            </w:r>
            <w:r w:rsidRPr="00AE70B8">
              <w:rPr>
                <w:color w:val="000000"/>
                <w:kern w:val="22"/>
                <w:szCs w:val="22"/>
                <w:lang w:val="fr-CA" w:eastAsia="en-CA"/>
              </w:rPr>
              <w:t>4</w:t>
            </w:r>
          </w:p>
        </w:tc>
        <w:tc>
          <w:tcPr>
            <w:tcW w:w="990" w:type="dxa"/>
            <w:tcBorders>
              <w:top w:val="nil"/>
              <w:left w:val="single" w:sz="4" w:space="0" w:color="auto"/>
              <w:bottom w:val="single" w:sz="4" w:space="0" w:color="auto"/>
              <w:right w:val="single" w:sz="4" w:space="0" w:color="auto"/>
            </w:tcBorders>
            <w:shd w:val="clear" w:color="auto" w:fill="auto"/>
            <w:noWrap/>
            <w:hideMark/>
          </w:tcPr>
          <w:p w14:paraId="08B38C46" w14:textId="0BEB847D" w:rsidR="00D242BE" w:rsidRPr="00AE70B8" w:rsidRDefault="00D242BE" w:rsidP="00282AF6">
            <w:pPr>
              <w:keepNext/>
              <w:keepLines/>
              <w:suppressLineNumbers/>
              <w:suppressAutoHyphens/>
              <w:spacing w:before="40" w:after="40"/>
              <w:jc w:val="right"/>
              <w:rPr>
                <w:color w:val="000000"/>
                <w:kern w:val="22"/>
                <w:szCs w:val="22"/>
                <w:lang w:val="fr-CA" w:eastAsia="en-CA"/>
              </w:rPr>
            </w:pPr>
            <w:r w:rsidRPr="00AE70B8">
              <w:rPr>
                <w:color w:val="000000"/>
                <w:kern w:val="22"/>
                <w:szCs w:val="22"/>
                <w:lang w:val="fr-CA" w:eastAsia="en-CA"/>
              </w:rPr>
              <w:t>765</w:t>
            </w:r>
            <w:r w:rsidR="00940FDD" w:rsidRPr="00AE70B8">
              <w:rPr>
                <w:color w:val="000000"/>
                <w:kern w:val="22"/>
                <w:szCs w:val="22"/>
                <w:lang w:val="fr-CA" w:eastAsia="en-CA"/>
              </w:rPr>
              <w:t>,</w:t>
            </w:r>
            <w:r w:rsidRPr="00AE70B8">
              <w:rPr>
                <w:color w:val="000000"/>
                <w:kern w:val="22"/>
                <w:szCs w:val="22"/>
                <w:lang w:val="fr-CA" w:eastAsia="en-CA"/>
              </w:rPr>
              <w:t>1</w:t>
            </w:r>
          </w:p>
        </w:tc>
        <w:tc>
          <w:tcPr>
            <w:tcW w:w="990" w:type="dxa"/>
            <w:tcBorders>
              <w:top w:val="nil"/>
              <w:left w:val="single" w:sz="4" w:space="0" w:color="auto"/>
              <w:bottom w:val="single" w:sz="4" w:space="0" w:color="auto"/>
              <w:right w:val="single" w:sz="4" w:space="0" w:color="auto"/>
            </w:tcBorders>
            <w:shd w:val="clear" w:color="auto" w:fill="auto"/>
            <w:noWrap/>
            <w:hideMark/>
          </w:tcPr>
          <w:p w14:paraId="6B190749" w14:textId="56FC1F44" w:rsidR="00D242BE" w:rsidRPr="00AE70B8" w:rsidRDefault="00D242BE" w:rsidP="00282AF6">
            <w:pPr>
              <w:keepNext/>
              <w:keepLines/>
              <w:suppressLineNumbers/>
              <w:suppressAutoHyphens/>
              <w:spacing w:before="40" w:after="40"/>
              <w:jc w:val="right"/>
              <w:rPr>
                <w:color w:val="000000"/>
                <w:kern w:val="22"/>
                <w:szCs w:val="22"/>
                <w:lang w:val="fr-CA" w:eastAsia="en-CA"/>
              </w:rPr>
            </w:pPr>
            <w:r w:rsidRPr="00AE70B8">
              <w:rPr>
                <w:color w:val="000000"/>
                <w:kern w:val="22"/>
                <w:szCs w:val="22"/>
                <w:lang w:val="fr-CA" w:eastAsia="en-CA"/>
              </w:rPr>
              <w:t>93</w:t>
            </w:r>
            <w:r w:rsidR="00940FDD" w:rsidRPr="00AE70B8">
              <w:rPr>
                <w:color w:val="000000"/>
                <w:kern w:val="22"/>
                <w:szCs w:val="22"/>
                <w:lang w:val="fr-CA" w:eastAsia="en-CA"/>
              </w:rPr>
              <w:t>,</w:t>
            </w:r>
            <w:r w:rsidRPr="00AE70B8">
              <w:rPr>
                <w:color w:val="000000"/>
                <w:kern w:val="22"/>
                <w:szCs w:val="22"/>
                <w:lang w:val="fr-CA" w:eastAsia="en-CA"/>
              </w:rPr>
              <w:t>3</w:t>
            </w:r>
          </w:p>
        </w:tc>
        <w:tc>
          <w:tcPr>
            <w:tcW w:w="990" w:type="dxa"/>
            <w:tcBorders>
              <w:top w:val="nil"/>
              <w:left w:val="single" w:sz="4" w:space="0" w:color="auto"/>
              <w:bottom w:val="single" w:sz="4" w:space="0" w:color="000000" w:themeColor="text1"/>
              <w:right w:val="single" w:sz="4" w:space="0" w:color="auto"/>
            </w:tcBorders>
            <w:shd w:val="clear" w:color="auto" w:fill="auto"/>
            <w:hideMark/>
          </w:tcPr>
          <w:p w14:paraId="3A396728" w14:textId="7106DA4F" w:rsidR="00D242BE" w:rsidRPr="00AE70B8" w:rsidRDefault="00D242BE" w:rsidP="00282AF6">
            <w:pPr>
              <w:keepNext/>
              <w:keepLines/>
              <w:suppressLineNumbers/>
              <w:suppressAutoHyphens/>
              <w:spacing w:before="40" w:after="40"/>
              <w:jc w:val="right"/>
              <w:rPr>
                <w:color w:val="000000"/>
                <w:kern w:val="22"/>
                <w:szCs w:val="22"/>
                <w:lang w:val="fr-CA" w:eastAsia="en-CA"/>
              </w:rPr>
            </w:pPr>
            <w:r w:rsidRPr="00AE70B8">
              <w:rPr>
                <w:color w:val="000000"/>
                <w:kern w:val="22"/>
                <w:szCs w:val="22"/>
                <w:lang w:val="fr-CA" w:eastAsia="en-CA"/>
              </w:rPr>
              <w:t>138</w:t>
            </w:r>
            <w:r w:rsidR="00940FDD" w:rsidRPr="00AE70B8">
              <w:rPr>
                <w:color w:val="000000"/>
                <w:kern w:val="22"/>
                <w:szCs w:val="22"/>
                <w:lang w:val="fr-CA" w:eastAsia="en-CA"/>
              </w:rPr>
              <w:t>,</w:t>
            </w:r>
            <w:r w:rsidRPr="00AE70B8">
              <w:rPr>
                <w:color w:val="000000"/>
                <w:kern w:val="22"/>
                <w:szCs w:val="22"/>
                <w:lang w:val="fr-CA" w:eastAsia="en-CA"/>
              </w:rPr>
              <w:t>6</w:t>
            </w:r>
          </w:p>
        </w:tc>
        <w:tc>
          <w:tcPr>
            <w:tcW w:w="990" w:type="dxa"/>
            <w:tcBorders>
              <w:top w:val="single" w:sz="4" w:space="0" w:color="auto"/>
              <w:left w:val="single" w:sz="4" w:space="0" w:color="auto"/>
              <w:bottom w:val="single" w:sz="4" w:space="0" w:color="auto"/>
              <w:right w:val="single" w:sz="4" w:space="0" w:color="auto"/>
            </w:tcBorders>
          </w:tcPr>
          <w:p w14:paraId="5A5DE76A" w14:textId="12B1A142" w:rsidR="00D242BE" w:rsidRPr="00AE70B8" w:rsidRDefault="68E25A47" w:rsidP="00282AF6">
            <w:pPr>
              <w:keepNext/>
              <w:keepLines/>
              <w:suppressLineNumbers/>
              <w:suppressAutoHyphens/>
              <w:spacing w:before="40" w:after="40"/>
              <w:jc w:val="right"/>
              <w:rPr>
                <w:b/>
                <w:color w:val="000000"/>
                <w:kern w:val="22"/>
                <w:szCs w:val="22"/>
                <w:lang w:val="fr-CA" w:eastAsia="en-CA"/>
              </w:rPr>
            </w:pPr>
            <w:r w:rsidRPr="00AE70B8">
              <w:rPr>
                <w:b/>
                <w:color w:val="000000"/>
                <w:kern w:val="22"/>
                <w:szCs w:val="22"/>
                <w:lang w:val="fr-CA" w:eastAsia="en-CA"/>
              </w:rPr>
              <w:t>(</w:t>
            </w:r>
            <w:r w:rsidR="7855D6C9" w:rsidRPr="00AE70B8">
              <w:rPr>
                <w:b/>
                <w:color w:val="000000"/>
                <w:kern w:val="22"/>
                <w:szCs w:val="22"/>
                <w:lang w:val="fr-CA" w:eastAsia="en-CA"/>
              </w:rPr>
              <w:t>288</w:t>
            </w:r>
            <w:r w:rsidR="00940FDD" w:rsidRPr="00AE70B8">
              <w:rPr>
                <w:b/>
                <w:color w:val="000000"/>
                <w:kern w:val="22"/>
                <w:szCs w:val="22"/>
                <w:lang w:val="fr-CA" w:eastAsia="en-CA"/>
              </w:rPr>
              <w:t>,</w:t>
            </w:r>
            <w:r w:rsidR="7855D6C9" w:rsidRPr="00AE70B8">
              <w:rPr>
                <w:b/>
                <w:color w:val="000000"/>
                <w:kern w:val="22"/>
                <w:szCs w:val="22"/>
                <w:lang w:val="fr-CA" w:eastAsia="en-CA"/>
              </w:rPr>
              <w:t>8)</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47372D7E" w14:textId="3C1D22CE" w:rsidR="00D242BE" w:rsidRPr="00AE70B8" w:rsidRDefault="3B67A018" w:rsidP="00282AF6">
            <w:pPr>
              <w:keepNext/>
              <w:keepLines/>
              <w:suppressLineNumbers/>
              <w:suppressAutoHyphens/>
              <w:spacing w:before="40" w:after="40"/>
              <w:jc w:val="right"/>
              <w:rPr>
                <w:b/>
                <w:color w:val="000000"/>
                <w:kern w:val="22"/>
                <w:szCs w:val="22"/>
                <w:lang w:val="fr-CA" w:eastAsia="en-CA"/>
              </w:rPr>
            </w:pPr>
            <w:r w:rsidRPr="00AE70B8" w:rsidDel="006B4B65">
              <w:rPr>
                <w:b/>
                <w:color w:val="000000"/>
                <w:kern w:val="22"/>
                <w:szCs w:val="22"/>
                <w:lang w:val="fr-CA" w:eastAsia="en-CA"/>
              </w:rPr>
              <w:t>2</w:t>
            </w:r>
            <w:r w:rsidR="008657DB" w:rsidRPr="00AE70B8">
              <w:rPr>
                <w:b/>
                <w:color w:val="000000"/>
                <w:kern w:val="22"/>
                <w:szCs w:val="22"/>
                <w:lang w:val="fr-CA" w:eastAsia="en-CA"/>
              </w:rPr>
              <w:t xml:space="preserve"> </w:t>
            </w:r>
            <w:r w:rsidRPr="00AE70B8" w:rsidDel="006B4B65">
              <w:rPr>
                <w:b/>
                <w:color w:val="000000"/>
                <w:kern w:val="22"/>
                <w:szCs w:val="22"/>
                <w:lang w:val="fr-CA" w:eastAsia="en-CA"/>
              </w:rPr>
              <w:t>032</w:t>
            </w:r>
            <w:r w:rsidR="00940FDD" w:rsidRPr="00AE70B8">
              <w:rPr>
                <w:b/>
                <w:color w:val="000000"/>
                <w:kern w:val="22"/>
                <w:szCs w:val="22"/>
                <w:lang w:val="fr-CA" w:eastAsia="en-CA"/>
              </w:rPr>
              <w:t>,</w:t>
            </w:r>
            <w:r w:rsidRPr="00AE70B8" w:rsidDel="006B4B65">
              <w:rPr>
                <w:b/>
                <w:color w:val="000000"/>
                <w:kern w:val="22"/>
                <w:szCs w:val="22"/>
                <w:lang w:val="fr-CA" w:eastAsia="en-CA"/>
              </w:rPr>
              <w:t>7</w:t>
            </w:r>
          </w:p>
        </w:tc>
      </w:tr>
      <w:tr w:rsidR="00E41829" w:rsidRPr="00AE70B8" w14:paraId="57C69E9F" w14:textId="77777777" w:rsidTr="00940FDD">
        <w:trPr>
          <w:cantSplit/>
          <w:jc w:val="center"/>
        </w:trPr>
        <w:tc>
          <w:tcPr>
            <w:tcW w:w="3235" w:type="dxa"/>
            <w:tcBorders>
              <w:top w:val="nil"/>
              <w:left w:val="single" w:sz="4" w:space="0" w:color="auto"/>
              <w:bottom w:val="single" w:sz="4" w:space="0" w:color="auto"/>
              <w:right w:val="single" w:sz="4" w:space="0" w:color="auto"/>
            </w:tcBorders>
            <w:shd w:val="clear" w:color="auto" w:fill="auto"/>
            <w:noWrap/>
            <w:hideMark/>
          </w:tcPr>
          <w:p w14:paraId="775307A5" w14:textId="340E4919" w:rsidR="00D242BE" w:rsidRPr="00AE70B8" w:rsidRDefault="00940FDD" w:rsidP="00282AF6">
            <w:pPr>
              <w:suppressLineNumbers/>
              <w:suppressAutoHyphens/>
              <w:spacing w:before="40" w:after="40"/>
              <w:jc w:val="left"/>
              <w:rPr>
                <w:color w:val="000000"/>
                <w:kern w:val="22"/>
                <w:szCs w:val="22"/>
                <w:lang w:val="fr-CA" w:eastAsia="en-CA"/>
              </w:rPr>
            </w:pPr>
            <w:r w:rsidRPr="00AE70B8">
              <w:rPr>
                <w:color w:val="000000"/>
                <w:kern w:val="22"/>
                <w:szCs w:val="22"/>
                <w:lang w:val="fr-CA" w:eastAsia="en-CA"/>
              </w:rPr>
              <w:t>Fonds d’affectation spéciale BG</w:t>
            </w:r>
          </w:p>
        </w:tc>
        <w:tc>
          <w:tcPr>
            <w:tcW w:w="990" w:type="dxa"/>
            <w:tcBorders>
              <w:top w:val="nil"/>
              <w:left w:val="single" w:sz="4" w:space="0" w:color="auto"/>
              <w:bottom w:val="single" w:sz="4" w:space="0" w:color="auto"/>
              <w:right w:val="single" w:sz="4" w:space="0" w:color="auto"/>
            </w:tcBorders>
            <w:shd w:val="clear" w:color="auto" w:fill="auto"/>
            <w:noWrap/>
            <w:hideMark/>
          </w:tcPr>
          <w:p w14:paraId="475942BF" w14:textId="0B01A0A2" w:rsidR="00D242BE" w:rsidRPr="00AE70B8" w:rsidRDefault="00D242BE" w:rsidP="00282AF6">
            <w:pPr>
              <w:suppressLineNumbers/>
              <w:suppressAutoHyphens/>
              <w:spacing w:before="40" w:after="40"/>
              <w:jc w:val="right"/>
              <w:rPr>
                <w:color w:val="000000"/>
                <w:kern w:val="22"/>
                <w:szCs w:val="22"/>
                <w:lang w:val="fr-CA" w:eastAsia="en-CA"/>
              </w:rPr>
            </w:pPr>
            <w:r w:rsidRPr="00AE70B8">
              <w:rPr>
                <w:color w:val="000000"/>
                <w:kern w:val="22"/>
                <w:szCs w:val="22"/>
                <w:lang w:val="fr-CA" w:eastAsia="en-CA"/>
              </w:rPr>
              <w:t>293</w:t>
            </w:r>
            <w:r w:rsidR="00940FDD" w:rsidRPr="00AE70B8">
              <w:rPr>
                <w:color w:val="000000"/>
                <w:kern w:val="22"/>
                <w:szCs w:val="22"/>
                <w:lang w:val="fr-CA" w:eastAsia="en-CA"/>
              </w:rPr>
              <w:t>,</w:t>
            </w:r>
            <w:r w:rsidRPr="00AE70B8">
              <w:rPr>
                <w:color w:val="000000"/>
                <w:kern w:val="22"/>
                <w:szCs w:val="22"/>
                <w:lang w:val="fr-CA" w:eastAsia="en-CA"/>
              </w:rPr>
              <w:t>8</w:t>
            </w:r>
          </w:p>
        </w:tc>
        <w:tc>
          <w:tcPr>
            <w:tcW w:w="990" w:type="dxa"/>
            <w:tcBorders>
              <w:top w:val="nil"/>
              <w:left w:val="single" w:sz="4" w:space="0" w:color="auto"/>
              <w:bottom w:val="single" w:sz="4" w:space="0" w:color="auto"/>
              <w:right w:val="single" w:sz="4" w:space="0" w:color="auto"/>
            </w:tcBorders>
            <w:shd w:val="clear" w:color="auto" w:fill="auto"/>
            <w:noWrap/>
            <w:hideMark/>
          </w:tcPr>
          <w:p w14:paraId="46627254" w14:textId="2E8BDD59" w:rsidR="00D242BE" w:rsidRPr="00AE70B8" w:rsidRDefault="00D242BE" w:rsidP="00282AF6">
            <w:pPr>
              <w:suppressLineNumbers/>
              <w:suppressAutoHyphens/>
              <w:spacing w:before="40" w:after="40"/>
              <w:jc w:val="right"/>
              <w:rPr>
                <w:color w:val="000000"/>
                <w:kern w:val="22"/>
                <w:szCs w:val="22"/>
                <w:lang w:val="fr-CA" w:eastAsia="en-CA"/>
              </w:rPr>
            </w:pPr>
            <w:r w:rsidRPr="00AE70B8">
              <w:rPr>
                <w:color w:val="000000"/>
                <w:kern w:val="22"/>
                <w:szCs w:val="22"/>
                <w:lang w:val="fr-CA" w:eastAsia="en-CA"/>
              </w:rPr>
              <w:t>175</w:t>
            </w:r>
            <w:r w:rsidR="00940FDD" w:rsidRPr="00AE70B8">
              <w:rPr>
                <w:color w:val="000000"/>
                <w:kern w:val="22"/>
                <w:szCs w:val="22"/>
                <w:lang w:val="fr-CA" w:eastAsia="en-CA"/>
              </w:rPr>
              <w:t>,</w:t>
            </w:r>
            <w:r w:rsidRPr="00AE70B8">
              <w:rPr>
                <w:color w:val="000000"/>
                <w:kern w:val="22"/>
                <w:szCs w:val="22"/>
                <w:lang w:val="fr-CA" w:eastAsia="en-CA"/>
              </w:rPr>
              <w:t>5</w:t>
            </w:r>
          </w:p>
        </w:tc>
        <w:tc>
          <w:tcPr>
            <w:tcW w:w="990" w:type="dxa"/>
            <w:tcBorders>
              <w:top w:val="nil"/>
              <w:left w:val="single" w:sz="4" w:space="0" w:color="auto"/>
              <w:bottom w:val="single" w:sz="4" w:space="0" w:color="auto"/>
              <w:right w:val="single" w:sz="4" w:space="0" w:color="auto"/>
            </w:tcBorders>
            <w:shd w:val="clear" w:color="auto" w:fill="auto"/>
            <w:noWrap/>
            <w:hideMark/>
          </w:tcPr>
          <w:p w14:paraId="49C8CB4B" w14:textId="07E13C76" w:rsidR="00D242BE" w:rsidRPr="00AE70B8" w:rsidRDefault="00D242BE" w:rsidP="00282AF6">
            <w:pPr>
              <w:suppressLineNumbers/>
              <w:suppressAutoHyphens/>
              <w:spacing w:before="40" w:after="40"/>
              <w:jc w:val="right"/>
              <w:rPr>
                <w:color w:val="000000"/>
                <w:kern w:val="22"/>
                <w:szCs w:val="22"/>
                <w:lang w:val="fr-CA" w:eastAsia="en-CA"/>
              </w:rPr>
            </w:pPr>
            <w:r w:rsidRPr="00AE70B8">
              <w:rPr>
                <w:color w:val="000000"/>
                <w:kern w:val="22"/>
                <w:szCs w:val="22"/>
                <w:lang w:val="fr-CA" w:eastAsia="en-CA"/>
              </w:rPr>
              <w:t>19</w:t>
            </w:r>
            <w:r w:rsidR="00940FDD" w:rsidRPr="00AE70B8">
              <w:rPr>
                <w:color w:val="000000"/>
                <w:kern w:val="22"/>
                <w:szCs w:val="22"/>
                <w:lang w:val="fr-CA" w:eastAsia="en-CA"/>
              </w:rPr>
              <w:t>,</w:t>
            </w:r>
            <w:r w:rsidRPr="00AE70B8">
              <w:rPr>
                <w:color w:val="000000"/>
                <w:kern w:val="22"/>
                <w:szCs w:val="22"/>
                <w:lang w:val="fr-CA" w:eastAsia="en-CA"/>
              </w:rPr>
              <w:t>7</w:t>
            </w:r>
          </w:p>
        </w:tc>
        <w:tc>
          <w:tcPr>
            <w:tcW w:w="990" w:type="dxa"/>
            <w:tcBorders>
              <w:top w:val="nil"/>
              <w:left w:val="single" w:sz="4" w:space="0" w:color="auto"/>
              <w:bottom w:val="single" w:sz="4" w:space="0" w:color="000000" w:themeColor="text1"/>
              <w:right w:val="single" w:sz="4" w:space="0" w:color="auto"/>
            </w:tcBorders>
            <w:shd w:val="clear" w:color="auto" w:fill="auto"/>
            <w:hideMark/>
          </w:tcPr>
          <w:p w14:paraId="372BE0BA" w14:textId="35C24CE8" w:rsidR="00D242BE" w:rsidRPr="00AE70B8" w:rsidRDefault="00D242BE" w:rsidP="00282AF6">
            <w:pPr>
              <w:suppressLineNumbers/>
              <w:suppressAutoHyphens/>
              <w:spacing w:before="40" w:after="40"/>
              <w:jc w:val="right"/>
              <w:rPr>
                <w:color w:val="000000"/>
                <w:kern w:val="22"/>
                <w:szCs w:val="22"/>
                <w:lang w:val="fr-CA" w:eastAsia="en-CA"/>
              </w:rPr>
            </w:pPr>
            <w:r w:rsidRPr="00AE70B8">
              <w:rPr>
                <w:color w:val="000000"/>
                <w:kern w:val="22"/>
                <w:szCs w:val="22"/>
                <w:lang w:val="fr-CA" w:eastAsia="en-CA"/>
              </w:rPr>
              <w:t>28</w:t>
            </w:r>
            <w:r w:rsidR="00940FDD" w:rsidRPr="00AE70B8">
              <w:rPr>
                <w:color w:val="000000"/>
                <w:kern w:val="22"/>
                <w:szCs w:val="22"/>
                <w:lang w:val="fr-CA" w:eastAsia="en-CA"/>
              </w:rPr>
              <w:t>,</w:t>
            </w:r>
            <w:r w:rsidRPr="00AE70B8">
              <w:rPr>
                <w:color w:val="000000"/>
                <w:kern w:val="22"/>
                <w:szCs w:val="22"/>
                <w:lang w:val="fr-CA" w:eastAsia="en-CA"/>
              </w:rPr>
              <w:t>1</w:t>
            </w:r>
          </w:p>
        </w:tc>
        <w:tc>
          <w:tcPr>
            <w:tcW w:w="990" w:type="dxa"/>
            <w:tcBorders>
              <w:top w:val="single" w:sz="4" w:space="0" w:color="auto"/>
              <w:left w:val="single" w:sz="4" w:space="0" w:color="auto"/>
              <w:bottom w:val="single" w:sz="4" w:space="0" w:color="auto"/>
              <w:right w:val="single" w:sz="4" w:space="0" w:color="auto"/>
            </w:tcBorders>
          </w:tcPr>
          <w:p w14:paraId="59C0471B" w14:textId="68E5E425" w:rsidR="00D242BE" w:rsidRPr="00AE70B8" w:rsidRDefault="7855D6C9" w:rsidP="00282AF6">
            <w:pPr>
              <w:suppressLineNumbers/>
              <w:suppressAutoHyphens/>
              <w:spacing w:before="40" w:after="40"/>
              <w:jc w:val="right"/>
              <w:rPr>
                <w:b/>
                <w:color w:val="000000"/>
                <w:kern w:val="22"/>
                <w:szCs w:val="22"/>
                <w:lang w:val="fr-CA" w:eastAsia="en-CA"/>
              </w:rPr>
            </w:pPr>
            <w:r w:rsidRPr="00AE70B8">
              <w:rPr>
                <w:b/>
                <w:color w:val="000000"/>
                <w:kern w:val="22"/>
                <w:szCs w:val="22"/>
                <w:lang w:val="fr-CA" w:eastAsia="en-CA"/>
              </w:rPr>
              <w:t>(58</w:t>
            </w:r>
            <w:r w:rsidR="00940FDD" w:rsidRPr="00AE70B8">
              <w:rPr>
                <w:b/>
                <w:color w:val="000000"/>
                <w:kern w:val="22"/>
                <w:szCs w:val="22"/>
                <w:lang w:val="fr-CA" w:eastAsia="en-CA"/>
              </w:rPr>
              <w:t>,</w:t>
            </w:r>
            <w:r w:rsidRPr="00AE70B8">
              <w:rPr>
                <w:b/>
                <w:color w:val="000000"/>
                <w:kern w:val="22"/>
                <w:szCs w:val="22"/>
                <w:lang w:val="fr-CA" w:eastAsia="en-CA"/>
              </w:rPr>
              <w:t>54)</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2959094D" w14:textId="636F0D94" w:rsidR="00D242BE" w:rsidRPr="00AE70B8" w:rsidRDefault="4229F096" w:rsidP="00282AF6">
            <w:pPr>
              <w:suppressLineNumbers/>
              <w:suppressAutoHyphens/>
              <w:spacing w:before="40" w:after="40"/>
              <w:jc w:val="right"/>
              <w:rPr>
                <w:b/>
                <w:color w:val="000000"/>
                <w:kern w:val="22"/>
                <w:szCs w:val="22"/>
                <w:lang w:val="fr-CA" w:eastAsia="en-CA"/>
              </w:rPr>
            </w:pPr>
            <w:r w:rsidRPr="00AE70B8" w:rsidDel="006B4B65">
              <w:rPr>
                <w:b/>
                <w:color w:val="000000"/>
                <w:kern w:val="22"/>
                <w:szCs w:val="22"/>
                <w:lang w:val="fr-CA" w:eastAsia="en-CA"/>
              </w:rPr>
              <w:t>458</w:t>
            </w:r>
            <w:r w:rsidR="00940FDD" w:rsidRPr="00AE70B8">
              <w:rPr>
                <w:b/>
                <w:color w:val="000000"/>
                <w:kern w:val="22"/>
                <w:szCs w:val="22"/>
                <w:lang w:val="fr-CA" w:eastAsia="en-CA"/>
              </w:rPr>
              <w:t>,</w:t>
            </w:r>
            <w:r w:rsidRPr="00AE70B8" w:rsidDel="006B4B65">
              <w:rPr>
                <w:b/>
                <w:color w:val="000000"/>
                <w:kern w:val="22"/>
                <w:szCs w:val="22"/>
                <w:lang w:val="fr-CA" w:eastAsia="en-CA"/>
              </w:rPr>
              <w:t>5</w:t>
            </w:r>
          </w:p>
        </w:tc>
      </w:tr>
      <w:tr w:rsidR="00E41829" w:rsidRPr="00AE70B8" w14:paraId="206CDF42" w14:textId="77777777" w:rsidTr="00940FDD">
        <w:trPr>
          <w:cantSplit/>
          <w:jc w:val="center"/>
        </w:trPr>
        <w:tc>
          <w:tcPr>
            <w:tcW w:w="3235" w:type="dxa"/>
            <w:tcBorders>
              <w:top w:val="nil"/>
              <w:left w:val="single" w:sz="4" w:space="0" w:color="auto"/>
              <w:bottom w:val="single" w:sz="4" w:space="0" w:color="auto"/>
              <w:right w:val="single" w:sz="4" w:space="0" w:color="auto"/>
            </w:tcBorders>
            <w:shd w:val="clear" w:color="auto" w:fill="auto"/>
            <w:noWrap/>
            <w:hideMark/>
          </w:tcPr>
          <w:p w14:paraId="77C69DA3" w14:textId="3961273A" w:rsidR="00D242BE" w:rsidRPr="00AE70B8" w:rsidRDefault="00940FDD" w:rsidP="00282AF6">
            <w:pPr>
              <w:suppressLineNumbers/>
              <w:suppressAutoHyphens/>
              <w:spacing w:before="40" w:after="40"/>
              <w:jc w:val="left"/>
              <w:rPr>
                <w:color w:val="000000"/>
                <w:kern w:val="22"/>
                <w:szCs w:val="22"/>
                <w:lang w:val="fr-CA" w:eastAsia="en-CA"/>
              </w:rPr>
            </w:pPr>
            <w:r w:rsidRPr="00AE70B8">
              <w:rPr>
                <w:color w:val="000000"/>
                <w:kern w:val="22"/>
                <w:szCs w:val="22"/>
                <w:lang w:val="fr-CA" w:eastAsia="en-CA"/>
              </w:rPr>
              <w:t>Fonds d’affectation spéciale BB</w:t>
            </w:r>
          </w:p>
        </w:tc>
        <w:tc>
          <w:tcPr>
            <w:tcW w:w="990" w:type="dxa"/>
            <w:tcBorders>
              <w:top w:val="nil"/>
              <w:left w:val="single" w:sz="4" w:space="0" w:color="auto"/>
              <w:bottom w:val="single" w:sz="4" w:space="0" w:color="auto"/>
              <w:right w:val="single" w:sz="4" w:space="0" w:color="auto"/>
            </w:tcBorders>
            <w:shd w:val="clear" w:color="auto" w:fill="auto"/>
            <w:noWrap/>
            <w:hideMark/>
          </w:tcPr>
          <w:p w14:paraId="199A61BD" w14:textId="2E1092BC" w:rsidR="00D242BE" w:rsidRPr="00AE70B8" w:rsidRDefault="00D242BE" w:rsidP="00282AF6">
            <w:pPr>
              <w:suppressLineNumbers/>
              <w:suppressAutoHyphens/>
              <w:spacing w:before="40" w:after="40"/>
              <w:jc w:val="right"/>
              <w:rPr>
                <w:color w:val="000000"/>
                <w:kern w:val="22"/>
                <w:szCs w:val="22"/>
                <w:lang w:val="fr-CA" w:eastAsia="en-CA"/>
              </w:rPr>
            </w:pPr>
          </w:p>
        </w:tc>
        <w:tc>
          <w:tcPr>
            <w:tcW w:w="990" w:type="dxa"/>
            <w:tcBorders>
              <w:top w:val="nil"/>
              <w:left w:val="single" w:sz="4" w:space="0" w:color="auto"/>
              <w:bottom w:val="single" w:sz="4" w:space="0" w:color="auto"/>
              <w:right w:val="single" w:sz="4" w:space="0" w:color="auto"/>
            </w:tcBorders>
            <w:shd w:val="clear" w:color="auto" w:fill="auto"/>
            <w:noWrap/>
            <w:hideMark/>
          </w:tcPr>
          <w:p w14:paraId="52A45C50" w14:textId="6C6F8371" w:rsidR="00D242BE" w:rsidRPr="00AE70B8" w:rsidRDefault="00D242BE" w:rsidP="00282AF6">
            <w:pPr>
              <w:suppressLineNumbers/>
              <w:suppressAutoHyphens/>
              <w:spacing w:before="40" w:after="40"/>
              <w:jc w:val="right"/>
              <w:rPr>
                <w:color w:val="000000"/>
                <w:kern w:val="22"/>
                <w:szCs w:val="22"/>
                <w:lang w:val="fr-CA" w:eastAsia="en-CA"/>
              </w:rPr>
            </w:pPr>
            <w:r w:rsidRPr="00AE70B8">
              <w:rPr>
                <w:color w:val="000000"/>
                <w:kern w:val="22"/>
                <w:szCs w:val="22"/>
                <w:lang w:val="fr-CA" w:eastAsia="en-CA"/>
              </w:rPr>
              <w:t>95</w:t>
            </w:r>
            <w:r w:rsidR="00940FDD" w:rsidRPr="00AE70B8">
              <w:rPr>
                <w:color w:val="000000"/>
                <w:kern w:val="22"/>
                <w:szCs w:val="22"/>
                <w:lang w:val="fr-CA" w:eastAsia="en-CA"/>
              </w:rPr>
              <w:t>,</w:t>
            </w:r>
            <w:r w:rsidRPr="00AE70B8">
              <w:rPr>
                <w:color w:val="000000"/>
                <w:kern w:val="22"/>
                <w:szCs w:val="22"/>
                <w:lang w:val="fr-CA" w:eastAsia="en-CA"/>
              </w:rPr>
              <w:t>5</w:t>
            </w:r>
          </w:p>
        </w:tc>
        <w:tc>
          <w:tcPr>
            <w:tcW w:w="990" w:type="dxa"/>
            <w:tcBorders>
              <w:top w:val="nil"/>
              <w:left w:val="single" w:sz="4" w:space="0" w:color="auto"/>
              <w:bottom w:val="single" w:sz="4" w:space="0" w:color="auto"/>
              <w:right w:val="single" w:sz="4" w:space="0" w:color="auto"/>
            </w:tcBorders>
            <w:shd w:val="clear" w:color="auto" w:fill="auto"/>
            <w:noWrap/>
            <w:hideMark/>
          </w:tcPr>
          <w:p w14:paraId="06763BF0" w14:textId="1A1FC416" w:rsidR="00D242BE" w:rsidRPr="00AE70B8" w:rsidRDefault="00D242BE" w:rsidP="00282AF6">
            <w:pPr>
              <w:suppressLineNumbers/>
              <w:suppressAutoHyphens/>
              <w:spacing w:before="40" w:after="40"/>
              <w:jc w:val="right"/>
              <w:rPr>
                <w:color w:val="000000"/>
                <w:kern w:val="22"/>
                <w:szCs w:val="22"/>
                <w:lang w:val="fr-CA" w:eastAsia="en-CA"/>
              </w:rPr>
            </w:pPr>
            <w:r w:rsidRPr="00AE70B8">
              <w:rPr>
                <w:color w:val="000000"/>
                <w:kern w:val="22"/>
                <w:szCs w:val="22"/>
                <w:lang w:val="fr-CA" w:eastAsia="en-CA"/>
              </w:rPr>
              <w:t>9</w:t>
            </w:r>
            <w:r w:rsidR="00940FDD" w:rsidRPr="00AE70B8">
              <w:rPr>
                <w:color w:val="000000"/>
                <w:kern w:val="22"/>
                <w:szCs w:val="22"/>
                <w:lang w:val="fr-CA" w:eastAsia="en-CA"/>
              </w:rPr>
              <w:t>,</w:t>
            </w:r>
            <w:r w:rsidRPr="00AE70B8">
              <w:rPr>
                <w:color w:val="000000"/>
                <w:kern w:val="22"/>
                <w:szCs w:val="22"/>
                <w:lang w:val="fr-CA" w:eastAsia="en-CA"/>
              </w:rPr>
              <w:t>8</w:t>
            </w:r>
          </w:p>
        </w:tc>
        <w:tc>
          <w:tcPr>
            <w:tcW w:w="990" w:type="dxa"/>
            <w:tcBorders>
              <w:top w:val="nil"/>
              <w:left w:val="single" w:sz="4" w:space="0" w:color="auto"/>
              <w:bottom w:val="single" w:sz="4" w:space="0" w:color="000000" w:themeColor="text1"/>
              <w:right w:val="single" w:sz="4" w:space="0" w:color="auto"/>
            </w:tcBorders>
            <w:shd w:val="clear" w:color="auto" w:fill="auto"/>
            <w:hideMark/>
          </w:tcPr>
          <w:p w14:paraId="00E6159F" w14:textId="06C5C238" w:rsidR="00D242BE" w:rsidRPr="00AE70B8" w:rsidRDefault="00D242BE" w:rsidP="00282AF6">
            <w:pPr>
              <w:suppressLineNumbers/>
              <w:suppressAutoHyphens/>
              <w:spacing w:before="40" w:after="40"/>
              <w:jc w:val="right"/>
              <w:rPr>
                <w:color w:val="000000"/>
                <w:kern w:val="22"/>
                <w:szCs w:val="22"/>
                <w:lang w:val="fr-CA" w:eastAsia="en-CA"/>
              </w:rPr>
            </w:pPr>
            <w:r w:rsidRPr="00AE70B8">
              <w:rPr>
                <w:color w:val="000000"/>
                <w:kern w:val="22"/>
                <w:szCs w:val="22"/>
                <w:lang w:val="fr-CA" w:eastAsia="en-CA"/>
              </w:rPr>
              <w:t>20</w:t>
            </w:r>
            <w:r w:rsidR="00940FDD" w:rsidRPr="00AE70B8">
              <w:rPr>
                <w:color w:val="000000"/>
                <w:kern w:val="22"/>
                <w:szCs w:val="22"/>
                <w:lang w:val="fr-CA" w:eastAsia="en-CA"/>
              </w:rPr>
              <w:t>,</w:t>
            </w:r>
            <w:r w:rsidRPr="00AE70B8">
              <w:rPr>
                <w:color w:val="000000"/>
                <w:kern w:val="22"/>
                <w:szCs w:val="22"/>
                <w:lang w:val="fr-CA" w:eastAsia="en-CA"/>
              </w:rPr>
              <w:t>6</w:t>
            </w:r>
          </w:p>
        </w:tc>
        <w:tc>
          <w:tcPr>
            <w:tcW w:w="990" w:type="dxa"/>
            <w:tcBorders>
              <w:top w:val="single" w:sz="4" w:space="0" w:color="auto"/>
              <w:left w:val="single" w:sz="4" w:space="0" w:color="auto"/>
              <w:bottom w:val="single" w:sz="4" w:space="0" w:color="auto"/>
              <w:right w:val="single" w:sz="4" w:space="0" w:color="auto"/>
            </w:tcBorders>
          </w:tcPr>
          <w:p w14:paraId="5844DAFE" w14:textId="71E5D28D" w:rsidR="00D242BE" w:rsidRPr="00AE70B8" w:rsidRDefault="7855D6C9" w:rsidP="00282AF6">
            <w:pPr>
              <w:suppressLineNumbers/>
              <w:suppressAutoHyphens/>
              <w:spacing w:before="40" w:after="40"/>
              <w:jc w:val="right"/>
              <w:rPr>
                <w:b/>
                <w:color w:val="000000"/>
                <w:kern w:val="22"/>
                <w:szCs w:val="22"/>
                <w:lang w:val="fr-CA" w:eastAsia="en-CA"/>
              </w:rPr>
            </w:pPr>
            <w:r w:rsidRPr="00AE70B8">
              <w:rPr>
                <w:b/>
                <w:color w:val="000000"/>
                <w:kern w:val="22"/>
                <w:szCs w:val="22"/>
                <w:lang w:val="fr-CA" w:eastAsia="en-CA"/>
              </w:rPr>
              <w:t>(42</w:t>
            </w:r>
            <w:r w:rsidR="008657DB" w:rsidRPr="00AE70B8">
              <w:rPr>
                <w:b/>
                <w:color w:val="000000"/>
                <w:kern w:val="22"/>
                <w:szCs w:val="22"/>
                <w:lang w:val="fr-CA" w:eastAsia="en-CA"/>
              </w:rPr>
              <w:t xml:space="preserve"> </w:t>
            </w:r>
            <w:r w:rsidRPr="00AE70B8">
              <w:rPr>
                <w:b/>
                <w:color w:val="000000"/>
                <w:kern w:val="22"/>
                <w:szCs w:val="22"/>
                <w:lang w:val="fr-CA" w:eastAsia="en-CA"/>
              </w:rPr>
              <w:t>93)</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5D8276B" w14:textId="25233B6B" w:rsidR="00D242BE" w:rsidRPr="00AE70B8" w:rsidRDefault="4B5B1D19" w:rsidP="00282AF6">
            <w:pPr>
              <w:suppressLineNumbers/>
              <w:suppressAutoHyphens/>
              <w:spacing w:before="40" w:after="40"/>
              <w:jc w:val="right"/>
              <w:rPr>
                <w:b/>
                <w:color w:val="000000"/>
                <w:kern w:val="22"/>
                <w:szCs w:val="22"/>
                <w:lang w:val="fr-CA" w:eastAsia="en-CA"/>
              </w:rPr>
            </w:pPr>
            <w:r w:rsidRPr="00AE70B8" w:rsidDel="006B4B65">
              <w:rPr>
                <w:b/>
                <w:color w:val="000000"/>
                <w:kern w:val="22"/>
                <w:szCs w:val="22"/>
                <w:lang w:val="fr-CA" w:eastAsia="en-CA"/>
              </w:rPr>
              <w:t>83</w:t>
            </w:r>
            <w:r w:rsidR="00940FDD" w:rsidRPr="00AE70B8">
              <w:rPr>
                <w:b/>
                <w:color w:val="000000"/>
                <w:kern w:val="22"/>
                <w:szCs w:val="22"/>
                <w:lang w:val="fr-CA" w:eastAsia="en-CA"/>
              </w:rPr>
              <w:t>,</w:t>
            </w:r>
            <w:r w:rsidRPr="00AE70B8" w:rsidDel="006B4B65">
              <w:rPr>
                <w:b/>
                <w:color w:val="000000"/>
                <w:kern w:val="22"/>
                <w:szCs w:val="22"/>
                <w:lang w:val="fr-CA" w:eastAsia="en-CA"/>
              </w:rPr>
              <w:t>2</w:t>
            </w:r>
          </w:p>
        </w:tc>
      </w:tr>
      <w:tr w:rsidR="000375DB" w:rsidRPr="00AE70B8" w14:paraId="3DD85213" w14:textId="77777777" w:rsidTr="00940FDD">
        <w:trPr>
          <w:cantSplit/>
          <w:jc w:val="center"/>
        </w:trPr>
        <w:tc>
          <w:tcPr>
            <w:tcW w:w="3235" w:type="dxa"/>
            <w:tcBorders>
              <w:top w:val="nil"/>
              <w:left w:val="single" w:sz="4" w:space="0" w:color="auto"/>
              <w:bottom w:val="single" w:sz="4" w:space="0" w:color="auto"/>
              <w:right w:val="single" w:sz="4" w:space="0" w:color="auto"/>
            </w:tcBorders>
            <w:shd w:val="clear" w:color="auto" w:fill="auto"/>
            <w:noWrap/>
            <w:hideMark/>
          </w:tcPr>
          <w:p w14:paraId="2E3E640F" w14:textId="77777777" w:rsidR="00D242BE" w:rsidRPr="00AE70B8" w:rsidRDefault="00D242BE" w:rsidP="00282AF6">
            <w:pPr>
              <w:suppressLineNumbers/>
              <w:suppressAutoHyphens/>
              <w:spacing w:before="40" w:after="40"/>
              <w:jc w:val="left"/>
              <w:rPr>
                <w:b/>
                <w:color w:val="000000"/>
                <w:kern w:val="22"/>
                <w:szCs w:val="22"/>
                <w:lang w:val="fr-CA" w:eastAsia="en-CA"/>
              </w:rPr>
            </w:pPr>
            <w:r w:rsidRPr="00AE70B8">
              <w:rPr>
                <w:b/>
                <w:color w:val="000000"/>
                <w:kern w:val="22"/>
                <w:szCs w:val="22"/>
                <w:lang w:val="fr-CA" w:eastAsia="en-CA"/>
              </w:rPr>
              <w:t>Total</w:t>
            </w:r>
          </w:p>
        </w:tc>
        <w:tc>
          <w:tcPr>
            <w:tcW w:w="990" w:type="dxa"/>
            <w:tcBorders>
              <w:top w:val="nil"/>
              <w:left w:val="single" w:sz="4" w:space="0" w:color="auto"/>
              <w:bottom w:val="single" w:sz="4" w:space="0" w:color="auto"/>
              <w:right w:val="single" w:sz="4" w:space="0" w:color="auto"/>
            </w:tcBorders>
            <w:shd w:val="clear" w:color="auto" w:fill="auto"/>
            <w:noWrap/>
            <w:hideMark/>
          </w:tcPr>
          <w:p w14:paraId="2A916187" w14:textId="694BBFC2" w:rsidR="00D242BE" w:rsidRPr="00AE70B8" w:rsidRDefault="00D242BE" w:rsidP="00282AF6">
            <w:pPr>
              <w:suppressLineNumbers/>
              <w:suppressAutoHyphens/>
              <w:spacing w:before="40" w:after="40"/>
              <w:jc w:val="right"/>
              <w:rPr>
                <w:b/>
                <w:color w:val="000000"/>
                <w:kern w:val="22"/>
                <w:szCs w:val="22"/>
                <w:lang w:val="fr-CA" w:eastAsia="en-CA"/>
              </w:rPr>
            </w:pPr>
            <w:r w:rsidRPr="00AE70B8">
              <w:rPr>
                <w:b/>
                <w:color w:val="000000"/>
                <w:kern w:val="22"/>
                <w:szCs w:val="22"/>
                <w:lang w:val="fr-CA" w:eastAsia="en-CA"/>
              </w:rPr>
              <w:t>1 618</w:t>
            </w:r>
            <w:r w:rsidR="00940FDD" w:rsidRPr="00AE70B8">
              <w:rPr>
                <w:b/>
                <w:color w:val="000000"/>
                <w:kern w:val="22"/>
                <w:szCs w:val="22"/>
                <w:lang w:val="fr-CA" w:eastAsia="en-CA"/>
              </w:rPr>
              <w:t>,</w:t>
            </w:r>
            <w:r w:rsidRPr="00AE70B8">
              <w:rPr>
                <w:b/>
                <w:color w:val="000000"/>
                <w:kern w:val="22"/>
                <w:szCs w:val="22"/>
                <w:lang w:val="fr-CA" w:eastAsia="en-CA"/>
              </w:rPr>
              <w:t>2</w:t>
            </w:r>
          </w:p>
        </w:tc>
        <w:tc>
          <w:tcPr>
            <w:tcW w:w="990" w:type="dxa"/>
            <w:tcBorders>
              <w:top w:val="nil"/>
              <w:left w:val="single" w:sz="4" w:space="0" w:color="auto"/>
              <w:bottom w:val="single" w:sz="4" w:space="0" w:color="auto"/>
              <w:right w:val="single" w:sz="4" w:space="0" w:color="auto"/>
            </w:tcBorders>
            <w:shd w:val="clear" w:color="auto" w:fill="auto"/>
            <w:noWrap/>
            <w:hideMark/>
          </w:tcPr>
          <w:p w14:paraId="265735DC" w14:textId="516F27B1" w:rsidR="00D242BE" w:rsidRPr="00AE70B8" w:rsidRDefault="00D242BE" w:rsidP="00282AF6">
            <w:pPr>
              <w:suppressLineNumbers/>
              <w:suppressAutoHyphens/>
              <w:spacing w:before="40" w:after="40"/>
              <w:jc w:val="right"/>
              <w:rPr>
                <w:b/>
                <w:color w:val="000000"/>
                <w:kern w:val="22"/>
                <w:szCs w:val="22"/>
                <w:lang w:val="fr-CA" w:eastAsia="en-CA"/>
              </w:rPr>
            </w:pPr>
            <w:r w:rsidRPr="00AE70B8">
              <w:rPr>
                <w:b/>
                <w:color w:val="000000"/>
                <w:kern w:val="22"/>
                <w:szCs w:val="22"/>
                <w:lang w:val="fr-CA" w:eastAsia="en-CA"/>
              </w:rPr>
              <w:t>1 036</w:t>
            </w:r>
            <w:r w:rsidR="00940FDD" w:rsidRPr="00AE70B8">
              <w:rPr>
                <w:b/>
                <w:color w:val="000000"/>
                <w:kern w:val="22"/>
                <w:szCs w:val="22"/>
                <w:lang w:val="fr-CA" w:eastAsia="en-CA"/>
              </w:rPr>
              <w:t>,</w:t>
            </w:r>
            <w:r w:rsidRPr="00AE70B8">
              <w:rPr>
                <w:b/>
                <w:color w:val="000000"/>
                <w:kern w:val="22"/>
                <w:szCs w:val="22"/>
                <w:lang w:val="fr-CA" w:eastAsia="en-CA"/>
              </w:rPr>
              <w:t>1</w:t>
            </w:r>
          </w:p>
        </w:tc>
        <w:tc>
          <w:tcPr>
            <w:tcW w:w="990" w:type="dxa"/>
            <w:tcBorders>
              <w:top w:val="nil"/>
              <w:left w:val="single" w:sz="4" w:space="0" w:color="auto"/>
              <w:bottom w:val="single" w:sz="4" w:space="0" w:color="auto"/>
              <w:right w:val="single" w:sz="4" w:space="0" w:color="auto"/>
            </w:tcBorders>
            <w:shd w:val="clear" w:color="auto" w:fill="auto"/>
            <w:noWrap/>
            <w:hideMark/>
          </w:tcPr>
          <w:p w14:paraId="7ABA0D23" w14:textId="6C851528" w:rsidR="00D242BE" w:rsidRPr="00AE70B8" w:rsidRDefault="00D242BE" w:rsidP="00282AF6">
            <w:pPr>
              <w:suppressLineNumbers/>
              <w:suppressAutoHyphens/>
              <w:spacing w:before="40" w:after="40"/>
              <w:jc w:val="right"/>
              <w:rPr>
                <w:b/>
                <w:color w:val="000000"/>
                <w:kern w:val="22"/>
                <w:szCs w:val="22"/>
                <w:lang w:val="fr-CA" w:eastAsia="en-CA"/>
              </w:rPr>
            </w:pPr>
            <w:r w:rsidRPr="00AE70B8">
              <w:rPr>
                <w:b/>
                <w:color w:val="000000"/>
                <w:kern w:val="22"/>
                <w:szCs w:val="22"/>
                <w:lang w:val="fr-CA" w:eastAsia="en-CA"/>
              </w:rPr>
              <w:t>122</w:t>
            </w:r>
            <w:r w:rsidR="00940FDD" w:rsidRPr="00AE70B8">
              <w:rPr>
                <w:b/>
                <w:color w:val="000000"/>
                <w:kern w:val="22"/>
                <w:szCs w:val="22"/>
                <w:lang w:val="fr-CA" w:eastAsia="en-CA"/>
              </w:rPr>
              <w:t>,</w:t>
            </w:r>
            <w:r w:rsidRPr="00AE70B8">
              <w:rPr>
                <w:b/>
                <w:color w:val="000000"/>
                <w:kern w:val="22"/>
                <w:szCs w:val="22"/>
                <w:lang w:val="fr-CA" w:eastAsia="en-CA"/>
              </w:rPr>
              <w:t>8</w:t>
            </w:r>
          </w:p>
        </w:tc>
        <w:tc>
          <w:tcPr>
            <w:tcW w:w="990" w:type="dxa"/>
            <w:tcBorders>
              <w:top w:val="nil"/>
              <w:left w:val="single" w:sz="4" w:space="0" w:color="auto"/>
              <w:bottom w:val="single" w:sz="4" w:space="0" w:color="auto"/>
              <w:right w:val="single" w:sz="4" w:space="0" w:color="auto"/>
            </w:tcBorders>
            <w:shd w:val="clear" w:color="auto" w:fill="auto"/>
            <w:noWrap/>
            <w:hideMark/>
          </w:tcPr>
          <w:p w14:paraId="4E96FE36" w14:textId="62490679" w:rsidR="00D242BE" w:rsidRPr="00AE70B8" w:rsidRDefault="00D242BE" w:rsidP="00282AF6">
            <w:pPr>
              <w:suppressLineNumbers/>
              <w:suppressAutoHyphens/>
              <w:spacing w:before="40" w:after="40"/>
              <w:jc w:val="right"/>
              <w:rPr>
                <w:b/>
                <w:color w:val="000000"/>
                <w:kern w:val="22"/>
                <w:szCs w:val="22"/>
                <w:lang w:val="fr-CA" w:eastAsia="en-CA"/>
              </w:rPr>
            </w:pPr>
            <w:r w:rsidRPr="00AE70B8">
              <w:rPr>
                <w:b/>
                <w:color w:val="000000"/>
                <w:kern w:val="22"/>
                <w:szCs w:val="22"/>
                <w:lang w:val="fr-CA" w:eastAsia="en-CA"/>
              </w:rPr>
              <w:t>187</w:t>
            </w:r>
            <w:r w:rsidR="00940FDD" w:rsidRPr="00AE70B8">
              <w:rPr>
                <w:b/>
                <w:color w:val="000000"/>
                <w:kern w:val="22"/>
                <w:szCs w:val="22"/>
                <w:lang w:val="fr-CA" w:eastAsia="en-CA"/>
              </w:rPr>
              <w:t>,</w:t>
            </w:r>
            <w:r w:rsidRPr="00AE70B8">
              <w:rPr>
                <w:b/>
                <w:color w:val="000000"/>
                <w:kern w:val="22"/>
                <w:szCs w:val="22"/>
                <w:lang w:val="fr-CA" w:eastAsia="en-CA"/>
              </w:rPr>
              <w:t>3</w:t>
            </w:r>
          </w:p>
        </w:tc>
        <w:tc>
          <w:tcPr>
            <w:tcW w:w="990" w:type="dxa"/>
            <w:tcBorders>
              <w:top w:val="single" w:sz="4" w:space="0" w:color="auto"/>
              <w:left w:val="single" w:sz="4" w:space="0" w:color="auto"/>
              <w:bottom w:val="single" w:sz="4" w:space="0" w:color="auto"/>
              <w:right w:val="single" w:sz="4" w:space="0" w:color="auto"/>
            </w:tcBorders>
          </w:tcPr>
          <w:p w14:paraId="556149CA" w14:textId="215D7BA6" w:rsidR="00D242BE" w:rsidRPr="00AE70B8" w:rsidRDefault="7430FD11" w:rsidP="00282AF6">
            <w:pPr>
              <w:suppressLineNumbers/>
              <w:suppressAutoHyphens/>
              <w:spacing w:before="40" w:after="40"/>
              <w:jc w:val="right"/>
              <w:rPr>
                <w:b/>
                <w:color w:val="000000"/>
                <w:kern w:val="22"/>
                <w:szCs w:val="22"/>
                <w:lang w:val="fr-CA" w:eastAsia="en-CA"/>
              </w:rPr>
            </w:pPr>
            <w:r w:rsidRPr="00AE70B8">
              <w:rPr>
                <w:b/>
                <w:bCs/>
                <w:color w:val="000000" w:themeColor="text1"/>
                <w:kern w:val="22"/>
                <w:szCs w:val="22"/>
                <w:lang w:val="fr-CA" w:eastAsia="en-CA"/>
              </w:rPr>
              <w:t>(390</w:t>
            </w:r>
            <w:r w:rsidR="00940FDD" w:rsidRPr="00AE70B8">
              <w:rPr>
                <w:b/>
                <w:bCs/>
                <w:color w:val="000000" w:themeColor="text1"/>
                <w:kern w:val="22"/>
                <w:szCs w:val="22"/>
                <w:lang w:val="fr-CA" w:eastAsia="en-CA"/>
              </w:rPr>
              <w:t>,</w:t>
            </w:r>
            <w:r w:rsidRPr="00AE70B8">
              <w:rPr>
                <w:b/>
                <w:bCs/>
                <w:color w:val="000000" w:themeColor="text1"/>
                <w:kern w:val="22"/>
                <w:szCs w:val="22"/>
                <w:lang w:val="fr-CA" w:eastAsia="en-CA"/>
              </w:rPr>
              <w:t>27)</w:t>
            </w:r>
          </w:p>
        </w:tc>
        <w:tc>
          <w:tcPr>
            <w:tcW w:w="1080" w:type="dxa"/>
            <w:tcBorders>
              <w:top w:val="single" w:sz="4" w:space="0" w:color="auto"/>
              <w:left w:val="single" w:sz="4" w:space="0" w:color="auto"/>
              <w:bottom w:val="single" w:sz="4" w:space="0" w:color="auto"/>
              <w:right w:val="single" w:sz="4" w:space="0" w:color="auto"/>
            </w:tcBorders>
            <w:shd w:val="clear" w:color="auto" w:fill="auto"/>
            <w:noWrap/>
          </w:tcPr>
          <w:p w14:paraId="11A33942" w14:textId="09B4C35B" w:rsidR="00D242BE" w:rsidRPr="00AE70B8" w:rsidRDefault="7430FD11" w:rsidP="00282AF6">
            <w:pPr>
              <w:suppressLineNumbers/>
              <w:suppressAutoHyphens/>
              <w:spacing w:before="40" w:after="40"/>
              <w:jc w:val="right"/>
              <w:rPr>
                <w:b/>
                <w:color w:val="000000"/>
                <w:kern w:val="22"/>
                <w:szCs w:val="22"/>
                <w:lang w:val="fr-CA" w:eastAsia="en-CA"/>
              </w:rPr>
            </w:pPr>
            <w:r w:rsidRPr="00AE70B8" w:rsidDel="006B4B65">
              <w:rPr>
                <w:b/>
                <w:color w:val="000000"/>
                <w:kern w:val="22"/>
                <w:szCs w:val="22"/>
                <w:lang w:val="fr-CA" w:eastAsia="en-CA"/>
              </w:rPr>
              <w:t>2</w:t>
            </w:r>
            <w:r w:rsidR="008657DB" w:rsidRPr="00AE70B8">
              <w:rPr>
                <w:b/>
                <w:color w:val="000000"/>
                <w:kern w:val="22"/>
                <w:szCs w:val="22"/>
                <w:lang w:val="fr-CA" w:eastAsia="en-CA"/>
              </w:rPr>
              <w:t xml:space="preserve"> </w:t>
            </w:r>
            <w:r w:rsidRPr="00AE70B8" w:rsidDel="006B4B65">
              <w:rPr>
                <w:b/>
                <w:color w:val="000000"/>
                <w:kern w:val="22"/>
                <w:szCs w:val="22"/>
                <w:lang w:val="fr-CA" w:eastAsia="en-CA"/>
              </w:rPr>
              <w:t>574</w:t>
            </w:r>
            <w:r w:rsidR="00940FDD" w:rsidRPr="00AE70B8">
              <w:rPr>
                <w:b/>
                <w:color w:val="000000"/>
                <w:kern w:val="22"/>
                <w:szCs w:val="22"/>
                <w:lang w:val="fr-CA" w:eastAsia="en-CA"/>
              </w:rPr>
              <w:t>,</w:t>
            </w:r>
            <w:r w:rsidRPr="00AE70B8" w:rsidDel="006B4B65">
              <w:rPr>
                <w:b/>
                <w:color w:val="000000"/>
                <w:kern w:val="22"/>
                <w:szCs w:val="22"/>
                <w:lang w:val="fr-CA" w:eastAsia="en-CA"/>
              </w:rPr>
              <w:t>4</w:t>
            </w:r>
          </w:p>
        </w:tc>
      </w:tr>
    </w:tbl>
    <w:p w14:paraId="70100897" w14:textId="1AE9C50C" w:rsidR="00317D76" w:rsidRPr="00AE70B8" w:rsidRDefault="00FE0308" w:rsidP="006914CE">
      <w:pPr>
        <w:pStyle w:val="ListParagraph"/>
        <w:numPr>
          <w:ilvl w:val="0"/>
          <w:numId w:val="19"/>
        </w:numPr>
        <w:suppressLineNumbers/>
        <w:suppressAutoHyphens/>
        <w:spacing w:before="240" w:after="120"/>
        <w:ind w:left="0" w:firstLine="0"/>
        <w:contextualSpacing w:val="0"/>
        <w:rPr>
          <w:kern w:val="22"/>
          <w:szCs w:val="22"/>
          <w:lang w:val="fr-CA"/>
        </w:rPr>
      </w:pPr>
      <w:r>
        <w:rPr>
          <w:kern w:val="22"/>
          <w:szCs w:val="22"/>
          <w:lang w:val="fr-CA"/>
        </w:rPr>
        <w:t>Le surplus cumulatif</w:t>
      </w:r>
      <w:r w:rsidR="00940FDD" w:rsidRPr="00AE70B8">
        <w:rPr>
          <w:kern w:val="22"/>
          <w:szCs w:val="22"/>
          <w:lang w:val="fr-CA"/>
        </w:rPr>
        <w:t xml:space="preserve"> (ne comprenant pas la réserve de trésorerie de 2 574 440 $US) des trois fonds d’affectation spéciale (BY, BG et BB) est évalué à 9,3 millions $US</w:t>
      </w:r>
      <w:r w:rsidR="008537EE" w:rsidRPr="00AE70B8">
        <w:rPr>
          <w:kern w:val="22"/>
          <w:szCs w:val="22"/>
          <w:lang w:val="fr-CA"/>
        </w:rPr>
        <w:t xml:space="preserve"> </w:t>
      </w:r>
      <w:r>
        <w:rPr>
          <w:kern w:val="22"/>
          <w:szCs w:val="22"/>
          <w:lang w:val="fr-CA"/>
        </w:rPr>
        <w:t>pour</w:t>
      </w:r>
      <w:r w:rsidR="008537EE" w:rsidRPr="00AE70B8">
        <w:rPr>
          <w:kern w:val="22"/>
          <w:szCs w:val="22"/>
          <w:lang w:val="fr-CA"/>
        </w:rPr>
        <w:t xml:space="preserve"> la fin de 2021. Cette prévision repose sur </w:t>
      </w:r>
      <w:r>
        <w:rPr>
          <w:kern w:val="22"/>
          <w:szCs w:val="22"/>
          <w:lang w:val="fr-CA"/>
        </w:rPr>
        <w:t>l’hypothèse</w:t>
      </w:r>
      <w:r w:rsidR="008537EE" w:rsidRPr="00AE70B8">
        <w:rPr>
          <w:kern w:val="22"/>
          <w:szCs w:val="22"/>
          <w:lang w:val="fr-CA"/>
        </w:rPr>
        <w:t xml:space="preserve"> que le Secrétariat ne recevra aucune contribution pour 2021 et les années précédentes</w:t>
      </w:r>
      <w:r w:rsidR="5957435B" w:rsidRPr="00AE70B8">
        <w:rPr>
          <w:kern w:val="22"/>
          <w:szCs w:val="22"/>
          <w:lang w:val="fr-CA"/>
        </w:rPr>
        <w:t>.</w:t>
      </w:r>
    </w:p>
    <w:p w14:paraId="518556C9" w14:textId="2CFB8B42" w:rsidR="0054727D" w:rsidRPr="00AE70B8" w:rsidRDefault="0054727D" w:rsidP="00282AF6">
      <w:pPr>
        <w:keepNext/>
        <w:keepLines/>
        <w:suppressLineNumbers/>
        <w:suppressAutoHyphens/>
        <w:jc w:val="left"/>
        <w:rPr>
          <w:b/>
          <w:kern w:val="22"/>
          <w:szCs w:val="22"/>
          <w:lang w:val="fr-CA"/>
        </w:rPr>
      </w:pPr>
      <w:r w:rsidRPr="00AE70B8">
        <w:rPr>
          <w:b/>
          <w:kern w:val="22"/>
          <w:szCs w:val="22"/>
          <w:lang w:val="fr-CA"/>
        </w:rPr>
        <w:t>Table</w:t>
      </w:r>
      <w:r w:rsidR="008537EE" w:rsidRPr="00AE70B8">
        <w:rPr>
          <w:b/>
          <w:kern w:val="22"/>
          <w:szCs w:val="22"/>
          <w:lang w:val="fr-CA"/>
        </w:rPr>
        <w:t>au</w:t>
      </w:r>
      <w:r w:rsidRPr="00AE70B8">
        <w:rPr>
          <w:b/>
          <w:kern w:val="22"/>
          <w:szCs w:val="22"/>
          <w:lang w:val="fr-CA"/>
        </w:rPr>
        <w:t xml:space="preserve"> </w:t>
      </w:r>
      <w:r w:rsidR="00B8572D" w:rsidRPr="00AE70B8">
        <w:rPr>
          <w:b/>
          <w:kern w:val="22"/>
          <w:szCs w:val="22"/>
          <w:lang w:val="fr-CA"/>
        </w:rPr>
        <w:t>4</w:t>
      </w:r>
      <w:r w:rsidR="009C274E" w:rsidRPr="00AE70B8">
        <w:rPr>
          <w:b/>
          <w:kern w:val="22"/>
          <w:szCs w:val="22"/>
          <w:lang w:val="fr-CA"/>
        </w:rPr>
        <w:br/>
      </w:r>
      <w:r w:rsidR="008537EE" w:rsidRPr="00AE70B8">
        <w:rPr>
          <w:b/>
          <w:kern w:val="22"/>
          <w:szCs w:val="22"/>
          <w:lang w:val="fr-CA"/>
        </w:rPr>
        <w:t>Surplus cumulatif prévu (ne comprenant pas la réserve de trésorerie</w:t>
      </w:r>
      <w:r w:rsidR="00E27FDF" w:rsidRPr="00AE70B8">
        <w:rPr>
          <w:b/>
          <w:kern w:val="22"/>
          <w:szCs w:val="22"/>
          <w:lang w:val="fr-CA"/>
        </w:rPr>
        <w:t>)</w:t>
      </w:r>
    </w:p>
    <w:p w14:paraId="5FE2C235" w14:textId="4E348B6B" w:rsidR="009C274E" w:rsidRPr="00AE70B8" w:rsidRDefault="00A654EE">
      <w:pPr>
        <w:keepNext/>
        <w:keepLines/>
        <w:suppressLineNumbers/>
        <w:suppressAutoHyphens/>
        <w:spacing w:after="120"/>
        <w:jc w:val="left"/>
        <w:rPr>
          <w:i/>
          <w:kern w:val="22"/>
          <w:szCs w:val="22"/>
          <w:lang w:val="fr-CA"/>
        </w:rPr>
      </w:pPr>
      <w:r w:rsidRPr="00AE70B8">
        <w:rPr>
          <w:i/>
          <w:kern w:val="22"/>
          <w:szCs w:val="22"/>
          <w:lang w:val="fr-CA"/>
        </w:rPr>
        <w:t>(</w:t>
      </w:r>
      <w:r w:rsidR="00443515">
        <w:rPr>
          <w:i/>
          <w:kern w:val="22"/>
          <w:szCs w:val="22"/>
          <w:lang w:val="fr-CA"/>
        </w:rPr>
        <w:t>En m</w:t>
      </w:r>
      <w:r w:rsidR="008537EE" w:rsidRPr="00AE70B8">
        <w:rPr>
          <w:i/>
          <w:kern w:val="22"/>
          <w:szCs w:val="22"/>
          <w:lang w:val="fr-CA"/>
        </w:rPr>
        <w:t>illions de dollars des États-Unis</w:t>
      </w:r>
      <w:r w:rsidRPr="00AE70B8">
        <w:rPr>
          <w:i/>
          <w:kern w:val="22"/>
          <w:szCs w:val="22"/>
          <w:lang w:val="fr-CA"/>
        </w:rPr>
        <w:t>)</w:t>
      </w:r>
    </w:p>
    <w:tbl>
      <w:tblPr>
        <w:tblStyle w:val="TableGrid"/>
        <w:tblW w:w="0" w:type="auto"/>
        <w:jc w:val="center"/>
        <w:tblLook w:val="04A0" w:firstRow="1" w:lastRow="0" w:firstColumn="1" w:lastColumn="0" w:noHBand="0" w:noVBand="1"/>
      </w:tblPr>
      <w:tblGrid>
        <w:gridCol w:w="3228"/>
        <w:gridCol w:w="1323"/>
        <w:gridCol w:w="1601"/>
        <w:gridCol w:w="1763"/>
        <w:gridCol w:w="1435"/>
      </w:tblGrid>
      <w:tr w:rsidR="0054727D" w:rsidRPr="00AE70B8" w14:paraId="06490D2A" w14:textId="77777777" w:rsidTr="00CC3598">
        <w:trPr>
          <w:jc w:val="center"/>
        </w:trPr>
        <w:tc>
          <w:tcPr>
            <w:tcW w:w="3228" w:type="dxa"/>
          </w:tcPr>
          <w:p w14:paraId="035F2CAC" w14:textId="422510B4" w:rsidR="0054727D" w:rsidRPr="00AE70B8" w:rsidRDefault="00240F79" w:rsidP="00282AF6">
            <w:pPr>
              <w:keepNext/>
              <w:keepLines/>
              <w:suppressLineNumbers/>
              <w:suppressAutoHyphens/>
              <w:jc w:val="center"/>
              <w:rPr>
                <w:i/>
                <w:kern w:val="22"/>
                <w:sz w:val="22"/>
                <w:szCs w:val="22"/>
                <w:lang w:val="fr-CA"/>
              </w:rPr>
            </w:pPr>
            <w:r w:rsidRPr="00AE70B8">
              <w:rPr>
                <w:i/>
                <w:kern w:val="22"/>
                <w:szCs w:val="22"/>
                <w:lang w:val="fr-CA"/>
              </w:rPr>
              <w:t>Date</w:t>
            </w:r>
          </w:p>
        </w:tc>
        <w:tc>
          <w:tcPr>
            <w:tcW w:w="1323" w:type="dxa"/>
          </w:tcPr>
          <w:p w14:paraId="7541792E" w14:textId="77777777" w:rsidR="0054727D" w:rsidRPr="00AE70B8" w:rsidRDefault="0054727D" w:rsidP="00282AF6">
            <w:pPr>
              <w:keepNext/>
              <w:keepLines/>
              <w:suppressLineNumbers/>
              <w:suppressAutoHyphens/>
              <w:jc w:val="center"/>
              <w:rPr>
                <w:i/>
                <w:kern w:val="22"/>
                <w:sz w:val="22"/>
                <w:szCs w:val="22"/>
                <w:lang w:val="fr-CA"/>
              </w:rPr>
            </w:pPr>
            <w:r w:rsidRPr="00AE70B8">
              <w:rPr>
                <w:i/>
                <w:kern w:val="22"/>
                <w:szCs w:val="22"/>
                <w:lang w:val="fr-CA"/>
              </w:rPr>
              <w:t>Convention</w:t>
            </w:r>
          </w:p>
        </w:tc>
        <w:tc>
          <w:tcPr>
            <w:tcW w:w="1601" w:type="dxa"/>
          </w:tcPr>
          <w:p w14:paraId="6BD2CA7A" w14:textId="0BBB9C4B" w:rsidR="0054727D" w:rsidRPr="00AE70B8" w:rsidRDefault="008537EE" w:rsidP="00282AF6">
            <w:pPr>
              <w:keepNext/>
              <w:keepLines/>
              <w:suppressLineNumbers/>
              <w:suppressAutoHyphens/>
              <w:jc w:val="center"/>
              <w:rPr>
                <w:i/>
                <w:kern w:val="22"/>
                <w:sz w:val="22"/>
                <w:szCs w:val="22"/>
                <w:lang w:val="fr-CA"/>
              </w:rPr>
            </w:pPr>
            <w:r w:rsidRPr="00AE70B8">
              <w:rPr>
                <w:i/>
                <w:kern w:val="22"/>
                <w:szCs w:val="22"/>
                <w:lang w:val="fr-CA"/>
              </w:rPr>
              <w:t>Protocole de Cartagena</w:t>
            </w:r>
          </w:p>
        </w:tc>
        <w:tc>
          <w:tcPr>
            <w:tcW w:w="1763" w:type="dxa"/>
          </w:tcPr>
          <w:p w14:paraId="10AE9266" w14:textId="384BE376" w:rsidR="0054727D" w:rsidRPr="00AE70B8" w:rsidRDefault="008537EE" w:rsidP="00282AF6">
            <w:pPr>
              <w:keepNext/>
              <w:keepLines/>
              <w:suppressLineNumbers/>
              <w:suppressAutoHyphens/>
              <w:jc w:val="center"/>
              <w:rPr>
                <w:i/>
                <w:kern w:val="22"/>
                <w:sz w:val="22"/>
                <w:szCs w:val="22"/>
                <w:lang w:val="fr-CA"/>
              </w:rPr>
            </w:pPr>
            <w:r w:rsidRPr="00AE70B8">
              <w:rPr>
                <w:i/>
                <w:kern w:val="22"/>
                <w:szCs w:val="22"/>
                <w:lang w:val="fr-CA"/>
              </w:rPr>
              <w:t>Protocole de Nagoya</w:t>
            </w:r>
          </w:p>
        </w:tc>
        <w:tc>
          <w:tcPr>
            <w:tcW w:w="1435" w:type="dxa"/>
          </w:tcPr>
          <w:p w14:paraId="14331213" w14:textId="77777777" w:rsidR="0054727D" w:rsidRPr="00AE70B8" w:rsidRDefault="0054727D" w:rsidP="00282AF6">
            <w:pPr>
              <w:keepNext/>
              <w:keepLines/>
              <w:suppressLineNumbers/>
              <w:suppressAutoHyphens/>
              <w:jc w:val="center"/>
              <w:rPr>
                <w:i/>
                <w:kern w:val="22"/>
                <w:sz w:val="22"/>
                <w:szCs w:val="22"/>
                <w:lang w:val="fr-CA"/>
              </w:rPr>
            </w:pPr>
            <w:r w:rsidRPr="00AE70B8">
              <w:rPr>
                <w:i/>
                <w:kern w:val="22"/>
                <w:szCs w:val="22"/>
                <w:lang w:val="fr-CA"/>
              </w:rPr>
              <w:t>Total</w:t>
            </w:r>
          </w:p>
        </w:tc>
      </w:tr>
      <w:tr w:rsidR="00814086" w:rsidRPr="00AE70B8" w14:paraId="27D1D859" w14:textId="77777777" w:rsidTr="00CC3598">
        <w:trPr>
          <w:jc w:val="center"/>
        </w:trPr>
        <w:tc>
          <w:tcPr>
            <w:tcW w:w="3228" w:type="dxa"/>
          </w:tcPr>
          <w:p w14:paraId="7799E017" w14:textId="02F48EF9" w:rsidR="00814086" w:rsidRPr="00AE70B8" w:rsidRDefault="008537EE" w:rsidP="006914CE">
            <w:pPr>
              <w:suppressLineNumbers/>
              <w:suppressAutoHyphens/>
              <w:jc w:val="left"/>
              <w:rPr>
                <w:kern w:val="22"/>
                <w:sz w:val="22"/>
                <w:szCs w:val="22"/>
                <w:lang w:val="fr-CA"/>
              </w:rPr>
            </w:pPr>
            <w:r w:rsidRPr="00AE70B8">
              <w:rPr>
                <w:kern w:val="22"/>
                <w:szCs w:val="22"/>
                <w:lang w:val="fr-CA"/>
              </w:rPr>
              <w:t>Réserves au 31 décembre 2021</w:t>
            </w:r>
          </w:p>
        </w:tc>
        <w:tc>
          <w:tcPr>
            <w:tcW w:w="1323" w:type="dxa"/>
            <w:vAlign w:val="center"/>
          </w:tcPr>
          <w:p w14:paraId="6536C392" w14:textId="355C19C5" w:rsidR="00814086" w:rsidRPr="00AE70B8" w:rsidRDefault="00317D76" w:rsidP="006914CE">
            <w:pPr>
              <w:suppressLineNumbers/>
              <w:suppressAutoHyphens/>
              <w:ind w:right="379"/>
              <w:jc w:val="right"/>
              <w:rPr>
                <w:kern w:val="22"/>
                <w:sz w:val="22"/>
                <w:szCs w:val="22"/>
                <w:highlight w:val="yellow"/>
                <w:lang w:val="fr-CA"/>
              </w:rPr>
            </w:pPr>
            <w:r w:rsidRPr="00AE70B8">
              <w:rPr>
                <w:kern w:val="22"/>
                <w:szCs w:val="22"/>
                <w:lang w:val="fr-CA"/>
              </w:rPr>
              <w:t>6</w:t>
            </w:r>
          </w:p>
        </w:tc>
        <w:tc>
          <w:tcPr>
            <w:tcW w:w="1601" w:type="dxa"/>
            <w:vAlign w:val="center"/>
          </w:tcPr>
          <w:p w14:paraId="00F9A391" w14:textId="3AC98A70" w:rsidR="00814086" w:rsidRPr="00AE70B8" w:rsidRDefault="008537EE" w:rsidP="006914CE">
            <w:pPr>
              <w:suppressLineNumbers/>
              <w:suppressAutoHyphens/>
              <w:ind w:right="379"/>
              <w:jc w:val="right"/>
              <w:rPr>
                <w:kern w:val="22"/>
                <w:sz w:val="22"/>
                <w:szCs w:val="22"/>
                <w:lang w:val="fr-CA"/>
              </w:rPr>
            </w:pPr>
            <w:r w:rsidRPr="00AE70B8">
              <w:rPr>
                <w:kern w:val="22"/>
                <w:szCs w:val="22"/>
                <w:lang w:val="fr-CA"/>
              </w:rPr>
              <w:t>2,</w:t>
            </w:r>
            <w:r w:rsidR="16B7CF8D" w:rsidRPr="00AE70B8">
              <w:rPr>
                <w:kern w:val="22"/>
                <w:szCs w:val="22"/>
                <w:lang w:val="fr-CA"/>
              </w:rPr>
              <w:t>5</w:t>
            </w:r>
          </w:p>
        </w:tc>
        <w:tc>
          <w:tcPr>
            <w:tcW w:w="1763" w:type="dxa"/>
            <w:vAlign w:val="center"/>
          </w:tcPr>
          <w:p w14:paraId="040497E5" w14:textId="428F120B" w:rsidR="00814086" w:rsidRPr="00AE70B8" w:rsidRDefault="008537EE" w:rsidP="006914CE">
            <w:pPr>
              <w:suppressLineNumbers/>
              <w:suppressAutoHyphens/>
              <w:ind w:right="379"/>
              <w:jc w:val="right"/>
              <w:rPr>
                <w:kern w:val="22"/>
                <w:sz w:val="22"/>
                <w:szCs w:val="22"/>
                <w:lang w:val="fr-CA"/>
              </w:rPr>
            </w:pPr>
            <w:r w:rsidRPr="00AE70B8">
              <w:rPr>
                <w:kern w:val="22"/>
                <w:szCs w:val="22"/>
                <w:lang w:val="fr-CA"/>
              </w:rPr>
              <w:t>0,</w:t>
            </w:r>
            <w:r w:rsidR="25335490" w:rsidRPr="00AE70B8">
              <w:rPr>
                <w:kern w:val="22"/>
                <w:szCs w:val="22"/>
                <w:lang w:val="fr-CA"/>
              </w:rPr>
              <w:t>8</w:t>
            </w:r>
          </w:p>
        </w:tc>
        <w:tc>
          <w:tcPr>
            <w:tcW w:w="1435" w:type="dxa"/>
            <w:vAlign w:val="center"/>
          </w:tcPr>
          <w:p w14:paraId="3F43D1BB" w14:textId="691D8F10" w:rsidR="00814086" w:rsidRPr="00AE70B8" w:rsidRDefault="008537EE" w:rsidP="006914CE">
            <w:pPr>
              <w:suppressLineNumbers/>
              <w:suppressAutoHyphens/>
              <w:ind w:right="379"/>
              <w:jc w:val="right"/>
              <w:rPr>
                <w:b/>
                <w:kern w:val="22"/>
                <w:sz w:val="22"/>
                <w:szCs w:val="22"/>
                <w:highlight w:val="yellow"/>
                <w:lang w:val="fr-CA"/>
              </w:rPr>
            </w:pPr>
            <w:r w:rsidRPr="00AE70B8">
              <w:rPr>
                <w:b/>
                <w:kern w:val="22"/>
                <w:szCs w:val="22"/>
                <w:lang w:val="fr-CA"/>
              </w:rPr>
              <w:t>9,</w:t>
            </w:r>
            <w:r w:rsidR="75F5FA28" w:rsidRPr="00AE70B8">
              <w:rPr>
                <w:b/>
                <w:kern w:val="22"/>
                <w:szCs w:val="22"/>
                <w:lang w:val="fr-CA"/>
              </w:rPr>
              <w:t>3</w:t>
            </w:r>
          </w:p>
        </w:tc>
      </w:tr>
    </w:tbl>
    <w:p w14:paraId="15263BD2" w14:textId="77777777" w:rsidR="00EB7471" w:rsidRPr="00AE70B8" w:rsidRDefault="00EB7471" w:rsidP="00282AF6">
      <w:pPr>
        <w:pStyle w:val="Default"/>
        <w:suppressLineNumbers/>
        <w:suppressAutoHyphens/>
        <w:jc w:val="both"/>
        <w:rPr>
          <w:rFonts w:eastAsiaTheme="minorEastAsia"/>
          <w:color w:val="auto"/>
          <w:kern w:val="22"/>
          <w:sz w:val="22"/>
          <w:szCs w:val="22"/>
          <w:lang w:val="fr-CA"/>
        </w:rPr>
      </w:pPr>
    </w:p>
    <w:p w14:paraId="4924722D" w14:textId="7B90C087" w:rsidR="00F56269" w:rsidRPr="00AE70B8" w:rsidRDefault="00826415" w:rsidP="00282AF6">
      <w:pPr>
        <w:pStyle w:val="ListParagraph"/>
        <w:keepNext/>
        <w:numPr>
          <w:ilvl w:val="0"/>
          <w:numId w:val="20"/>
        </w:numPr>
        <w:suppressLineNumbers/>
        <w:suppressAutoHyphens/>
        <w:spacing w:before="120" w:after="120"/>
        <w:ind w:left="1152" w:hanging="432"/>
        <w:contextualSpacing w:val="0"/>
        <w:jc w:val="left"/>
        <w:outlineLvl w:val="0"/>
        <w:rPr>
          <w:rFonts w:eastAsia="Malgun Gothic"/>
          <w:b/>
          <w:bCs/>
          <w:caps/>
          <w:color w:val="000000" w:themeColor="text1"/>
          <w:kern w:val="22"/>
          <w:szCs w:val="22"/>
          <w:lang w:val="fr-CA" w:eastAsia="x-none"/>
        </w:rPr>
      </w:pPr>
      <w:r w:rsidRPr="00AE70B8">
        <w:rPr>
          <w:b/>
          <w:bCs/>
          <w:caps/>
          <w:kern w:val="22"/>
          <w:szCs w:val="22"/>
          <w:lang w:val="fr-CA"/>
        </w:rPr>
        <w:t xml:space="preserve">budget provisoire intégré proposé pour le programme de travail de la convention sur la diversité biologique, </w:t>
      </w:r>
      <w:r w:rsidR="00F31E08">
        <w:rPr>
          <w:b/>
          <w:bCs/>
          <w:caps/>
          <w:kern w:val="22"/>
          <w:szCs w:val="22"/>
          <w:lang w:val="fr-CA"/>
        </w:rPr>
        <w:t>du</w:t>
      </w:r>
      <w:r w:rsidRPr="00AE70B8">
        <w:rPr>
          <w:b/>
          <w:bCs/>
          <w:caps/>
          <w:kern w:val="22"/>
          <w:szCs w:val="22"/>
          <w:lang w:val="fr-CA"/>
        </w:rPr>
        <w:t xml:space="preserve"> protocole de cartagena sur la prévention des risques biotechnologiques et </w:t>
      </w:r>
      <w:r w:rsidR="00F31E08">
        <w:rPr>
          <w:b/>
          <w:bCs/>
          <w:caps/>
          <w:kern w:val="22"/>
          <w:szCs w:val="22"/>
          <w:lang w:val="fr-CA"/>
        </w:rPr>
        <w:t>du</w:t>
      </w:r>
      <w:r w:rsidRPr="00AE70B8">
        <w:rPr>
          <w:b/>
          <w:bCs/>
          <w:caps/>
          <w:kern w:val="22"/>
          <w:szCs w:val="22"/>
          <w:lang w:val="fr-CA"/>
        </w:rPr>
        <w:t xml:space="preserve"> protocole de nagoya sur l’accès et le partage des avantages pour 2022</w:t>
      </w:r>
    </w:p>
    <w:p w14:paraId="08682796" w14:textId="7654F82F" w:rsidR="00622CA6" w:rsidRPr="00AE70B8" w:rsidRDefault="00826415" w:rsidP="00622CA6">
      <w:pPr>
        <w:pStyle w:val="ListParagraph"/>
        <w:numPr>
          <w:ilvl w:val="0"/>
          <w:numId w:val="19"/>
        </w:numPr>
        <w:suppressLineNumbers/>
        <w:suppressAutoHyphens/>
        <w:spacing w:before="120" w:after="120"/>
        <w:ind w:left="0" w:firstLine="0"/>
        <w:contextualSpacing w:val="0"/>
        <w:rPr>
          <w:kern w:val="22"/>
          <w:lang w:val="fr-CA"/>
        </w:rPr>
      </w:pPr>
      <w:r w:rsidRPr="00AE70B8">
        <w:rPr>
          <w:kern w:val="22"/>
          <w:lang w:val="fr-CA"/>
        </w:rPr>
        <w:t>Le Secrétariat présente, pour approbation par les Parties, un budget provisoire intégré visant à assurer le maintien du fonctionnement au cours de l’année 2022 en attendant l’adoption du budget de la période biennale 2023-2024 par la Conférence des Parties à sa quinzième réunion. Les ressourc</w:t>
      </w:r>
      <w:r w:rsidR="00443515">
        <w:rPr>
          <w:kern w:val="22"/>
          <w:lang w:val="fr-CA"/>
        </w:rPr>
        <w:t>es nécessaires pour l’année 2022</w:t>
      </w:r>
      <w:r w:rsidRPr="00AE70B8">
        <w:rPr>
          <w:kern w:val="22"/>
          <w:lang w:val="fr-CA"/>
        </w:rPr>
        <w:t>, dont les détails sont fournis dans les tableaux 5a et 5b, comprennent les ressources supplémentaires nécessaires à l’organisation de la quinzième</w:t>
      </w:r>
      <w:r w:rsidR="00E8358D" w:rsidRPr="00AE70B8">
        <w:rPr>
          <w:kern w:val="22"/>
          <w:lang w:val="fr-CA"/>
        </w:rPr>
        <w:t xml:space="preserve"> r</w:t>
      </w:r>
      <w:r w:rsidRPr="00AE70B8">
        <w:rPr>
          <w:kern w:val="22"/>
          <w:lang w:val="fr-CA"/>
        </w:rPr>
        <w:t>éunion de la Conférence des Parties, la dixième réunion de la Conférence des Parties siégeant en tant que réunion des Parties au Protocole de Cartagena et la quatrième réunion de la Conférence des Parties siégeant en tant que réunion des Parties au Protocole de Nagoya</w:t>
      </w:r>
      <w:r w:rsidR="00E8358D" w:rsidRPr="00AE70B8">
        <w:rPr>
          <w:kern w:val="22"/>
          <w:lang w:val="fr-CA"/>
        </w:rPr>
        <w:t xml:space="preserve">, et </w:t>
      </w:r>
      <w:r w:rsidR="00443515">
        <w:rPr>
          <w:kern w:val="22"/>
          <w:lang w:val="fr-CA"/>
        </w:rPr>
        <w:t xml:space="preserve">les </w:t>
      </w:r>
      <w:r w:rsidR="00E8358D" w:rsidRPr="00AE70B8">
        <w:rPr>
          <w:kern w:val="22"/>
          <w:lang w:val="fr-CA"/>
        </w:rPr>
        <w:t>session</w:t>
      </w:r>
      <w:r w:rsidR="00443515">
        <w:rPr>
          <w:kern w:val="22"/>
          <w:lang w:val="fr-CA"/>
        </w:rPr>
        <w:t>s</w:t>
      </w:r>
      <w:r w:rsidR="00E8358D" w:rsidRPr="00AE70B8">
        <w:rPr>
          <w:kern w:val="22"/>
          <w:lang w:val="fr-CA"/>
        </w:rPr>
        <w:t xml:space="preserve"> reportée</w:t>
      </w:r>
      <w:r w:rsidR="00443515">
        <w:rPr>
          <w:kern w:val="22"/>
          <w:lang w:val="fr-CA"/>
        </w:rPr>
        <w:t>s</w:t>
      </w:r>
      <w:r w:rsidR="00E8358D" w:rsidRPr="00AE70B8">
        <w:rPr>
          <w:kern w:val="22"/>
          <w:lang w:val="fr-CA"/>
        </w:rPr>
        <w:t xml:space="preserve"> de la vingt-quatrième réunion de l’Organe subsidiaire chargé de fournir des avis scientifiques, techniques et technologiques, la troisième réunion de l’Organe subsidiaire chargé de l'application et une réunion supplémentaire du Groupe de travail à composition non limitée sur le cadre mondial de la biodiversité pour l'après-2020. Les ressources nécessaires ont été évaluées selon les facteurs et les hypothèses ci-dessous</w:t>
      </w:r>
      <w:r w:rsidR="00622CA6" w:rsidRPr="00AE70B8">
        <w:rPr>
          <w:kern w:val="22"/>
          <w:szCs w:val="22"/>
          <w:lang w:val="fr-CA"/>
        </w:rPr>
        <w:t>.</w:t>
      </w:r>
    </w:p>
    <w:p w14:paraId="5F7DEDB0" w14:textId="34C22B85" w:rsidR="002A2687" w:rsidRPr="00AE70B8" w:rsidRDefault="00E8358D" w:rsidP="006914CE">
      <w:pPr>
        <w:pStyle w:val="Style1"/>
        <w:suppressLineNumbers/>
        <w:suppressAutoHyphens/>
        <w:rPr>
          <w:i w:val="0"/>
          <w:kern w:val="22"/>
          <w:lang w:val="fr-CA"/>
        </w:rPr>
      </w:pPr>
      <w:r w:rsidRPr="00AE70B8">
        <w:rPr>
          <w:i w:val="0"/>
          <w:kern w:val="22"/>
          <w:lang w:val="fr-CA"/>
        </w:rPr>
        <w:t>Principaux facteurs et hypothèses ayant servi à évaluer les besoins en ressources pour 2022</w:t>
      </w:r>
    </w:p>
    <w:p w14:paraId="67BB1216" w14:textId="180C5E51" w:rsidR="009C0162" w:rsidRPr="00AE70B8" w:rsidRDefault="00791E9A" w:rsidP="006914CE">
      <w:pPr>
        <w:pStyle w:val="ListParagraph"/>
        <w:numPr>
          <w:ilvl w:val="0"/>
          <w:numId w:val="19"/>
        </w:numPr>
        <w:suppressLineNumbers/>
        <w:suppressAutoHyphens/>
        <w:spacing w:before="120" w:after="120"/>
        <w:ind w:left="0" w:firstLine="0"/>
        <w:contextualSpacing w:val="0"/>
        <w:rPr>
          <w:kern w:val="22"/>
          <w:lang w:val="fr-CA"/>
        </w:rPr>
      </w:pPr>
      <w:r w:rsidRPr="00AE70B8">
        <w:rPr>
          <w:kern w:val="22"/>
          <w:lang w:val="fr-CA"/>
        </w:rPr>
        <w:t>Les ressources nécessaires pour le budget provisoire de 2022 reposent que l’hypothèse que la Conférence des Parties, à sa quinzième réunion, en 2022, et les réunions connexes des Parties aux Protocoles approuveront un programme de travail intégré axé sur les résultats et son budget pour la période biennale 2023-2024 (ou une période à déterminer</w:t>
      </w:r>
      <w:r w:rsidR="2BB8DD44" w:rsidRPr="00AE70B8">
        <w:rPr>
          <w:kern w:val="22"/>
          <w:lang w:val="fr-CA"/>
        </w:rPr>
        <w:t>)</w:t>
      </w:r>
      <w:r w:rsidR="5EF63CA7" w:rsidRPr="00AE70B8">
        <w:rPr>
          <w:kern w:val="22"/>
          <w:szCs w:val="22"/>
          <w:lang w:val="fr-CA"/>
        </w:rPr>
        <w:t>.</w:t>
      </w:r>
    </w:p>
    <w:p w14:paraId="3AFE77EB" w14:textId="2930F45F" w:rsidR="00622CA6" w:rsidRPr="00AE70B8" w:rsidRDefault="009507BB" w:rsidP="00622CA6">
      <w:pPr>
        <w:pStyle w:val="ListParagraph"/>
        <w:numPr>
          <w:ilvl w:val="0"/>
          <w:numId w:val="19"/>
        </w:numPr>
        <w:suppressLineNumbers/>
        <w:suppressAutoHyphens/>
        <w:spacing w:before="120" w:after="120"/>
        <w:ind w:left="0" w:firstLine="0"/>
        <w:contextualSpacing w:val="0"/>
        <w:rPr>
          <w:kern w:val="22"/>
          <w:lang w:val="fr-CA"/>
        </w:rPr>
      </w:pPr>
      <w:r w:rsidRPr="00AE70B8">
        <w:rPr>
          <w:kern w:val="22"/>
          <w:lang w:val="fr-CA"/>
        </w:rPr>
        <w:t>Le budget provisoire approuvé comprend une partie des coûts de la quinzième ré</w:t>
      </w:r>
      <w:r w:rsidR="00FB352A" w:rsidRPr="00AE70B8">
        <w:rPr>
          <w:kern w:val="22"/>
          <w:lang w:val="fr-CA"/>
        </w:rPr>
        <w:t>union de la Confé</w:t>
      </w:r>
      <w:r w:rsidRPr="00AE70B8">
        <w:rPr>
          <w:kern w:val="22"/>
          <w:lang w:val="fr-CA"/>
        </w:rPr>
        <w:t>rence des Parties et des réunions connexes des Parties aux Protocoles, les coûts de la reprise d</w:t>
      </w:r>
      <w:r w:rsidR="00FB352A" w:rsidRPr="00AE70B8">
        <w:rPr>
          <w:kern w:val="22"/>
          <w:lang w:val="fr-CA"/>
        </w:rPr>
        <w:t>es sessions de la vingt-quatriè</w:t>
      </w:r>
      <w:r w:rsidRPr="00AE70B8">
        <w:rPr>
          <w:kern w:val="22"/>
          <w:lang w:val="fr-CA"/>
        </w:rPr>
        <w:t>me réunion de l’Organe subsidiaire chargé de fournir des avis scientifiques, techniques et technologiques,</w:t>
      </w:r>
      <w:r w:rsidR="00FB352A" w:rsidRPr="00AE70B8">
        <w:rPr>
          <w:kern w:val="22"/>
          <w:lang w:val="fr-CA"/>
        </w:rPr>
        <w:t xml:space="preserve"> </w:t>
      </w:r>
      <w:r w:rsidRPr="00AE70B8">
        <w:rPr>
          <w:kern w:val="22"/>
          <w:lang w:val="fr-CA"/>
        </w:rPr>
        <w:t xml:space="preserve">de la troisième réunion de l’Organe subsidiaire chargé de l'application et </w:t>
      </w:r>
      <w:r w:rsidR="00FB352A" w:rsidRPr="00AE70B8">
        <w:rPr>
          <w:kern w:val="22"/>
          <w:lang w:val="fr-CA"/>
        </w:rPr>
        <w:t>d’</w:t>
      </w:r>
      <w:r w:rsidRPr="00AE70B8">
        <w:rPr>
          <w:kern w:val="22"/>
          <w:lang w:val="fr-CA"/>
        </w:rPr>
        <w:t>une réunion su</w:t>
      </w:r>
      <w:r w:rsidR="00FB352A" w:rsidRPr="00AE70B8">
        <w:rPr>
          <w:kern w:val="22"/>
          <w:lang w:val="fr-CA"/>
        </w:rPr>
        <w:t>pplémentaire du Groupe de travai</w:t>
      </w:r>
      <w:r w:rsidRPr="00AE70B8">
        <w:rPr>
          <w:kern w:val="22"/>
          <w:lang w:val="fr-CA"/>
        </w:rPr>
        <w:t xml:space="preserve">l à composition non limitée </w:t>
      </w:r>
      <w:r w:rsidR="00FB352A" w:rsidRPr="00AE70B8">
        <w:rPr>
          <w:kern w:val="22"/>
          <w:lang w:val="fr-CA"/>
        </w:rPr>
        <w:t>sur le cadre mondial de la biodiversité pour l'après-2020, car le budget reporté de 2019-2020 n’est pas suffisant pour payer tous les coûts</w:t>
      </w:r>
      <w:r w:rsidR="00622CA6" w:rsidRPr="00AE70B8">
        <w:rPr>
          <w:kern w:val="22"/>
          <w:lang w:val="fr-CA"/>
        </w:rPr>
        <w:t>.</w:t>
      </w:r>
    </w:p>
    <w:p w14:paraId="07B9A5CF" w14:textId="3B7C7CA9" w:rsidR="0063185C" w:rsidRPr="00AE70B8" w:rsidRDefault="00FB352A" w:rsidP="00282AF6">
      <w:pPr>
        <w:pStyle w:val="ListParagraph"/>
        <w:numPr>
          <w:ilvl w:val="0"/>
          <w:numId w:val="19"/>
        </w:numPr>
        <w:suppressLineNumbers/>
        <w:suppressAutoHyphens/>
        <w:spacing w:before="120" w:after="120"/>
        <w:ind w:left="0" w:firstLine="0"/>
        <w:contextualSpacing w:val="0"/>
        <w:rPr>
          <w:rFonts w:eastAsiaTheme="minorEastAsia"/>
          <w:kern w:val="22"/>
          <w:lang w:val="fr-CA"/>
        </w:rPr>
      </w:pPr>
      <w:r w:rsidRPr="00AE70B8">
        <w:rPr>
          <w:kern w:val="22"/>
          <w:lang w:val="fr-CA"/>
        </w:rPr>
        <w:t>Le budget provisoire a une portée limitée et ne comprend que les ressources minimums nécessaires pour assurer le maintien du fonctionnement du Secrétariat et de ses activités en 202</w:t>
      </w:r>
      <w:r w:rsidR="66D5F06F" w:rsidRPr="00AE70B8">
        <w:rPr>
          <w:kern w:val="22"/>
          <w:lang w:val="fr-CA"/>
        </w:rPr>
        <w:t>2</w:t>
      </w:r>
      <w:r w:rsidR="4A75FBB2" w:rsidRPr="00AE70B8">
        <w:rPr>
          <w:kern w:val="22"/>
          <w:szCs w:val="22"/>
          <w:lang w:val="fr-CA"/>
        </w:rPr>
        <w:t>.</w:t>
      </w:r>
    </w:p>
    <w:p w14:paraId="5A530D62" w14:textId="568A021E" w:rsidR="004B7BD7" w:rsidRPr="00AE70B8" w:rsidRDefault="00B30E63" w:rsidP="025C64B4">
      <w:pPr>
        <w:pStyle w:val="ListParagraph"/>
        <w:numPr>
          <w:ilvl w:val="0"/>
          <w:numId w:val="19"/>
        </w:numPr>
        <w:suppressLineNumbers/>
        <w:suppressAutoHyphens/>
        <w:spacing w:before="120" w:after="120"/>
        <w:ind w:left="0" w:firstLine="0"/>
        <w:contextualSpacing w:val="0"/>
        <w:rPr>
          <w:kern w:val="22"/>
          <w:szCs w:val="22"/>
          <w:lang w:val="fr-CA"/>
        </w:rPr>
      </w:pPr>
      <w:r>
        <w:rPr>
          <w:kern w:val="22"/>
          <w:szCs w:val="22"/>
          <w:lang w:val="fr-CA"/>
        </w:rPr>
        <w:t>Il n’est pas proposé d’utiliser l</w:t>
      </w:r>
      <w:r w:rsidR="004626D9" w:rsidRPr="00AE70B8">
        <w:rPr>
          <w:kern w:val="22"/>
          <w:szCs w:val="22"/>
          <w:lang w:val="fr-CA"/>
        </w:rPr>
        <w:t xml:space="preserve">es réserves pour compenser les contributions de 2022 </w:t>
      </w:r>
      <w:r>
        <w:rPr>
          <w:kern w:val="22"/>
          <w:szCs w:val="22"/>
          <w:lang w:val="fr-CA"/>
        </w:rPr>
        <w:t>car le</w:t>
      </w:r>
      <w:r w:rsidR="004626D9" w:rsidRPr="00AE70B8">
        <w:rPr>
          <w:kern w:val="22"/>
          <w:szCs w:val="22"/>
          <w:lang w:val="fr-CA"/>
        </w:rPr>
        <w:t xml:space="preserve"> niveau des réserves des fonds d’affectation spéciale du Protocole de Nagoya </w:t>
      </w:r>
      <w:r>
        <w:rPr>
          <w:kern w:val="22"/>
          <w:szCs w:val="22"/>
          <w:lang w:val="fr-CA"/>
        </w:rPr>
        <w:t xml:space="preserve">est faible et que la prudence est de mise </w:t>
      </w:r>
      <w:r w:rsidR="004626D9" w:rsidRPr="00AE70B8">
        <w:rPr>
          <w:kern w:val="22"/>
          <w:szCs w:val="22"/>
          <w:lang w:val="fr-CA"/>
        </w:rPr>
        <w:t>face à la lenteur de la collecte des contributions</w:t>
      </w:r>
      <w:r>
        <w:rPr>
          <w:kern w:val="22"/>
          <w:szCs w:val="22"/>
          <w:lang w:val="fr-CA"/>
        </w:rPr>
        <w:t>,</w:t>
      </w:r>
      <w:r w:rsidR="004626D9" w:rsidRPr="00AE70B8">
        <w:rPr>
          <w:kern w:val="22"/>
          <w:szCs w:val="22"/>
          <w:lang w:val="fr-CA"/>
        </w:rPr>
        <w:t xml:space="preserve"> mise en évidence au paragraphe 8, ci-dessus</w:t>
      </w:r>
      <w:r w:rsidR="6698841D" w:rsidRPr="00AE70B8">
        <w:rPr>
          <w:kern w:val="22"/>
          <w:szCs w:val="22"/>
          <w:lang w:val="fr-CA"/>
        </w:rPr>
        <w:t>.</w:t>
      </w:r>
    </w:p>
    <w:p w14:paraId="3CC7BD80" w14:textId="6871A462" w:rsidR="004B7BD7" w:rsidRPr="00AE70B8" w:rsidRDefault="00030B1E" w:rsidP="025C64B4">
      <w:pPr>
        <w:pStyle w:val="ListParagraph"/>
        <w:numPr>
          <w:ilvl w:val="0"/>
          <w:numId w:val="19"/>
        </w:numPr>
        <w:suppressLineNumbers/>
        <w:suppressAutoHyphens/>
        <w:spacing w:before="120" w:after="120"/>
        <w:ind w:left="0" w:firstLine="0"/>
        <w:contextualSpacing w:val="0"/>
        <w:rPr>
          <w:kern w:val="22"/>
          <w:lang w:val="fr-CA"/>
        </w:rPr>
      </w:pPr>
      <w:r w:rsidRPr="00AE70B8">
        <w:rPr>
          <w:kern w:val="22"/>
          <w:lang w:val="fr-CA"/>
        </w:rPr>
        <w:t xml:space="preserve">Le budget provisoire sera </w:t>
      </w:r>
      <w:r w:rsidR="00B30E63">
        <w:rPr>
          <w:kern w:val="22"/>
          <w:lang w:val="fr-CA"/>
        </w:rPr>
        <w:t>adopté</w:t>
      </w:r>
      <w:r w:rsidRPr="00AE70B8">
        <w:rPr>
          <w:kern w:val="22"/>
          <w:lang w:val="fr-CA"/>
        </w:rPr>
        <w:t xml:space="preserve"> sous réserve du budget final qui sera approuvé par la Conférence des Parties à sa quinzième réunion. Le Secrétariat préparera et soumettra un progr</w:t>
      </w:r>
      <w:r w:rsidR="00F47221" w:rsidRPr="00AE70B8">
        <w:rPr>
          <w:kern w:val="22"/>
          <w:lang w:val="fr-CA"/>
        </w:rPr>
        <w:t>amme de travail détaillé axé su</w:t>
      </w:r>
      <w:r w:rsidRPr="00AE70B8">
        <w:rPr>
          <w:kern w:val="22"/>
          <w:lang w:val="fr-CA"/>
        </w:rPr>
        <w:t xml:space="preserve">r les résultats </w:t>
      </w:r>
      <w:r w:rsidR="00F47221" w:rsidRPr="00AE70B8">
        <w:rPr>
          <w:kern w:val="22"/>
          <w:lang w:val="fr-CA"/>
        </w:rPr>
        <w:t xml:space="preserve">et son budget </w:t>
      </w:r>
      <w:r w:rsidRPr="00AE70B8">
        <w:rPr>
          <w:kern w:val="22"/>
          <w:lang w:val="fr-CA"/>
        </w:rPr>
        <w:t xml:space="preserve">pour la période 2023-2024, conformément </w:t>
      </w:r>
      <w:r w:rsidR="00B30E63">
        <w:rPr>
          <w:kern w:val="22"/>
          <w:lang w:val="fr-CA"/>
        </w:rPr>
        <w:t>au paragraphe 48 de la décision </w:t>
      </w:r>
      <w:r w:rsidRPr="00AE70B8">
        <w:rPr>
          <w:kern w:val="22"/>
          <w:lang w:val="fr-CA"/>
        </w:rPr>
        <w:t>14/37</w:t>
      </w:r>
      <w:r w:rsidR="6698841D" w:rsidRPr="00AE70B8">
        <w:rPr>
          <w:kern w:val="22"/>
          <w:lang w:val="fr-CA"/>
        </w:rPr>
        <w:t>.</w:t>
      </w:r>
    </w:p>
    <w:p w14:paraId="602CA58D" w14:textId="3FDD382A" w:rsidR="00CE4BBD" w:rsidRPr="00AE70B8" w:rsidRDefault="00F47221" w:rsidP="025C64B4">
      <w:pPr>
        <w:pStyle w:val="ListParagraph"/>
        <w:numPr>
          <w:ilvl w:val="0"/>
          <w:numId w:val="19"/>
        </w:numPr>
        <w:suppressLineNumbers/>
        <w:suppressAutoHyphens/>
        <w:spacing w:before="120" w:after="120"/>
        <w:ind w:left="0" w:firstLine="0"/>
        <w:contextualSpacing w:val="0"/>
        <w:rPr>
          <w:kern w:val="22"/>
          <w:lang w:val="fr-CA"/>
        </w:rPr>
      </w:pPr>
      <w:r w:rsidRPr="00AE70B8">
        <w:rPr>
          <w:kern w:val="22"/>
          <w:lang w:val="fr-CA"/>
        </w:rPr>
        <w:t>Les coûts de salaire ont été évalués en fonction de 78 postes (49 postes professionnels et 29 postes de services généraux), conformément au tableau d’effectifs approuvé par la Conférence des Parties à sa quatorzième réunion (tableau 6)</w:t>
      </w:r>
      <w:r w:rsidR="29C59A94" w:rsidRPr="00AE70B8">
        <w:rPr>
          <w:kern w:val="22"/>
          <w:szCs w:val="22"/>
          <w:lang w:val="fr-CA"/>
        </w:rPr>
        <w:t>.</w:t>
      </w:r>
    </w:p>
    <w:p w14:paraId="43014C04" w14:textId="6CAFB4CC" w:rsidR="0052689A" w:rsidRPr="00AE70B8" w:rsidRDefault="0042311A" w:rsidP="025C64B4">
      <w:pPr>
        <w:pStyle w:val="ListParagraph"/>
        <w:numPr>
          <w:ilvl w:val="0"/>
          <w:numId w:val="19"/>
        </w:numPr>
        <w:suppressLineNumbers/>
        <w:suppressAutoHyphens/>
        <w:spacing w:before="120" w:after="120"/>
        <w:ind w:left="0" w:firstLine="0"/>
        <w:contextualSpacing w:val="0"/>
        <w:rPr>
          <w:kern w:val="22"/>
          <w:lang w:val="fr-CA"/>
        </w:rPr>
      </w:pPr>
      <w:r w:rsidRPr="00AE70B8">
        <w:rPr>
          <w:kern w:val="22"/>
          <w:lang w:val="fr-CA"/>
        </w:rPr>
        <w:t xml:space="preserve">Au paragraphe 2 de la décision 14/37, la Conférence des Parties a convenu de répartir les coûts des services de secrétariat entre la Convention, le Protocole de Cartagena sur la prévention des risques biotechnologiques et le Protocole de Nagoya sur l’accès et le partage des avantages, dans une proportion de 74:15:11 pour la période biennale 2019-2020. Ce même ratio s’appliquera au budget provisoire de 2022. Le Secrétariat déterminera </w:t>
      </w:r>
      <w:r w:rsidR="00C60CE3" w:rsidRPr="00AE70B8">
        <w:rPr>
          <w:kern w:val="22"/>
          <w:lang w:val="fr-CA"/>
        </w:rPr>
        <w:t>un nouveau ratio pour la période biennale 2023-2024 aux fins d’examen par la Conférence des Parties à sa quinzième réunion</w:t>
      </w:r>
      <w:r w:rsidR="325CDD9D" w:rsidRPr="00AE70B8">
        <w:rPr>
          <w:kern w:val="22"/>
          <w:lang w:val="fr-CA"/>
        </w:rPr>
        <w:t>.</w:t>
      </w:r>
    </w:p>
    <w:p w14:paraId="035C689B" w14:textId="7AF00261" w:rsidR="00315701" w:rsidRPr="00AE70B8" w:rsidRDefault="599D4869" w:rsidP="006914CE">
      <w:pPr>
        <w:keepNext/>
        <w:suppressLineNumbers/>
        <w:suppressAutoHyphens/>
        <w:spacing w:before="120" w:after="120"/>
        <w:jc w:val="left"/>
        <w:rPr>
          <w:b/>
          <w:kern w:val="22"/>
          <w:lang w:val="fr-CA"/>
        </w:rPr>
      </w:pPr>
      <w:r w:rsidRPr="00AE70B8">
        <w:rPr>
          <w:b/>
          <w:kern w:val="22"/>
          <w:lang w:val="fr-CA"/>
        </w:rPr>
        <w:t>Table</w:t>
      </w:r>
      <w:r w:rsidR="00C60CE3" w:rsidRPr="00AE70B8">
        <w:rPr>
          <w:b/>
          <w:kern w:val="22"/>
          <w:lang w:val="fr-CA"/>
        </w:rPr>
        <w:t>au</w:t>
      </w:r>
      <w:r w:rsidR="3B1A4704" w:rsidRPr="00AE70B8">
        <w:rPr>
          <w:b/>
          <w:kern w:val="22"/>
          <w:lang w:val="fr-CA"/>
        </w:rPr>
        <w:t xml:space="preserve"> </w:t>
      </w:r>
      <w:r w:rsidR="61045E37" w:rsidRPr="00AE70B8">
        <w:rPr>
          <w:b/>
          <w:kern w:val="22"/>
          <w:lang w:val="fr-CA"/>
        </w:rPr>
        <w:t>5</w:t>
      </w:r>
      <w:r w:rsidR="7FD0CD68" w:rsidRPr="00AE70B8">
        <w:rPr>
          <w:b/>
          <w:kern w:val="22"/>
          <w:lang w:val="fr-CA"/>
        </w:rPr>
        <w:t>a</w:t>
      </w:r>
      <w:r w:rsidR="002A34AA" w:rsidRPr="00AE70B8">
        <w:rPr>
          <w:b/>
          <w:kern w:val="22"/>
          <w:szCs w:val="22"/>
          <w:lang w:val="fr-CA"/>
        </w:rPr>
        <w:br/>
      </w:r>
      <w:r w:rsidR="00C60CE3" w:rsidRPr="00AE70B8">
        <w:rPr>
          <w:b/>
          <w:kern w:val="22"/>
          <w:lang w:val="fr-CA"/>
        </w:rPr>
        <w:t>Budget provisoire intégré proposé pour 2022 (par objet de dépense</w:t>
      </w:r>
      <w:r w:rsidR="00EE27E1" w:rsidRPr="00AE70B8">
        <w:rPr>
          <w:b/>
          <w:kern w:val="22"/>
          <w:lang w:val="fr-CA"/>
        </w:rPr>
        <w:t>)</w:t>
      </w:r>
    </w:p>
    <w:tbl>
      <w:tblPr>
        <w:tblW w:w="9365" w:type="dxa"/>
        <w:jc w:val="center"/>
        <w:tblLook w:val="04A0" w:firstRow="1" w:lastRow="0" w:firstColumn="1" w:lastColumn="0" w:noHBand="0" w:noVBand="1"/>
      </w:tblPr>
      <w:tblGrid>
        <w:gridCol w:w="5485"/>
        <w:gridCol w:w="2700"/>
        <w:gridCol w:w="1180"/>
      </w:tblGrid>
      <w:tr w:rsidR="008F5384" w:rsidRPr="00AE70B8" w14:paraId="3A118FCE" w14:textId="77777777" w:rsidTr="00190EF6">
        <w:trPr>
          <w:tblHeader/>
          <w:jc w:val="center"/>
        </w:trPr>
        <w:tc>
          <w:tcPr>
            <w:tcW w:w="5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CA0F5" w14:textId="21D86961" w:rsidR="008F5384" w:rsidRPr="00AE70B8" w:rsidRDefault="00C60CE3" w:rsidP="006914CE">
            <w:pPr>
              <w:keepNext/>
              <w:suppressLineNumbers/>
              <w:suppressAutoHyphens/>
              <w:jc w:val="center"/>
              <w:rPr>
                <w:i/>
                <w:color w:val="000000"/>
                <w:kern w:val="22"/>
                <w:szCs w:val="22"/>
                <w:lang w:val="fr-CA" w:eastAsia="en-CA"/>
              </w:rPr>
            </w:pPr>
            <w:r w:rsidRPr="00AE70B8">
              <w:rPr>
                <w:i/>
                <w:color w:val="000000"/>
                <w:kern w:val="22"/>
                <w:szCs w:val="22"/>
                <w:lang w:val="fr-CA" w:eastAsia="en-CA"/>
              </w:rPr>
              <w:t>Objet de dépense</w:t>
            </w:r>
          </w:p>
        </w:tc>
        <w:tc>
          <w:tcPr>
            <w:tcW w:w="2700" w:type="dxa"/>
            <w:tcBorders>
              <w:top w:val="single" w:sz="4" w:space="0" w:color="auto"/>
              <w:left w:val="single" w:sz="4" w:space="0" w:color="auto"/>
              <w:right w:val="single" w:sz="4" w:space="0" w:color="auto"/>
            </w:tcBorders>
            <w:shd w:val="clear" w:color="auto" w:fill="auto"/>
            <w:vAlign w:val="center"/>
            <w:hideMark/>
          </w:tcPr>
          <w:p w14:paraId="2FDE189F" w14:textId="4BD78F10" w:rsidR="008F5384" w:rsidRPr="00AE70B8" w:rsidRDefault="00C60CE3" w:rsidP="025C64B4">
            <w:pPr>
              <w:keepNext/>
              <w:suppressLineNumbers/>
              <w:suppressAutoHyphens/>
              <w:jc w:val="center"/>
              <w:rPr>
                <w:i/>
                <w:color w:val="000000"/>
                <w:kern w:val="22"/>
                <w:szCs w:val="22"/>
                <w:lang w:val="fr-CA" w:eastAsia="en-CA"/>
              </w:rPr>
            </w:pPr>
            <w:r w:rsidRPr="00AE70B8">
              <w:rPr>
                <w:i/>
                <w:iCs/>
                <w:color w:val="000000" w:themeColor="text1"/>
                <w:kern w:val="22"/>
                <w:szCs w:val="22"/>
                <w:lang w:val="fr-CA" w:eastAsia="en-CA"/>
              </w:rPr>
              <w:t>Budget proposé pour 2022</w:t>
            </w:r>
          </w:p>
          <w:p w14:paraId="34B7C1DA" w14:textId="29B661D1" w:rsidR="008F5384" w:rsidRPr="00AE70B8" w:rsidRDefault="00A61E0A" w:rsidP="00C60CE3">
            <w:pPr>
              <w:keepNext/>
              <w:suppressLineNumbers/>
              <w:suppressAutoHyphens/>
              <w:jc w:val="center"/>
              <w:rPr>
                <w:i/>
                <w:color w:val="000000"/>
                <w:kern w:val="22"/>
                <w:sz w:val="16"/>
                <w:szCs w:val="16"/>
                <w:lang w:val="fr-CA" w:eastAsia="en-CA"/>
              </w:rPr>
            </w:pPr>
            <w:r w:rsidRPr="00AE70B8">
              <w:rPr>
                <w:i/>
                <w:color w:val="000000"/>
                <w:kern w:val="22"/>
                <w:sz w:val="16"/>
                <w:szCs w:val="16"/>
                <w:lang w:val="fr-CA" w:eastAsia="en-CA"/>
              </w:rPr>
              <w:t>(</w:t>
            </w:r>
            <w:r w:rsidR="00C4018A">
              <w:rPr>
                <w:i/>
                <w:color w:val="000000"/>
                <w:kern w:val="22"/>
                <w:sz w:val="16"/>
                <w:szCs w:val="16"/>
                <w:lang w:val="fr-CA" w:eastAsia="en-CA"/>
              </w:rPr>
              <w:t>en m</w:t>
            </w:r>
            <w:r w:rsidR="00C60CE3" w:rsidRPr="00AE70B8">
              <w:rPr>
                <w:i/>
                <w:color w:val="000000"/>
                <w:kern w:val="22"/>
                <w:sz w:val="16"/>
                <w:szCs w:val="16"/>
                <w:lang w:val="fr-CA" w:eastAsia="en-CA"/>
              </w:rPr>
              <w:t>illiers de dollars des États-Unis</w:t>
            </w:r>
            <w:r w:rsidR="008F5384" w:rsidRPr="00AE70B8">
              <w:rPr>
                <w:i/>
                <w:color w:val="000000"/>
                <w:kern w:val="22"/>
                <w:sz w:val="16"/>
                <w:szCs w:val="16"/>
                <w:lang w:val="fr-CA" w:eastAsia="en-CA"/>
              </w:rPr>
              <w:t>)</w:t>
            </w:r>
          </w:p>
        </w:tc>
        <w:tc>
          <w:tcPr>
            <w:tcW w:w="1180" w:type="dxa"/>
            <w:tcBorders>
              <w:top w:val="single" w:sz="4" w:space="0" w:color="auto"/>
              <w:left w:val="single" w:sz="4" w:space="0" w:color="auto"/>
              <w:right w:val="single" w:sz="4" w:space="0" w:color="auto"/>
            </w:tcBorders>
            <w:shd w:val="clear" w:color="auto" w:fill="auto"/>
            <w:vAlign w:val="center"/>
            <w:hideMark/>
          </w:tcPr>
          <w:p w14:paraId="2E9F8DD9" w14:textId="77777777" w:rsidR="008F5384" w:rsidRPr="00AE70B8" w:rsidRDefault="008F5384" w:rsidP="006914CE">
            <w:pPr>
              <w:keepNext/>
              <w:suppressLineNumbers/>
              <w:suppressAutoHyphens/>
              <w:jc w:val="center"/>
              <w:rPr>
                <w:i/>
                <w:color w:val="000000"/>
                <w:kern w:val="22"/>
                <w:szCs w:val="22"/>
                <w:lang w:val="fr-CA" w:eastAsia="en-CA"/>
              </w:rPr>
            </w:pPr>
            <w:r w:rsidRPr="00AE70B8">
              <w:rPr>
                <w:i/>
                <w:color w:val="000000"/>
                <w:kern w:val="22"/>
                <w:szCs w:val="22"/>
                <w:lang w:val="fr-CA" w:eastAsia="en-CA"/>
              </w:rPr>
              <w:t>Notes</w:t>
            </w:r>
          </w:p>
        </w:tc>
      </w:tr>
      <w:tr w:rsidR="002606D7" w:rsidRPr="00AE70B8" w14:paraId="380D36E0" w14:textId="77777777" w:rsidTr="00190EF6">
        <w:trPr>
          <w:trHeight w:val="300"/>
          <w:jc w:val="center"/>
        </w:trPr>
        <w:tc>
          <w:tcPr>
            <w:tcW w:w="5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5905F" w14:textId="5F6CC3A6" w:rsidR="002606D7" w:rsidRPr="00AE70B8" w:rsidRDefault="002606D7" w:rsidP="00C60CE3">
            <w:pPr>
              <w:suppressLineNumbers/>
              <w:suppressAutoHyphens/>
              <w:jc w:val="left"/>
              <w:rPr>
                <w:color w:val="000000"/>
                <w:kern w:val="22"/>
                <w:szCs w:val="22"/>
                <w:lang w:val="fr-CA" w:eastAsia="en-CA"/>
              </w:rPr>
            </w:pPr>
            <w:r w:rsidRPr="00AE70B8">
              <w:rPr>
                <w:color w:val="000000"/>
                <w:kern w:val="22"/>
                <w:szCs w:val="22"/>
                <w:lang w:val="fr-CA" w:eastAsia="en-CA"/>
              </w:rPr>
              <w:t xml:space="preserve">A. </w:t>
            </w:r>
            <w:r w:rsidR="00C60CE3" w:rsidRPr="00AE70B8">
              <w:rPr>
                <w:color w:val="000000"/>
                <w:kern w:val="22"/>
                <w:szCs w:val="22"/>
                <w:lang w:val="fr-CA" w:eastAsia="en-CA"/>
              </w:rPr>
              <w:t>Coûts de personnel</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08EE3" w14:textId="40A8EB22" w:rsidR="002606D7" w:rsidRPr="00AE70B8" w:rsidRDefault="002606D7" w:rsidP="00282AF6">
            <w:pPr>
              <w:suppressLineNumbers/>
              <w:suppressAutoHyphens/>
              <w:jc w:val="right"/>
              <w:rPr>
                <w:color w:val="000000"/>
                <w:kern w:val="22"/>
                <w:szCs w:val="22"/>
                <w:lang w:val="fr-CA" w:eastAsia="en-CA"/>
              </w:rPr>
            </w:pPr>
            <w:r w:rsidRPr="00AE70B8">
              <w:rPr>
                <w:color w:val="000000"/>
                <w:kern w:val="22"/>
                <w:szCs w:val="22"/>
                <w:lang w:val="fr-CA"/>
              </w:rPr>
              <w:t>12</w:t>
            </w:r>
            <w:r w:rsidR="008657DB" w:rsidRPr="00AE70B8">
              <w:rPr>
                <w:color w:val="000000"/>
                <w:kern w:val="22"/>
                <w:szCs w:val="22"/>
                <w:lang w:val="fr-CA"/>
              </w:rPr>
              <w:t xml:space="preserve"> </w:t>
            </w:r>
            <w:r w:rsidRPr="00AE70B8">
              <w:rPr>
                <w:color w:val="000000"/>
                <w:kern w:val="22"/>
                <w:szCs w:val="22"/>
                <w:lang w:val="fr-CA"/>
              </w:rPr>
              <w:t>2</w:t>
            </w:r>
            <w:r w:rsidR="00D32CC6" w:rsidRPr="00AE70B8">
              <w:rPr>
                <w:color w:val="000000"/>
                <w:kern w:val="22"/>
                <w:szCs w:val="22"/>
                <w:lang w:val="fr-CA"/>
              </w:rPr>
              <w:t>48</w:t>
            </w:r>
            <w:r w:rsidRPr="00AE70B8">
              <w:rPr>
                <w:color w:val="000000"/>
                <w:kern w:val="22"/>
                <w:szCs w:val="22"/>
                <w:lang w:val="fr-CA"/>
              </w:rPr>
              <w:t>.0</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5E9090D" w14:textId="263E287F" w:rsidR="002606D7" w:rsidRPr="00AE70B8" w:rsidRDefault="002606D7" w:rsidP="00282AF6">
            <w:pPr>
              <w:suppressLineNumbers/>
              <w:suppressAutoHyphens/>
              <w:jc w:val="center"/>
              <w:rPr>
                <w:color w:val="000000"/>
                <w:kern w:val="22"/>
                <w:szCs w:val="22"/>
                <w:lang w:val="fr-CA" w:eastAsia="en-CA"/>
              </w:rPr>
            </w:pPr>
            <w:r w:rsidRPr="00AE70B8">
              <w:rPr>
                <w:color w:val="000000"/>
                <w:kern w:val="22"/>
                <w:szCs w:val="22"/>
                <w:lang w:val="fr-CA" w:eastAsia="en-CA"/>
              </w:rPr>
              <w:t>1</w:t>
            </w:r>
          </w:p>
        </w:tc>
      </w:tr>
      <w:tr w:rsidR="002606D7" w:rsidRPr="00AE70B8" w14:paraId="031F4653" w14:textId="77777777" w:rsidTr="00190EF6">
        <w:trPr>
          <w:trHeight w:val="300"/>
          <w:jc w:val="center"/>
        </w:trPr>
        <w:tc>
          <w:tcPr>
            <w:tcW w:w="54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F1294" w14:textId="4AE46D81" w:rsidR="002606D7" w:rsidRPr="00AE70B8" w:rsidRDefault="002606D7" w:rsidP="00C60CE3">
            <w:pPr>
              <w:suppressLineNumbers/>
              <w:suppressAutoHyphens/>
              <w:jc w:val="left"/>
              <w:rPr>
                <w:color w:val="000000"/>
                <w:kern w:val="22"/>
                <w:szCs w:val="22"/>
                <w:lang w:val="fr-CA" w:eastAsia="en-CA"/>
              </w:rPr>
            </w:pPr>
            <w:r w:rsidRPr="00AE70B8">
              <w:rPr>
                <w:color w:val="000000"/>
                <w:kern w:val="22"/>
                <w:szCs w:val="22"/>
                <w:lang w:val="fr-CA" w:eastAsia="en-CA"/>
              </w:rPr>
              <w:t xml:space="preserve">B. </w:t>
            </w:r>
            <w:r w:rsidR="00C60CE3" w:rsidRPr="00AE70B8">
              <w:rPr>
                <w:color w:val="000000"/>
                <w:kern w:val="22"/>
                <w:szCs w:val="22"/>
                <w:lang w:val="fr-CA" w:eastAsia="en-CA"/>
              </w:rPr>
              <w:t>Réunions du Bureau</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14:paraId="6D78A47C" w14:textId="75400176" w:rsidR="002606D7" w:rsidRPr="00AE70B8" w:rsidRDefault="002606D7" w:rsidP="00282AF6">
            <w:pPr>
              <w:suppressLineNumbers/>
              <w:suppressAutoHyphens/>
              <w:jc w:val="right"/>
              <w:rPr>
                <w:color w:val="000000"/>
                <w:kern w:val="22"/>
                <w:szCs w:val="22"/>
                <w:lang w:val="fr-CA" w:eastAsia="en-CA"/>
              </w:rPr>
            </w:pP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F72687D" w14:textId="2C729787" w:rsidR="002606D7" w:rsidRPr="00AE70B8" w:rsidRDefault="002606D7" w:rsidP="00282AF6">
            <w:pPr>
              <w:suppressLineNumbers/>
              <w:suppressAutoHyphens/>
              <w:jc w:val="center"/>
              <w:rPr>
                <w:color w:val="000000"/>
                <w:kern w:val="22"/>
                <w:szCs w:val="22"/>
                <w:lang w:val="fr-CA" w:eastAsia="en-CA"/>
              </w:rPr>
            </w:pPr>
          </w:p>
        </w:tc>
      </w:tr>
      <w:tr w:rsidR="002606D7" w:rsidRPr="00AE70B8" w14:paraId="2BE40C60" w14:textId="77777777" w:rsidTr="00190EF6">
        <w:trPr>
          <w:trHeight w:val="300"/>
          <w:jc w:val="center"/>
        </w:trPr>
        <w:tc>
          <w:tcPr>
            <w:tcW w:w="5485" w:type="dxa"/>
            <w:tcBorders>
              <w:top w:val="nil"/>
              <w:left w:val="single" w:sz="4" w:space="0" w:color="auto"/>
              <w:bottom w:val="single" w:sz="4" w:space="0" w:color="auto"/>
              <w:right w:val="single" w:sz="4" w:space="0" w:color="auto"/>
            </w:tcBorders>
            <w:shd w:val="clear" w:color="auto" w:fill="auto"/>
            <w:vAlign w:val="center"/>
            <w:hideMark/>
          </w:tcPr>
          <w:p w14:paraId="61D9997E" w14:textId="26EED487" w:rsidR="002606D7" w:rsidRPr="00AE70B8" w:rsidRDefault="002606D7" w:rsidP="009C06D1">
            <w:pPr>
              <w:suppressLineNumbers/>
              <w:suppressAutoHyphens/>
              <w:jc w:val="left"/>
              <w:rPr>
                <w:color w:val="000000"/>
                <w:kern w:val="22"/>
                <w:szCs w:val="22"/>
                <w:lang w:val="fr-CA" w:eastAsia="en-CA"/>
              </w:rPr>
            </w:pPr>
            <w:r w:rsidRPr="00AE70B8">
              <w:rPr>
                <w:color w:val="000000"/>
                <w:kern w:val="22"/>
                <w:szCs w:val="22"/>
                <w:lang w:val="fr-CA" w:eastAsia="en-CA"/>
              </w:rPr>
              <w:t xml:space="preserve">C. </w:t>
            </w:r>
            <w:r w:rsidR="009C06D1" w:rsidRPr="00AE70B8">
              <w:rPr>
                <w:color w:val="000000"/>
                <w:kern w:val="22"/>
                <w:szCs w:val="22"/>
                <w:lang w:val="fr-CA" w:eastAsia="en-CA"/>
              </w:rPr>
              <w:t>Voyages officiels</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14:paraId="73E27195" w14:textId="33850F5E" w:rsidR="002606D7" w:rsidRPr="00AE70B8" w:rsidRDefault="002606D7" w:rsidP="00282AF6">
            <w:pPr>
              <w:suppressLineNumbers/>
              <w:suppressAutoHyphens/>
              <w:jc w:val="right"/>
              <w:rPr>
                <w:color w:val="000000"/>
                <w:kern w:val="22"/>
                <w:szCs w:val="22"/>
                <w:lang w:val="fr-CA" w:eastAsia="en-CA"/>
              </w:rPr>
            </w:pPr>
            <w:r w:rsidRPr="00AE70B8">
              <w:rPr>
                <w:color w:val="000000"/>
                <w:kern w:val="22"/>
                <w:szCs w:val="22"/>
                <w:lang w:val="fr-CA"/>
              </w:rPr>
              <w:t>275.0</w:t>
            </w:r>
          </w:p>
        </w:tc>
        <w:tc>
          <w:tcPr>
            <w:tcW w:w="1180" w:type="dxa"/>
            <w:tcBorders>
              <w:top w:val="nil"/>
              <w:left w:val="nil"/>
              <w:bottom w:val="single" w:sz="4" w:space="0" w:color="auto"/>
              <w:right w:val="single" w:sz="4" w:space="0" w:color="auto"/>
            </w:tcBorders>
            <w:shd w:val="clear" w:color="auto" w:fill="auto"/>
            <w:vAlign w:val="center"/>
            <w:hideMark/>
          </w:tcPr>
          <w:p w14:paraId="1F982C31" w14:textId="193A8511" w:rsidR="002606D7" w:rsidRPr="00AE70B8" w:rsidRDefault="002606D7" w:rsidP="00282AF6">
            <w:pPr>
              <w:suppressLineNumbers/>
              <w:suppressAutoHyphens/>
              <w:jc w:val="center"/>
              <w:rPr>
                <w:color w:val="000000"/>
                <w:kern w:val="22"/>
                <w:szCs w:val="22"/>
                <w:lang w:val="fr-CA" w:eastAsia="en-CA"/>
              </w:rPr>
            </w:pPr>
          </w:p>
        </w:tc>
      </w:tr>
      <w:tr w:rsidR="002606D7" w:rsidRPr="00AE70B8" w14:paraId="486778AF" w14:textId="77777777" w:rsidTr="00190EF6">
        <w:trPr>
          <w:trHeight w:val="300"/>
          <w:jc w:val="center"/>
        </w:trPr>
        <w:tc>
          <w:tcPr>
            <w:tcW w:w="5485" w:type="dxa"/>
            <w:tcBorders>
              <w:top w:val="nil"/>
              <w:left w:val="single" w:sz="4" w:space="0" w:color="auto"/>
              <w:bottom w:val="single" w:sz="4" w:space="0" w:color="auto"/>
              <w:right w:val="single" w:sz="4" w:space="0" w:color="auto"/>
            </w:tcBorders>
            <w:shd w:val="clear" w:color="auto" w:fill="auto"/>
            <w:vAlign w:val="center"/>
            <w:hideMark/>
          </w:tcPr>
          <w:p w14:paraId="66BB77AB" w14:textId="40E36851" w:rsidR="002606D7" w:rsidRPr="00AE70B8" w:rsidRDefault="002606D7" w:rsidP="009C06D1">
            <w:pPr>
              <w:suppressLineNumbers/>
              <w:suppressAutoHyphens/>
              <w:jc w:val="left"/>
              <w:rPr>
                <w:color w:val="000000"/>
                <w:kern w:val="22"/>
                <w:szCs w:val="22"/>
                <w:lang w:val="fr-CA" w:eastAsia="en-CA"/>
              </w:rPr>
            </w:pPr>
            <w:r w:rsidRPr="00AE70B8">
              <w:rPr>
                <w:color w:val="000000"/>
                <w:kern w:val="22"/>
                <w:szCs w:val="22"/>
                <w:lang w:val="fr-CA" w:eastAsia="en-CA"/>
              </w:rPr>
              <w:t>D. Consultants</w:t>
            </w:r>
            <w:r w:rsidR="009C06D1" w:rsidRPr="00AE70B8">
              <w:rPr>
                <w:color w:val="000000"/>
                <w:kern w:val="22"/>
                <w:szCs w:val="22"/>
                <w:lang w:val="fr-CA" w:eastAsia="en-CA"/>
              </w:rPr>
              <w:t xml:space="preserve"> </w:t>
            </w:r>
            <w:r w:rsidRPr="00AE70B8">
              <w:rPr>
                <w:color w:val="000000"/>
                <w:kern w:val="22"/>
                <w:szCs w:val="22"/>
                <w:lang w:val="fr-CA" w:eastAsia="en-CA"/>
              </w:rPr>
              <w:t>/</w:t>
            </w:r>
            <w:r w:rsidR="009C06D1" w:rsidRPr="00AE70B8">
              <w:rPr>
                <w:color w:val="000000"/>
                <w:kern w:val="22"/>
                <w:szCs w:val="22"/>
                <w:lang w:val="fr-CA" w:eastAsia="en-CA"/>
              </w:rPr>
              <w:t xml:space="preserve"> sous-traitants</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14:paraId="40EACF2F" w14:textId="12AB5A99" w:rsidR="002606D7" w:rsidRPr="00AE70B8" w:rsidRDefault="002606D7" w:rsidP="00282AF6">
            <w:pPr>
              <w:suppressLineNumbers/>
              <w:suppressAutoHyphens/>
              <w:jc w:val="right"/>
              <w:rPr>
                <w:color w:val="000000"/>
                <w:kern w:val="22"/>
                <w:szCs w:val="22"/>
                <w:lang w:val="fr-CA" w:eastAsia="en-CA"/>
              </w:rPr>
            </w:pPr>
            <w:r w:rsidRPr="00AE70B8">
              <w:rPr>
                <w:color w:val="000000"/>
                <w:kern w:val="22"/>
                <w:szCs w:val="22"/>
                <w:lang w:val="fr-CA"/>
              </w:rPr>
              <w:t>50.0</w:t>
            </w:r>
          </w:p>
        </w:tc>
        <w:tc>
          <w:tcPr>
            <w:tcW w:w="1180" w:type="dxa"/>
            <w:tcBorders>
              <w:top w:val="nil"/>
              <w:left w:val="nil"/>
              <w:bottom w:val="single" w:sz="4" w:space="0" w:color="auto"/>
              <w:right w:val="single" w:sz="4" w:space="0" w:color="auto"/>
            </w:tcBorders>
            <w:shd w:val="clear" w:color="auto" w:fill="auto"/>
            <w:vAlign w:val="center"/>
            <w:hideMark/>
          </w:tcPr>
          <w:p w14:paraId="293A9B60" w14:textId="750FA5A1" w:rsidR="002606D7" w:rsidRPr="00AE70B8" w:rsidRDefault="002606D7" w:rsidP="00282AF6">
            <w:pPr>
              <w:suppressLineNumbers/>
              <w:suppressAutoHyphens/>
              <w:jc w:val="center"/>
              <w:rPr>
                <w:color w:val="000000"/>
                <w:kern w:val="22"/>
                <w:szCs w:val="22"/>
                <w:lang w:val="fr-CA" w:eastAsia="en-CA"/>
              </w:rPr>
            </w:pPr>
          </w:p>
        </w:tc>
      </w:tr>
      <w:tr w:rsidR="002606D7" w:rsidRPr="00AE70B8" w14:paraId="2AF0B5E3" w14:textId="77777777" w:rsidTr="00190EF6">
        <w:trPr>
          <w:trHeight w:val="300"/>
          <w:jc w:val="center"/>
        </w:trPr>
        <w:tc>
          <w:tcPr>
            <w:tcW w:w="5485" w:type="dxa"/>
            <w:tcBorders>
              <w:top w:val="nil"/>
              <w:left w:val="single" w:sz="4" w:space="0" w:color="auto"/>
              <w:bottom w:val="single" w:sz="4" w:space="0" w:color="auto"/>
              <w:right w:val="single" w:sz="4" w:space="0" w:color="auto"/>
            </w:tcBorders>
            <w:shd w:val="clear" w:color="auto" w:fill="auto"/>
            <w:vAlign w:val="center"/>
            <w:hideMark/>
          </w:tcPr>
          <w:p w14:paraId="448D9E00" w14:textId="45F8DC09" w:rsidR="002606D7" w:rsidRPr="00AE70B8" w:rsidRDefault="002606D7" w:rsidP="009C06D1">
            <w:pPr>
              <w:suppressLineNumbers/>
              <w:suppressAutoHyphens/>
              <w:jc w:val="left"/>
              <w:rPr>
                <w:color w:val="000000"/>
                <w:kern w:val="22"/>
                <w:szCs w:val="22"/>
                <w:lang w:val="fr-CA" w:eastAsia="en-CA"/>
              </w:rPr>
            </w:pPr>
            <w:r w:rsidRPr="00AE70B8">
              <w:rPr>
                <w:color w:val="000000"/>
                <w:kern w:val="22"/>
                <w:szCs w:val="22"/>
                <w:lang w:val="fr-CA" w:eastAsia="en-CA"/>
              </w:rPr>
              <w:t xml:space="preserve">E. </w:t>
            </w:r>
            <w:r w:rsidR="009C06D1" w:rsidRPr="00AE70B8">
              <w:rPr>
                <w:color w:val="000000"/>
                <w:kern w:val="22"/>
                <w:szCs w:val="22"/>
                <w:lang w:val="fr-CA" w:eastAsia="en-CA"/>
              </w:rPr>
              <w:t>Matériel de sensibilisation du public / communication</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14:paraId="07F34A55" w14:textId="52BF6411" w:rsidR="002606D7" w:rsidRPr="00AE70B8" w:rsidRDefault="002606D7" w:rsidP="00282AF6">
            <w:pPr>
              <w:suppressLineNumbers/>
              <w:suppressAutoHyphens/>
              <w:jc w:val="right"/>
              <w:rPr>
                <w:color w:val="000000"/>
                <w:kern w:val="22"/>
                <w:szCs w:val="22"/>
                <w:lang w:val="fr-CA" w:eastAsia="en-CA"/>
              </w:rPr>
            </w:pPr>
            <w:r w:rsidRPr="00AE70B8">
              <w:rPr>
                <w:color w:val="000000"/>
                <w:kern w:val="22"/>
                <w:szCs w:val="22"/>
                <w:lang w:val="fr-CA"/>
              </w:rPr>
              <w:t>50.0</w:t>
            </w:r>
          </w:p>
        </w:tc>
        <w:tc>
          <w:tcPr>
            <w:tcW w:w="1180" w:type="dxa"/>
            <w:tcBorders>
              <w:top w:val="nil"/>
              <w:left w:val="nil"/>
              <w:bottom w:val="single" w:sz="4" w:space="0" w:color="auto"/>
              <w:right w:val="single" w:sz="4" w:space="0" w:color="auto"/>
            </w:tcBorders>
            <w:shd w:val="clear" w:color="auto" w:fill="auto"/>
            <w:vAlign w:val="center"/>
            <w:hideMark/>
          </w:tcPr>
          <w:p w14:paraId="07BE4F31" w14:textId="74520420" w:rsidR="002606D7" w:rsidRPr="00AE70B8" w:rsidRDefault="002606D7" w:rsidP="00282AF6">
            <w:pPr>
              <w:suppressLineNumbers/>
              <w:suppressAutoHyphens/>
              <w:jc w:val="center"/>
              <w:rPr>
                <w:color w:val="000000"/>
                <w:kern w:val="22"/>
                <w:szCs w:val="22"/>
                <w:lang w:val="fr-CA" w:eastAsia="en-CA"/>
              </w:rPr>
            </w:pPr>
          </w:p>
        </w:tc>
      </w:tr>
      <w:tr w:rsidR="002606D7" w:rsidRPr="00AE70B8" w14:paraId="110A8C16" w14:textId="77777777" w:rsidTr="00190EF6">
        <w:trPr>
          <w:trHeight w:val="300"/>
          <w:jc w:val="center"/>
        </w:trPr>
        <w:tc>
          <w:tcPr>
            <w:tcW w:w="5485" w:type="dxa"/>
            <w:tcBorders>
              <w:top w:val="nil"/>
              <w:left w:val="single" w:sz="4" w:space="0" w:color="auto"/>
              <w:bottom w:val="single" w:sz="4" w:space="0" w:color="auto"/>
              <w:right w:val="single" w:sz="4" w:space="0" w:color="auto"/>
            </w:tcBorders>
            <w:shd w:val="clear" w:color="auto" w:fill="auto"/>
            <w:vAlign w:val="center"/>
            <w:hideMark/>
          </w:tcPr>
          <w:p w14:paraId="6F7E89F2" w14:textId="0EBBA162" w:rsidR="002606D7" w:rsidRPr="00AE70B8" w:rsidRDefault="002606D7" w:rsidP="009C06D1">
            <w:pPr>
              <w:suppressLineNumbers/>
              <w:suppressAutoHyphens/>
              <w:jc w:val="left"/>
              <w:rPr>
                <w:color w:val="000000"/>
                <w:kern w:val="22"/>
                <w:szCs w:val="22"/>
                <w:lang w:val="fr-CA" w:eastAsia="en-CA"/>
              </w:rPr>
            </w:pPr>
            <w:r w:rsidRPr="00AE70B8">
              <w:rPr>
                <w:color w:val="000000"/>
                <w:kern w:val="22"/>
                <w:szCs w:val="22"/>
                <w:lang w:val="fr-CA" w:eastAsia="en-CA"/>
              </w:rPr>
              <w:t xml:space="preserve">F. </w:t>
            </w:r>
            <w:r w:rsidR="009C06D1" w:rsidRPr="00AE70B8">
              <w:rPr>
                <w:color w:val="000000"/>
                <w:kern w:val="22"/>
                <w:szCs w:val="22"/>
                <w:lang w:val="fr-CA" w:eastAsia="en-CA"/>
              </w:rPr>
              <w:t>Assistance temporaire / temps supplémentaire</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14:paraId="647F09DD" w14:textId="5CEAF4D0" w:rsidR="002606D7" w:rsidRPr="00AE70B8" w:rsidRDefault="002606D7" w:rsidP="00282AF6">
            <w:pPr>
              <w:suppressLineNumbers/>
              <w:suppressAutoHyphens/>
              <w:jc w:val="right"/>
              <w:rPr>
                <w:color w:val="000000"/>
                <w:kern w:val="22"/>
                <w:szCs w:val="22"/>
                <w:lang w:val="fr-CA" w:eastAsia="en-CA"/>
              </w:rPr>
            </w:pPr>
            <w:r w:rsidRPr="00AE70B8">
              <w:rPr>
                <w:color w:val="000000"/>
                <w:kern w:val="22"/>
                <w:szCs w:val="22"/>
                <w:lang w:val="fr-CA"/>
              </w:rPr>
              <w:t>100</w:t>
            </w:r>
            <w:r w:rsidR="00702399" w:rsidRPr="00AE70B8">
              <w:rPr>
                <w:color w:val="000000"/>
                <w:kern w:val="22"/>
                <w:szCs w:val="22"/>
                <w:lang w:val="fr-CA"/>
              </w:rPr>
              <w:t>,</w:t>
            </w:r>
            <w:r w:rsidRPr="00AE70B8">
              <w:rPr>
                <w:color w:val="000000"/>
                <w:kern w:val="22"/>
                <w:szCs w:val="22"/>
                <w:lang w:val="fr-CA"/>
              </w:rPr>
              <w:t>0</w:t>
            </w:r>
          </w:p>
        </w:tc>
        <w:tc>
          <w:tcPr>
            <w:tcW w:w="1180" w:type="dxa"/>
            <w:tcBorders>
              <w:top w:val="nil"/>
              <w:left w:val="nil"/>
              <w:bottom w:val="single" w:sz="4" w:space="0" w:color="auto"/>
              <w:right w:val="single" w:sz="4" w:space="0" w:color="auto"/>
            </w:tcBorders>
            <w:shd w:val="clear" w:color="auto" w:fill="auto"/>
            <w:vAlign w:val="center"/>
            <w:hideMark/>
          </w:tcPr>
          <w:p w14:paraId="06C3651C" w14:textId="09753C89" w:rsidR="002606D7" w:rsidRPr="00AE70B8" w:rsidRDefault="002606D7" w:rsidP="00282AF6">
            <w:pPr>
              <w:suppressLineNumbers/>
              <w:suppressAutoHyphens/>
              <w:jc w:val="center"/>
              <w:rPr>
                <w:color w:val="000000"/>
                <w:kern w:val="22"/>
                <w:szCs w:val="22"/>
                <w:lang w:val="fr-CA" w:eastAsia="en-CA"/>
              </w:rPr>
            </w:pPr>
          </w:p>
        </w:tc>
      </w:tr>
      <w:tr w:rsidR="002606D7" w:rsidRPr="00AE70B8" w14:paraId="20593292" w14:textId="77777777" w:rsidTr="00190EF6">
        <w:trPr>
          <w:trHeight w:val="300"/>
          <w:jc w:val="center"/>
        </w:trPr>
        <w:tc>
          <w:tcPr>
            <w:tcW w:w="5485" w:type="dxa"/>
            <w:tcBorders>
              <w:top w:val="nil"/>
              <w:left w:val="single" w:sz="4" w:space="0" w:color="auto"/>
              <w:bottom w:val="single" w:sz="4" w:space="0" w:color="auto"/>
              <w:right w:val="single" w:sz="4" w:space="0" w:color="auto"/>
            </w:tcBorders>
            <w:shd w:val="clear" w:color="auto" w:fill="auto"/>
            <w:vAlign w:val="center"/>
            <w:hideMark/>
          </w:tcPr>
          <w:p w14:paraId="5CACE236" w14:textId="212CC410" w:rsidR="002606D7" w:rsidRPr="00AE70B8" w:rsidRDefault="002606D7" w:rsidP="009C06D1">
            <w:pPr>
              <w:suppressLineNumbers/>
              <w:suppressAutoHyphens/>
              <w:jc w:val="left"/>
              <w:rPr>
                <w:color w:val="000000"/>
                <w:kern w:val="22"/>
                <w:szCs w:val="22"/>
                <w:lang w:val="fr-CA" w:eastAsia="en-CA"/>
              </w:rPr>
            </w:pPr>
            <w:r w:rsidRPr="00AE70B8">
              <w:rPr>
                <w:color w:val="000000"/>
                <w:kern w:val="22"/>
                <w:szCs w:val="22"/>
                <w:lang w:val="fr-CA" w:eastAsia="en-CA"/>
              </w:rPr>
              <w:t xml:space="preserve">G. </w:t>
            </w:r>
            <w:r w:rsidR="009C06D1" w:rsidRPr="00AE70B8">
              <w:rPr>
                <w:color w:val="000000"/>
                <w:kern w:val="22"/>
                <w:szCs w:val="22"/>
                <w:lang w:val="fr-CA" w:eastAsia="en-CA"/>
              </w:rPr>
              <w:t>Formation</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14:paraId="6F6F10A0" w14:textId="7B58905C" w:rsidR="002606D7" w:rsidRPr="00AE70B8" w:rsidRDefault="002606D7" w:rsidP="00282AF6">
            <w:pPr>
              <w:suppressLineNumbers/>
              <w:suppressAutoHyphens/>
              <w:jc w:val="right"/>
              <w:rPr>
                <w:color w:val="000000"/>
                <w:kern w:val="22"/>
                <w:szCs w:val="22"/>
                <w:lang w:val="fr-CA" w:eastAsia="en-CA"/>
              </w:rPr>
            </w:pPr>
            <w:r w:rsidRPr="00AE70B8">
              <w:rPr>
                <w:color w:val="000000"/>
                <w:kern w:val="22"/>
                <w:szCs w:val="22"/>
                <w:lang w:val="fr-CA"/>
              </w:rPr>
              <w:t>5</w:t>
            </w:r>
            <w:r w:rsidR="00702399" w:rsidRPr="00AE70B8">
              <w:rPr>
                <w:color w:val="000000"/>
                <w:kern w:val="22"/>
                <w:szCs w:val="22"/>
                <w:lang w:val="fr-CA"/>
              </w:rPr>
              <w:t>,</w:t>
            </w:r>
            <w:r w:rsidRPr="00AE70B8">
              <w:rPr>
                <w:color w:val="000000"/>
                <w:kern w:val="22"/>
                <w:szCs w:val="22"/>
                <w:lang w:val="fr-CA"/>
              </w:rPr>
              <w:t>0</w:t>
            </w:r>
          </w:p>
        </w:tc>
        <w:tc>
          <w:tcPr>
            <w:tcW w:w="1180" w:type="dxa"/>
            <w:tcBorders>
              <w:top w:val="nil"/>
              <w:left w:val="nil"/>
              <w:bottom w:val="single" w:sz="4" w:space="0" w:color="auto"/>
              <w:right w:val="single" w:sz="4" w:space="0" w:color="auto"/>
            </w:tcBorders>
            <w:shd w:val="clear" w:color="auto" w:fill="auto"/>
            <w:vAlign w:val="center"/>
            <w:hideMark/>
          </w:tcPr>
          <w:p w14:paraId="154F5AC0" w14:textId="719FFF73" w:rsidR="002606D7" w:rsidRPr="00AE70B8" w:rsidRDefault="002606D7" w:rsidP="00282AF6">
            <w:pPr>
              <w:suppressLineNumbers/>
              <w:suppressAutoHyphens/>
              <w:jc w:val="center"/>
              <w:rPr>
                <w:color w:val="000000"/>
                <w:kern w:val="22"/>
                <w:szCs w:val="22"/>
                <w:lang w:val="fr-CA" w:eastAsia="en-CA"/>
              </w:rPr>
            </w:pPr>
          </w:p>
        </w:tc>
      </w:tr>
      <w:tr w:rsidR="002606D7" w:rsidRPr="00AE70B8" w14:paraId="12BAF00D" w14:textId="77777777" w:rsidTr="00190EF6">
        <w:trPr>
          <w:trHeight w:val="359"/>
          <w:jc w:val="center"/>
        </w:trPr>
        <w:tc>
          <w:tcPr>
            <w:tcW w:w="5485" w:type="dxa"/>
            <w:tcBorders>
              <w:top w:val="nil"/>
              <w:left w:val="single" w:sz="4" w:space="0" w:color="auto"/>
              <w:bottom w:val="single" w:sz="4" w:space="0" w:color="auto"/>
              <w:right w:val="single" w:sz="4" w:space="0" w:color="auto"/>
            </w:tcBorders>
            <w:shd w:val="clear" w:color="auto" w:fill="auto"/>
            <w:vAlign w:val="center"/>
            <w:hideMark/>
          </w:tcPr>
          <w:p w14:paraId="18F5D512" w14:textId="685F365A" w:rsidR="002606D7" w:rsidRPr="00AE70B8" w:rsidRDefault="002606D7" w:rsidP="009C06D1">
            <w:pPr>
              <w:suppressLineNumbers/>
              <w:suppressAutoHyphens/>
              <w:jc w:val="left"/>
              <w:rPr>
                <w:color w:val="000000"/>
                <w:kern w:val="22"/>
                <w:szCs w:val="22"/>
                <w:lang w:val="fr-CA" w:eastAsia="en-CA"/>
              </w:rPr>
            </w:pPr>
            <w:r w:rsidRPr="00AE70B8">
              <w:rPr>
                <w:color w:val="000000"/>
                <w:kern w:val="22"/>
                <w:szCs w:val="22"/>
                <w:lang w:val="fr-CA" w:eastAsia="en-CA"/>
              </w:rPr>
              <w:t xml:space="preserve">H. </w:t>
            </w:r>
            <w:r w:rsidR="009C06D1" w:rsidRPr="00AE70B8">
              <w:rPr>
                <w:color w:val="000000"/>
                <w:kern w:val="22"/>
                <w:szCs w:val="22"/>
                <w:lang w:val="fr-CA" w:eastAsia="en-CA"/>
              </w:rPr>
              <w:t>Traduction du site Web du centre d’échange / projets de site Web</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14:paraId="29FBD8B3" w14:textId="1838A4C1" w:rsidR="002606D7" w:rsidRPr="00AE70B8" w:rsidRDefault="002606D7" w:rsidP="00282AF6">
            <w:pPr>
              <w:suppressLineNumbers/>
              <w:suppressAutoHyphens/>
              <w:jc w:val="right"/>
              <w:rPr>
                <w:color w:val="000000"/>
                <w:kern w:val="22"/>
                <w:szCs w:val="22"/>
                <w:lang w:val="fr-CA" w:eastAsia="en-CA"/>
              </w:rPr>
            </w:pPr>
            <w:r w:rsidRPr="00AE70B8">
              <w:rPr>
                <w:color w:val="000000"/>
                <w:kern w:val="22"/>
                <w:szCs w:val="22"/>
                <w:lang w:val="fr-CA"/>
              </w:rPr>
              <w:t>65</w:t>
            </w:r>
            <w:r w:rsidR="00702399" w:rsidRPr="00AE70B8">
              <w:rPr>
                <w:color w:val="000000"/>
                <w:kern w:val="22"/>
                <w:szCs w:val="22"/>
                <w:lang w:val="fr-CA"/>
              </w:rPr>
              <w:t>,</w:t>
            </w:r>
            <w:r w:rsidRPr="00AE70B8">
              <w:rPr>
                <w:color w:val="000000"/>
                <w:kern w:val="22"/>
                <w:szCs w:val="22"/>
                <w:lang w:val="fr-CA"/>
              </w:rPr>
              <w:t>0</w:t>
            </w:r>
          </w:p>
        </w:tc>
        <w:tc>
          <w:tcPr>
            <w:tcW w:w="1180" w:type="dxa"/>
            <w:tcBorders>
              <w:top w:val="nil"/>
              <w:left w:val="nil"/>
              <w:bottom w:val="single" w:sz="4" w:space="0" w:color="auto"/>
              <w:right w:val="single" w:sz="4" w:space="0" w:color="auto"/>
            </w:tcBorders>
            <w:shd w:val="clear" w:color="auto" w:fill="auto"/>
            <w:vAlign w:val="center"/>
            <w:hideMark/>
          </w:tcPr>
          <w:p w14:paraId="1E392E89" w14:textId="2217DB03" w:rsidR="002606D7" w:rsidRPr="00AE70B8" w:rsidRDefault="002606D7" w:rsidP="00282AF6">
            <w:pPr>
              <w:suppressLineNumbers/>
              <w:suppressAutoHyphens/>
              <w:jc w:val="center"/>
              <w:rPr>
                <w:color w:val="000000"/>
                <w:kern w:val="22"/>
                <w:szCs w:val="22"/>
                <w:lang w:val="fr-CA" w:eastAsia="en-CA"/>
              </w:rPr>
            </w:pPr>
          </w:p>
        </w:tc>
      </w:tr>
      <w:tr w:rsidR="002606D7" w:rsidRPr="00AE70B8" w14:paraId="3C86C4ED" w14:textId="77777777" w:rsidTr="00190EF6">
        <w:trPr>
          <w:trHeight w:val="300"/>
          <w:jc w:val="center"/>
        </w:trPr>
        <w:tc>
          <w:tcPr>
            <w:tcW w:w="5485" w:type="dxa"/>
            <w:tcBorders>
              <w:top w:val="nil"/>
              <w:left w:val="single" w:sz="4" w:space="0" w:color="auto"/>
              <w:bottom w:val="single" w:sz="4" w:space="0" w:color="auto"/>
              <w:right w:val="single" w:sz="4" w:space="0" w:color="auto"/>
            </w:tcBorders>
            <w:shd w:val="clear" w:color="auto" w:fill="auto"/>
            <w:vAlign w:val="center"/>
            <w:hideMark/>
          </w:tcPr>
          <w:p w14:paraId="2897D1A1" w14:textId="0F1D808B" w:rsidR="002606D7" w:rsidRPr="00AE70B8" w:rsidRDefault="002606D7" w:rsidP="009C06D1">
            <w:pPr>
              <w:suppressLineNumbers/>
              <w:suppressAutoHyphens/>
              <w:jc w:val="left"/>
              <w:rPr>
                <w:color w:val="000000"/>
                <w:kern w:val="22"/>
                <w:szCs w:val="22"/>
                <w:lang w:val="fr-CA" w:eastAsia="en-CA"/>
              </w:rPr>
            </w:pPr>
            <w:r w:rsidRPr="00AE70B8">
              <w:rPr>
                <w:color w:val="000000"/>
                <w:kern w:val="22"/>
                <w:szCs w:val="22"/>
                <w:lang w:val="fr-CA" w:eastAsia="en-CA"/>
              </w:rPr>
              <w:t xml:space="preserve">I. </w:t>
            </w:r>
            <w:r w:rsidR="009C06D1" w:rsidRPr="00AE70B8">
              <w:rPr>
                <w:color w:val="000000"/>
                <w:kern w:val="22"/>
                <w:szCs w:val="22"/>
                <w:lang w:val="fr-CA" w:eastAsia="en-CA"/>
              </w:rPr>
              <w:t>Réunions</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14:paraId="6351DC16" w14:textId="5AAABF88" w:rsidR="002606D7" w:rsidRPr="00AE70B8" w:rsidRDefault="002606D7" w:rsidP="00282AF6">
            <w:pPr>
              <w:suppressLineNumbers/>
              <w:suppressAutoHyphens/>
              <w:jc w:val="right"/>
              <w:rPr>
                <w:color w:val="000000"/>
                <w:kern w:val="22"/>
                <w:szCs w:val="22"/>
                <w:lang w:val="fr-CA" w:eastAsia="en-CA"/>
              </w:rPr>
            </w:pPr>
            <w:r w:rsidRPr="00AE70B8">
              <w:rPr>
                <w:color w:val="000000"/>
                <w:kern w:val="22"/>
                <w:szCs w:val="22"/>
                <w:lang w:val="fr-CA"/>
              </w:rPr>
              <w:t>1</w:t>
            </w:r>
            <w:r w:rsidR="008657DB" w:rsidRPr="00AE70B8">
              <w:rPr>
                <w:color w:val="000000"/>
                <w:kern w:val="22"/>
                <w:szCs w:val="22"/>
                <w:lang w:val="fr-CA"/>
              </w:rPr>
              <w:t xml:space="preserve"> </w:t>
            </w:r>
            <w:r w:rsidRPr="00AE70B8">
              <w:rPr>
                <w:color w:val="000000"/>
                <w:kern w:val="22"/>
                <w:szCs w:val="22"/>
                <w:lang w:val="fr-CA"/>
              </w:rPr>
              <w:t>391</w:t>
            </w:r>
            <w:r w:rsidR="00702399" w:rsidRPr="00AE70B8">
              <w:rPr>
                <w:color w:val="000000"/>
                <w:kern w:val="22"/>
                <w:szCs w:val="22"/>
                <w:lang w:val="fr-CA"/>
              </w:rPr>
              <w:t>,</w:t>
            </w:r>
            <w:r w:rsidRPr="00AE70B8">
              <w:rPr>
                <w:color w:val="000000"/>
                <w:kern w:val="22"/>
                <w:szCs w:val="22"/>
                <w:lang w:val="fr-CA"/>
              </w:rPr>
              <w:t>0</w:t>
            </w:r>
          </w:p>
        </w:tc>
        <w:tc>
          <w:tcPr>
            <w:tcW w:w="1180" w:type="dxa"/>
            <w:tcBorders>
              <w:top w:val="nil"/>
              <w:left w:val="nil"/>
              <w:bottom w:val="single" w:sz="4" w:space="0" w:color="auto"/>
              <w:right w:val="single" w:sz="4" w:space="0" w:color="auto"/>
            </w:tcBorders>
            <w:shd w:val="clear" w:color="auto" w:fill="auto"/>
            <w:vAlign w:val="center"/>
            <w:hideMark/>
          </w:tcPr>
          <w:p w14:paraId="6F0561D3" w14:textId="432BEB3D" w:rsidR="002606D7" w:rsidRPr="00AE70B8" w:rsidRDefault="002606D7" w:rsidP="00282AF6">
            <w:pPr>
              <w:suppressLineNumbers/>
              <w:suppressAutoHyphens/>
              <w:jc w:val="center"/>
              <w:rPr>
                <w:color w:val="000000"/>
                <w:kern w:val="22"/>
                <w:szCs w:val="22"/>
                <w:lang w:val="fr-CA" w:eastAsia="en-CA"/>
              </w:rPr>
            </w:pPr>
          </w:p>
        </w:tc>
      </w:tr>
      <w:tr w:rsidR="002606D7" w:rsidRPr="00AE70B8" w14:paraId="7C466E2A" w14:textId="77777777" w:rsidTr="00190EF6">
        <w:trPr>
          <w:trHeight w:val="300"/>
          <w:jc w:val="center"/>
        </w:trPr>
        <w:tc>
          <w:tcPr>
            <w:tcW w:w="5485" w:type="dxa"/>
            <w:tcBorders>
              <w:top w:val="nil"/>
              <w:left w:val="single" w:sz="4" w:space="0" w:color="auto"/>
              <w:bottom w:val="single" w:sz="4" w:space="0" w:color="auto"/>
              <w:right w:val="single" w:sz="4" w:space="0" w:color="auto"/>
            </w:tcBorders>
            <w:shd w:val="clear" w:color="auto" w:fill="auto"/>
            <w:vAlign w:val="center"/>
            <w:hideMark/>
          </w:tcPr>
          <w:p w14:paraId="193D99E2" w14:textId="6DEB62EE" w:rsidR="002606D7" w:rsidRPr="00AE70B8" w:rsidRDefault="002606D7" w:rsidP="009C06D1">
            <w:pPr>
              <w:suppressLineNumbers/>
              <w:suppressAutoHyphens/>
              <w:jc w:val="left"/>
              <w:rPr>
                <w:color w:val="000000"/>
                <w:kern w:val="22"/>
                <w:szCs w:val="22"/>
                <w:lang w:val="fr-CA" w:eastAsia="en-CA"/>
              </w:rPr>
            </w:pPr>
            <w:r w:rsidRPr="00AE70B8">
              <w:rPr>
                <w:color w:val="000000"/>
                <w:kern w:val="22"/>
                <w:szCs w:val="22"/>
                <w:lang w:val="fr-CA" w:eastAsia="en-CA"/>
              </w:rPr>
              <w:t xml:space="preserve">J. </w:t>
            </w:r>
            <w:r w:rsidR="009C06D1" w:rsidRPr="00AE70B8">
              <w:rPr>
                <w:color w:val="000000"/>
                <w:kern w:val="22"/>
                <w:szCs w:val="22"/>
                <w:lang w:val="fr-CA" w:eastAsia="en-CA"/>
              </w:rPr>
              <w:t>Réunions d’experts</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14:paraId="6B452826" w14:textId="6F5A31A7" w:rsidR="002606D7" w:rsidRPr="00AE70B8" w:rsidRDefault="002606D7" w:rsidP="00282AF6">
            <w:pPr>
              <w:suppressLineNumbers/>
              <w:suppressAutoHyphens/>
              <w:jc w:val="right"/>
              <w:rPr>
                <w:color w:val="000000"/>
                <w:kern w:val="22"/>
                <w:szCs w:val="22"/>
                <w:lang w:val="fr-CA" w:eastAsia="en-CA"/>
              </w:rPr>
            </w:pPr>
          </w:p>
        </w:tc>
        <w:tc>
          <w:tcPr>
            <w:tcW w:w="1180" w:type="dxa"/>
            <w:tcBorders>
              <w:top w:val="nil"/>
              <w:left w:val="nil"/>
              <w:bottom w:val="single" w:sz="4" w:space="0" w:color="auto"/>
              <w:right w:val="single" w:sz="4" w:space="0" w:color="auto"/>
            </w:tcBorders>
            <w:shd w:val="clear" w:color="auto" w:fill="auto"/>
            <w:vAlign w:val="center"/>
          </w:tcPr>
          <w:p w14:paraId="75EC109E" w14:textId="06EC4ACC" w:rsidR="002606D7" w:rsidRPr="00AE70B8" w:rsidRDefault="002606D7" w:rsidP="00282AF6">
            <w:pPr>
              <w:suppressLineNumbers/>
              <w:suppressAutoHyphens/>
              <w:jc w:val="center"/>
              <w:rPr>
                <w:color w:val="000000"/>
                <w:kern w:val="22"/>
                <w:szCs w:val="22"/>
                <w:lang w:val="fr-CA" w:eastAsia="en-CA"/>
              </w:rPr>
            </w:pPr>
          </w:p>
        </w:tc>
      </w:tr>
      <w:tr w:rsidR="002606D7" w:rsidRPr="00E70A04" w14:paraId="5218E6E4" w14:textId="77777777" w:rsidTr="00190EF6">
        <w:trPr>
          <w:trHeight w:val="300"/>
          <w:jc w:val="center"/>
        </w:trPr>
        <w:tc>
          <w:tcPr>
            <w:tcW w:w="5485" w:type="dxa"/>
            <w:tcBorders>
              <w:top w:val="nil"/>
              <w:left w:val="single" w:sz="4" w:space="0" w:color="auto"/>
              <w:bottom w:val="single" w:sz="4" w:space="0" w:color="auto"/>
              <w:right w:val="single" w:sz="4" w:space="0" w:color="auto"/>
            </w:tcBorders>
            <w:shd w:val="clear" w:color="auto" w:fill="auto"/>
            <w:vAlign w:val="center"/>
            <w:hideMark/>
          </w:tcPr>
          <w:p w14:paraId="34FD2956" w14:textId="538EC562" w:rsidR="002606D7" w:rsidRPr="00AE70B8" w:rsidRDefault="002606D7" w:rsidP="009C06D1">
            <w:pPr>
              <w:suppressLineNumbers/>
              <w:suppressAutoHyphens/>
              <w:jc w:val="left"/>
              <w:rPr>
                <w:color w:val="000000"/>
                <w:kern w:val="22"/>
                <w:szCs w:val="22"/>
                <w:lang w:val="fr-CA" w:eastAsia="en-CA"/>
              </w:rPr>
            </w:pPr>
            <w:r w:rsidRPr="00AE70B8">
              <w:rPr>
                <w:color w:val="000000"/>
                <w:kern w:val="22"/>
                <w:szCs w:val="22"/>
                <w:lang w:val="fr-CA" w:eastAsia="en-CA"/>
              </w:rPr>
              <w:t xml:space="preserve">K. </w:t>
            </w:r>
            <w:r w:rsidR="009C06D1" w:rsidRPr="00AE70B8">
              <w:rPr>
                <w:color w:val="000000"/>
                <w:kern w:val="22"/>
                <w:szCs w:val="22"/>
                <w:lang w:val="fr-CA" w:eastAsia="en-CA"/>
              </w:rPr>
              <w:t xml:space="preserve">Réunions extraordinaires sur le cadre mondial de la biodiversité pour l'après-2020 </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14:paraId="6F278741" w14:textId="722FCEC6" w:rsidR="002606D7" w:rsidRPr="00AE70B8" w:rsidRDefault="002606D7" w:rsidP="00282AF6">
            <w:pPr>
              <w:suppressLineNumbers/>
              <w:suppressAutoHyphens/>
              <w:jc w:val="right"/>
              <w:rPr>
                <w:color w:val="000000"/>
                <w:kern w:val="22"/>
                <w:szCs w:val="22"/>
                <w:lang w:val="fr-CA" w:eastAsia="en-CA"/>
              </w:rPr>
            </w:pPr>
          </w:p>
        </w:tc>
        <w:tc>
          <w:tcPr>
            <w:tcW w:w="1180" w:type="dxa"/>
            <w:tcBorders>
              <w:top w:val="nil"/>
              <w:left w:val="nil"/>
              <w:bottom w:val="single" w:sz="4" w:space="0" w:color="auto"/>
              <w:right w:val="single" w:sz="4" w:space="0" w:color="auto"/>
            </w:tcBorders>
            <w:shd w:val="clear" w:color="auto" w:fill="auto"/>
            <w:vAlign w:val="center"/>
          </w:tcPr>
          <w:p w14:paraId="6F2AA56B" w14:textId="31FE1A19" w:rsidR="002606D7" w:rsidRPr="00AE70B8" w:rsidRDefault="002606D7" w:rsidP="00282AF6">
            <w:pPr>
              <w:suppressLineNumbers/>
              <w:suppressAutoHyphens/>
              <w:jc w:val="center"/>
              <w:rPr>
                <w:color w:val="000000"/>
                <w:kern w:val="22"/>
                <w:szCs w:val="22"/>
                <w:lang w:val="fr-CA" w:eastAsia="en-CA"/>
              </w:rPr>
            </w:pPr>
          </w:p>
        </w:tc>
      </w:tr>
      <w:tr w:rsidR="002606D7" w:rsidRPr="00AE70B8" w14:paraId="3EF7FF78" w14:textId="77777777" w:rsidTr="00190EF6">
        <w:trPr>
          <w:trHeight w:val="300"/>
          <w:jc w:val="center"/>
        </w:trPr>
        <w:tc>
          <w:tcPr>
            <w:tcW w:w="5485" w:type="dxa"/>
            <w:tcBorders>
              <w:top w:val="nil"/>
              <w:left w:val="single" w:sz="4" w:space="0" w:color="auto"/>
              <w:bottom w:val="single" w:sz="4" w:space="0" w:color="auto"/>
              <w:right w:val="single" w:sz="4" w:space="0" w:color="auto"/>
            </w:tcBorders>
            <w:shd w:val="clear" w:color="auto" w:fill="auto"/>
            <w:vAlign w:val="center"/>
            <w:hideMark/>
          </w:tcPr>
          <w:p w14:paraId="205E9DC2" w14:textId="60E7D18F" w:rsidR="002606D7" w:rsidRPr="00AE70B8" w:rsidRDefault="002606D7" w:rsidP="009C06D1">
            <w:pPr>
              <w:suppressLineNumbers/>
              <w:suppressAutoHyphens/>
              <w:jc w:val="left"/>
              <w:rPr>
                <w:color w:val="000000"/>
                <w:kern w:val="22"/>
                <w:szCs w:val="22"/>
                <w:lang w:val="fr-CA" w:eastAsia="en-CA"/>
              </w:rPr>
            </w:pPr>
            <w:r w:rsidRPr="00AE70B8">
              <w:rPr>
                <w:color w:val="000000"/>
                <w:kern w:val="22"/>
                <w:szCs w:val="22"/>
                <w:lang w:val="fr-CA" w:eastAsia="en-CA"/>
              </w:rPr>
              <w:t xml:space="preserve">L. </w:t>
            </w:r>
            <w:r w:rsidR="009C06D1" w:rsidRPr="00AE70B8">
              <w:rPr>
                <w:color w:val="000000"/>
                <w:kern w:val="22"/>
                <w:szCs w:val="22"/>
                <w:lang w:val="fr-CA" w:eastAsia="en-CA"/>
              </w:rPr>
              <w:t>Loyer et coûts apparentés</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14:paraId="68D6E8A7" w14:textId="27452E4F" w:rsidR="002606D7" w:rsidRPr="00AE70B8" w:rsidRDefault="002606D7" w:rsidP="00282AF6">
            <w:pPr>
              <w:suppressLineNumbers/>
              <w:suppressAutoHyphens/>
              <w:jc w:val="right"/>
              <w:rPr>
                <w:color w:val="000000"/>
                <w:kern w:val="22"/>
                <w:szCs w:val="22"/>
                <w:lang w:val="fr-CA" w:eastAsia="en-CA"/>
              </w:rPr>
            </w:pPr>
            <w:r w:rsidRPr="00AE70B8">
              <w:rPr>
                <w:color w:val="000000"/>
                <w:kern w:val="22"/>
                <w:szCs w:val="22"/>
                <w:lang w:val="fr-CA"/>
              </w:rPr>
              <w:t>1</w:t>
            </w:r>
            <w:r w:rsidR="008657DB" w:rsidRPr="00AE70B8">
              <w:rPr>
                <w:color w:val="000000"/>
                <w:kern w:val="22"/>
                <w:szCs w:val="22"/>
                <w:lang w:val="fr-CA"/>
              </w:rPr>
              <w:t xml:space="preserve"> </w:t>
            </w:r>
            <w:r w:rsidRPr="00AE70B8">
              <w:rPr>
                <w:color w:val="000000"/>
                <w:kern w:val="22"/>
                <w:szCs w:val="22"/>
                <w:lang w:val="fr-CA"/>
              </w:rPr>
              <w:t>481</w:t>
            </w:r>
            <w:r w:rsidR="00702399" w:rsidRPr="00AE70B8">
              <w:rPr>
                <w:color w:val="000000"/>
                <w:kern w:val="22"/>
                <w:szCs w:val="22"/>
                <w:lang w:val="fr-CA"/>
              </w:rPr>
              <w:t>,</w:t>
            </w:r>
            <w:r w:rsidRPr="00AE70B8">
              <w:rPr>
                <w:color w:val="000000"/>
                <w:kern w:val="22"/>
                <w:szCs w:val="22"/>
                <w:lang w:val="fr-CA"/>
              </w:rPr>
              <w:t>2</w:t>
            </w:r>
          </w:p>
        </w:tc>
        <w:tc>
          <w:tcPr>
            <w:tcW w:w="1180" w:type="dxa"/>
            <w:tcBorders>
              <w:top w:val="nil"/>
              <w:left w:val="nil"/>
              <w:bottom w:val="single" w:sz="4" w:space="0" w:color="auto"/>
              <w:right w:val="single" w:sz="4" w:space="0" w:color="auto"/>
            </w:tcBorders>
            <w:shd w:val="clear" w:color="auto" w:fill="auto"/>
            <w:vAlign w:val="center"/>
            <w:hideMark/>
          </w:tcPr>
          <w:p w14:paraId="22695BEB" w14:textId="7D342C7C" w:rsidR="002606D7" w:rsidRPr="00AE70B8" w:rsidRDefault="002606D7" w:rsidP="00282AF6">
            <w:pPr>
              <w:suppressLineNumbers/>
              <w:suppressAutoHyphens/>
              <w:jc w:val="center"/>
              <w:rPr>
                <w:color w:val="000000"/>
                <w:kern w:val="22"/>
                <w:szCs w:val="22"/>
                <w:lang w:val="fr-CA" w:eastAsia="en-CA"/>
              </w:rPr>
            </w:pPr>
          </w:p>
        </w:tc>
      </w:tr>
      <w:tr w:rsidR="002606D7" w:rsidRPr="00AE70B8" w14:paraId="15DC0A06" w14:textId="77777777" w:rsidTr="00190EF6">
        <w:trPr>
          <w:trHeight w:val="300"/>
          <w:jc w:val="center"/>
        </w:trPr>
        <w:tc>
          <w:tcPr>
            <w:tcW w:w="5485" w:type="dxa"/>
            <w:tcBorders>
              <w:top w:val="nil"/>
              <w:left w:val="single" w:sz="4" w:space="0" w:color="auto"/>
              <w:bottom w:val="single" w:sz="4" w:space="0" w:color="auto"/>
              <w:right w:val="single" w:sz="4" w:space="0" w:color="auto"/>
            </w:tcBorders>
            <w:shd w:val="clear" w:color="auto" w:fill="auto"/>
            <w:vAlign w:val="center"/>
            <w:hideMark/>
          </w:tcPr>
          <w:p w14:paraId="4B1061CE" w14:textId="0BF72ACA" w:rsidR="002606D7" w:rsidRPr="00AE70B8" w:rsidRDefault="002606D7" w:rsidP="009C06D1">
            <w:pPr>
              <w:suppressLineNumbers/>
              <w:suppressAutoHyphens/>
              <w:jc w:val="left"/>
              <w:rPr>
                <w:color w:val="000000"/>
                <w:kern w:val="22"/>
                <w:szCs w:val="22"/>
                <w:lang w:val="fr-CA" w:eastAsia="en-CA"/>
              </w:rPr>
            </w:pPr>
            <w:r w:rsidRPr="00AE70B8">
              <w:rPr>
                <w:color w:val="000000"/>
                <w:kern w:val="22"/>
                <w:szCs w:val="22"/>
                <w:lang w:val="fr-CA" w:eastAsia="en-CA"/>
              </w:rPr>
              <w:t xml:space="preserve">M. </w:t>
            </w:r>
            <w:r w:rsidR="009C06D1" w:rsidRPr="00AE70B8">
              <w:rPr>
                <w:color w:val="000000"/>
                <w:kern w:val="22"/>
                <w:szCs w:val="22"/>
                <w:lang w:val="fr-CA" w:eastAsia="en-CA"/>
              </w:rPr>
              <w:t>Frais de fonctionnement généraux</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14:paraId="4E84F30D" w14:textId="52CC23FE" w:rsidR="002606D7" w:rsidRPr="00AE70B8" w:rsidRDefault="002606D7" w:rsidP="00282AF6">
            <w:pPr>
              <w:suppressLineNumbers/>
              <w:suppressAutoHyphens/>
              <w:jc w:val="right"/>
              <w:rPr>
                <w:color w:val="000000"/>
                <w:kern w:val="22"/>
                <w:szCs w:val="22"/>
                <w:lang w:val="fr-CA" w:eastAsia="en-CA"/>
              </w:rPr>
            </w:pPr>
            <w:r w:rsidRPr="00AE70B8">
              <w:rPr>
                <w:color w:val="000000"/>
                <w:kern w:val="22"/>
                <w:szCs w:val="22"/>
                <w:lang w:val="fr-CA"/>
              </w:rPr>
              <w:t>726</w:t>
            </w:r>
            <w:r w:rsidR="00702399" w:rsidRPr="00AE70B8">
              <w:rPr>
                <w:color w:val="000000"/>
                <w:kern w:val="22"/>
                <w:szCs w:val="22"/>
                <w:lang w:val="fr-CA"/>
              </w:rPr>
              <w:t>,</w:t>
            </w:r>
            <w:r w:rsidRPr="00AE70B8">
              <w:rPr>
                <w:color w:val="000000"/>
                <w:kern w:val="22"/>
                <w:szCs w:val="22"/>
                <w:lang w:val="fr-CA"/>
              </w:rPr>
              <w:t>6</w:t>
            </w:r>
          </w:p>
        </w:tc>
        <w:tc>
          <w:tcPr>
            <w:tcW w:w="1180" w:type="dxa"/>
            <w:tcBorders>
              <w:top w:val="nil"/>
              <w:left w:val="nil"/>
              <w:bottom w:val="single" w:sz="4" w:space="0" w:color="auto"/>
              <w:right w:val="single" w:sz="4" w:space="0" w:color="auto"/>
            </w:tcBorders>
            <w:shd w:val="clear" w:color="auto" w:fill="auto"/>
            <w:vAlign w:val="center"/>
            <w:hideMark/>
          </w:tcPr>
          <w:p w14:paraId="64DD38E1" w14:textId="559B7AC5" w:rsidR="002606D7" w:rsidRPr="00AE70B8" w:rsidRDefault="002606D7" w:rsidP="00282AF6">
            <w:pPr>
              <w:suppressLineNumbers/>
              <w:suppressAutoHyphens/>
              <w:jc w:val="center"/>
              <w:rPr>
                <w:color w:val="000000"/>
                <w:kern w:val="22"/>
                <w:szCs w:val="22"/>
                <w:lang w:val="fr-CA" w:eastAsia="en-CA"/>
              </w:rPr>
            </w:pPr>
          </w:p>
        </w:tc>
      </w:tr>
      <w:tr w:rsidR="002606D7" w:rsidRPr="00AE70B8" w14:paraId="74121A93" w14:textId="77777777" w:rsidTr="00190EF6">
        <w:trPr>
          <w:trHeight w:val="300"/>
          <w:jc w:val="center"/>
        </w:trPr>
        <w:tc>
          <w:tcPr>
            <w:tcW w:w="5485" w:type="dxa"/>
            <w:tcBorders>
              <w:top w:val="nil"/>
              <w:left w:val="single" w:sz="4" w:space="0" w:color="auto"/>
              <w:bottom w:val="single" w:sz="4" w:space="0" w:color="auto"/>
              <w:right w:val="single" w:sz="4" w:space="0" w:color="auto"/>
            </w:tcBorders>
            <w:shd w:val="clear" w:color="auto" w:fill="auto"/>
            <w:vAlign w:val="center"/>
            <w:hideMark/>
          </w:tcPr>
          <w:p w14:paraId="35794C71" w14:textId="6254A1E3" w:rsidR="002606D7" w:rsidRPr="00AE70B8" w:rsidRDefault="009C06D1" w:rsidP="00282AF6">
            <w:pPr>
              <w:suppressLineNumbers/>
              <w:suppressAutoHyphens/>
              <w:jc w:val="left"/>
              <w:rPr>
                <w:b/>
                <w:color w:val="000000"/>
                <w:kern w:val="22"/>
                <w:szCs w:val="22"/>
                <w:lang w:val="fr-CA" w:eastAsia="en-CA"/>
              </w:rPr>
            </w:pPr>
            <w:r w:rsidRPr="00AE70B8">
              <w:rPr>
                <w:b/>
                <w:color w:val="000000"/>
                <w:kern w:val="22"/>
                <w:szCs w:val="22"/>
                <w:lang w:val="fr-CA" w:eastAsia="en-CA"/>
              </w:rPr>
              <w:t>Total partiel</w:t>
            </w:r>
            <w:r w:rsidR="002606D7" w:rsidRPr="00AE70B8">
              <w:rPr>
                <w:b/>
                <w:color w:val="000000"/>
                <w:kern w:val="22"/>
                <w:szCs w:val="22"/>
                <w:lang w:val="fr-CA" w:eastAsia="en-CA"/>
              </w:rPr>
              <w:t xml:space="preserve"> (I)</w:t>
            </w:r>
          </w:p>
        </w:tc>
        <w:tc>
          <w:tcPr>
            <w:tcW w:w="2700" w:type="dxa"/>
            <w:tcBorders>
              <w:top w:val="nil"/>
              <w:left w:val="single" w:sz="4" w:space="0" w:color="auto"/>
              <w:bottom w:val="single" w:sz="4" w:space="0" w:color="auto"/>
              <w:right w:val="single" w:sz="4" w:space="0" w:color="auto"/>
            </w:tcBorders>
            <w:shd w:val="clear" w:color="auto" w:fill="auto"/>
            <w:vAlign w:val="center"/>
            <w:hideMark/>
          </w:tcPr>
          <w:p w14:paraId="097650BD" w14:textId="6067C756" w:rsidR="002606D7" w:rsidRPr="00AE70B8" w:rsidRDefault="00D32CC6" w:rsidP="00282AF6">
            <w:pPr>
              <w:suppressLineNumbers/>
              <w:suppressAutoHyphens/>
              <w:jc w:val="right"/>
              <w:rPr>
                <w:b/>
                <w:bCs/>
                <w:color w:val="000000"/>
                <w:kern w:val="22"/>
                <w:szCs w:val="22"/>
                <w:lang w:val="fr-CA" w:eastAsia="en-CA"/>
              </w:rPr>
            </w:pPr>
            <w:r w:rsidRPr="00AE70B8">
              <w:rPr>
                <w:b/>
                <w:bCs/>
                <w:color w:val="000000"/>
                <w:kern w:val="22"/>
                <w:szCs w:val="22"/>
                <w:lang w:val="fr-CA"/>
              </w:rPr>
              <w:t>16</w:t>
            </w:r>
            <w:r w:rsidR="008657DB" w:rsidRPr="00AE70B8">
              <w:rPr>
                <w:b/>
                <w:bCs/>
                <w:color w:val="000000"/>
                <w:kern w:val="22"/>
                <w:szCs w:val="22"/>
                <w:lang w:val="fr-CA"/>
              </w:rPr>
              <w:t xml:space="preserve"> </w:t>
            </w:r>
            <w:r w:rsidRPr="00AE70B8">
              <w:rPr>
                <w:b/>
                <w:bCs/>
                <w:color w:val="000000"/>
                <w:kern w:val="22"/>
                <w:szCs w:val="22"/>
                <w:lang w:val="fr-CA"/>
              </w:rPr>
              <w:t>391</w:t>
            </w:r>
            <w:r w:rsidR="00702399" w:rsidRPr="00AE70B8">
              <w:rPr>
                <w:b/>
                <w:bCs/>
                <w:color w:val="000000"/>
                <w:kern w:val="22"/>
                <w:szCs w:val="22"/>
                <w:lang w:val="fr-CA"/>
              </w:rPr>
              <w:t>,</w:t>
            </w:r>
            <w:r w:rsidRPr="00AE70B8">
              <w:rPr>
                <w:b/>
                <w:bCs/>
                <w:color w:val="000000"/>
                <w:kern w:val="22"/>
                <w:szCs w:val="22"/>
                <w:lang w:val="fr-CA"/>
              </w:rPr>
              <w:t>82</w:t>
            </w:r>
          </w:p>
        </w:tc>
        <w:tc>
          <w:tcPr>
            <w:tcW w:w="1180" w:type="dxa"/>
            <w:tcBorders>
              <w:top w:val="nil"/>
              <w:left w:val="nil"/>
              <w:bottom w:val="single" w:sz="4" w:space="0" w:color="auto"/>
              <w:right w:val="single" w:sz="4" w:space="0" w:color="auto"/>
            </w:tcBorders>
            <w:shd w:val="clear" w:color="auto" w:fill="auto"/>
            <w:vAlign w:val="center"/>
            <w:hideMark/>
          </w:tcPr>
          <w:p w14:paraId="650B0D82" w14:textId="0556DCB2" w:rsidR="002606D7" w:rsidRPr="00AE70B8" w:rsidRDefault="002606D7" w:rsidP="00282AF6">
            <w:pPr>
              <w:suppressLineNumbers/>
              <w:suppressAutoHyphens/>
              <w:jc w:val="center"/>
              <w:rPr>
                <w:color w:val="000000"/>
                <w:kern w:val="22"/>
                <w:szCs w:val="22"/>
                <w:lang w:val="fr-CA" w:eastAsia="en-CA"/>
              </w:rPr>
            </w:pPr>
          </w:p>
        </w:tc>
      </w:tr>
      <w:tr w:rsidR="002606D7" w:rsidRPr="00AE70B8" w14:paraId="5C4FB945" w14:textId="77777777" w:rsidTr="00190EF6">
        <w:trPr>
          <w:trHeight w:val="300"/>
          <w:jc w:val="center"/>
        </w:trPr>
        <w:tc>
          <w:tcPr>
            <w:tcW w:w="5485" w:type="dxa"/>
            <w:tcBorders>
              <w:top w:val="nil"/>
              <w:left w:val="single" w:sz="4" w:space="0" w:color="auto"/>
              <w:bottom w:val="single" w:sz="4" w:space="0" w:color="auto"/>
              <w:right w:val="single" w:sz="4" w:space="0" w:color="auto"/>
            </w:tcBorders>
            <w:shd w:val="clear" w:color="auto" w:fill="auto"/>
            <w:vAlign w:val="center"/>
            <w:hideMark/>
          </w:tcPr>
          <w:p w14:paraId="75927E3F" w14:textId="52F1D4D0" w:rsidR="002606D7" w:rsidRPr="00AE70B8" w:rsidRDefault="002606D7" w:rsidP="009C06D1">
            <w:pPr>
              <w:suppressLineNumbers/>
              <w:suppressAutoHyphens/>
              <w:jc w:val="left"/>
              <w:rPr>
                <w:b/>
                <w:color w:val="000000"/>
                <w:kern w:val="22"/>
                <w:szCs w:val="22"/>
                <w:lang w:val="fr-CA" w:eastAsia="en-CA"/>
              </w:rPr>
            </w:pPr>
            <w:r w:rsidRPr="00AE70B8">
              <w:rPr>
                <w:b/>
                <w:color w:val="000000"/>
                <w:kern w:val="22"/>
                <w:szCs w:val="22"/>
                <w:lang w:val="fr-CA" w:eastAsia="en-CA"/>
              </w:rPr>
              <w:t xml:space="preserve">II. </w:t>
            </w:r>
            <w:r w:rsidR="009C06D1" w:rsidRPr="00AE70B8">
              <w:rPr>
                <w:b/>
                <w:color w:val="000000"/>
                <w:kern w:val="22"/>
                <w:szCs w:val="22"/>
                <w:lang w:val="fr-CA" w:eastAsia="en-CA"/>
              </w:rPr>
              <w:t>Coûts d’appui au programme</w:t>
            </w:r>
            <w:r w:rsidRPr="00AE70B8">
              <w:rPr>
                <w:b/>
                <w:color w:val="000000"/>
                <w:kern w:val="22"/>
                <w:szCs w:val="22"/>
                <w:lang w:val="fr-CA" w:eastAsia="en-CA"/>
              </w:rPr>
              <w:t xml:space="preserve"> (13</w:t>
            </w:r>
            <w:r w:rsidR="009C06D1" w:rsidRPr="00AE70B8">
              <w:rPr>
                <w:b/>
                <w:color w:val="000000"/>
                <w:kern w:val="22"/>
                <w:szCs w:val="22"/>
                <w:lang w:val="fr-CA" w:eastAsia="en-CA"/>
              </w:rPr>
              <w:t xml:space="preserve"> </w:t>
            </w:r>
            <w:r w:rsidRPr="00AE70B8">
              <w:rPr>
                <w:b/>
                <w:color w:val="000000"/>
                <w:kern w:val="22"/>
                <w:szCs w:val="22"/>
                <w:lang w:val="fr-CA" w:eastAsia="en-CA"/>
              </w:rPr>
              <w:t>%)</w:t>
            </w:r>
          </w:p>
        </w:tc>
        <w:tc>
          <w:tcPr>
            <w:tcW w:w="2700" w:type="dxa"/>
            <w:tcBorders>
              <w:top w:val="nil"/>
              <w:left w:val="single" w:sz="4" w:space="0" w:color="auto"/>
              <w:bottom w:val="single" w:sz="4" w:space="0" w:color="auto"/>
              <w:right w:val="single" w:sz="4" w:space="0" w:color="auto"/>
            </w:tcBorders>
            <w:shd w:val="clear" w:color="auto" w:fill="auto"/>
            <w:vAlign w:val="center"/>
          </w:tcPr>
          <w:p w14:paraId="1002390A" w14:textId="0E6D98D6" w:rsidR="002606D7" w:rsidRPr="00AE70B8" w:rsidRDefault="00D32CC6" w:rsidP="00282AF6">
            <w:pPr>
              <w:suppressLineNumbers/>
              <w:suppressAutoHyphens/>
              <w:jc w:val="right"/>
              <w:rPr>
                <w:color w:val="000000"/>
                <w:kern w:val="22"/>
                <w:szCs w:val="22"/>
                <w:lang w:val="fr-CA" w:eastAsia="en-CA"/>
              </w:rPr>
            </w:pPr>
            <w:r w:rsidRPr="00AE70B8">
              <w:rPr>
                <w:color w:val="000000"/>
                <w:kern w:val="22"/>
                <w:szCs w:val="22"/>
                <w:lang w:val="fr-CA"/>
              </w:rPr>
              <w:t>2</w:t>
            </w:r>
            <w:r w:rsidR="008657DB" w:rsidRPr="00AE70B8">
              <w:rPr>
                <w:color w:val="000000"/>
                <w:kern w:val="22"/>
                <w:szCs w:val="22"/>
                <w:lang w:val="fr-CA"/>
              </w:rPr>
              <w:t xml:space="preserve"> </w:t>
            </w:r>
            <w:r w:rsidRPr="00AE70B8">
              <w:rPr>
                <w:color w:val="000000"/>
                <w:kern w:val="22"/>
                <w:szCs w:val="22"/>
                <w:lang w:val="fr-CA"/>
              </w:rPr>
              <w:t>130</w:t>
            </w:r>
            <w:r w:rsidR="00702399" w:rsidRPr="00AE70B8">
              <w:rPr>
                <w:color w:val="000000"/>
                <w:kern w:val="22"/>
                <w:szCs w:val="22"/>
                <w:lang w:val="fr-CA"/>
              </w:rPr>
              <w:t>,</w:t>
            </w:r>
            <w:r w:rsidRPr="00AE70B8">
              <w:rPr>
                <w:color w:val="000000"/>
                <w:kern w:val="22"/>
                <w:szCs w:val="22"/>
                <w:lang w:val="fr-CA"/>
              </w:rPr>
              <w:t>94</w:t>
            </w:r>
          </w:p>
        </w:tc>
        <w:tc>
          <w:tcPr>
            <w:tcW w:w="1180" w:type="dxa"/>
            <w:tcBorders>
              <w:top w:val="nil"/>
              <w:left w:val="nil"/>
              <w:bottom w:val="single" w:sz="4" w:space="0" w:color="auto"/>
              <w:right w:val="single" w:sz="4" w:space="0" w:color="auto"/>
            </w:tcBorders>
            <w:shd w:val="clear" w:color="auto" w:fill="auto"/>
            <w:vAlign w:val="center"/>
            <w:hideMark/>
          </w:tcPr>
          <w:p w14:paraId="213DD637" w14:textId="04E17F54" w:rsidR="002606D7" w:rsidRPr="00AE70B8" w:rsidRDefault="002606D7" w:rsidP="00282AF6">
            <w:pPr>
              <w:suppressLineNumbers/>
              <w:suppressAutoHyphens/>
              <w:jc w:val="center"/>
              <w:rPr>
                <w:color w:val="000000"/>
                <w:kern w:val="22"/>
                <w:szCs w:val="22"/>
                <w:lang w:val="fr-CA" w:eastAsia="en-CA"/>
              </w:rPr>
            </w:pPr>
          </w:p>
        </w:tc>
      </w:tr>
      <w:tr w:rsidR="002606D7" w:rsidRPr="00AE70B8" w14:paraId="4D918EE8" w14:textId="77777777" w:rsidTr="00190EF6">
        <w:trPr>
          <w:trHeight w:val="300"/>
          <w:jc w:val="center"/>
        </w:trPr>
        <w:tc>
          <w:tcPr>
            <w:tcW w:w="5485" w:type="dxa"/>
            <w:tcBorders>
              <w:top w:val="nil"/>
              <w:left w:val="single" w:sz="4" w:space="0" w:color="auto"/>
              <w:bottom w:val="single" w:sz="4" w:space="0" w:color="auto"/>
              <w:right w:val="single" w:sz="4" w:space="0" w:color="auto"/>
            </w:tcBorders>
            <w:shd w:val="clear" w:color="auto" w:fill="auto"/>
            <w:vAlign w:val="center"/>
            <w:hideMark/>
          </w:tcPr>
          <w:p w14:paraId="79837C3B" w14:textId="13FC3AE1" w:rsidR="002606D7" w:rsidRPr="00AE70B8" w:rsidRDefault="009C06D1" w:rsidP="00282AF6">
            <w:pPr>
              <w:suppressLineNumbers/>
              <w:suppressAutoHyphens/>
              <w:jc w:val="left"/>
              <w:rPr>
                <w:b/>
                <w:color w:val="000000"/>
                <w:kern w:val="22"/>
                <w:szCs w:val="22"/>
                <w:lang w:val="fr-CA" w:eastAsia="en-CA"/>
              </w:rPr>
            </w:pPr>
            <w:r w:rsidRPr="00AE70B8">
              <w:rPr>
                <w:b/>
                <w:color w:val="000000"/>
                <w:kern w:val="22"/>
                <w:szCs w:val="22"/>
                <w:lang w:val="fr-CA" w:eastAsia="en-CA"/>
              </w:rPr>
              <w:t>Total partiel</w:t>
            </w:r>
            <w:r w:rsidR="002606D7" w:rsidRPr="00AE70B8">
              <w:rPr>
                <w:b/>
                <w:color w:val="000000"/>
                <w:kern w:val="22"/>
                <w:szCs w:val="22"/>
                <w:lang w:val="fr-CA" w:eastAsia="en-CA"/>
              </w:rPr>
              <w:t xml:space="preserve"> (I + II)</w:t>
            </w:r>
          </w:p>
        </w:tc>
        <w:tc>
          <w:tcPr>
            <w:tcW w:w="2700" w:type="dxa"/>
            <w:tcBorders>
              <w:top w:val="nil"/>
              <w:left w:val="single" w:sz="4" w:space="0" w:color="auto"/>
              <w:bottom w:val="single" w:sz="4" w:space="0" w:color="auto"/>
              <w:right w:val="single" w:sz="4" w:space="0" w:color="auto"/>
            </w:tcBorders>
            <w:shd w:val="clear" w:color="auto" w:fill="auto"/>
            <w:vAlign w:val="center"/>
          </w:tcPr>
          <w:p w14:paraId="4441E06A" w14:textId="48677626" w:rsidR="002606D7" w:rsidRPr="00AE70B8" w:rsidRDefault="00D32CC6" w:rsidP="00282AF6">
            <w:pPr>
              <w:suppressLineNumbers/>
              <w:suppressAutoHyphens/>
              <w:jc w:val="right"/>
              <w:rPr>
                <w:b/>
                <w:bCs/>
                <w:color w:val="000000"/>
                <w:kern w:val="22"/>
                <w:szCs w:val="22"/>
                <w:lang w:val="fr-CA" w:eastAsia="en-CA"/>
              </w:rPr>
            </w:pPr>
            <w:r w:rsidRPr="00AE70B8">
              <w:rPr>
                <w:b/>
                <w:bCs/>
                <w:color w:val="000000"/>
                <w:kern w:val="22"/>
                <w:szCs w:val="22"/>
                <w:lang w:val="fr-CA"/>
              </w:rPr>
              <w:t>18</w:t>
            </w:r>
            <w:r w:rsidR="008657DB" w:rsidRPr="00AE70B8">
              <w:rPr>
                <w:b/>
                <w:bCs/>
                <w:color w:val="000000"/>
                <w:kern w:val="22"/>
                <w:szCs w:val="22"/>
                <w:lang w:val="fr-CA"/>
              </w:rPr>
              <w:t xml:space="preserve"> </w:t>
            </w:r>
            <w:r w:rsidRPr="00AE70B8">
              <w:rPr>
                <w:b/>
                <w:bCs/>
                <w:color w:val="000000"/>
                <w:kern w:val="22"/>
                <w:szCs w:val="22"/>
                <w:lang w:val="fr-CA"/>
              </w:rPr>
              <w:t>522</w:t>
            </w:r>
            <w:r w:rsidR="00702399" w:rsidRPr="00AE70B8">
              <w:rPr>
                <w:b/>
                <w:bCs/>
                <w:color w:val="000000"/>
                <w:kern w:val="22"/>
                <w:szCs w:val="22"/>
                <w:lang w:val="fr-CA"/>
              </w:rPr>
              <w:t>,</w:t>
            </w:r>
            <w:r w:rsidRPr="00AE70B8">
              <w:rPr>
                <w:b/>
                <w:bCs/>
                <w:color w:val="000000"/>
                <w:kern w:val="22"/>
                <w:szCs w:val="22"/>
                <w:lang w:val="fr-CA"/>
              </w:rPr>
              <w:t>76</w:t>
            </w:r>
          </w:p>
        </w:tc>
        <w:tc>
          <w:tcPr>
            <w:tcW w:w="1180" w:type="dxa"/>
            <w:tcBorders>
              <w:top w:val="nil"/>
              <w:left w:val="nil"/>
              <w:bottom w:val="single" w:sz="4" w:space="0" w:color="auto"/>
              <w:right w:val="single" w:sz="4" w:space="0" w:color="auto"/>
            </w:tcBorders>
            <w:shd w:val="clear" w:color="auto" w:fill="auto"/>
            <w:vAlign w:val="center"/>
            <w:hideMark/>
          </w:tcPr>
          <w:p w14:paraId="5AD58D10" w14:textId="2F6D1E58" w:rsidR="002606D7" w:rsidRPr="00AE70B8" w:rsidRDefault="002606D7" w:rsidP="00282AF6">
            <w:pPr>
              <w:suppressLineNumbers/>
              <w:suppressAutoHyphens/>
              <w:jc w:val="center"/>
              <w:rPr>
                <w:color w:val="000000"/>
                <w:kern w:val="22"/>
                <w:szCs w:val="22"/>
                <w:lang w:val="fr-CA" w:eastAsia="en-CA"/>
              </w:rPr>
            </w:pPr>
          </w:p>
        </w:tc>
      </w:tr>
      <w:tr w:rsidR="002606D7" w:rsidRPr="00AE70B8" w14:paraId="7EE56E6D" w14:textId="77777777" w:rsidTr="00190EF6">
        <w:trPr>
          <w:trHeight w:val="300"/>
          <w:jc w:val="center"/>
        </w:trPr>
        <w:tc>
          <w:tcPr>
            <w:tcW w:w="5485" w:type="dxa"/>
            <w:tcBorders>
              <w:top w:val="nil"/>
              <w:left w:val="single" w:sz="4" w:space="0" w:color="auto"/>
              <w:bottom w:val="single" w:sz="4" w:space="0" w:color="auto"/>
              <w:right w:val="single" w:sz="4" w:space="0" w:color="auto"/>
            </w:tcBorders>
            <w:shd w:val="clear" w:color="auto" w:fill="auto"/>
            <w:vAlign w:val="center"/>
            <w:hideMark/>
          </w:tcPr>
          <w:p w14:paraId="642429EE" w14:textId="26019966" w:rsidR="002606D7" w:rsidRPr="00AE70B8" w:rsidRDefault="002606D7" w:rsidP="009C06D1">
            <w:pPr>
              <w:suppressLineNumbers/>
              <w:suppressAutoHyphens/>
              <w:jc w:val="left"/>
              <w:rPr>
                <w:b/>
                <w:color w:val="000000"/>
                <w:kern w:val="22"/>
                <w:szCs w:val="22"/>
                <w:lang w:val="fr-CA" w:eastAsia="en-CA"/>
              </w:rPr>
            </w:pPr>
            <w:r w:rsidRPr="00AE70B8">
              <w:rPr>
                <w:b/>
                <w:color w:val="000000"/>
                <w:kern w:val="22"/>
                <w:szCs w:val="22"/>
                <w:lang w:val="fr-CA" w:eastAsia="en-CA"/>
              </w:rPr>
              <w:t xml:space="preserve">III. </w:t>
            </w:r>
            <w:r w:rsidR="009C06D1" w:rsidRPr="00AE70B8">
              <w:rPr>
                <w:b/>
                <w:color w:val="000000"/>
                <w:kern w:val="22"/>
                <w:szCs w:val="22"/>
                <w:lang w:val="fr-CA" w:eastAsia="en-CA"/>
              </w:rPr>
              <w:t>Fonds de trésorerie</w:t>
            </w:r>
          </w:p>
        </w:tc>
        <w:tc>
          <w:tcPr>
            <w:tcW w:w="2700" w:type="dxa"/>
            <w:tcBorders>
              <w:top w:val="nil"/>
              <w:left w:val="single" w:sz="4" w:space="0" w:color="auto"/>
              <w:bottom w:val="single" w:sz="4" w:space="0" w:color="auto"/>
              <w:right w:val="single" w:sz="4" w:space="0" w:color="auto"/>
            </w:tcBorders>
            <w:shd w:val="clear" w:color="auto" w:fill="auto"/>
            <w:vAlign w:val="center"/>
          </w:tcPr>
          <w:p w14:paraId="5A696C85" w14:textId="771CEDC4" w:rsidR="002606D7" w:rsidRPr="00AE70B8" w:rsidRDefault="00D32CC6" w:rsidP="00282AF6">
            <w:pPr>
              <w:suppressLineNumbers/>
              <w:suppressAutoHyphens/>
              <w:jc w:val="right"/>
              <w:rPr>
                <w:color w:val="000000"/>
                <w:kern w:val="22"/>
                <w:szCs w:val="22"/>
                <w:lang w:val="fr-CA" w:eastAsia="en-CA"/>
              </w:rPr>
            </w:pPr>
            <w:r w:rsidRPr="00AE70B8">
              <w:rPr>
                <w:color w:val="000000"/>
                <w:kern w:val="22"/>
                <w:szCs w:val="22"/>
                <w:lang w:val="fr-CA"/>
              </w:rPr>
              <w:t>203</w:t>
            </w:r>
            <w:r w:rsidR="00702399" w:rsidRPr="00AE70B8">
              <w:rPr>
                <w:color w:val="000000"/>
                <w:kern w:val="22"/>
                <w:szCs w:val="22"/>
                <w:lang w:val="fr-CA"/>
              </w:rPr>
              <w:t>,</w:t>
            </w:r>
            <w:r w:rsidRPr="00AE70B8">
              <w:rPr>
                <w:color w:val="000000"/>
                <w:kern w:val="22"/>
                <w:szCs w:val="22"/>
                <w:lang w:val="fr-CA"/>
              </w:rPr>
              <w:t>97</w:t>
            </w:r>
          </w:p>
        </w:tc>
        <w:tc>
          <w:tcPr>
            <w:tcW w:w="1180" w:type="dxa"/>
            <w:tcBorders>
              <w:top w:val="nil"/>
              <w:left w:val="nil"/>
              <w:bottom w:val="single" w:sz="4" w:space="0" w:color="auto"/>
              <w:right w:val="single" w:sz="4" w:space="0" w:color="auto"/>
            </w:tcBorders>
            <w:shd w:val="clear" w:color="auto" w:fill="auto"/>
            <w:vAlign w:val="center"/>
            <w:hideMark/>
          </w:tcPr>
          <w:p w14:paraId="68C8EAD2" w14:textId="64B73E64" w:rsidR="002606D7" w:rsidRPr="00AE70B8" w:rsidRDefault="002606D7" w:rsidP="00282AF6">
            <w:pPr>
              <w:suppressLineNumbers/>
              <w:suppressAutoHyphens/>
              <w:jc w:val="center"/>
              <w:rPr>
                <w:color w:val="000000"/>
                <w:kern w:val="22"/>
                <w:szCs w:val="22"/>
                <w:lang w:val="fr-CA" w:eastAsia="en-CA"/>
              </w:rPr>
            </w:pPr>
          </w:p>
        </w:tc>
      </w:tr>
      <w:tr w:rsidR="002606D7" w:rsidRPr="00AE70B8" w14:paraId="2DCC5D0E" w14:textId="77777777" w:rsidTr="00190EF6">
        <w:trPr>
          <w:trHeight w:val="300"/>
          <w:jc w:val="center"/>
        </w:trPr>
        <w:tc>
          <w:tcPr>
            <w:tcW w:w="5485" w:type="dxa"/>
            <w:tcBorders>
              <w:top w:val="nil"/>
              <w:left w:val="single" w:sz="4" w:space="0" w:color="auto"/>
              <w:bottom w:val="single" w:sz="4" w:space="0" w:color="auto"/>
              <w:right w:val="single" w:sz="4" w:space="0" w:color="auto"/>
            </w:tcBorders>
            <w:shd w:val="clear" w:color="auto" w:fill="auto"/>
            <w:vAlign w:val="center"/>
            <w:hideMark/>
          </w:tcPr>
          <w:p w14:paraId="42CA3A44" w14:textId="2EB133EB" w:rsidR="002606D7" w:rsidRPr="00AE70B8" w:rsidRDefault="009C06D1" w:rsidP="00282AF6">
            <w:pPr>
              <w:suppressLineNumbers/>
              <w:suppressAutoHyphens/>
              <w:jc w:val="left"/>
              <w:rPr>
                <w:b/>
                <w:color w:val="000000"/>
                <w:kern w:val="22"/>
                <w:szCs w:val="22"/>
                <w:lang w:val="fr-CA" w:eastAsia="en-CA"/>
              </w:rPr>
            </w:pPr>
            <w:r w:rsidRPr="00AE70B8">
              <w:rPr>
                <w:b/>
                <w:color w:val="000000"/>
                <w:kern w:val="22"/>
                <w:szCs w:val="22"/>
                <w:lang w:val="fr-CA" w:eastAsia="en-CA"/>
              </w:rPr>
              <w:t>Total</w:t>
            </w:r>
            <w:r w:rsidR="002606D7" w:rsidRPr="00AE70B8">
              <w:rPr>
                <w:b/>
                <w:color w:val="000000"/>
                <w:kern w:val="22"/>
                <w:szCs w:val="22"/>
                <w:lang w:val="fr-CA" w:eastAsia="en-CA"/>
              </w:rPr>
              <w:t xml:space="preserve"> (II + III)</w:t>
            </w:r>
          </w:p>
        </w:tc>
        <w:tc>
          <w:tcPr>
            <w:tcW w:w="2700" w:type="dxa"/>
            <w:tcBorders>
              <w:top w:val="nil"/>
              <w:left w:val="nil"/>
              <w:bottom w:val="single" w:sz="4" w:space="0" w:color="auto"/>
              <w:right w:val="single" w:sz="4" w:space="0" w:color="auto"/>
            </w:tcBorders>
            <w:shd w:val="clear" w:color="auto" w:fill="auto"/>
            <w:vAlign w:val="center"/>
          </w:tcPr>
          <w:p w14:paraId="632A277B" w14:textId="7522185B" w:rsidR="002606D7" w:rsidRPr="00AE70B8" w:rsidRDefault="00D32CC6" w:rsidP="00282AF6">
            <w:pPr>
              <w:suppressLineNumbers/>
              <w:suppressAutoHyphens/>
              <w:jc w:val="right"/>
              <w:rPr>
                <w:b/>
                <w:bCs/>
                <w:color w:val="000000"/>
                <w:kern w:val="22"/>
                <w:szCs w:val="22"/>
                <w:lang w:val="fr-CA" w:eastAsia="en-CA"/>
              </w:rPr>
            </w:pPr>
            <w:r w:rsidRPr="00AE70B8">
              <w:rPr>
                <w:b/>
                <w:bCs/>
                <w:color w:val="000000"/>
                <w:kern w:val="22"/>
                <w:szCs w:val="22"/>
                <w:lang w:val="fr-CA"/>
              </w:rPr>
              <w:t>18</w:t>
            </w:r>
            <w:r w:rsidR="008657DB" w:rsidRPr="00AE70B8">
              <w:rPr>
                <w:b/>
                <w:bCs/>
                <w:color w:val="000000"/>
                <w:kern w:val="22"/>
                <w:szCs w:val="22"/>
                <w:lang w:val="fr-CA"/>
              </w:rPr>
              <w:t xml:space="preserve"> </w:t>
            </w:r>
            <w:r w:rsidRPr="00AE70B8">
              <w:rPr>
                <w:b/>
                <w:bCs/>
                <w:color w:val="000000"/>
                <w:kern w:val="22"/>
                <w:szCs w:val="22"/>
                <w:lang w:val="fr-CA"/>
              </w:rPr>
              <w:t>726</w:t>
            </w:r>
            <w:r w:rsidR="00702399" w:rsidRPr="00AE70B8">
              <w:rPr>
                <w:b/>
                <w:bCs/>
                <w:color w:val="000000"/>
                <w:kern w:val="22"/>
                <w:szCs w:val="22"/>
                <w:lang w:val="fr-CA"/>
              </w:rPr>
              <w:t>,</w:t>
            </w:r>
            <w:r w:rsidRPr="00AE70B8">
              <w:rPr>
                <w:b/>
                <w:bCs/>
                <w:color w:val="000000"/>
                <w:kern w:val="22"/>
                <w:szCs w:val="22"/>
                <w:lang w:val="fr-CA"/>
              </w:rPr>
              <w:t>74</w:t>
            </w:r>
          </w:p>
        </w:tc>
        <w:tc>
          <w:tcPr>
            <w:tcW w:w="1180" w:type="dxa"/>
            <w:tcBorders>
              <w:top w:val="nil"/>
              <w:left w:val="nil"/>
              <w:bottom w:val="single" w:sz="4" w:space="0" w:color="auto"/>
              <w:right w:val="single" w:sz="4" w:space="0" w:color="auto"/>
            </w:tcBorders>
            <w:shd w:val="clear" w:color="auto" w:fill="auto"/>
            <w:vAlign w:val="center"/>
            <w:hideMark/>
          </w:tcPr>
          <w:p w14:paraId="18631FEC" w14:textId="49D2D602" w:rsidR="002606D7" w:rsidRPr="00AE70B8" w:rsidRDefault="002606D7" w:rsidP="00282AF6">
            <w:pPr>
              <w:suppressLineNumbers/>
              <w:suppressAutoHyphens/>
              <w:jc w:val="center"/>
              <w:rPr>
                <w:color w:val="000000"/>
                <w:kern w:val="22"/>
                <w:szCs w:val="22"/>
                <w:lang w:val="fr-CA" w:eastAsia="en-CA"/>
              </w:rPr>
            </w:pPr>
          </w:p>
        </w:tc>
      </w:tr>
      <w:tr w:rsidR="002606D7" w:rsidRPr="00AE70B8" w14:paraId="2CD1B3BF" w14:textId="77777777" w:rsidTr="00190EF6">
        <w:trPr>
          <w:trHeight w:val="300"/>
          <w:jc w:val="center"/>
        </w:trPr>
        <w:tc>
          <w:tcPr>
            <w:tcW w:w="5485" w:type="dxa"/>
            <w:tcBorders>
              <w:top w:val="nil"/>
              <w:left w:val="single" w:sz="4" w:space="0" w:color="auto"/>
              <w:bottom w:val="single" w:sz="4" w:space="0" w:color="auto"/>
              <w:right w:val="single" w:sz="4" w:space="0" w:color="auto"/>
            </w:tcBorders>
            <w:shd w:val="clear" w:color="auto" w:fill="auto"/>
            <w:vAlign w:val="center"/>
            <w:hideMark/>
          </w:tcPr>
          <w:p w14:paraId="141A9E08" w14:textId="13F083D3" w:rsidR="002606D7" w:rsidRPr="00AE70B8" w:rsidRDefault="009C06D1" w:rsidP="009C06D1">
            <w:pPr>
              <w:suppressLineNumbers/>
              <w:suppressAutoHyphens/>
              <w:jc w:val="left"/>
              <w:rPr>
                <w:color w:val="000000"/>
                <w:kern w:val="22"/>
                <w:szCs w:val="22"/>
                <w:lang w:val="fr-CA" w:eastAsia="en-CA"/>
              </w:rPr>
            </w:pPr>
            <w:r w:rsidRPr="00AE70B8">
              <w:rPr>
                <w:color w:val="000000"/>
                <w:kern w:val="22"/>
                <w:szCs w:val="22"/>
                <w:lang w:val="fr-CA" w:eastAsia="en-CA"/>
              </w:rPr>
              <w:t xml:space="preserve">Moins </w:t>
            </w:r>
            <w:r w:rsidR="002606D7" w:rsidRPr="00AE70B8">
              <w:rPr>
                <w:color w:val="000000"/>
                <w:kern w:val="22"/>
                <w:szCs w:val="22"/>
                <w:lang w:val="fr-CA" w:eastAsia="en-CA"/>
              </w:rPr>
              <w:t xml:space="preserve">:  Contribution </w:t>
            </w:r>
            <w:r w:rsidRPr="00AE70B8">
              <w:rPr>
                <w:color w:val="000000"/>
                <w:kern w:val="22"/>
                <w:szCs w:val="22"/>
                <w:lang w:val="fr-CA" w:eastAsia="en-CA"/>
              </w:rPr>
              <w:t>du pays hôte</w:t>
            </w:r>
          </w:p>
        </w:tc>
        <w:tc>
          <w:tcPr>
            <w:tcW w:w="2700" w:type="dxa"/>
            <w:tcBorders>
              <w:top w:val="nil"/>
              <w:left w:val="nil"/>
              <w:bottom w:val="single" w:sz="4" w:space="0" w:color="auto"/>
              <w:right w:val="single" w:sz="4" w:space="0" w:color="auto"/>
            </w:tcBorders>
            <w:shd w:val="clear" w:color="auto" w:fill="auto"/>
            <w:vAlign w:val="center"/>
          </w:tcPr>
          <w:p w14:paraId="5C2D585E" w14:textId="724518BD" w:rsidR="002606D7" w:rsidRPr="00AE70B8" w:rsidRDefault="002606D7" w:rsidP="00282AF6">
            <w:pPr>
              <w:suppressLineNumbers/>
              <w:suppressAutoHyphens/>
              <w:jc w:val="right"/>
              <w:rPr>
                <w:color w:val="000000"/>
                <w:kern w:val="22"/>
                <w:szCs w:val="22"/>
                <w:lang w:val="fr-CA" w:eastAsia="en-CA"/>
              </w:rPr>
            </w:pPr>
            <w:r w:rsidRPr="00AE70B8">
              <w:rPr>
                <w:color w:val="000000"/>
                <w:kern w:val="22"/>
                <w:szCs w:val="22"/>
                <w:lang w:val="fr-CA"/>
              </w:rPr>
              <w:t>-1</w:t>
            </w:r>
            <w:r w:rsidR="008657DB" w:rsidRPr="00AE70B8">
              <w:rPr>
                <w:color w:val="000000"/>
                <w:kern w:val="22"/>
                <w:szCs w:val="22"/>
                <w:lang w:val="fr-CA"/>
              </w:rPr>
              <w:t xml:space="preserve"> </w:t>
            </w:r>
            <w:r w:rsidRPr="00AE70B8">
              <w:rPr>
                <w:color w:val="000000"/>
                <w:kern w:val="22"/>
                <w:szCs w:val="22"/>
                <w:lang w:val="fr-CA"/>
              </w:rPr>
              <w:t>673</w:t>
            </w:r>
            <w:r w:rsidR="00702399" w:rsidRPr="00AE70B8">
              <w:rPr>
                <w:color w:val="000000"/>
                <w:kern w:val="22"/>
                <w:szCs w:val="22"/>
                <w:lang w:val="fr-CA"/>
              </w:rPr>
              <w:t>,</w:t>
            </w:r>
            <w:r w:rsidRPr="00AE70B8">
              <w:rPr>
                <w:color w:val="000000"/>
                <w:kern w:val="22"/>
                <w:szCs w:val="22"/>
                <w:lang w:val="fr-CA"/>
              </w:rPr>
              <w:t>8</w:t>
            </w:r>
          </w:p>
        </w:tc>
        <w:tc>
          <w:tcPr>
            <w:tcW w:w="1180" w:type="dxa"/>
            <w:tcBorders>
              <w:top w:val="nil"/>
              <w:left w:val="nil"/>
              <w:bottom w:val="single" w:sz="4" w:space="0" w:color="auto"/>
              <w:right w:val="single" w:sz="4" w:space="0" w:color="auto"/>
            </w:tcBorders>
            <w:shd w:val="clear" w:color="auto" w:fill="auto"/>
            <w:vAlign w:val="center"/>
            <w:hideMark/>
          </w:tcPr>
          <w:p w14:paraId="233469F5" w14:textId="2702EB54" w:rsidR="002606D7" w:rsidRPr="00AE70B8" w:rsidRDefault="002606D7" w:rsidP="00282AF6">
            <w:pPr>
              <w:suppressLineNumbers/>
              <w:suppressAutoHyphens/>
              <w:jc w:val="center"/>
              <w:rPr>
                <w:color w:val="000000"/>
                <w:kern w:val="22"/>
                <w:szCs w:val="22"/>
                <w:lang w:val="fr-CA" w:eastAsia="en-CA"/>
              </w:rPr>
            </w:pPr>
            <w:r w:rsidRPr="00AE70B8">
              <w:rPr>
                <w:color w:val="000000"/>
                <w:kern w:val="22"/>
                <w:szCs w:val="22"/>
                <w:lang w:val="fr-CA" w:eastAsia="en-CA"/>
              </w:rPr>
              <w:t>2</w:t>
            </w:r>
          </w:p>
        </w:tc>
      </w:tr>
      <w:tr w:rsidR="002606D7" w:rsidRPr="00E70A04" w14:paraId="13004605" w14:textId="77777777" w:rsidTr="00190EF6">
        <w:trPr>
          <w:trHeight w:val="276"/>
          <w:jc w:val="center"/>
        </w:trPr>
        <w:tc>
          <w:tcPr>
            <w:tcW w:w="5485" w:type="dxa"/>
            <w:tcBorders>
              <w:top w:val="nil"/>
              <w:left w:val="single" w:sz="4" w:space="0" w:color="auto"/>
              <w:bottom w:val="single" w:sz="4" w:space="0" w:color="auto"/>
              <w:right w:val="single" w:sz="4" w:space="0" w:color="auto"/>
            </w:tcBorders>
            <w:shd w:val="clear" w:color="auto" w:fill="auto"/>
            <w:vAlign w:val="center"/>
            <w:hideMark/>
          </w:tcPr>
          <w:p w14:paraId="03E974C4" w14:textId="25C87E21" w:rsidR="002606D7" w:rsidRPr="00AE70B8" w:rsidRDefault="009C06D1" w:rsidP="009C06D1">
            <w:pPr>
              <w:suppressLineNumbers/>
              <w:suppressAutoHyphens/>
              <w:jc w:val="left"/>
              <w:rPr>
                <w:color w:val="000000"/>
                <w:spacing w:val="-2"/>
                <w:kern w:val="22"/>
                <w:szCs w:val="22"/>
                <w:lang w:val="fr-CA" w:eastAsia="en-CA"/>
              </w:rPr>
            </w:pPr>
            <w:r w:rsidRPr="00AE70B8">
              <w:rPr>
                <w:color w:val="000000"/>
                <w:spacing w:val="-2"/>
                <w:kern w:val="22"/>
                <w:szCs w:val="22"/>
                <w:lang w:val="fr-CA" w:eastAsia="en-CA"/>
              </w:rPr>
              <w:t xml:space="preserve">Moins </w:t>
            </w:r>
            <w:r w:rsidR="002606D7" w:rsidRPr="00AE70B8">
              <w:rPr>
                <w:color w:val="000000"/>
                <w:spacing w:val="-2"/>
                <w:kern w:val="22"/>
                <w:szCs w:val="22"/>
                <w:lang w:val="fr-CA" w:eastAsia="en-CA"/>
              </w:rPr>
              <w:t xml:space="preserve">: </w:t>
            </w:r>
            <w:r w:rsidRPr="00AE70B8">
              <w:rPr>
                <w:color w:val="000000"/>
                <w:spacing w:val="-2"/>
                <w:kern w:val="22"/>
                <w:szCs w:val="22"/>
                <w:lang w:val="fr-CA" w:eastAsia="en-CA"/>
              </w:rPr>
              <w:t>Utilisation des réserves pour les réunions extraordinaires</w:t>
            </w:r>
          </w:p>
        </w:tc>
        <w:tc>
          <w:tcPr>
            <w:tcW w:w="2700" w:type="dxa"/>
            <w:tcBorders>
              <w:top w:val="nil"/>
              <w:left w:val="nil"/>
              <w:bottom w:val="single" w:sz="4" w:space="0" w:color="auto"/>
              <w:right w:val="single" w:sz="4" w:space="0" w:color="auto"/>
            </w:tcBorders>
            <w:shd w:val="clear" w:color="auto" w:fill="auto"/>
            <w:vAlign w:val="center"/>
          </w:tcPr>
          <w:p w14:paraId="2E313688" w14:textId="2F3CD846" w:rsidR="002606D7" w:rsidRPr="00AE70B8" w:rsidRDefault="002606D7" w:rsidP="00282AF6">
            <w:pPr>
              <w:suppressLineNumbers/>
              <w:suppressAutoHyphens/>
              <w:jc w:val="right"/>
              <w:rPr>
                <w:color w:val="000000"/>
                <w:kern w:val="22"/>
                <w:szCs w:val="22"/>
                <w:lang w:val="fr-CA" w:eastAsia="en-CA"/>
              </w:rPr>
            </w:pPr>
          </w:p>
        </w:tc>
        <w:tc>
          <w:tcPr>
            <w:tcW w:w="1180" w:type="dxa"/>
            <w:tcBorders>
              <w:top w:val="nil"/>
              <w:left w:val="nil"/>
              <w:bottom w:val="single" w:sz="4" w:space="0" w:color="auto"/>
              <w:right w:val="single" w:sz="4" w:space="0" w:color="auto"/>
            </w:tcBorders>
            <w:shd w:val="clear" w:color="auto" w:fill="auto"/>
            <w:vAlign w:val="center"/>
            <w:hideMark/>
          </w:tcPr>
          <w:p w14:paraId="62AC9C97" w14:textId="044DEE4D" w:rsidR="002606D7" w:rsidRPr="00AE70B8" w:rsidRDefault="002606D7" w:rsidP="00282AF6">
            <w:pPr>
              <w:suppressLineNumbers/>
              <w:suppressAutoHyphens/>
              <w:jc w:val="center"/>
              <w:rPr>
                <w:color w:val="000000"/>
                <w:kern w:val="22"/>
                <w:szCs w:val="22"/>
                <w:lang w:val="fr-CA" w:eastAsia="en-CA"/>
              </w:rPr>
            </w:pPr>
          </w:p>
        </w:tc>
      </w:tr>
      <w:tr w:rsidR="002606D7" w:rsidRPr="00E70A04" w14:paraId="10A61011" w14:textId="77777777" w:rsidTr="00190EF6">
        <w:trPr>
          <w:trHeight w:val="300"/>
          <w:jc w:val="center"/>
        </w:trPr>
        <w:tc>
          <w:tcPr>
            <w:tcW w:w="5485" w:type="dxa"/>
            <w:tcBorders>
              <w:top w:val="nil"/>
              <w:left w:val="single" w:sz="4" w:space="0" w:color="auto"/>
              <w:bottom w:val="single" w:sz="4" w:space="0" w:color="auto"/>
              <w:right w:val="single" w:sz="4" w:space="0" w:color="auto"/>
            </w:tcBorders>
            <w:shd w:val="clear" w:color="auto" w:fill="auto"/>
            <w:vAlign w:val="center"/>
            <w:hideMark/>
          </w:tcPr>
          <w:p w14:paraId="0C8AD648" w14:textId="71E8701C" w:rsidR="002606D7" w:rsidRPr="00AE70B8" w:rsidRDefault="009C06D1" w:rsidP="009C06D1">
            <w:pPr>
              <w:suppressLineNumbers/>
              <w:suppressAutoHyphens/>
              <w:jc w:val="left"/>
              <w:rPr>
                <w:color w:val="000000"/>
                <w:kern w:val="22"/>
                <w:szCs w:val="22"/>
                <w:lang w:val="fr-CA" w:eastAsia="en-CA"/>
              </w:rPr>
            </w:pPr>
            <w:r w:rsidRPr="00AE70B8">
              <w:rPr>
                <w:color w:val="000000"/>
                <w:kern w:val="22"/>
                <w:szCs w:val="22"/>
                <w:lang w:val="fr-CA" w:eastAsia="en-CA"/>
              </w:rPr>
              <w:t>Moins : Utilisation des réserves des années précédentes</w:t>
            </w:r>
          </w:p>
        </w:tc>
        <w:tc>
          <w:tcPr>
            <w:tcW w:w="2700" w:type="dxa"/>
            <w:tcBorders>
              <w:top w:val="nil"/>
              <w:left w:val="nil"/>
              <w:bottom w:val="single" w:sz="4" w:space="0" w:color="auto"/>
              <w:right w:val="single" w:sz="4" w:space="0" w:color="auto"/>
            </w:tcBorders>
            <w:shd w:val="clear" w:color="auto" w:fill="auto"/>
            <w:vAlign w:val="center"/>
          </w:tcPr>
          <w:p w14:paraId="454B3EEE" w14:textId="4C41B4AB" w:rsidR="002606D7" w:rsidRPr="00AE70B8" w:rsidRDefault="002606D7" w:rsidP="00282AF6">
            <w:pPr>
              <w:suppressLineNumbers/>
              <w:suppressAutoHyphens/>
              <w:jc w:val="right"/>
              <w:rPr>
                <w:color w:val="000000"/>
                <w:kern w:val="22"/>
                <w:szCs w:val="22"/>
                <w:lang w:val="fr-CA" w:eastAsia="en-CA"/>
              </w:rPr>
            </w:pPr>
          </w:p>
        </w:tc>
        <w:tc>
          <w:tcPr>
            <w:tcW w:w="1180" w:type="dxa"/>
            <w:tcBorders>
              <w:top w:val="nil"/>
              <w:left w:val="nil"/>
              <w:bottom w:val="single" w:sz="4" w:space="0" w:color="auto"/>
              <w:right w:val="single" w:sz="4" w:space="0" w:color="auto"/>
            </w:tcBorders>
            <w:shd w:val="clear" w:color="auto" w:fill="auto"/>
            <w:vAlign w:val="center"/>
            <w:hideMark/>
          </w:tcPr>
          <w:p w14:paraId="46DFBEC3" w14:textId="05453275" w:rsidR="002606D7" w:rsidRPr="00AE70B8" w:rsidRDefault="002606D7" w:rsidP="00282AF6">
            <w:pPr>
              <w:suppressLineNumbers/>
              <w:suppressAutoHyphens/>
              <w:jc w:val="center"/>
              <w:rPr>
                <w:color w:val="000000"/>
                <w:kern w:val="22"/>
                <w:szCs w:val="22"/>
                <w:lang w:val="fr-CA" w:eastAsia="en-CA"/>
              </w:rPr>
            </w:pPr>
          </w:p>
        </w:tc>
      </w:tr>
      <w:tr w:rsidR="002606D7" w:rsidRPr="00AE70B8" w14:paraId="702C7F79" w14:textId="77777777" w:rsidTr="00190EF6">
        <w:trPr>
          <w:trHeight w:val="300"/>
          <w:jc w:val="center"/>
        </w:trPr>
        <w:tc>
          <w:tcPr>
            <w:tcW w:w="5485" w:type="dxa"/>
            <w:tcBorders>
              <w:top w:val="nil"/>
              <w:left w:val="single" w:sz="4" w:space="0" w:color="auto"/>
              <w:bottom w:val="single" w:sz="4" w:space="0" w:color="auto"/>
              <w:right w:val="single" w:sz="4" w:space="0" w:color="auto"/>
            </w:tcBorders>
            <w:shd w:val="clear" w:color="auto" w:fill="auto"/>
            <w:vAlign w:val="center"/>
            <w:hideMark/>
          </w:tcPr>
          <w:p w14:paraId="4DC30BC1" w14:textId="05DB1261" w:rsidR="002606D7" w:rsidRPr="00AE70B8" w:rsidRDefault="009C06D1" w:rsidP="006830F8">
            <w:pPr>
              <w:suppressLineNumbers/>
              <w:suppressAutoHyphens/>
              <w:jc w:val="left"/>
              <w:rPr>
                <w:b/>
                <w:color w:val="000000"/>
                <w:kern w:val="22"/>
                <w:szCs w:val="22"/>
                <w:lang w:val="fr-CA" w:eastAsia="en-CA"/>
              </w:rPr>
            </w:pPr>
            <w:r w:rsidRPr="00AE70B8">
              <w:rPr>
                <w:b/>
                <w:color w:val="000000"/>
                <w:kern w:val="22"/>
                <w:szCs w:val="22"/>
                <w:lang w:val="fr-CA" w:eastAsia="en-CA"/>
              </w:rPr>
              <w:t>Total net</w:t>
            </w:r>
            <w:r w:rsidR="002606D7" w:rsidRPr="00AE70B8">
              <w:rPr>
                <w:b/>
                <w:color w:val="000000"/>
                <w:kern w:val="22"/>
                <w:szCs w:val="22"/>
                <w:lang w:val="fr-CA" w:eastAsia="en-CA"/>
              </w:rPr>
              <w:t xml:space="preserve"> (</w:t>
            </w:r>
            <w:r w:rsidRPr="00AE70B8">
              <w:rPr>
                <w:b/>
                <w:color w:val="000000"/>
                <w:kern w:val="22"/>
                <w:szCs w:val="22"/>
                <w:lang w:val="fr-CA" w:eastAsia="en-CA"/>
              </w:rPr>
              <w:t xml:space="preserve">somme </w:t>
            </w:r>
            <w:r w:rsidR="00702399" w:rsidRPr="00AE70B8">
              <w:rPr>
                <w:b/>
                <w:color w:val="000000"/>
                <w:kern w:val="22"/>
                <w:szCs w:val="22"/>
                <w:lang w:val="fr-CA" w:eastAsia="en-CA"/>
              </w:rPr>
              <w:t xml:space="preserve">partagée </w:t>
            </w:r>
            <w:r w:rsidR="006830F8">
              <w:rPr>
                <w:b/>
                <w:color w:val="000000"/>
                <w:kern w:val="22"/>
                <w:szCs w:val="22"/>
                <w:lang w:val="fr-CA" w:eastAsia="en-CA"/>
              </w:rPr>
              <w:t>entre</w:t>
            </w:r>
            <w:r w:rsidR="00702399" w:rsidRPr="00AE70B8">
              <w:rPr>
                <w:b/>
                <w:color w:val="000000"/>
                <w:kern w:val="22"/>
                <w:szCs w:val="22"/>
                <w:lang w:val="fr-CA" w:eastAsia="en-CA"/>
              </w:rPr>
              <w:t xml:space="preserve"> les Parties</w:t>
            </w:r>
            <w:r w:rsidR="002606D7" w:rsidRPr="00AE70B8">
              <w:rPr>
                <w:b/>
                <w:color w:val="000000"/>
                <w:kern w:val="22"/>
                <w:szCs w:val="22"/>
                <w:lang w:val="fr-CA" w:eastAsia="en-CA"/>
              </w:rPr>
              <w:t>)</w:t>
            </w:r>
          </w:p>
        </w:tc>
        <w:tc>
          <w:tcPr>
            <w:tcW w:w="2700" w:type="dxa"/>
            <w:tcBorders>
              <w:top w:val="single" w:sz="4" w:space="0" w:color="auto"/>
              <w:left w:val="nil"/>
              <w:bottom w:val="single" w:sz="4" w:space="0" w:color="auto"/>
              <w:right w:val="single" w:sz="4" w:space="0" w:color="auto"/>
            </w:tcBorders>
            <w:shd w:val="clear" w:color="auto" w:fill="auto"/>
            <w:vAlign w:val="center"/>
          </w:tcPr>
          <w:p w14:paraId="4EA6D210" w14:textId="3C354A8D" w:rsidR="002606D7" w:rsidRPr="00AE70B8" w:rsidRDefault="00D32CC6" w:rsidP="00282AF6">
            <w:pPr>
              <w:suppressLineNumbers/>
              <w:suppressAutoHyphens/>
              <w:jc w:val="right"/>
              <w:rPr>
                <w:b/>
                <w:bCs/>
                <w:color w:val="000000"/>
                <w:kern w:val="22"/>
                <w:szCs w:val="22"/>
                <w:lang w:val="fr-CA" w:eastAsia="en-CA"/>
              </w:rPr>
            </w:pPr>
            <w:r w:rsidRPr="00AE70B8">
              <w:rPr>
                <w:b/>
                <w:bCs/>
                <w:color w:val="000000"/>
                <w:kern w:val="22"/>
                <w:szCs w:val="22"/>
                <w:lang w:val="fr-CA"/>
              </w:rPr>
              <w:t>17</w:t>
            </w:r>
            <w:r w:rsidR="008657DB" w:rsidRPr="00AE70B8">
              <w:rPr>
                <w:b/>
                <w:bCs/>
                <w:color w:val="000000"/>
                <w:kern w:val="22"/>
                <w:szCs w:val="22"/>
                <w:lang w:val="fr-CA"/>
              </w:rPr>
              <w:t xml:space="preserve"> </w:t>
            </w:r>
            <w:r w:rsidRPr="00AE70B8">
              <w:rPr>
                <w:b/>
                <w:bCs/>
                <w:color w:val="000000"/>
                <w:kern w:val="22"/>
                <w:szCs w:val="22"/>
                <w:lang w:val="fr-CA"/>
              </w:rPr>
              <w:t>052</w:t>
            </w:r>
            <w:r w:rsidR="00702399" w:rsidRPr="00AE70B8">
              <w:rPr>
                <w:b/>
                <w:bCs/>
                <w:color w:val="000000"/>
                <w:kern w:val="22"/>
                <w:szCs w:val="22"/>
                <w:lang w:val="fr-CA"/>
              </w:rPr>
              <w:t>,</w:t>
            </w:r>
            <w:r w:rsidRPr="00AE70B8">
              <w:rPr>
                <w:b/>
                <w:bCs/>
                <w:color w:val="000000"/>
                <w:kern w:val="22"/>
                <w:szCs w:val="22"/>
                <w:lang w:val="fr-CA"/>
              </w:rPr>
              <w:t>95</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F9487DA" w14:textId="2D91921C" w:rsidR="002606D7" w:rsidRPr="00AE70B8" w:rsidRDefault="002606D7" w:rsidP="00282AF6">
            <w:pPr>
              <w:suppressLineNumbers/>
              <w:suppressAutoHyphens/>
              <w:jc w:val="center"/>
              <w:rPr>
                <w:color w:val="000000"/>
                <w:kern w:val="22"/>
                <w:szCs w:val="22"/>
                <w:lang w:val="fr-CA" w:eastAsia="en-CA"/>
              </w:rPr>
            </w:pPr>
          </w:p>
        </w:tc>
      </w:tr>
      <w:tr w:rsidR="002606D7" w:rsidRPr="00AE70B8" w14:paraId="1EE4AE90" w14:textId="77777777" w:rsidTr="00190EF6">
        <w:trPr>
          <w:trHeight w:val="300"/>
          <w:jc w:val="center"/>
        </w:trPr>
        <w:tc>
          <w:tcPr>
            <w:tcW w:w="5485" w:type="dxa"/>
            <w:tcBorders>
              <w:top w:val="nil"/>
              <w:left w:val="single" w:sz="4" w:space="0" w:color="auto"/>
              <w:bottom w:val="single" w:sz="4" w:space="0" w:color="auto"/>
              <w:right w:val="single" w:sz="4" w:space="0" w:color="auto"/>
            </w:tcBorders>
            <w:shd w:val="clear" w:color="auto" w:fill="auto"/>
            <w:vAlign w:val="center"/>
            <w:hideMark/>
          </w:tcPr>
          <w:p w14:paraId="76233785" w14:textId="629D9E42" w:rsidR="002606D7" w:rsidRPr="00AE70B8" w:rsidRDefault="00702399" w:rsidP="00282AF6">
            <w:pPr>
              <w:suppressLineNumbers/>
              <w:suppressAutoHyphens/>
              <w:jc w:val="left"/>
              <w:rPr>
                <w:i/>
                <w:iCs/>
                <w:color w:val="000000"/>
                <w:kern w:val="22"/>
                <w:szCs w:val="22"/>
                <w:lang w:val="fr-CA" w:eastAsia="en-CA"/>
              </w:rPr>
            </w:pPr>
            <w:r w:rsidRPr="00AE70B8">
              <w:rPr>
                <w:i/>
                <w:iCs/>
                <w:color w:val="000000"/>
                <w:kern w:val="22"/>
                <w:szCs w:val="22"/>
                <w:lang w:val="fr-CA" w:eastAsia="en-CA"/>
              </w:rPr>
              <w:t>Part du budget provisoire pour la Convention</w:t>
            </w:r>
            <w:r w:rsidR="002606D7" w:rsidRPr="00AE70B8">
              <w:rPr>
                <w:i/>
                <w:iCs/>
                <w:color w:val="000000"/>
                <w:kern w:val="22"/>
                <w:szCs w:val="22"/>
                <w:lang w:val="fr-CA" w:eastAsia="en-CA"/>
              </w:rPr>
              <w:t xml:space="preserve"> (74</w:t>
            </w:r>
            <w:r w:rsidRPr="00AE70B8">
              <w:rPr>
                <w:i/>
                <w:iCs/>
                <w:color w:val="000000"/>
                <w:kern w:val="22"/>
                <w:szCs w:val="22"/>
                <w:lang w:val="fr-CA" w:eastAsia="en-CA"/>
              </w:rPr>
              <w:t> </w:t>
            </w:r>
            <w:r w:rsidR="002606D7" w:rsidRPr="00AE70B8">
              <w:rPr>
                <w:i/>
                <w:iCs/>
                <w:color w:val="000000"/>
                <w:kern w:val="22"/>
                <w:szCs w:val="22"/>
                <w:lang w:val="fr-CA" w:eastAsia="en-CA"/>
              </w:rPr>
              <w:t>%)</w:t>
            </w:r>
          </w:p>
        </w:tc>
        <w:tc>
          <w:tcPr>
            <w:tcW w:w="2700" w:type="dxa"/>
            <w:tcBorders>
              <w:top w:val="nil"/>
              <w:left w:val="nil"/>
              <w:bottom w:val="single" w:sz="4" w:space="0" w:color="auto"/>
              <w:right w:val="single" w:sz="4" w:space="0" w:color="auto"/>
            </w:tcBorders>
            <w:shd w:val="clear" w:color="auto" w:fill="auto"/>
            <w:vAlign w:val="center"/>
          </w:tcPr>
          <w:p w14:paraId="4015DF2E" w14:textId="5325B760" w:rsidR="002606D7" w:rsidRPr="00AE70B8" w:rsidRDefault="00D32CC6" w:rsidP="00282AF6">
            <w:pPr>
              <w:suppressLineNumbers/>
              <w:suppressAutoHyphens/>
              <w:jc w:val="right"/>
              <w:rPr>
                <w:i/>
                <w:iCs/>
                <w:color w:val="000000"/>
                <w:kern w:val="22"/>
                <w:szCs w:val="22"/>
                <w:lang w:val="fr-CA" w:eastAsia="en-CA"/>
              </w:rPr>
            </w:pPr>
            <w:r w:rsidRPr="00AE70B8">
              <w:rPr>
                <w:i/>
                <w:iCs/>
                <w:color w:val="000000"/>
                <w:kern w:val="22"/>
                <w:szCs w:val="22"/>
                <w:lang w:val="fr-CA"/>
              </w:rPr>
              <w:t>12</w:t>
            </w:r>
            <w:r w:rsidR="008657DB" w:rsidRPr="00AE70B8">
              <w:rPr>
                <w:i/>
                <w:iCs/>
                <w:color w:val="000000"/>
                <w:kern w:val="22"/>
                <w:szCs w:val="22"/>
                <w:lang w:val="fr-CA"/>
              </w:rPr>
              <w:t xml:space="preserve"> </w:t>
            </w:r>
            <w:r w:rsidRPr="00AE70B8">
              <w:rPr>
                <w:i/>
                <w:iCs/>
                <w:color w:val="000000"/>
                <w:kern w:val="22"/>
                <w:szCs w:val="22"/>
                <w:lang w:val="fr-CA"/>
              </w:rPr>
              <w:t>619</w:t>
            </w:r>
            <w:r w:rsidR="00702399" w:rsidRPr="00AE70B8">
              <w:rPr>
                <w:i/>
                <w:iCs/>
                <w:color w:val="000000"/>
                <w:kern w:val="22"/>
                <w:szCs w:val="22"/>
                <w:lang w:val="fr-CA"/>
              </w:rPr>
              <w:t>,</w:t>
            </w:r>
            <w:r w:rsidRPr="00AE70B8">
              <w:rPr>
                <w:i/>
                <w:iCs/>
                <w:color w:val="000000"/>
                <w:kern w:val="22"/>
                <w:szCs w:val="22"/>
                <w:lang w:val="fr-CA"/>
              </w:rPr>
              <w:t>18</w:t>
            </w:r>
          </w:p>
        </w:tc>
        <w:tc>
          <w:tcPr>
            <w:tcW w:w="1180" w:type="dxa"/>
            <w:tcBorders>
              <w:top w:val="nil"/>
              <w:left w:val="nil"/>
              <w:bottom w:val="single" w:sz="4" w:space="0" w:color="auto"/>
              <w:right w:val="single" w:sz="4" w:space="0" w:color="auto"/>
            </w:tcBorders>
            <w:shd w:val="clear" w:color="auto" w:fill="auto"/>
            <w:vAlign w:val="center"/>
            <w:hideMark/>
          </w:tcPr>
          <w:p w14:paraId="10CCE11C" w14:textId="4E4816B8" w:rsidR="002606D7" w:rsidRPr="00AE70B8" w:rsidRDefault="002606D7" w:rsidP="00282AF6">
            <w:pPr>
              <w:suppressLineNumbers/>
              <w:suppressAutoHyphens/>
              <w:jc w:val="center"/>
              <w:rPr>
                <w:i/>
                <w:iCs/>
                <w:color w:val="000000"/>
                <w:kern w:val="22"/>
                <w:szCs w:val="22"/>
                <w:lang w:val="fr-CA" w:eastAsia="en-CA"/>
              </w:rPr>
            </w:pPr>
          </w:p>
        </w:tc>
      </w:tr>
      <w:tr w:rsidR="002606D7" w:rsidRPr="00AE70B8" w14:paraId="1CB86CC7" w14:textId="77777777" w:rsidTr="00190EF6">
        <w:trPr>
          <w:trHeight w:val="287"/>
          <w:jc w:val="center"/>
        </w:trPr>
        <w:tc>
          <w:tcPr>
            <w:tcW w:w="5485" w:type="dxa"/>
            <w:tcBorders>
              <w:top w:val="nil"/>
              <w:left w:val="single" w:sz="4" w:space="0" w:color="auto"/>
              <w:bottom w:val="single" w:sz="4" w:space="0" w:color="auto"/>
              <w:right w:val="single" w:sz="4" w:space="0" w:color="auto"/>
            </w:tcBorders>
            <w:shd w:val="clear" w:color="auto" w:fill="auto"/>
            <w:vAlign w:val="center"/>
            <w:hideMark/>
          </w:tcPr>
          <w:p w14:paraId="4609976A" w14:textId="13DA9CDB" w:rsidR="002606D7" w:rsidRPr="00AE70B8" w:rsidRDefault="00702399" w:rsidP="00702399">
            <w:pPr>
              <w:suppressLineNumbers/>
              <w:suppressAutoHyphens/>
              <w:jc w:val="left"/>
              <w:rPr>
                <w:i/>
                <w:iCs/>
                <w:color w:val="000000"/>
                <w:spacing w:val="-12"/>
                <w:kern w:val="22"/>
                <w:szCs w:val="22"/>
                <w:lang w:val="fr-CA" w:eastAsia="en-CA"/>
              </w:rPr>
            </w:pPr>
            <w:r w:rsidRPr="00AE70B8">
              <w:rPr>
                <w:i/>
                <w:iCs/>
                <w:color w:val="000000"/>
                <w:spacing w:val="-12"/>
                <w:kern w:val="22"/>
                <w:szCs w:val="22"/>
                <w:lang w:val="fr-CA" w:eastAsia="en-CA"/>
              </w:rPr>
              <w:t>Part du budget provisoire pour le Protocole de Cartagena (15 %)</w:t>
            </w:r>
          </w:p>
        </w:tc>
        <w:tc>
          <w:tcPr>
            <w:tcW w:w="2700" w:type="dxa"/>
            <w:tcBorders>
              <w:top w:val="nil"/>
              <w:left w:val="nil"/>
              <w:bottom w:val="single" w:sz="4" w:space="0" w:color="auto"/>
              <w:right w:val="single" w:sz="4" w:space="0" w:color="auto"/>
            </w:tcBorders>
            <w:shd w:val="clear" w:color="auto" w:fill="auto"/>
            <w:vAlign w:val="center"/>
          </w:tcPr>
          <w:p w14:paraId="790293D2" w14:textId="28AF9906" w:rsidR="002606D7" w:rsidRPr="00AE70B8" w:rsidRDefault="00D32CC6" w:rsidP="00282AF6">
            <w:pPr>
              <w:suppressLineNumbers/>
              <w:suppressAutoHyphens/>
              <w:jc w:val="right"/>
              <w:rPr>
                <w:i/>
                <w:iCs/>
                <w:color w:val="000000"/>
                <w:kern w:val="22"/>
                <w:szCs w:val="22"/>
                <w:lang w:val="fr-CA" w:eastAsia="en-CA"/>
              </w:rPr>
            </w:pPr>
            <w:r w:rsidRPr="00AE70B8">
              <w:rPr>
                <w:i/>
                <w:iCs/>
                <w:color w:val="000000"/>
                <w:kern w:val="22"/>
                <w:szCs w:val="22"/>
                <w:lang w:val="fr-CA"/>
              </w:rPr>
              <w:t>2</w:t>
            </w:r>
            <w:r w:rsidR="008657DB" w:rsidRPr="00AE70B8">
              <w:rPr>
                <w:i/>
                <w:iCs/>
                <w:color w:val="000000"/>
                <w:kern w:val="22"/>
                <w:szCs w:val="22"/>
                <w:lang w:val="fr-CA"/>
              </w:rPr>
              <w:t xml:space="preserve"> </w:t>
            </w:r>
            <w:r w:rsidRPr="00AE70B8">
              <w:rPr>
                <w:i/>
                <w:iCs/>
                <w:color w:val="000000"/>
                <w:kern w:val="22"/>
                <w:szCs w:val="22"/>
                <w:lang w:val="fr-CA"/>
              </w:rPr>
              <w:t>557</w:t>
            </w:r>
            <w:r w:rsidR="00702399" w:rsidRPr="00AE70B8">
              <w:rPr>
                <w:i/>
                <w:iCs/>
                <w:color w:val="000000"/>
                <w:kern w:val="22"/>
                <w:szCs w:val="22"/>
                <w:lang w:val="fr-CA"/>
              </w:rPr>
              <w:t>,</w:t>
            </w:r>
            <w:r w:rsidRPr="00AE70B8">
              <w:rPr>
                <w:i/>
                <w:iCs/>
                <w:color w:val="000000"/>
                <w:kern w:val="22"/>
                <w:szCs w:val="22"/>
                <w:lang w:val="fr-CA"/>
              </w:rPr>
              <w:t>94</w:t>
            </w:r>
          </w:p>
        </w:tc>
        <w:tc>
          <w:tcPr>
            <w:tcW w:w="1180" w:type="dxa"/>
            <w:tcBorders>
              <w:top w:val="nil"/>
              <w:left w:val="nil"/>
              <w:bottom w:val="single" w:sz="4" w:space="0" w:color="auto"/>
              <w:right w:val="single" w:sz="4" w:space="0" w:color="auto"/>
            </w:tcBorders>
            <w:shd w:val="clear" w:color="auto" w:fill="auto"/>
            <w:vAlign w:val="center"/>
            <w:hideMark/>
          </w:tcPr>
          <w:p w14:paraId="08D2DEC2" w14:textId="74832975" w:rsidR="002606D7" w:rsidRPr="00AE70B8" w:rsidRDefault="002606D7" w:rsidP="00282AF6">
            <w:pPr>
              <w:suppressLineNumbers/>
              <w:suppressAutoHyphens/>
              <w:jc w:val="center"/>
              <w:rPr>
                <w:i/>
                <w:iCs/>
                <w:color w:val="000000"/>
                <w:kern w:val="22"/>
                <w:szCs w:val="22"/>
                <w:lang w:val="fr-CA" w:eastAsia="en-CA"/>
              </w:rPr>
            </w:pPr>
          </w:p>
        </w:tc>
      </w:tr>
      <w:tr w:rsidR="002606D7" w:rsidRPr="00AE70B8" w14:paraId="213414C6" w14:textId="77777777" w:rsidTr="00190EF6">
        <w:trPr>
          <w:trHeight w:val="224"/>
          <w:jc w:val="center"/>
        </w:trPr>
        <w:tc>
          <w:tcPr>
            <w:tcW w:w="5485" w:type="dxa"/>
            <w:tcBorders>
              <w:top w:val="nil"/>
              <w:left w:val="single" w:sz="4" w:space="0" w:color="auto"/>
              <w:bottom w:val="single" w:sz="4" w:space="0" w:color="auto"/>
              <w:right w:val="single" w:sz="4" w:space="0" w:color="auto"/>
            </w:tcBorders>
            <w:shd w:val="clear" w:color="auto" w:fill="auto"/>
            <w:vAlign w:val="center"/>
            <w:hideMark/>
          </w:tcPr>
          <w:p w14:paraId="6A31DFE3" w14:textId="349CC1B2" w:rsidR="002606D7" w:rsidRPr="00AE70B8" w:rsidRDefault="00702399" w:rsidP="00282AF6">
            <w:pPr>
              <w:suppressLineNumbers/>
              <w:suppressAutoHyphens/>
              <w:jc w:val="left"/>
              <w:rPr>
                <w:i/>
                <w:iCs/>
                <w:color w:val="000000"/>
                <w:spacing w:val="-8"/>
                <w:kern w:val="22"/>
                <w:szCs w:val="22"/>
                <w:lang w:val="fr-CA" w:eastAsia="en-CA"/>
              </w:rPr>
            </w:pPr>
            <w:r w:rsidRPr="00AE70B8">
              <w:rPr>
                <w:i/>
                <w:iCs/>
                <w:color w:val="000000"/>
                <w:spacing w:val="-8"/>
                <w:kern w:val="22"/>
                <w:szCs w:val="22"/>
                <w:lang w:val="fr-CA" w:eastAsia="en-CA"/>
              </w:rPr>
              <w:t>Part du budget provisoire pour le Protocole de Nagoya (11 %)</w:t>
            </w:r>
          </w:p>
        </w:tc>
        <w:tc>
          <w:tcPr>
            <w:tcW w:w="2700" w:type="dxa"/>
            <w:tcBorders>
              <w:top w:val="nil"/>
              <w:left w:val="nil"/>
              <w:bottom w:val="single" w:sz="4" w:space="0" w:color="auto"/>
              <w:right w:val="single" w:sz="4" w:space="0" w:color="auto"/>
            </w:tcBorders>
            <w:shd w:val="clear" w:color="auto" w:fill="auto"/>
            <w:vAlign w:val="center"/>
          </w:tcPr>
          <w:p w14:paraId="16670041" w14:textId="35B11A61" w:rsidR="002606D7" w:rsidRPr="00AE70B8" w:rsidRDefault="00D32CC6" w:rsidP="00282AF6">
            <w:pPr>
              <w:suppressLineNumbers/>
              <w:suppressAutoHyphens/>
              <w:jc w:val="right"/>
              <w:rPr>
                <w:i/>
                <w:iCs/>
                <w:color w:val="000000"/>
                <w:kern w:val="22"/>
                <w:szCs w:val="22"/>
                <w:lang w:val="fr-CA" w:eastAsia="en-CA"/>
              </w:rPr>
            </w:pPr>
            <w:r w:rsidRPr="00AE70B8">
              <w:rPr>
                <w:i/>
                <w:iCs/>
                <w:color w:val="000000"/>
                <w:kern w:val="22"/>
                <w:szCs w:val="22"/>
                <w:lang w:val="fr-CA"/>
              </w:rPr>
              <w:t>1</w:t>
            </w:r>
            <w:r w:rsidR="008657DB" w:rsidRPr="00AE70B8">
              <w:rPr>
                <w:i/>
                <w:iCs/>
                <w:color w:val="000000"/>
                <w:kern w:val="22"/>
                <w:szCs w:val="22"/>
                <w:lang w:val="fr-CA"/>
              </w:rPr>
              <w:t xml:space="preserve"> </w:t>
            </w:r>
            <w:r w:rsidRPr="00AE70B8">
              <w:rPr>
                <w:i/>
                <w:iCs/>
                <w:color w:val="000000"/>
                <w:kern w:val="22"/>
                <w:szCs w:val="22"/>
                <w:lang w:val="fr-CA"/>
              </w:rPr>
              <w:t>875</w:t>
            </w:r>
            <w:r w:rsidR="00702399" w:rsidRPr="00AE70B8">
              <w:rPr>
                <w:i/>
                <w:iCs/>
                <w:color w:val="000000"/>
                <w:kern w:val="22"/>
                <w:szCs w:val="22"/>
                <w:lang w:val="fr-CA"/>
              </w:rPr>
              <w:t>,</w:t>
            </w:r>
            <w:r w:rsidRPr="00AE70B8">
              <w:rPr>
                <w:i/>
                <w:iCs/>
                <w:color w:val="000000"/>
                <w:kern w:val="22"/>
                <w:szCs w:val="22"/>
                <w:lang w:val="fr-CA"/>
              </w:rPr>
              <w:t>82</w:t>
            </w:r>
          </w:p>
        </w:tc>
        <w:tc>
          <w:tcPr>
            <w:tcW w:w="1180" w:type="dxa"/>
            <w:tcBorders>
              <w:top w:val="nil"/>
              <w:left w:val="nil"/>
              <w:bottom w:val="single" w:sz="4" w:space="0" w:color="auto"/>
              <w:right w:val="single" w:sz="4" w:space="0" w:color="auto"/>
            </w:tcBorders>
            <w:shd w:val="clear" w:color="auto" w:fill="auto"/>
            <w:vAlign w:val="center"/>
            <w:hideMark/>
          </w:tcPr>
          <w:p w14:paraId="539BF5DE" w14:textId="78436C58" w:rsidR="002606D7" w:rsidRPr="00AE70B8" w:rsidRDefault="002606D7" w:rsidP="00282AF6">
            <w:pPr>
              <w:suppressLineNumbers/>
              <w:suppressAutoHyphens/>
              <w:jc w:val="center"/>
              <w:rPr>
                <w:i/>
                <w:iCs/>
                <w:color w:val="000000"/>
                <w:kern w:val="22"/>
                <w:szCs w:val="22"/>
                <w:lang w:val="fr-CA" w:eastAsia="en-CA"/>
              </w:rPr>
            </w:pPr>
          </w:p>
        </w:tc>
      </w:tr>
    </w:tbl>
    <w:p w14:paraId="6DA93D2E" w14:textId="664DC38B" w:rsidR="00951BDC" w:rsidRPr="00AE70B8" w:rsidRDefault="00951BDC" w:rsidP="00282AF6">
      <w:pPr>
        <w:keepNext/>
        <w:suppressLineNumbers/>
        <w:suppressAutoHyphens/>
        <w:spacing w:before="120" w:after="120"/>
        <w:jc w:val="left"/>
        <w:rPr>
          <w:kern w:val="22"/>
          <w:sz w:val="18"/>
          <w:szCs w:val="18"/>
          <w:lang w:val="fr-CA"/>
        </w:rPr>
      </w:pPr>
      <w:r w:rsidRPr="00AE70B8">
        <w:rPr>
          <w:i/>
          <w:kern w:val="22"/>
          <w:sz w:val="18"/>
          <w:szCs w:val="18"/>
          <w:lang w:val="fr-CA"/>
        </w:rPr>
        <w:t>Notes</w:t>
      </w:r>
      <w:r w:rsidR="00702399" w:rsidRPr="00AE70B8">
        <w:rPr>
          <w:i/>
          <w:kern w:val="22"/>
          <w:sz w:val="18"/>
          <w:szCs w:val="18"/>
          <w:lang w:val="fr-CA"/>
        </w:rPr>
        <w:t xml:space="preserve"> </w:t>
      </w:r>
      <w:r w:rsidRPr="00AE70B8">
        <w:rPr>
          <w:kern w:val="22"/>
          <w:sz w:val="18"/>
          <w:szCs w:val="18"/>
          <w:lang w:val="fr-CA"/>
        </w:rPr>
        <w:t>:</w:t>
      </w:r>
    </w:p>
    <w:p w14:paraId="109CF2A4" w14:textId="1EBCEF9B" w:rsidR="00951BDC" w:rsidRPr="00AE70B8" w:rsidRDefault="00702399" w:rsidP="006914CE">
      <w:pPr>
        <w:pStyle w:val="ListParagraph"/>
        <w:numPr>
          <w:ilvl w:val="0"/>
          <w:numId w:val="42"/>
        </w:numPr>
        <w:suppressLineNumbers/>
        <w:suppressAutoHyphens/>
        <w:spacing w:after="120"/>
        <w:ind w:left="142" w:firstLine="284"/>
        <w:contextualSpacing w:val="0"/>
        <w:rPr>
          <w:kern w:val="22"/>
          <w:sz w:val="18"/>
          <w:szCs w:val="18"/>
          <w:lang w:val="fr-CA"/>
        </w:rPr>
      </w:pPr>
      <w:r w:rsidRPr="00AE70B8">
        <w:rPr>
          <w:kern w:val="22"/>
          <w:sz w:val="18"/>
          <w:szCs w:val="18"/>
          <w:lang w:val="fr-CA"/>
        </w:rPr>
        <w:t>L’estimation des ressources est fondée sur les coûts de personnel r</w:t>
      </w:r>
      <w:r w:rsidR="00A01AA0" w:rsidRPr="00AE70B8">
        <w:rPr>
          <w:kern w:val="22"/>
          <w:sz w:val="18"/>
          <w:szCs w:val="18"/>
          <w:lang w:val="fr-CA"/>
        </w:rPr>
        <w:t>é</w:t>
      </w:r>
      <w:r w:rsidRPr="00AE70B8">
        <w:rPr>
          <w:kern w:val="22"/>
          <w:sz w:val="18"/>
          <w:szCs w:val="18"/>
          <w:lang w:val="fr-CA"/>
        </w:rPr>
        <w:t>els de 2021 et les augmentations prévues conformément au</w:t>
      </w:r>
      <w:r w:rsidR="0011633E">
        <w:rPr>
          <w:kern w:val="22"/>
          <w:sz w:val="18"/>
          <w:szCs w:val="18"/>
          <w:lang w:val="fr-CA"/>
        </w:rPr>
        <w:t>x</w:t>
      </w:r>
      <w:r w:rsidRPr="00AE70B8">
        <w:rPr>
          <w:kern w:val="22"/>
          <w:sz w:val="18"/>
          <w:szCs w:val="18"/>
          <w:lang w:val="fr-CA"/>
        </w:rPr>
        <w:t xml:space="preserve"> tableau d’</w:t>
      </w:r>
      <w:r w:rsidR="006830F8">
        <w:rPr>
          <w:kern w:val="22"/>
          <w:sz w:val="18"/>
          <w:szCs w:val="18"/>
          <w:lang w:val="fr-CA"/>
        </w:rPr>
        <w:t>effectifs des Nations U</w:t>
      </w:r>
      <w:r w:rsidR="00A01AA0" w:rsidRPr="00AE70B8">
        <w:rPr>
          <w:kern w:val="22"/>
          <w:sz w:val="18"/>
          <w:szCs w:val="18"/>
          <w:lang w:val="fr-CA"/>
        </w:rPr>
        <w:t xml:space="preserve">nies </w:t>
      </w:r>
      <w:r w:rsidR="0011633E">
        <w:rPr>
          <w:kern w:val="22"/>
          <w:sz w:val="18"/>
          <w:szCs w:val="18"/>
          <w:lang w:val="fr-CA"/>
        </w:rPr>
        <w:t>et échelons suivants</w:t>
      </w:r>
      <w:r w:rsidR="00A01AA0" w:rsidRPr="00AE70B8">
        <w:rPr>
          <w:kern w:val="22"/>
          <w:sz w:val="18"/>
          <w:szCs w:val="18"/>
          <w:lang w:val="fr-CA"/>
        </w:rPr>
        <w:t xml:space="preserve"> pour le personnel des services professionnels et des services généraux : SSG : 331 000; D-2 : 305 000; D-1 : 277 000; P-5 : 233 000; P-4 : 220 000; P-3 : 182 000; P-2 : 141 000, Services généraux : 77 000</w:t>
      </w:r>
      <w:r w:rsidR="00951BDC" w:rsidRPr="00AE70B8">
        <w:rPr>
          <w:kern w:val="22"/>
          <w:sz w:val="18"/>
          <w:szCs w:val="18"/>
          <w:lang w:val="fr-CA"/>
        </w:rPr>
        <w:t>.</w:t>
      </w:r>
    </w:p>
    <w:p w14:paraId="1B7C9660" w14:textId="26542816" w:rsidR="00393E17" w:rsidRPr="00AE70B8" w:rsidRDefault="003039C4" w:rsidP="006914CE">
      <w:pPr>
        <w:pStyle w:val="ListParagraph"/>
        <w:numPr>
          <w:ilvl w:val="0"/>
          <w:numId w:val="42"/>
        </w:numPr>
        <w:suppressLineNumbers/>
        <w:suppressAutoHyphens/>
        <w:spacing w:after="120"/>
        <w:ind w:left="142" w:firstLine="284"/>
        <w:contextualSpacing w:val="0"/>
        <w:rPr>
          <w:rFonts w:eastAsiaTheme="minorEastAsia"/>
          <w:kern w:val="22"/>
          <w:sz w:val="18"/>
          <w:szCs w:val="18"/>
          <w:lang w:val="fr-CA"/>
        </w:rPr>
      </w:pPr>
      <w:r w:rsidRPr="00AE70B8">
        <w:rPr>
          <w:kern w:val="22"/>
          <w:sz w:val="18"/>
          <w:szCs w:val="18"/>
          <w:lang w:val="fr-CA"/>
        </w:rPr>
        <w:t>Le Secrétariat a reconduit son accord de subvention avec le pays hôte (le gouvernement du Canada et la Province de Québec) concernant le loyer et les coûts apparentés de l’espace de bureau à Montréal. L’accord s’applique du 1</w:t>
      </w:r>
      <w:r w:rsidRPr="00AE70B8">
        <w:rPr>
          <w:kern w:val="22"/>
          <w:sz w:val="18"/>
          <w:szCs w:val="18"/>
          <w:vertAlign w:val="superscript"/>
          <w:lang w:val="fr-CA"/>
        </w:rPr>
        <w:t>er</w:t>
      </w:r>
      <w:r w:rsidR="00B6480C">
        <w:rPr>
          <w:kern w:val="22"/>
          <w:sz w:val="18"/>
          <w:szCs w:val="18"/>
          <w:lang w:val="fr-CA"/>
        </w:rPr>
        <w:t xml:space="preserve"> octobre 2019 au 3</w:t>
      </w:r>
      <w:r w:rsidRPr="00AE70B8">
        <w:rPr>
          <w:kern w:val="22"/>
          <w:sz w:val="18"/>
          <w:szCs w:val="18"/>
          <w:lang w:val="fr-CA"/>
        </w:rPr>
        <w:t>0 septembre 2029, ce qui correspond à la période du bail actuel signé par le Secrétariat. Le loy</w:t>
      </w:r>
      <w:r w:rsidR="00D23241" w:rsidRPr="00AE70B8">
        <w:rPr>
          <w:kern w:val="22"/>
          <w:sz w:val="18"/>
          <w:szCs w:val="18"/>
          <w:lang w:val="fr-CA"/>
        </w:rPr>
        <w:t>e</w:t>
      </w:r>
      <w:r w:rsidRPr="00AE70B8">
        <w:rPr>
          <w:kern w:val="22"/>
          <w:sz w:val="18"/>
          <w:szCs w:val="18"/>
          <w:lang w:val="fr-CA"/>
        </w:rPr>
        <w:t>r et les coûts app</w:t>
      </w:r>
      <w:r w:rsidR="00D23241" w:rsidRPr="00AE70B8">
        <w:rPr>
          <w:kern w:val="22"/>
          <w:sz w:val="18"/>
          <w:szCs w:val="18"/>
          <w:lang w:val="fr-CA"/>
        </w:rPr>
        <w:t>a</w:t>
      </w:r>
      <w:r w:rsidRPr="00AE70B8">
        <w:rPr>
          <w:kern w:val="22"/>
          <w:sz w:val="18"/>
          <w:szCs w:val="18"/>
          <w:lang w:val="fr-CA"/>
        </w:rPr>
        <w:t>rentés pou</w:t>
      </w:r>
      <w:r w:rsidR="00D23241" w:rsidRPr="00AE70B8">
        <w:rPr>
          <w:kern w:val="22"/>
          <w:sz w:val="18"/>
          <w:szCs w:val="18"/>
          <w:lang w:val="fr-CA"/>
        </w:rPr>
        <w:t>r</w:t>
      </w:r>
      <w:r w:rsidR="0011633E">
        <w:rPr>
          <w:kern w:val="22"/>
          <w:sz w:val="18"/>
          <w:szCs w:val="18"/>
          <w:lang w:val="fr-CA"/>
        </w:rPr>
        <w:t xml:space="preserve"> 2022 sont évalués à 2 092</w:t>
      </w:r>
      <w:r w:rsidRPr="00AE70B8">
        <w:rPr>
          <w:kern w:val="22"/>
          <w:sz w:val="18"/>
          <w:szCs w:val="18"/>
          <w:lang w:val="fr-CA"/>
        </w:rPr>
        <w:t xml:space="preserve"> 229 $CAD. Le taux de change ayant servi à la </w:t>
      </w:r>
      <w:r w:rsidR="00D23241" w:rsidRPr="00AE70B8">
        <w:rPr>
          <w:kern w:val="22"/>
          <w:sz w:val="18"/>
          <w:szCs w:val="18"/>
          <w:lang w:val="fr-CA"/>
        </w:rPr>
        <w:t>reconversion</w:t>
      </w:r>
      <w:r w:rsidRPr="00AE70B8">
        <w:rPr>
          <w:kern w:val="22"/>
          <w:sz w:val="18"/>
          <w:szCs w:val="18"/>
          <w:lang w:val="fr-CA"/>
        </w:rPr>
        <w:t xml:space="preserve"> </w:t>
      </w:r>
      <w:r w:rsidR="00D23241" w:rsidRPr="00AE70B8">
        <w:rPr>
          <w:kern w:val="22"/>
          <w:sz w:val="18"/>
          <w:szCs w:val="18"/>
          <w:lang w:val="fr-CA"/>
        </w:rPr>
        <w:t xml:space="preserve">de la contribution en dollars canadiens du pays hôte est de </w:t>
      </w:r>
      <w:r w:rsidR="0011633E">
        <w:rPr>
          <w:kern w:val="22"/>
          <w:sz w:val="18"/>
          <w:szCs w:val="18"/>
          <w:lang w:val="fr-CA"/>
        </w:rPr>
        <w:t>1,25</w:t>
      </w:r>
      <w:r w:rsidR="00D23241" w:rsidRPr="00AE70B8">
        <w:rPr>
          <w:kern w:val="22"/>
          <w:sz w:val="18"/>
          <w:szCs w:val="18"/>
          <w:lang w:val="fr-CA"/>
        </w:rPr>
        <w:t xml:space="preserve"> $CAN : 1,00 $US</w:t>
      </w:r>
      <w:r w:rsidR="00CE4BBD" w:rsidRPr="00AE70B8">
        <w:rPr>
          <w:kern w:val="22"/>
          <w:sz w:val="18"/>
          <w:szCs w:val="18"/>
          <w:lang w:val="fr-CA"/>
        </w:rPr>
        <w:t>.</w:t>
      </w:r>
    </w:p>
    <w:p w14:paraId="4620AA0A" w14:textId="428769C5" w:rsidR="00EE27E1" w:rsidRPr="00AE70B8" w:rsidRDefault="00EE27E1" w:rsidP="006914CE">
      <w:pPr>
        <w:keepNext/>
        <w:keepLines/>
        <w:suppressLineNumbers/>
        <w:suppressAutoHyphens/>
        <w:spacing w:before="240" w:after="120"/>
        <w:ind w:left="851"/>
        <w:jc w:val="left"/>
        <w:rPr>
          <w:kern w:val="22"/>
          <w:lang w:val="fr-CA"/>
        </w:rPr>
      </w:pPr>
      <w:r w:rsidRPr="00AE70B8">
        <w:rPr>
          <w:b/>
          <w:kern w:val="22"/>
          <w:lang w:val="fr-CA"/>
        </w:rPr>
        <w:t>Table</w:t>
      </w:r>
      <w:r w:rsidR="00D23241" w:rsidRPr="00AE70B8">
        <w:rPr>
          <w:b/>
          <w:kern w:val="22"/>
          <w:lang w:val="fr-CA"/>
        </w:rPr>
        <w:t>au</w:t>
      </w:r>
      <w:r w:rsidRPr="00AE70B8">
        <w:rPr>
          <w:b/>
          <w:kern w:val="22"/>
          <w:lang w:val="fr-CA"/>
        </w:rPr>
        <w:t xml:space="preserve"> </w:t>
      </w:r>
      <w:r w:rsidR="472B7C05" w:rsidRPr="00AE70B8">
        <w:rPr>
          <w:b/>
          <w:kern w:val="22"/>
          <w:lang w:val="fr-CA"/>
        </w:rPr>
        <w:t>5</w:t>
      </w:r>
      <w:r w:rsidR="0D1128D4" w:rsidRPr="00AE70B8">
        <w:rPr>
          <w:b/>
          <w:kern w:val="22"/>
          <w:lang w:val="fr-CA"/>
        </w:rPr>
        <w:t>b</w:t>
      </w:r>
      <w:r w:rsidR="006B1B85" w:rsidRPr="00AE70B8">
        <w:rPr>
          <w:b/>
          <w:kern w:val="22"/>
          <w:szCs w:val="22"/>
          <w:lang w:val="fr-CA"/>
        </w:rPr>
        <w:br/>
      </w:r>
      <w:r w:rsidR="00814A7D" w:rsidRPr="00AE70B8">
        <w:rPr>
          <w:b/>
          <w:kern w:val="22"/>
          <w:lang w:val="fr-CA"/>
        </w:rPr>
        <w:t>Ressources des budgets de base intégrés requises par les divisions pour l’année 2022</w:t>
      </w:r>
      <w:r w:rsidR="00B15D84" w:rsidRPr="00AE70B8">
        <w:rPr>
          <w:b/>
          <w:kern w:val="22"/>
          <w:szCs w:val="22"/>
          <w:lang w:val="fr-CA"/>
        </w:rPr>
        <w:br/>
      </w:r>
      <w:r w:rsidR="00B15D84" w:rsidRPr="00AE70B8">
        <w:rPr>
          <w:i/>
          <w:color w:val="000000" w:themeColor="text1"/>
          <w:kern w:val="22"/>
          <w:lang w:val="fr-CA"/>
        </w:rPr>
        <w:t>(</w:t>
      </w:r>
      <w:r w:rsidR="00C4018A">
        <w:rPr>
          <w:i/>
          <w:color w:val="000000" w:themeColor="text1"/>
          <w:kern w:val="22"/>
          <w:lang w:val="fr-CA"/>
        </w:rPr>
        <w:t>En m</w:t>
      </w:r>
      <w:r w:rsidR="00814A7D" w:rsidRPr="00AE70B8">
        <w:rPr>
          <w:i/>
          <w:color w:val="000000" w:themeColor="text1"/>
          <w:kern w:val="22"/>
          <w:lang w:val="fr-CA"/>
        </w:rPr>
        <w:t>illiers de dollars des États-Unis</w:t>
      </w:r>
      <w:r w:rsidR="00B15D84" w:rsidRPr="00AE70B8">
        <w:rPr>
          <w:i/>
          <w:color w:val="000000" w:themeColor="text1"/>
          <w:kern w:val="22"/>
          <w:lang w:val="fr-CA"/>
        </w:rPr>
        <w:t>)</w:t>
      </w:r>
    </w:p>
    <w:tbl>
      <w:tblPr>
        <w:tblW w:w="7760" w:type="dxa"/>
        <w:jc w:val="center"/>
        <w:tblLook w:val="04A0" w:firstRow="1" w:lastRow="0" w:firstColumn="1" w:lastColumn="0" w:noHBand="0" w:noVBand="1"/>
      </w:tblPr>
      <w:tblGrid>
        <w:gridCol w:w="4520"/>
        <w:gridCol w:w="1600"/>
        <w:gridCol w:w="1640"/>
      </w:tblGrid>
      <w:tr w:rsidR="001D2433" w:rsidRPr="00AE70B8" w14:paraId="3230429C" w14:textId="77777777" w:rsidTr="006914CE">
        <w:trPr>
          <w:cantSplit/>
          <w:jc w:val="center"/>
        </w:trPr>
        <w:tc>
          <w:tcPr>
            <w:tcW w:w="4520" w:type="dxa"/>
            <w:tcBorders>
              <w:top w:val="single" w:sz="12" w:space="0" w:color="auto"/>
              <w:left w:val="nil"/>
              <w:bottom w:val="single" w:sz="8" w:space="0" w:color="auto"/>
              <w:right w:val="nil"/>
            </w:tcBorders>
            <w:shd w:val="clear" w:color="auto" w:fill="auto"/>
            <w:vAlign w:val="center"/>
            <w:hideMark/>
          </w:tcPr>
          <w:p w14:paraId="3BD47A0D" w14:textId="4C3DB948" w:rsidR="001D2433" w:rsidRPr="00AE70B8" w:rsidRDefault="001D2433" w:rsidP="006914CE">
            <w:pPr>
              <w:keepNext/>
              <w:keepLines/>
              <w:suppressLineNumbers/>
              <w:suppressAutoHyphens/>
              <w:rPr>
                <w:i/>
                <w:color w:val="000000" w:themeColor="text1"/>
                <w:kern w:val="22"/>
                <w:szCs w:val="22"/>
                <w:lang w:val="fr-CA"/>
              </w:rPr>
            </w:pPr>
          </w:p>
        </w:tc>
        <w:tc>
          <w:tcPr>
            <w:tcW w:w="1600" w:type="dxa"/>
            <w:tcBorders>
              <w:top w:val="single" w:sz="12" w:space="0" w:color="auto"/>
              <w:left w:val="nil"/>
              <w:bottom w:val="single" w:sz="8" w:space="0" w:color="auto"/>
              <w:right w:val="nil"/>
            </w:tcBorders>
            <w:shd w:val="clear" w:color="auto" w:fill="auto"/>
            <w:vAlign w:val="center"/>
            <w:hideMark/>
          </w:tcPr>
          <w:p w14:paraId="7CED2BCC" w14:textId="75B6288F" w:rsidR="001D2433" w:rsidRPr="00AE70B8" w:rsidRDefault="7D75F508" w:rsidP="006914CE">
            <w:pPr>
              <w:keepNext/>
              <w:keepLines/>
              <w:suppressLineNumbers/>
              <w:suppressAutoHyphens/>
              <w:jc w:val="center"/>
              <w:rPr>
                <w:i/>
                <w:color w:val="000000" w:themeColor="text1"/>
                <w:kern w:val="22"/>
                <w:lang w:val="fr-CA"/>
              </w:rPr>
            </w:pPr>
            <w:r w:rsidRPr="00AE70B8">
              <w:rPr>
                <w:i/>
                <w:color w:val="000000" w:themeColor="text1"/>
                <w:kern w:val="22"/>
                <w:lang w:val="fr-CA"/>
              </w:rPr>
              <w:t>202</w:t>
            </w:r>
            <w:r w:rsidR="35ABADF4" w:rsidRPr="00AE70B8">
              <w:rPr>
                <w:i/>
                <w:color w:val="000000" w:themeColor="text1"/>
                <w:kern w:val="22"/>
                <w:lang w:val="fr-CA"/>
              </w:rPr>
              <w:t>1</w:t>
            </w:r>
          </w:p>
        </w:tc>
        <w:tc>
          <w:tcPr>
            <w:tcW w:w="1640" w:type="dxa"/>
            <w:tcBorders>
              <w:top w:val="single" w:sz="12" w:space="0" w:color="auto"/>
              <w:left w:val="nil"/>
            </w:tcBorders>
            <w:shd w:val="clear" w:color="auto" w:fill="auto"/>
            <w:vAlign w:val="center"/>
            <w:hideMark/>
          </w:tcPr>
          <w:p w14:paraId="31B61AD6" w14:textId="47A3F43D" w:rsidR="001D2433" w:rsidRPr="00AE70B8" w:rsidRDefault="7D75F508" w:rsidP="006914CE">
            <w:pPr>
              <w:keepNext/>
              <w:keepLines/>
              <w:suppressLineNumbers/>
              <w:suppressAutoHyphens/>
              <w:jc w:val="center"/>
              <w:rPr>
                <w:i/>
                <w:color w:val="000000" w:themeColor="text1"/>
                <w:kern w:val="22"/>
                <w:lang w:val="fr-CA"/>
              </w:rPr>
            </w:pPr>
            <w:r w:rsidRPr="00AE70B8">
              <w:rPr>
                <w:i/>
                <w:color w:val="000000" w:themeColor="text1"/>
                <w:kern w:val="22"/>
                <w:lang w:val="fr-CA"/>
              </w:rPr>
              <w:t>202</w:t>
            </w:r>
            <w:r w:rsidR="7A8077F6" w:rsidRPr="00AE70B8">
              <w:rPr>
                <w:i/>
                <w:color w:val="000000" w:themeColor="text1"/>
                <w:kern w:val="22"/>
                <w:lang w:val="fr-CA"/>
              </w:rPr>
              <w:t>2</w:t>
            </w:r>
          </w:p>
        </w:tc>
      </w:tr>
      <w:tr w:rsidR="00764B3C" w:rsidRPr="00AE70B8" w14:paraId="6F92CA13" w14:textId="77777777" w:rsidTr="006914CE">
        <w:trPr>
          <w:cantSplit/>
          <w:jc w:val="center"/>
        </w:trPr>
        <w:tc>
          <w:tcPr>
            <w:tcW w:w="4520" w:type="dxa"/>
            <w:tcBorders>
              <w:top w:val="single" w:sz="8" w:space="0" w:color="auto"/>
              <w:left w:val="nil"/>
              <w:bottom w:val="nil"/>
              <w:right w:val="nil"/>
            </w:tcBorders>
            <w:shd w:val="clear" w:color="auto" w:fill="auto"/>
            <w:hideMark/>
          </w:tcPr>
          <w:p w14:paraId="756E3191" w14:textId="728A9EDB" w:rsidR="00764B3C" w:rsidRPr="00AE70B8" w:rsidRDefault="00764B3C" w:rsidP="006914CE">
            <w:pPr>
              <w:keepNext/>
              <w:keepLines/>
              <w:suppressLineNumbers/>
              <w:suppressAutoHyphens/>
              <w:jc w:val="left"/>
              <w:rPr>
                <w:b/>
                <w:color w:val="000000" w:themeColor="text1"/>
                <w:kern w:val="22"/>
                <w:szCs w:val="22"/>
                <w:lang w:val="fr-CA"/>
              </w:rPr>
            </w:pPr>
            <w:r w:rsidRPr="00AE70B8">
              <w:rPr>
                <w:b/>
                <w:color w:val="000000" w:themeColor="text1"/>
                <w:kern w:val="22"/>
                <w:szCs w:val="22"/>
                <w:lang w:val="fr-CA"/>
              </w:rPr>
              <w:t>I. Programmes</w:t>
            </w:r>
            <w:r w:rsidR="00814A7D" w:rsidRPr="00AE70B8">
              <w:rPr>
                <w:b/>
                <w:color w:val="000000" w:themeColor="text1"/>
                <w:kern w:val="22"/>
                <w:szCs w:val="22"/>
                <w:lang w:val="fr-CA"/>
              </w:rPr>
              <w:t xml:space="preserve"> </w:t>
            </w:r>
            <w:r w:rsidRPr="00AE70B8">
              <w:rPr>
                <w:b/>
                <w:color w:val="000000" w:themeColor="text1"/>
                <w:kern w:val="22"/>
                <w:szCs w:val="22"/>
                <w:lang w:val="fr-CA"/>
              </w:rPr>
              <w:t>:</w:t>
            </w:r>
          </w:p>
        </w:tc>
        <w:tc>
          <w:tcPr>
            <w:tcW w:w="1600" w:type="dxa"/>
            <w:tcBorders>
              <w:top w:val="single" w:sz="8" w:space="0" w:color="auto"/>
              <w:left w:val="nil"/>
              <w:bottom w:val="nil"/>
              <w:right w:val="nil"/>
            </w:tcBorders>
            <w:shd w:val="clear" w:color="auto" w:fill="auto"/>
            <w:vAlign w:val="center"/>
            <w:hideMark/>
          </w:tcPr>
          <w:p w14:paraId="39114BF8" w14:textId="77777777" w:rsidR="00764B3C" w:rsidRPr="00AE70B8" w:rsidRDefault="00764B3C" w:rsidP="006914CE">
            <w:pPr>
              <w:keepNext/>
              <w:keepLines/>
              <w:suppressLineNumbers/>
              <w:suppressAutoHyphens/>
              <w:jc w:val="right"/>
              <w:rPr>
                <w:color w:val="000000" w:themeColor="text1"/>
                <w:kern w:val="22"/>
                <w:szCs w:val="22"/>
                <w:lang w:val="fr-CA"/>
              </w:rPr>
            </w:pPr>
          </w:p>
        </w:tc>
        <w:tc>
          <w:tcPr>
            <w:tcW w:w="1640" w:type="dxa"/>
            <w:tcBorders>
              <w:top w:val="single" w:sz="8" w:space="0" w:color="auto"/>
              <w:left w:val="nil"/>
              <w:bottom w:val="nil"/>
              <w:right w:val="nil"/>
            </w:tcBorders>
            <w:shd w:val="clear" w:color="auto" w:fill="auto"/>
            <w:vAlign w:val="center"/>
            <w:hideMark/>
          </w:tcPr>
          <w:p w14:paraId="679C3B10" w14:textId="3340C561" w:rsidR="00764B3C" w:rsidRPr="00AE70B8" w:rsidRDefault="00764B3C" w:rsidP="006914CE">
            <w:pPr>
              <w:keepNext/>
              <w:keepLines/>
              <w:suppressLineNumbers/>
              <w:suppressAutoHyphens/>
              <w:jc w:val="right"/>
              <w:rPr>
                <w:color w:val="000000" w:themeColor="text1"/>
                <w:kern w:val="22"/>
                <w:szCs w:val="22"/>
                <w:lang w:val="fr-CA"/>
              </w:rPr>
            </w:pPr>
          </w:p>
        </w:tc>
      </w:tr>
      <w:tr w:rsidR="00764B3C" w:rsidRPr="00AE70B8" w14:paraId="6D693B20" w14:textId="77777777" w:rsidTr="006914CE">
        <w:trPr>
          <w:trHeight w:val="288"/>
          <w:jc w:val="center"/>
        </w:trPr>
        <w:tc>
          <w:tcPr>
            <w:tcW w:w="4520" w:type="dxa"/>
            <w:tcBorders>
              <w:top w:val="nil"/>
              <w:left w:val="nil"/>
              <w:bottom w:val="nil"/>
              <w:right w:val="nil"/>
            </w:tcBorders>
            <w:shd w:val="clear" w:color="auto" w:fill="auto"/>
            <w:hideMark/>
          </w:tcPr>
          <w:p w14:paraId="6D5F1F01" w14:textId="2E87FF02" w:rsidR="00764B3C" w:rsidRPr="00AE70B8" w:rsidRDefault="00764B3C" w:rsidP="00814A7D">
            <w:pPr>
              <w:keepNext/>
              <w:keepLines/>
              <w:suppressLineNumbers/>
              <w:suppressAutoHyphens/>
              <w:jc w:val="left"/>
              <w:rPr>
                <w:color w:val="000000" w:themeColor="text1"/>
                <w:kern w:val="22"/>
                <w:szCs w:val="22"/>
                <w:lang w:val="fr-CA"/>
              </w:rPr>
            </w:pPr>
            <w:r w:rsidRPr="00AE70B8">
              <w:rPr>
                <w:color w:val="000000" w:themeColor="text1"/>
                <w:kern w:val="22"/>
                <w:szCs w:val="22"/>
                <w:lang w:val="fr-CA"/>
              </w:rPr>
              <w:t xml:space="preserve">  </w:t>
            </w:r>
            <w:r w:rsidR="00814A7D" w:rsidRPr="00AE70B8">
              <w:rPr>
                <w:color w:val="000000" w:themeColor="text1"/>
                <w:kern w:val="22"/>
                <w:szCs w:val="22"/>
                <w:lang w:val="fr-CA"/>
              </w:rPr>
              <w:t>Bureau de la Secrétaire exécutive</w:t>
            </w:r>
          </w:p>
        </w:tc>
        <w:tc>
          <w:tcPr>
            <w:tcW w:w="1600" w:type="dxa"/>
            <w:tcBorders>
              <w:top w:val="nil"/>
              <w:left w:val="nil"/>
              <w:bottom w:val="nil"/>
              <w:right w:val="nil"/>
            </w:tcBorders>
            <w:shd w:val="clear" w:color="auto" w:fill="auto"/>
            <w:hideMark/>
          </w:tcPr>
          <w:p w14:paraId="1B3CC727" w14:textId="700F2215" w:rsidR="00764B3C" w:rsidRPr="00AE70B8" w:rsidRDefault="00862E06" w:rsidP="006914CE">
            <w:pPr>
              <w:keepNext/>
              <w:keepLines/>
              <w:suppressLineNumbers/>
              <w:suppressAutoHyphens/>
              <w:ind w:right="193"/>
              <w:jc w:val="right"/>
              <w:rPr>
                <w:color w:val="000000" w:themeColor="text1"/>
                <w:kern w:val="22"/>
                <w:lang w:val="fr-CA"/>
              </w:rPr>
            </w:pPr>
            <w:r w:rsidRPr="00AE70B8">
              <w:rPr>
                <w:color w:val="000000" w:themeColor="text1"/>
                <w:kern w:val="22"/>
                <w:lang w:val="fr-CA"/>
              </w:rPr>
              <w:t>2</w:t>
            </w:r>
            <w:r w:rsidR="008657DB" w:rsidRPr="00AE70B8">
              <w:rPr>
                <w:color w:val="000000" w:themeColor="text1"/>
                <w:kern w:val="22"/>
                <w:lang w:val="fr-CA"/>
              </w:rPr>
              <w:t xml:space="preserve"> </w:t>
            </w:r>
            <w:r w:rsidRPr="00AE70B8">
              <w:rPr>
                <w:color w:val="000000" w:themeColor="text1"/>
                <w:kern w:val="22"/>
                <w:lang w:val="fr-CA"/>
              </w:rPr>
              <w:t>404</w:t>
            </w:r>
            <w:r w:rsidR="00EB2280" w:rsidRPr="00AE70B8">
              <w:rPr>
                <w:color w:val="000000" w:themeColor="text1"/>
                <w:kern w:val="22"/>
                <w:lang w:val="fr-CA"/>
              </w:rPr>
              <w:t>,</w:t>
            </w:r>
            <w:r w:rsidRPr="00AE70B8">
              <w:rPr>
                <w:color w:val="000000" w:themeColor="text1"/>
                <w:kern w:val="22"/>
                <w:lang w:val="fr-CA"/>
              </w:rPr>
              <w:t>4</w:t>
            </w:r>
          </w:p>
        </w:tc>
        <w:tc>
          <w:tcPr>
            <w:tcW w:w="1640" w:type="dxa"/>
            <w:tcBorders>
              <w:top w:val="nil"/>
              <w:left w:val="nil"/>
              <w:bottom w:val="nil"/>
              <w:right w:val="nil"/>
            </w:tcBorders>
            <w:shd w:val="clear" w:color="auto" w:fill="auto"/>
            <w:hideMark/>
          </w:tcPr>
          <w:p w14:paraId="05B0DF0A" w14:textId="5B44A2F8" w:rsidR="00764B3C" w:rsidRPr="00AE70B8" w:rsidRDefault="00862E06" w:rsidP="006914CE">
            <w:pPr>
              <w:keepNext/>
              <w:keepLines/>
              <w:suppressLineNumbers/>
              <w:suppressAutoHyphens/>
              <w:ind w:right="193"/>
              <w:jc w:val="right"/>
              <w:rPr>
                <w:color w:val="000000" w:themeColor="text1"/>
                <w:kern w:val="22"/>
                <w:lang w:val="fr-CA"/>
              </w:rPr>
            </w:pPr>
            <w:r w:rsidRPr="00AE70B8">
              <w:rPr>
                <w:color w:val="000000" w:themeColor="text1"/>
                <w:kern w:val="22"/>
                <w:szCs w:val="22"/>
                <w:lang w:val="fr-CA"/>
              </w:rPr>
              <w:t>2</w:t>
            </w:r>
            <w:r w:rsidR="008657DB" w:rsidRPr="00AE70B8">
              <w:rPr>
                <w:color w:val="000000" w:themeColor="text1"/>
                <w:kern w:val="22"/>
                <w:szCs w:val="22"/>
                <w:lang w:val="fr-CA"/>
              </w:rPr>
              <w:t xml:space="preserve"> </w:t>
            </w:r>
            <w:r w:rsidR="00803A80" w:rsidRPr="00AE70B8">
              <w:rPr>
                <w:color w:val="000000" w:themeColor="text1"/>
                <w:kern w:val="22"/>
                <w:szCs w:val="22"/>
                <w:lang w:val="fr-CA"/>
              </w:rPr>
              <w:t>816</w:t>
            </w:r>
            <w:r w:rsidR="00EB2280" w:rsidRPr="00AE70B8">
              <w:rPr>
                <w:color w:val="000000" w:themeColor="text1"/>
                <w:kern w:val="22"/>
                <w:szCs w:val="22"/>
                <w:lang w:val="fr-CA"/>
              </w:rPr>
              <w:t>,</w:t>
            </w:r>
            <w:r w:rsidR="00803A80" w:rsidRPr="00AE70B8">
              <w:rPr>
                <w:color w:val="000000" w:themeColor="text1"/>
                <w:kern w:val="22"/>
                <w:szCs w:val="22"/>
                <w:lang w:val="fr-CA"/>
              </w:rPr>
              <w:t>5</w:t>
            </w:r>
          </w:p>
        </w:tc>
      </w:tr>
      <w:tr w:rsidR="00764B3C" w:rsidRPr="00AE70B8" w14:paraId="32DDD9C1" w14:textId="77777777" w:rsidTr="006914CE">
        <w:trPr>
          <w:trHeight w:val="288"/>
          <w:jc w:val="center"/>
        </w:trPr>
        <w:tc>
          <w:tcPr>
            <w:tcW w:w="4520" w:type="dxa"/>
            <w:tcBorders>
              <w:top w:val="nil"/>
              <w:left w:val="nil"/>
              <w:bottom w:val="nil"/>
              <w:right w:val="nil"/>
            </w:tcBorders>
            <w:shd w:val="clear" w:color="auto" w:fill="auto"/>
            <w:hideMark/>
          </w:tcPr>
          <w:p w14:paraId="790E392D" w14:textId="48F4C5AC" w:rsidR="00764B3C" w:rsidRPr="00AE70B8" w:rsidRDefault="00764B3C" w:rsidP="00814A7D">
            <w:pPr>
              <w:keepNext/>
              <w:keepLines/>
              <w:suppressLineNumbers/>
              <w:suppressAutoHyphens/>
              <w:jc w:val="left"/>
              <w:rPr>
                <w:color w:val="000000" w:themeColor="text1"/>
                <w:kern w:val="22"/>
                <w:szCs w:val="22"/>
                <w:lang w:val="fr-CA"/>
              </w:rPr>
            </w:pPr>
            <w:r w:rsidRPr="00AE70B8">
              <w:rPr>
                <w:color w:val="000000" w:themeColor="text1"/>
                <w:kern w:val="22"/>
                <w:szCs w:val="22"/>
                <w:lang w:val="fr-CA"/>
              </w:rPr>
              <w:t xml:space="preserve">  </w:t>
            </w:r>
            <w:r w:rsidR="00814A7D" w:rsidRPr="00AE70B8">
              <w:rPr>
                <w:color w:val="000000" w:themeColor="text1"/>
                <w:kern w:val="22"/>
                <w:szCs w:val="22"/>
                <w:lang w:val="fr-CA"/>
              </w:rPr>
              <w:t>Protocoles de Nagoya et de Cartagena</w:t>
            </w:r>
          </w:p>
        </w:tc>
        <w:tc>
          <w:tcPr>
            <w:tcW w:w="1600" w:type="dxa"/>
            <w:tcBorders>
              <w:top w:val="nil"/>
              <w:left w:val="nil"/>
              <w:bottom w:val="nil"/>
              <w:right w:val="nil"/>
            </w:tcBorders>
            <w:shd w:val="clear" w:color="auto" w:fill="auto"/>
            <w:hideMark/>
          </w:tcPr>
          <w:p w14:paraId="719107AD" w14:textId="1E5BA831" w:rsidR="00764B3C" w:rsidRPr="00AE70B8" w:rsidRDefault="00862E06" w:rsidP="006914CE">
            <w:pPr>
              <w:keepNext/>
              <w:keepLines/>
              <w:suppressLineNumbers/>
              <w:suppressAutoHyphens/>
              <w:ind w:right="193"/>
              <w:jc w:val="right"/>
              <w:rPr>
                <w:color w:val="000000" w:themeColor="text1"/>
                <w:kern w:val="22"/>
                <w:lang w:val="fr-CA"/>
              </w:rPr>
            </w:pPr>
            <w:r w:rsidRPr="00AE70B8">
              <w:rPr>
                <w:color w:val="000000" w:themeColor="text1"/>
                <w:kern w:val="22"/>
                <w:lang w:val="fr-CA"/>
              </w:rPr>
              <w:t>2</w:t>
            </w:r>
            <w:r w:rsidR="008657DB" w:rsidRPr="00AE70B8">
              <w:rPr>
                <w:color w:val="000000" w:themeColor="text1"/>
                <w:kern w:val="22"/>
                <w:lang w:val="fr-CA"/>
              </w:rPr>
              <w:t xml:space="preserve"> </w:t>
            </w:r>
            <w:r w:rsidRPr="00AE70B8">
              <w:rPr>
                <w:color w:val="000000" w:themeColor="text1"/>
                <w:kern w:val="22"/>
                <w:lang w:val="fr-CA"/>
              </w:rPr>
              <w:t>283</w:t>
            </w:r>
            <w:r w:rsidR="00EB2280" w:rsidRPr="00AE70B8">
              <w:rPr>
                <w:color w:val="000000" w:themeColor="text1"/>
                <w:kern w:val="22"/>
                <w:lang w:val="fr-CA"/>
              </w:rPr>
              <w:t>,</w:t>
            </w:r>
            <w:r w:rsidRPr="00AE70B8">
              <w:rPr>
                <w:color w:val="000000" w:themeColor="text1"/>
                <w:kern w:val="22"/>
                <w:lang w:val="fr-CA"/>
              </w:rPr>
              <w:t>4</w:t>
            </w:r>
          </w:p>
        </w:tc>
        <w:tc>
          <w:tcPr>
            <w:tcW w:w="1640" w:type="dxa"/>
            <w:tcBorders>
              <w:top w:val="nil"/>
              <w:left w:val="nil"/>
              <w:bottom w:val="nil"/>
              <w:right w:val="nil"/>
            </w:tcBorders>
            <w:shd w:val="clear" w:color="auto" w:fill="auto"/>
            <w:hideMark/>
          </w:tcPr>
          <w:p w14:paraId="63E0670A" w14:textId="47D1B07E" w:rsidR="00764B3C" w:rsidRPr="00AE70B8" w:rsidRDefault="00862E06" w:rsidP="006914CE">
            <w:pPr>
              <w:keepNext/>
              <w:keepLines/>
              <w:suppressLineNumbers/>
              <w:suppressAutoHyphens/>
              <w:ind w:right="193"/>
              <w:jc w:val="right"/>
              <w:rPr>
                <w:color w:val="000000" w:themeColor="text1"/>
                <w:kern w:val="22"/>
                <w:lang w:val="fr-CA"/>
              </w:rPr>
            </w:pPr>
            <w:r w:rsidRPr="00AE70B8">
              <w:rPr>
                <w:color w:val="000000" w:themeColor="text1"/>
                <w:kern w:val="22"/>
                <w:lang w:val="fr-CA"/>
              </w:rPr>
              <w:t>2</w:t>
            </w:r>
            <w:r w:rsidR="008657DB" w:rsidRPr="00AE70B8">
              <w:rPr>
                <w:color w:val="000000" w:themeColor="text1"/>
                <w:kern w:val="22"/>
                <w:lang w:val="fr-CA"/>
              </w:rPr>
              <w:t xml:space="preserve"> </w:t>
            </w:r>
            <w:r w:rsidRPr="00AE70B8">
              <w:rPr>
                <w:color w:val="000000" w:themeColor="text1"/>
                <w:kern w:val="22"/>
                <w:lang w:val="fr-CA"/>
              </w:rPr>
              <w:t>336</w:t>
            </w:r>
            <w:r w:rsidR="00EB2280" w:rsidRPr="00AE70B8">
              <w:rPr>
                <w:color w:val="000000" w:themeColor="text1"/>
                <w:kern w:val="22"/>
                <w:lang w:val="fr-CA"/>
              </w:rPr>
              <w:t>,</w:t>
            </w:r>
            <w:r w:rsidRPr="00AE70B8">
              <w:rPr>
                <w:color w:val="000000" w:themeColor="text1"/>
                <w:kern w:val="22"/>
                <w:lang w:val="fr-CA"/>
              </w:rPr>
              <w:t>5</w:t>
            </w:r>
          </w:p>
        </w:tc>
      </w:tr>
      <w:tr w:rsidR="00764B3C" w:rsidRPr="00AE70B8" w14:paraId="65A3EE74" w14:textId="77777777" w:rsidTr="006914CE">
        <w:trPr>
          <w:trHeight w:val="288"/>
          <w:jc w:val="center"/>
        </w:trPr>
        <w:tc>
          <w:tcPr>
            <w:tcW w:w="4520" w:type="dxa"/>
            <w:tcBorders>
              <w:top w:val="nil"/>
              <w:left w:val="nil"/>
              <w:bottom w:val="nil"/>
              <w:right w:val="nil"/>
            </w:tcBorders>
            <w:shd w:val="clear" w:color="auto" w:fill="auto"/>
            <w:hideMark/>
          </w:tcPr>
          <w:p w14:paraId="03F782E8" w14:textId="35167D93" w:rsidR="00764B3C" w:rsidRPr="00AE70B8" w:rsidRDefault="00764B3C" w:rsidP="00EB2280">
            <w:pPr>
              <w:keepNext/>
              <w:keepLines/>
              <w:suppressLineNumbers/>
              <w:suppressAutoHyphens/>
              <w:jc w:val="left"/>
              <w:rPr>
                <w:color w:val="000000" w:themeColor="text1"/>
                <w:kern w:val="22"/>
                <w:szCs w:val="22"/>
                <w:lang w:val="fr-CA"/>
              </w:rPr>
            </w:pPr>
            <w:r w:rsidRPr="00AE70B8">
              <w:rPr>
                <w:color w:val="000000" w:themeColor="text1"/>
                <w:kern w:val="22"/>
                <w:szCs w:val="22"/>
                <w:lang w:val="fr-CA"/>
              </w:rPr>
              <w:t xml:space="preserve">  </w:t>
            </w:r>
            <w:r w:rsidR="00EB2280" w:rsidRPr="00AE70B8">
              <w:rPr>
                <w:color w:val="000000" w:themeColor="text1"/>
                <w:kern w:val="22"/>
                <w:szCs w:val="22"/>
                <w:lang w:val="fr-CA"/>
              </w:rPr>
              <w:t>Division de la science, de la société et de la durabilité</w:t>
            </w:r>
          </w:p>
        </w:tc>
        <w:tc>
          <w:tcPr>
            <w:tcW w:w="1600" w:type="dxa"/>
            <w:tcBorders>
              <w:top w:val="nil"/>
              <w:left w:val="nil"/>
              <w:bottom w:val="nil"/>
              <w:right w:val="nil"/>
            </w:tcBorders>
            <w:shd w:val="clear" w:color="auto" w:fill="auto"/>
            <w:hideMark/>
          </w:tcPr>
          <w:p w14:paraId="5A64938C" w14:textId="30AC98EE" w:rsidR="00764B3C" w:rsidRPr="00AE70B8" w:rsidRDefault="00862E06" w:rsidP="006914CE">
            <w:pPr>
              <w:keepNext/>
              <w:keepLines/>
              <w:suppressLineNumbers/>
              <w:suppressAutoHyphens/>
              <w:ind w:right="193"/>
              <w:jc w:val="right"/>
              <w:rPr>
                <w:color w:val="000000" w:themeColor="text1"/>
                <w:kern w:val="22"/>
                <w:lang w:val="fr-CA"/>
              </w:rPr>
            </w:pPr>
            <w:r w:rsidRPr="00AE70B8">
              <w:rPr>
                <w:color w:val="000000" w:themeColor="text1"/>
                <w:kern w:val="22"/>
                <w:lang w:val="fr-CA"/>
              </w:rPr>
              <w:t>3</w:t>
            </w:r>
            <w:r w:rsidR="008657DB" w:rsidRPr="00AE70B8">
              <w:rPr>
                <w:color w:val="000000" w:themeColor="text1"/>
                <w:kern w:val="22"/>
                <w:lang w:val="fr-CA"/>
              </w:rPr>
              <w:t xml:space="preserve"> </w:t>
            </w:r>
            <w:r w:rsidRPr="00AE70B8">
              <w:rPr>
                <w:color w:val="000000" w:themeColor="text1"/>
                <w:kern w:val="22"/>
                <w:lang w:val="fr-CA"/>
              </w:rPr>
              <w:t>316</w:t>
            </w:r>
            <w:r w:rsidR="00EB2280" w:rsidRPr="00AE70B8">
              <w:rPr>
                <w:color w:val="000000" w:themeColor="text1"/>
                <w:kern w:val="22"/>
                <w:lang w:val="fr-CA"/>
              </w:rPr>
              <w:t>,</w:t>
            </w:r>
            <w:r w:rsidRPr="00AE70B8">
              <w:rPr>
                <w:color w:val="000000" w:themeColor="text1"/>
                <w:kern w:val="22"/>
                <w:lang w:val="fr-CA"/>
              </w:rPr>
              <w:t>75</w:t>
            </w:r>
          </w:p>
        </w:tc>
        <w:tc>
          <w:tcPr>
            <w:tcW w:w="1640" w:type="dxa"/>
            <w:tcBorders>
              <w:top w:val="nil"/>
              <w:left w:val="nil"/>
              <w:bottom w:val="nil"/>
              <w:right w:val="nil"/>
            </w:tcBorders>
            <w:shd w:val="clear" w:color="auto" w:fill="auto"/>
            <w:hideMark/>
          </w:tcPr>
          <w:p w14:paraId="5F7D5147" w14:textId="37B8CDED" w:rsidR="00764B3C" w:rsidRPr="00AE70B8" w:rsidRDefault="00D226A5" w:rsidP="006914CE">
            <w:pPr>
              <w:keepNext/>
              <w:keepLines/>
              <w:suppressLineNumbers/>
              <w:suppressAutoHyphens/>
              <w:ind w:right="193"/>
              <w:jc w:val="right"/>
              <w:rPr>
                <w:color w:val="000000" w:themeColor="text1"/>
                <w:kern w:val="22"/>
                <w:lang w:val="fr-CA"/>
              </w:rPr>
            </w:pPr>
            <w:r w:rsidRPr="00AE70B8">
              <w:rPr>
                <w:color w:val="000000" w:themeColor="text1"/>
                <w:kern w:val="22"/>
                <w:lang w:val="fr-CA"/>
              </w:rPr>
              <w:t>3</w:t>
            </w:r>
            <w:r w:rsidR="008657DB" w:rsidRPr="00AE70B8">
              <w:rPr>
                <w:color w:val="000000" w:themeColor="text1"/>
                <w:kern w:val="22"/>
                <w:lang w:val="fr-CA"/>
              </w:rPr>
              <w:t xml:space="preserve"> </w:t>
            </w:r>
            <w:r w:rsidRPr="00AE70B8">
              <w:rPr>
                <w:color w:val="000000" w:themeColor="text1"/>
                <w:kern w:val="22"/>
                <w:lang w:val="fr-CA"/>
              </w:rPr>
              <w:t>714</w:t>
            </w:r>
            <w:r w:rsidR="00EB2280" w:rsidRPr="00AE70B8">
              <w:rPr>
                <w:color w:val="000000" w:themeColor="text1"/>
                <w:kern w:val="22"/>
                <w:lang w:val="fr-CA"/>
              </w:rPr>
              <w:t>,</w:t>
            </w:r>
            <w:r w:rsidRPr="00AE70B8">
              <w:rPr>
                <w:color w:val="000000" w:themeColor="text1"/>
                <w:kern w:val="22"/>
                <w:lang w:val="fr-CA"/>
              </w:rPr>
              <w:t>0</w:t>
            </w:r>
          </w:p>
        </w:tc>
      </w:tr>
      <w:tr w:rsidR="00764B3C" w:rsidRPr="00AE70B8" w14:paraId="5EE67935" w14:textId="77777777" w:rsidTr="006914CE">
        <w:trPr>
          <w:trHeight w:val="300"/>
          <w:jc w:val="center"/>
        </w:trPr>
        <w:tc>
          <w:tcPr>
            <w:tcW w:w="4520" w:type="dxa"/>
            <w:tcBorders>
              <w:top w:val="nil"/>
              <w:left w:val="nil"/>
              <w:bottom w:val="single" w:sz="8" w:space="0" w:color="auto"/>
              <w:right w:val="nil"/>
            </w:tcBorders>
            <w:shd w:val="clear" w:color="auto" w:fill="auto"/>
            <w:hideMark/>
          </w:tcPr>
          <w:p w14:paraId="5CFFB3ED" w14:textId="30E8B968" w:rsidR="00764B3C" w:rsidRPr="00AE70B8" w:rsidRDefault="00EB2280" w:rsidP="006914CE">
            <w:pPr>
              <w:keepNext/>
              <w:keepLines/>
              <w:suppressLineNumbers/>
              <w:suppressAutoHyphens/>
              <w:jc w:val="left"/>
              <w:rPr>
                <w:color w:val="000000" w:themeColor="text1"/>
                <w:kern w:val="22"/>
                <w:szCs w:val="22"/>
                <w:lang w:val="fr-CA"/>
              </w:rPr>
            </w:pPr>
            <w:r w:rsidRPr="00AE70B8">
              <w:rPr>
                <w:color w:val="000000" w:themeColor="text1"/>
                <w:kern w:val="22"/>
                <w:szCs w:val="22"/>
                <w:lang w:val="fr-CA"/>
              </w:rPr>
              <w:t xml:space="preserve">Division du soutien à la mise en œuvre </w:t>
            </w:r>
          </w:p>
        </w:tc>
        <w:tc>
          <w:tcPr>
            <w:tcW w:w="1600" w:type="dxa"/>
            <w:tcBorders>
              <w:top w:val="nil"/>
              <w:left w:val="nil"/>
              <w:bottom w:val="single" w:sz="8" w:space="0" w:color="auto"/>
              <w:right w:val="nil"/>
            </w:tcBorders>
            <w:shd w:val="clear" w:color="auto" w:fill="auto"/>
            <w:hideMark/>
          </w:tcPr>
          <w:p w14:paraId="05695B1C" w14:textId="4AC65516" w:rsidR="00764B3C" w:rsidRPr="00AE70B8" w:rsidRDefault="00862E06" w:rsidP="006914CE">
            <w:pPr>
              <w:keepNext/>
              <w:keepLines/>
              <w:suppressLineNumbers/>
              <w:suppressAutoHyphens/>
              <w:ind w:right="193"/>
              <w:jc w:val="right"/>
              <w:rPr>
                <w:color w:val="000000" w:themeColor="text1"/>
                <w:kern w:val="22"/>
                <w:lang w:val="fr-CA"/>
              </w:rPr>
            </w:pPr>
            <w:r w:rsidRPr="00AE70B8">
              <w:rPr>
                <w:color w:val="000000" w:themeColor="text1"/>
                <w:kern w:val="22"/>
                <w:lang w:val="fr-CA"/>
              </w:rPr>
              <w:t>4</w:t>
            </w:r>
            <w:r w:rsidR="008657DB" w:rsidRPr="00AE70B8">
              <w:rPr>
                <w:color w:val="000000" w:themeColor="text1"/>
                <w:kern w:val="22"/>
                <w:lang w:val="fr-CA"/>
              </w:rPr>
              <w:t xml:space="preserve"> </w:t>
            </w:r>
            <w:r w:rsidRPr="00AE70B8">
              <w:rPr>
                <w:color w:val="000000" w:themeColor="text1"/>
                <w:kern w:val="22"/>
                <w:lang w:val="fr-CA"/>
              </w:rPr>
              <w:t>262</w:t>
            </w:r>
            <w:r w:rsidR="00EB2280" w:rsidRPr="00AE70B8">
              <w:rPr>
                <w:color w:val="000000" w:themeColor="text1"/>
                <w:kern w:val="22"/>
                <w:lang w:val="fr-CA"/>
              </w:rPr>
              <w:t>,</w:t>
            </w:r>
            <w:r w:rsidRPr="00AE70B8">
              <w:rPr>
                <w:color w:val="000000" w:themeColor="text1"/>
                <w:kern w:val="22"/>
                <w:lang w:val="fr-CA"/>
              </w:rPr>
              <w:t>15</w:t>
            </w:r>
          </w:p>
        </w:tc>
        <w:tc>
          <w:tcPr>
            <w:tcW w:w="1640" w:type="dxa"/>
            <w:tcBorders>
              <w:top w:val="nil"/>
              <w:left w:val="nil"/>
              <w:bottom w:val="single" w:sz="8" w:space="0" w:color="auto"/>
              <w:right w:val="nil"/>
            </w:tcBorders>
            <w:shd w:val="clear" w:color="auto" w:fill="auto"/>
            <w:hideMark/>
          </w:tcPr>
          <w:p w14:paraId="35D8F2C6" w14:textId="61E277FB" w:rsidR="00764B3C" w:rsidRPr="00AE70B8" w:rsidRDefault="00D226A5" w:rsidP="006914CE">
            <w:pPr>
              <w:keepNext/>
              <w:keepLines/>
              <w:suppressLineNumbers/>
              <w:suppressAutoHyphens/>
              <w:ind w:right="193"/>
              <w:jc w:val="right"/>
              <w:rPr>
                <w:color w:val="000000" w:themeColor="text1"/>
                <w:kern w:val="22"/>
                <w:lang w:val="fr-CA"/>
              </w:rPr>
            </w:pPr>
            <w:r w:rsidRPr="00AE70B8">
              <w:rPr>
                <w:color w:val="000000" w:themeColor="text1"/>
                <w:kern w:val="22"/>
                <w:lang w:val="fr-CA"/>
              </w:rPr>
              <w:t>4</w:t>
            </w:r>
            <w:r w:rsidR="008657DB" w:rsidRPr="00AE70B8">
              <w:rPr>
                <w:color w:val="000000" w:themeColor="text1"/>
                <w:kern w:val="22"/>
                <w:lang w:val="fr-CA"/>
              </w:rPr>
              <w:t xml:space="preserve"> </w:t>
            </w:r>
            <w:r w:rsidRPr="00AE70B8">
              <w:rPr>
                <w:color w:val="000000" w:themeColor="text1"/>
                <w:kern w:val="22"/>
                <w:lang w:val="fr-CA"/>
              </w:rPr>
              <w:t>397</w:t>
            </w:r>
            <w:r w:rsidR="00EB2280" w:rsidRPr="00AE70B8">
              <w:rPr>
                <w:color w:val="000000" w:themeColor="text1"/>
                <w:kern w:val="22"/>
                <w:lang w:val="fr-CA"/>
              </w:rPr>
              <w:t>,</w:t>
            </w:r>
            <w:r w:rsidRPr="00AE70B8">
              <w:rPr>
                <w:color w:val="000000" w:themeColor="text1"/>
                <w:kern w:val="22"/>
                <w:lang w:val="fr-CA"/>
              </w:rPr>
              <w:t>25</w:t>
            </w:r>
          </w:p>
        </w:tc>
      </w:tr>
      <w:tr w:rsidR="00764B3C" w:rsidRPr="00AE70B8" w14:paraId="1206C857" w14:textId="77777777" w:rsidTr="006914CE">
        <w:trPr>
          <w:trHeight w:val="300"/>
          <w:jc w:val="center"/>
        </w:trPr>
        <w:tc>
          <w:tcPr>
            <w:tcW w:w="4520" w:type="dxa"/>
            <w:tcBorders>
              <w:top w:val="nil"/>
              <w:left w:val="nil"/>
              <w:bottom w:val="single" w:sz="8" w:space="0" w:color="auto"/>
              <w:right w:val="nil"/>
            </w:tcBorders>
            <w:shd w:val="clear" w:color="auto" w:fill="auto"/>
            <w:hideMark/>
          </w:tcPr>
          <w:p w14:paraId="4AC4D9F1" w14:textId="328F4688" w:rsidR="00764B3C" w:rsidRPr="00AE70B8" w:rsidRDefault="00764B3C" w:rsidP="00EB2280">
            <w:pPr>
              <w:keepNext/>
              <w:keepLines/>
              <w:suppressLineNumbers/>
              <w:suppressAutoHyphens/>
              <w:jc w:val="left"/>
              <w:rPr>
                <w:b/>
                <w:color w:val="000000" w:themeColor="text1"/>
                <w:kern w:val="22"/>
                <w:szCs w:val="22"/>
                <w:lang w:val="fr-CA"/>
              </w:rPr>
            </w:pPr>
            <w:r w:rsidRPr="00AE70B8">
              <w:rPr>
                <w:b/>
                <w:color w:val="000000" w:themeColor="text1"/>
                <w:kern w:val="22"/>
                <w:szCs w:val="22"/>
                <w:lang w:val="fr-CA"/>
              </w:rPr>
              <w:t xml:space="preserve">II. </w:t>
            </w:r>
            <w:r w:rsidR="00EB2280" w:rsidRPr="00AE70B8">
              <w:rPr>
                <w:b/>
                <w:color w:val="000000" w:themeColor="text1"/>
                <w:kern w:val="22"/>
                <w:szCs w:val="22"/>
                <w:lang w:val="fr-CA"/>
              </w:rPr>
              <w:t>Administration, finances et services de conférence</w:t>
            </w:r>
            <w:r w:rsidRPr="00AE70B8">
              <w:rPr>
                <w:b/>
                <w:color w:val="000000" w:themeColor="text1"/>
                <w:kern w:val="22"/>
                <w:szCs w:val="22"/>
                <w:lang w:val="fr-CA"/>
              </w:rPr>
              <w:t>s</w:t>
            </w:r>
          </w:p>
        </w:tc>
        <w:tc>
          <w:tcPr>
            <w:tcW w:w="1600" w:type="dxa"/>
            <w:tcBorders>
              <w:top w:val="nil"/>
              <w:left w:val="nil"/>
              <w:bottom w:val="single" w:sz="8" w:space="0" w:color="auto"/>
              <w:right w:val="nil"/>
            </w:tcBorders>
            <w:shd w:val="clear" w:color="auto" w:fill="auto"/>
            <w:hideMark/>
          </w:tcPr>
          <w:p w14:paraId="32EDCBFF" w14:textId="53EA717C" w:rsidR="00764B3C" w:rsidRPr="00AE70B8" w:rsidRDefault="00862E06" w:rsidP="006914CE">
            <w:pPr>
              <w:keepNext/>
              <w:keepLines/>
              <w:suppressLineNumbers/>
              <w:suppressAutoHyphens/>
              <w:ind w:right="193"/>
              <w:jc w:val="right"/>
              <w:rPr>
                <w:color w:val="000000" w:themeColor="text1"/>
                <w:kern w:val="22"/>
                <w:lang w:val="fr-CA"/>
              </w:rPr>
            </w:pPr>
            <w:r w:rsidRPr="00AE70B8">
              <w:rPr>
                <w:color w:val="000000" w:themeColor="text1"/>
                <w:kern w:val="22"/>
                <w:lang w:val="fr-CA"/>
              </w:rPr>
              <w:t>2</w:t>
            </w:r>
            <w:r w:rsidR="008657DB" w:rsidRPr="00AE70B8">
              <w:rPr>
                <w:color w:val="000000" w:themeColor="text1"/>
                <w:kern w:val="22"/>
                <w:lang w:val="fr-CA"/>
              </w:rPr>
              <w:t xml:space="preserve"> </w:t>
            </w:r>
            <w:r w:rsidRPr="00AE70B8">
              <w:rPr>
                <w:color w:val="000000" w:themeColor="text1"/>
                <w:kern w:val="22"/>
                <w:lang w:val="fr-CA"/>
              </w:rPr>
              <w:t>921</w:t>
            </w:r>
            <w:r w:rsidR="00EB2280" w:rsidRPr="00AE70B8">
              <w:rPr>
                <w:color w:val="000000" w:themeColor="text1"/>
                <w:kern w:val="22"/>
                <w:lang w:val="fr-CA"/>
              </w:rPr>
              <w:t>,</w:t>
            </w:r>
            <w:r w:rsidRPr="00AE70B8">
              <w:rPr>
                <w:color w:val="000000" w:themeColor="text1"/>
                <w:kern w:val="22"/>
                <w:lang w:val="fr-CA"/>
              </w:rPr>
              <w:t>7</w:t>
            </w:r>
          </w:p>
        </w:tc>
        <w:tc>
          <w:tcPr>
            <w:tcW w:w="1640" w:type="dxa"/>
            <w:tcBorders>
              <w:top w:val="nil"/>
              <w:left w:val="nil"/>
              <w:bottom w:val="single" w:sz="8" w:space="0" w:color="auto"/>
              <w:right w:val="nil"/>
            </w:tcBorders>
            <w:shd w:val="clear" w:color="auto" w:fill="auto"/>
            <w:hideMark/>
          </w:tcPr>
          <w:p w14:paraId="67B7D22C" w14:textId="6659918D" w:rsidR="00764B3C" w:rsidRPr="00AE70B8" w:rsidRDefault="00862E06" w:rsidP="006914CE">
            <w:pPr>
              <w:keepNext/>
              <w:keepLines/>
              <w:suppressLineNumbers/>
              <w:suppressAutoHyphens/>
              <w:ind w:right="193"/>
              <w:jc w:val="right"/>
              <w:rPr>
                <w:color w:val="000000" w:themeColor="text1"/>
                <w:kern w:val="22"/>
                <w:lang w:val="fr-CA"/>
              </w:rPr>
            </w:pPr>
            <w:r w:rsidRPr="00AE70B8">
              <w:rPr>
                <w:color w:val="000000" w:themeColor="text1"/>
                <w:kern w:val="22"/>
                <w:lang w:val="fr-CA"/>
              </w:rPr>
              <w:t>3</w:t>
            </w:r>
            <w:r w:rsidR="008657DB" w:rsidRPr="00AE70B8">
              <w:rPr>
                <w:color w:val="000000" w:themeColor="text1"/>
                <w:kern w:val="22"/>
                <w:lang w:val="fr-CA"/>
              </w:rPr>
              <w:t xml:space="preserve"> </w:t>
            </w:r>
            <w:r w:rsidRPr="00AE70B8">
              <w:rPr>
                <w:color w:val="000000" w:themeColor="text1"/>
                <w:kern w:val="22"/>
                <w:lang w:val="fr-CA"/>
              </w:rPr>
              <w:t>127</w:t>
            </w:r>
            <w:r w:rsidR="00EB2280" w:rsidRPr="00AE70B8">
              <w:rPr>
                <w:color w:val="000000" w:themeColor="text1"/>
                <w:kern w:val="22"/>
                <w:lang w:val="fr-CA"/>
              </w:rPr>
              <w:t>,</w:t>
            </w:r>
            <w:r w:rsidRPr="00AE70B8">
              <w:rPr>
                <w:color w:val="000000" w:themeColor="text1"/>
                <w:kern w:val="22"/>
                <w:lang w:val="fr-CA"/>
              </w:rPr>
              <w:t>75</w:t>
            </w:r>
          </w:p>
        </w:tc>
      </w:tr>
      <w:tr w:rsidR="00764B3C" w:rsidRPr="00AE70B8" w14:paraId="76A670B8" w14:textId="77777777" w:rsidTr="006914CE">
        <w:trPr>
          <w:trHeight w:val="300"/>
          <w:jc w:val="center"/>
        </w:trPr>
        <w:tc>
          <w:tcPr>
            <w:tcW w:w="4520" w:type="dxa"/>
            <w:tcBorders>
              <w:top w:val="nil"/>
              <w:left w:val="nil"/>
              <w:bottom w:val="single" w:sz="12" w:space="0" w:color="auto"/>
              <w:right w:val="nil"/>
            </w:tcBorders>
            <w:shd w:val="clear" w:color="auto" w:fill="auto"/>
            <w:hideMark/>
          </w:tcPr>
          <w:p w14:paraId="294069BA" w14:textId="2DD04B0A" w:rsidR="00764B3C" w:rsidRPr="00AE70B8" w:rsidRDefault="00EB2280" w:rsidP="006914CE">
            <w:pPr>
              <w:keepNext/>
              <w:keepLines/>
              <w:suppressLineNumbers/>
              <w:suppressAutoHyphens/>
              <w:jc w:val="left"/>
              <w:rPr>
                <w:b/>
                <w:color w:val="000000" w:themeColor="text1"/>
                <w:kern w:val="22"/>
                <w:szCs w:val="22"/>
                <w:lang w:val="fr-CA"/>
              </w:rPr>
            </w:pPr>
            <w:r w:rsidRPr="00AE70B8">
              <w:rPr>
                <w:b/>
                <w:color w:val="000000" w:themeColor="text1"/>
                <w:kern w:val="22"/>
                <w:szCs w:val="22"/>
                <w:lang w:val="fr-CA"/>
              </w:rPr>
              <w:t>Total partiel</w:t>
            </w:r>
          </w:p>
        </w:tc>
        <w:tc>
          <w:tcPr>
            <w:tcW w:w="1600" w:type="dxa"/>
            <w:tcBorders>
              <w:top w:val="nil"/>
              <w:left w:val="nil"/>
              <w:bottom w:val="single" w:sz="12" w:space="0" w:color="auto"/>
              <w:right w:val="nil"/>
            </w:tcBorders>
            <w:shd w:val="clear" w:color="auto" w:fill="auto"/>
            <w:hideMark/>
          </w:tcPr>
          <w:p w14:paraId="4CBD1095" w14:textId="2EC3EB92" w:rsidR="00764B3C" w:rsidRPr="00AE70B8" w:rsidRDefault="00862E06" w:rsidP="006914CE">
            <w:pPr>
              <w:keepNext/>
              <w:keepLines/>
              <w:suppressLineNumbers/>
              <w:suppressAutoHyphens/>
              <w:ind w:right="193"/>
              <w:jc w:val="right"/>
              <w:rPr>
                <w:b/>
                <w:color w:val="000000" w:themeColor="text1"/>
                <w:kern w:val="22"/>
                <w:lang w:val="fr-CA"/>
              </w:rPr>
            </w:pPr>
            <w:r w:rsidRPr="00AE70B8">
              <w:rPr>
                <w:b/>
                <w:color w:val="000000" w:themeColor="text1"/>
                <w:kern w:val="22"/>
                <w:lang w:val="fr-CA"/>
              </w:rPr>
              <w:t>15</w:t>
            </w:r>
            <w:r w:rsidR="008657DB" w:rsidRPr="00AE70B8">
              <w:rPr>
                <w:b/>
                <w:color w:val="000000" w:themeColor="text1"/>
                <w:kern w:val="22"/>
                <w:lang w:val="fr-CA"/>
              </w:rPr>
              <w:t xml:space="preserve"> </w:t>
            </w:r>
            <w:r w:rsidRPr="00AE70B8">
              <w:rPr>
                <w:b/>
                <w:color w:val="000000" w:themeColor="text1"/>
                <w:kern w:val="22"/>
                <w:lang w:val="fr-CA"/>
              </w:rPr>
              <w:t>188</w:t>
            </w:r>
            <w:r w:rsidR="00EB2280" w:rsidRPr="00AE70B8">
              <w:rPr>
                <w:b/>
                <w:color w:val="000000" w:themeColor="text1"/>
                <w:kern w:val="22"/>
                <w:lang w:val="fr-CA"/>
              </w:rPr>
              <w:t>,</w:t>
            </w:r>
            <w:r w:rsidRPr="00AE70B8">
              <w:rPr>
                <w:b/>
                <w:color w:val="000000" w:themeColor="text1"/>
                <w:kern w:val="22"/>
                <w:lang w:val="fr-CA"/>
              </w:rPr>
              <w:t>4</w:t>
            </w:r>
          </w:p>
        </w:tc>
        <w:tc>
          <w:tcPr>
            <w:tcW w:w="1640" w:type="dxa"/>
            <w:tcBorders>
              <w:top w:val="nil"/>
              <w:left w:val="nil"/>
              <w:bottom w:val="single" w:sz="12" w:space="0" w:color="auto"/>
              <w:right w:val="nil"/>
            </w:tcBorders>
            <w:shd w:val="clear" w:color="auto" w:fill="auto"/>
            <w:hideMark/>
          </w:tcPr>
          <w:p w14:paraId="0C320996" w14:textId="4C8A4323" w:rsidR="00764B3C" w:rsidRPr="00AE70B8" w:rsidRDefault="00862E06" w:rsidP="006914CE">
            <w:pPr>
              <w:keepNext/>
              <w:keepLines/>
              <w:suppressLineNumbers/>
              <w:suppressAutoHyphens/>
              <w:ind w:right="193"/>
              <w:jc w:val="right"/>
              <w:rPr>
                <w:b/>
                <w:color w:val="000000" w:themeColor="text1"/>
                <w:kern w:val="22"/>
                <w:lang w:val="fr-CA"/>
              </w:rPr>
            </w:pPr>
            <w:r w:rsidRPr="00AE70B8">
              <w:rPr>
                <w:b/>
                <w:color w:val="000000" w:themeColor="text1"/>
                <w:kern w:val="22"/>
                <w:lang w:val="fr-CA"/>
              </w:rPr>
              <w:t>16</w:t>
            </w:r>
            <w:r w:rsidR="008657DB" w:rsidRPr="00AE70B8">
              <w:rPr>
                <w:b/>
                <w:color w:val="000000" w:themeColor="text1"/>
                <w:kern w:val="22"/>
                <w:lang w:val="fr-CA"/>
              </w:rPr>
              <w:t xml:space="preserve"> </w:t>
            </w:r>
            <w:r w:rsidR="00F27648" w:rsidRPr="00AE70B8">
              <w:rPr>
                <w:b/>
                <w:color w:val="000000" w:themeColor="text1"/>
                <w:kern w:val="22"/>
                <w:lang w:val="fr-CA"/>
              </w:rPr>
              <w:t>391</w:t>
            </w:r>
            <w:r w:rsidR="00EB2280" w:rsidRPr="00AE70B8">
              <w:rPr>
                <w:b/>
                <w:color w:val="000000" w:themeColor="text1"/>
                <w:kern w:val="22"/>
                <w:lang w:val="fr-CA"/>
              </w:rPr>
              <w:t>,</w:t>
            </w:r>
            <w:r w:rsidR="00D7181B" w:rsidRPr="00AE70B8">
              <w:rPr>
                <w:b/>
                <w:color w:val="000000" w:themeColor="text1"/>
                <w:kern w:val="22"/>
                <w:lang w:val="fr-CA"/>
              </w:rPr>
              <w:t>82</w:t>
            </w:r>
          </w:p>
        </w:tc>
      </w:tr>
      <w:tr w:rsidR="00764B3C" w:rsidRPr="00AE70B8" w14:paraId="1276AD69" w14:textId="77777777" w:rsidTr="006914CE">
        <w:trPr>
          <w:trHeight w:val="300"/>
          <w:jc w:val="center"/>
        </w:trPr>
        <w:tc>
          <w:tcPr>
            <w:tcW w:w="4520" w:type="dxa"/>
            <w:tcBorders>
              <w:top w:val="nil"/>
              <w:left w:val="nil"/>
              <w:bottom w:val="nil"/>
              <w:right w:val="nil"/>
            </w:tcBorders>
            <w:shd w:val="clear" w:color="auto" w:fill="auto"/>
            <w:hideMark/>
          </w:tcPr>
          <w:p w14:paraId="6A3F29A5" w14:textId="37A51195" w:rsidR="00764B3C" w:rsidRPr="00AE70B8" w:rsidRDefault="00EB2280" w:rsidP="006914CE">
            <w:pPr>
              <w:keepNext/>
              <w:keepLines/>
              <w:suppressLineNumbers/>
              <w:suppressAutoHyphens/>
              <w:jc w:val="left"/>
              <w:rPr>
                <w:color w:val="000000" w:themeColor="text1"/>
                <w:kern w:val="22"/>
                <w:szCs w:val="22"/>
                <w:lang w:val="fr-CA"/>
              </w:rPr>
            </w:pPr>
            <w:r w:rsidRPr="00AE70B8">
              <w:rPr>
                <w:color w:val="000000" w:themeColor="text1"/>
                <w:kern w:val="22"/>
                <w:szCs w:val="22"/>
                <w:lang w:val="fr-CA"/>
              </w:rPr>
              <w:t>Coûts d’appui au programme</w:t>
            </w:r>
          </w:p>
        </w:tc>
        <w:tc>
          <w:tcPr>
            <w:tcW w:w="1600" w:type="dxa"/>
            <w:tcBorders>
              <w:top w:val="nil"/>
              <w:left w:val="nil"/>
              <w:bottom w:val="nil"/>
              <w:right w:val="nil"/>
            </w:tcBorders>
            <w:shd w:val="clear" w:color="auto" w:fill="auto"/>
            <w:noWrap/>
            <w:hideMark/>
          </w:tcPr>
          <w:p w14:paraId="30B5D45D" w14:textId="4C248B69" w:rsidR="00764B3C" w:rsidRPr="00AE70B8" w:rsidRDefault="00862E06" w:rsidP="006914CE">
            <w:pPr>
              <w:keepNext/>
              <w:keepLines/>
              <w:suppressLineNumbers/>
              <w:suppressAutoHyphens/>
              <w:ind w:right="193"/>
              <w:jc w:val="right"/>
              <w:rPr>
                <w:color w:val="000000" w:themeColor="text1"/>
                <w:kern w:val="22"/>
                <w:lang w:val="fr-CA"/>
              </w:rPr>
            </w:pPr>
            <w:r w:rsidRPr="00AE70B8">
              <w:rPr>
                <w:color w:val="000000" w:themeColor="text1"/>
                <w:kern w:val="22"/>
                <w:lang w:val="fr-CA"/>
              </w:rPr>
              <w:t>1</w:t>
            </w:r>
            <w:r w:rsidR="008657DB" w:rsidRPr="00AE70B8">
              <w:rPr>
                <w:color w:val="000000" w:themeColor="text1"/>
                <w:kern w:val="22"/>
                <w:lang w:val="fr-CA"/>
              </w:rPr>
              <w:t xml:space="preserve"> </w:t>
            </w:r>
            <w:r w:rsidRPr="00AE70B8">
              <w:rPr>
                <w:color w:val="000000" w:themeColor="text1"/>
                <w:kern w:val="22"/>
                <w:lang w:val="fr-CA"/>
              </w:rPr>
              <w:t>974</w:t>
            </w:r>
            <w:r w:rsidR="00EB2280" w:rsidRPr="00AE70B8">
              <w:rPr>
                <w:color w:val="000000" w:themeColor="text1"/>
                <w:kern w:val="22"/>
                <w:lang w:val="fr-CA"/>
              </w:rPr>
              <w:t>,</w:t>
            </w:r>
            <w:r w:rsidRPr="00AE70B8">
              <w:rPr>
                <w:color w:val="000000" w:themeColor="text1"/>
                <w:kern w:val="22"/>
                <w:lang w:val="fr-CA"/>
              </w:rPr>
              <w:t>49</w:t>
            </w:r>
          </w:p>
        </w:tc>
        <w:tc>
          <w:tcPr>
            <w:tcW w:w="1640" w:type="dxa"/>
            <w:tcBorders>
              <w:top w:val="nil"/>
              <w:left w:val="nil"/>
              <w:bottom w:val="nil"/>
              <w:right w:val="nil"/>
            </w:tcBorders>
            <w:shd w:val="clear" w:color="auto" w:fill="auto"/>
            <w:hideMark/>
          </w:tcPr>
          <w:p w14:paraId="4AA0B619" w14:textId="294DECE1" w:rsidR="00764B3C" w:rsidRPr="00AE70B8" w:rsidRDefault="00862E06" w:rsidP="006914CE">
            <w:pPr>
              <w:keepNext/>
              <w:keepLines/>
              <w:suppressLineNumbers/>
              <w:suppressAutoHyphens/>
              <w:ind w:right="193"/>
              <w:jc w:val="right"/>
              <w:rPr>
                <w:color w:val="000000" w:themeColor="text1"/>
                <w:kern w:val="22"/>
                <w:lang w:val="fr-CA"/>
              </w:rPr>
            </w:pPr>
            <w:r w:rsidRPr="00AE70B8">
              <w:rPr>
                <w:color w:val="000000" w:themeColor="text1"/>
                <w:kern w:val="22"/>
                <w:lang w:val="fr-CA"/>
              </w:rPr>
              <w:t>2</w:t>
            </w:r>
            <w:r w:rsidR="008657DB" w:rsidRPr="00AE70B8">
              <w:rPr>
                <w:color w:val="000000" w:themeColor="text1"/>
                <w:kern w:val="22"/>
                <w:lang w:val="fr-CA"/>
              </w:rPr>
              <w:t xml:space="preserve"> </w:t>
            </w:r>
            <w:r w:rsidRPr="00AE70B8">
              <w:rPr>
                <w:color w:val="000000" w:themeColor="text1"/>
                <w:kern w:val="22"/>
                <w:lang w:val="fr-CA"/>
              </w:rPr>
              <w:t>1</w:t>
            </w:r>
            <w:r w:rsidR="00D7181B" w:rsidRPr="00AE70B8">
              <w:rPr>
                <w:color w:val="000000" w:themeColor="text1"/>
                <w:kern w:val="22"/>
                <w:lang w:val="fr-CA"/>
              </w:rPr>
              <w:t>30</w:t>
            </w:r>
            <w:r w:rsidR="00EB2280" w:rsidRPr="00AE70B8">
              <w:rPr>
                <w:color w:val="000000" w:themeColor="text1"/>
                <w:kern w:val="22"/>
                <w:lang w:val="fr-CA"/>
              </w:rPr>
              <w:t>,</w:t>
            </w:r>
            <w:r w:rsidR="00983E58" w:rsidRPr="00AE70B8">
              <w:rPr>
                <w:color w:val="000000" w:themeColor="text1"/>
                <w:kern w:val="22"/>
                <w:lang w:val="fr-CA"/>
              </w:rPr>
              <w:t>94</w:t>
            </w:r>
          </w:p>
        </w:tc>
      </w:tr>
      <w:tr w:rsidR="00764B3C" w:rsidRPr="00AE70B8" w14:paraId="55D24027" w14:textId="77777777" w:rsidTr="006914CE">
        <w:trPr>
          <w:trHeight w:val="300"/>
          <w:jc w:val="center"/>
        </w:trPr>
        <w:tc>
          <w:tcPr>
            <w:tcW w:w="4520" w:type="dxa"/>
            <w:tcBorders>
              <w:top w:val="nil"/>
              <w:left w:val="nil"/>
              <w:bottom w:val="single" w:sz="8" w:space="0" w:color="auto"/>
              <w:right w:val="nil"/>
            </w:tcBorders>
            <w:shd w:val="clear" w:color="auto" w:fill="auto"/>
            <w:hideMark/>
          </w:tcPr>
          <w:p w14:paraId="6DE73DD4" w14:textId="3472CCF3" w:rsidR="00764B3C" w:rsidRPr="00AE70B8" w:rsidRDefault="00764B3C" w:rsidP="00EB2280">
            <w:pPr>
              <w:keepNext/>
              <w:keepLines/>
              <w:suppressLineNumbers/>
              <w:suppressAutoHyphens/>
              <w:jc w:val="left"/>
              <w:rPr>
                <w:b/>
                <w:color w:val="000000" w:themeColor="text1"/>
                <w:kern w:val="22"/>
                <w:szCs w:val="22"/>
                <w:lang w:val="fr-CA"/>
              </w:rPr>
            </w:pPr>
            <w:r w:rsidRPr="00AE70B8">
              <w:rPr>
                <w:b/>
                <w:color w:val="000000" w:themeColor="text1"/>
                <w:kern w:val="22"/>
                <w:szCs w:val="22"/>
                <w:lang w:val="fr-CA"/>
              </w:rPr>
              <w:t xml:space="preserve">III. </w:t>
            </w:r>
            <w:r w:rsidR="00EB2280" w:rsidRPr="00AE70B8">
              <w:rPr>
                <w:b/>
                <w:color w:val="000000" w:themeColor="text1"/>
                <w:kern w:val="22"/>
                <w:szCs w:val="22"/>
                <w:lang w:val="fr-CA"/>
              </w:rPr>
              <w:t>Réserve de trésorerie</w:t>
            </w:r>
          </w:p>
        </w:tc>
        <w:tc>
          <w:tcPr>
            <w:tcW w:w="1600" w:type="dxa"/>
            <w:tcBorders>
              <w:top w:val="nil"/>
              <w:left w:val="nil"/>
              <w:bottom w:val="single" w:sz="8" w:space="0" w:color="auto"/>
              <w:right w:val="nil"/>
            </w:tcBorders>
            <w:shd w:val="clear" w:color="auto" w:fill="auto"/>
            <w:noWrap/>
            <w:hideMark/>
          </w:tcPr>
          <w:p w14:paraId="230F649C" w14:textId="6A0FE5B3" w:rsidR="00764B3C" w:rsidRPr="00AE70B8" w:rsidRDefault="00862E06" w:rsidP="006914CE">
            <w:pPr>
              <w:keepNext/>
              <w:keepLines/>
              <w:suppressLineNumbers/>
              <w:suppressAutoHyphens/>
              <w:ind w:right="193"/>
              <w:jc w:val="right"/>
              <w:rPr>
                <w:color w:val="000000" w:themeColor="text1"/>
                <w:kern w:val="22"/>
                <w:lang w:val="fr-CA"/>
              </w:rPr>
            </w:pPr>
            <w:r w:rsidRPr="00AE70B8">
              <w:rPr>
                <w:color w:val="000000" w:themeColor="text1"/>
                <w:kern w:val="22"/>
                <w:lang w:val="fr-CA"/>
              </w:rPr>
              <w:t>(390</w:t>
            </w:r>
            <w:r w:rsidR="00EB2280" w:rsidRPr="00AE70B8">
              <w:rPr>
                <w:color w:val="000000" w:themeColor="text1"/>
                <w:kern w:val="22"/>
                <w:lang w:val="fr-CA"/>
              </w:rPr>
              <w:t>,</w:t>
            </w:r>
            <w:r w:rsidRPr="00AE70B8">
              <w:rPr>
                <w:color w:val="000000" w:themeColor="text1"/>
                <w:kern w:val="22"/>
                <w:lang w:val="fr-CA"/>
              </w:rPr>
              <w:t>27)</w:t>
            </w:r>
          </w:p>
        </w:tc>
        <w:tc>
          <w:tcPr>
            <w:tcW w:w="1640" w:type="dxa"/>
            <w:tcBorders>
              <w:top w:val="nil"/>
              <w:left w:val="nil"/>
              <w:bottom w:val="single" w:sz="8" w:space="0" w:color="auto"/>
              <w:right w:val="nil"/>
            </w:tcBorders>
            <w:shd w:val="clear" w:color="auto" w:fill="auto"/>
            <w:hideMark/>
          </w:tcPr>
          <w:p w14:paraId="20938140" w14:textId="3D09B886" w:rsidR="00764B3C" w:rsidRPr="00AE70B8" w:rsidRDefault="00983E58" w:rsidP="006914CE">
            <w:pPr>
              <w:keepNext/>
              <w:keepLines/>
              <w:suppressLineNumbers/>
              <w:suppressAutoHyphens/>
              <w:ind w:right="193"/>
              <w:jc w:val="right"/>
              <w:rPr>
                <w:color w:val="000000" w:themeColor="text1"/>
                <w:kern w:val="22"/>
                <w:lang w:val="fr-CA"/>
              </w:rPr>
            </w:pPr>
            <w:r w:rsidRPr="00AE70B8">
              <w:rPr>
                <w:color w:val="000000" w:themeColor="text1"/>
                <w:kern w:val="22"/>
                <w:lang w:val="fr-CA"/>
              </w:rPr>
              <w:t>203</w:t>
            </w:r>
            <w:r w:rsidR="00EB2280" w:rsidRPr="00AE70B8">
              <w:rPr>
                <w:color w:val="000000" w:themeColor="text1"/>
                <w:kern w:val="22"/>
                <w:lang w:val="fr-CA"/>
              </w:rPr>
              <w:t>,</w:t>
            </w:r>
            <w:r w:rsidRPr="00AE70B8">
              <w:rPr>
                <w:color w:val="000000" w:themeColor="text1"/>
                <w:kern w:val="22"/>
                <w:lang w:val="fr-CA"/>
              </w:rPr>
              <w:t>97</w:t>
            </w:r>
          </w:p>
        </w:tc>
      </w:tr>
      <w:tr w:rsidR="00764B3C" w:rsidRPr="00AE70B8" w14:paraId="0102F198" w14:textId="77777777" w:rsidTr="006914CE">
        <w:trPr>
          <w:trHeight w:val="300"/>
          <w:jc w:val="center"/>
        </w:trPr>
        <w:tc>
          <w:tcPr>
            <w:tcW w:w="4520" w:type="dxa"/>
            <w:tcBorders>
              <w:top w:val="nil"/>
              <w:left w:val="nil"/>
              <w:bottom w:val="single" w:sz="8" w:space="0" w:color="auto"/>
              <w:right w:val="nil"/>
            </w:tcBorders>
            <w:shd w:val="clear" w:color="auto" w:fill="auto"/>
            <w:hideMark/>
          </w:tcPr>
          <w:p w14:paraId="7DF3F214" w14:textId="77777777" w:rsidR="00764B3C" w:rsidRPr="00AE70B8" w:rsidRDefault="00764B3C" w:rsidP="006914CE">
            <w:pPr>
              <w:keepNext/>
              <w:keepLines/>
              <w:suppressLineNumbers/>
              <w:suppressAutoHyphens/>
              <w:jc w:val="left"/>
              <w:rPr>
                <w:b/>
                <w:color w:val="000000" w:themeColor="text1"/>
                <w:kern w:val="22"/>
                <w:szCs w:val="22"/>
                <w:lang w:val="fr-CA"/>
              </w:rPr>
            </w:pPr>
            <w:r w:rsidRPr="00AE70B8">
              <w:rPr>
                <w:b/>
                <w:color w:val="000000" w:themeColor="text1"/>
                <w:kern w:val="22"/>
                <w:szCs w:val="22"/>
                <w:lang w:val="fr-CA"/>
              </w:rPr>
              <w:t>Total</w:t>
            </w:r>
          </w:p>
        </w:tc>
        <w:tc>
          <w:tcPr>
            <w:tcW w:w="1600" w:type="dxa"/>
            <w:tcBorders>
              <w:top w:val="nil"/>
              <w:left w:val="nil"/>
              <w:bottom w:val="single" w:sz="8" w:space="0" w:color="auto"/>
              <w:right w:val="nil"/>
            </w:tcBorders>
            <w:shd w:val="clear" w:color="auto" w:fill="auto"/>
            <w:noWrap/>
            <w:hideMark/>
          </w:tcPr>
          <w:p w14:paraId="5BCD7469" w14:textId="398BBD82" w:rsidR="00764B3C" w:rsidRPr="00AE70B8" w:rsidRDefault="00862E06" w:rsidP="006914CE">
            <w:pPr>
              <w:keepNext/>
              <w:keepLines/>
              <w:suppressLineNumbers/>
              <w:suppressAutoHyphens/>
              <w:ind w:right="193"/>
              <w:jc w:val="right"/>
              <w:rPr>
                <w:b/>
                <w:color w:val="000000" w:themeColor="text1"/>
                <w:kern w:val="22"/>
                <w:lang w:val="fr-CA"/>
              </w:rPr>
            </w:pPr>
            <w:r w:rsidRPr="00AE70B8">
              <w:rPr>
                <w:b/>
                <w:color w:val="000000" w:themeColor="text1"/>
                <w:kern w:val="22"/>
                <w:lang w:val="fr-CA"/>
              </w:rPr>
              <w:t>16</w:t>
            </w:r>
            <w:r w:rsidR="008657DB" w:rsidRPr="00AE70B8">
              <w:rPr>
                <w:b/>
                <w:color w:val="000000" w:themeColor="text1"/>
                <w:kern w:val="22"/>
                <w:lang w:val="fr-CA"/>
              </w:rPr>
              <w:t xml:space="preserve"> </w:t>
            </w:r>
            <w:r w:rsidRPr="00AE70B8">
              <w:rPr>
                <w:b/>
                <w:color w:val="000000" w:themeColor="text1"/>
                <w:kern w:val="22"/>
                <w:lang w:val="fr-CA"/>
              </w:rPr>
              <w:t>772</w:t>
            </w:r>
            <w:r w:rsidR="00EB2280" w:rsidRPr="00AE70B8">
              <w:rPr>
                <w:b/>
                <w:color w:val="000000" w:themeColor="text1"/>
                <w:kern w:val="22"/>
                <w:lang w:val="fr-CA"/>
              </w:rPr>
              <w:t>,</w:t>
            </w:r>
            <w:r w:rsidRPr="00AE70B8">
              <w:rPr>
                <w:b/>
                <w:color w:val="000000" w:themeColor="text1"/>
                <w:kern w:val="22"/>
                <w:lang w:val="fr-CA"/>
              </w:rPr>
              <w:t>63</w:t>
            </w:r>
          </w:p>
        </w:tc>
        <w:tc>
          <w:tcPr>
            <w:tcW w:w="1640" w:type="dxa"/>
            <w:tcBorders>
              <w:top w:val="nil"/>
              <w:left w:val="nil"/>
              <w:bottom w:val="single" w:sz="8" w:space="0" w:color="auto"/>
              <w:right w:val="nil"/>
            </w:tcBorders>
            <w:shd w:val="clear" w:color="auto" w:fill="auto"/>
            <w:hideMark/>
          </w:tcPr>
          <w:p w14:paraId="73F7B5B6" w14:textId="1DFA6BDE" w:rsidR="00764B3C" w:rsidRPr="00AE70B8" w:rsidRDefault="00862E06" w:rsidP="006914CE">
            <w:pPr>
              <w:keepNext/>
              <w:keepLines/>
              <w:suppressLineNumbers/>
              <w:suppressAutoHyphens/>
              <w:ind w:right="193"/>
              <w:jc w:val="right"/>
              <w:rPr>
                <w:b/>
                <w:color w:val="000000" w:themeColor="text1"/>
                <w:kern w:val="22"/>
                <w:lang w:val="fr-CA"/>
              </w:rPr>
            </w:pPr>
            <w:r w:rsidRPr="00AE70B8">
              <w:rPr>
                <w:b/>
                <w:color w:val="000000" w:themeColor="text1"/>
                <w:kern w:val="22"/>
                <w:lang w:val="fr-CA"/>
              </w:rPr>
              <w:t>18</w:t>
            </w:r>
            <w:r w:rsidR="008657DB" w:rsidRPr="00AE70B8">
              <w:rPr>
                <w:b/>
                <w:color w:val="000000" w:themeColor="text1"/>
                <w:kern w:val="22"/>
                <w:lang w:val="fr-CA"/>
              </w:rPr>
              <w:t xml:space="preserve"> </w:t>
            </w:r>
            <w:r w:rsidR="00983E58" w:rsidRPr="00AE70B8">
              <w:rPr>
                <w:b/>
                <w:color w:val="000000" w:themeColor="text1"/>
                <w:kern w:val="22"/>
                <w:lang w:val="fr-CA"/>
              </w:rPr>
              <w:t>522</w:t>
            </w:r>
            <w:r w:rsidR="00EB2280" w:rsidRPr="00AE70B8">
              <w:rPr>
                <w:b/>
                <w:color w:val="000000" w:themeColor="text1"/>
                <w:kern w:val="22"/>
                <w:lang w:val="fr-CA"/>
              </w:rPr>
              <w:t>,</w:t>
            </w:r>
            <w:r w:rsidR="00983E58" w:rsidRPr="00AE70B8">
              <w:rPr>
                <w:b/>
                <w:color w:val="000000" w:themeColor="text1"/>
                <w:kern w:val="22"/>
                <w:lang w:val="fr-CA"/>
              </w:rPr>
              <w:t>76</w:t>
            </w:r>
          </w:p>
        </w:tc>
      </w:tr>
    </w:tbl>
    <w:p w14:paraId="22843312" w14:textId="08951C4C" w:rsidR="00661EBD" w:rsidRPr="00AE70B8" w:rsidRDefault="00661EBD">
      <w:pPr>
        <w:spacing w:after="160" w:line="259" w:lineRule="auto"/>
        <w:jc w:val="left"/>
        <w:rPr>
          <w:kern w:val="22"/>
          <w:szCs w:val="22"/>
          <w:lang w:val="fr-CA"/>
        </w:rPr>
      </w:pPr>
    </w:p>
    <w:p w14:paraId="3D09FE57" w14:textId="7F8F8D99" w:rsidR="00622CA6" w:rsidRPr="00AE70B8" w:rsidRDefault="00622CA6" w:rsidP="00282AF6">
      <w:pPr>
        <w:pStyle w:val="ListParagraph"/>
        <w:keepNext/>
        <w:suppressLineNumbers/>
        <w:tabs>
          <w:tab w:val="left" w:pos="450"/>
        </w:tabs>
        <w:suppressAutoHyphens/>
        <w:spacing w:before="120" w:after="120"/>
        <w:ind w:left="0"/>
        <w:contextualSpacing w:val="0"/>
        <w:jc w:val="center"/>
        <w:outlineLvl w:val="0"/>
        <w:rPr>
          <w:kern w:val="22"/>
          <w:lang w:val="fr-CA"/>
        </w:rPr>
      </w:pPr>
      <w:r w:rsidRPr="00AE70B8">
        <w:rPr>
          <w:b/>
          <w:caps/>
          <w:kern w:val="22"/>
          <w:szCs w:val="22"/>
          <w:lang w:val="fr-CA"/>
        </w:rPr>
        <w:t>III.</w:t>
      </w:r>
      <w:r w:rsidRPr="00AE70B8">
        <w:rPr>
          <w:b/>
          <w:caps/>
          <w:kern w:val="22"/>
          <w:szCs w:val="22"/>
          <w:lang w:val="fr-CA"/>
        </w:rPr>
        <w:tab/>
      </w:r>
      <w:r w:rsidR="00EB5A3F" w:rsidRPr="00AE70B8">
        <w:rPr>
          <w:b/>
          <w:caps/>
          <w:kern w:val="22"/>
          <w:szCs w:val="22"/>
          <w:lang w:val="fr-CA"/>
        </w:rPr>
        <w:t>Projet de décisions proposé</w:t>
      </w:r>
    </w:p>
    <w:p w14:paraId="3E76C854" w14:textId="5103E4F8" w:rsidR="00622CA6" w:rsidRPr="00AE70B8" w:rsidRDefault="00EB5A3F" w:rsidP="00282AF6">
      <w:pPr>
        <w:pStyle w:val="ListParagraph"/>
        <w:numPr>
          <w:ilvl w:val="0"/>
          <w:numId w:val="19"/>
        </w:numPr>
        <w:suppressLineNumbers/>
        <w:suppressAutoHyphens/>
        <w:spacing w:before="120" w:after="120"/>
        <w:ind w:left="0" w:firstLine="0"/>
        <w:contextualSpacing w:val="0"/>
        <w:rPr>
          <w:kern w:val="22"/>
          <w:lang w:val="fr-CA"/>
        </w:rPr>
      </w:pPr>
      <w:r w:rsidRPr="00AE70B8">
        <w:rPr>
          <w:kern w:val="22"/>
          <w:lang w:val="fr-CA"/>
        </w:rPr>
        <w:t xml:space="preserve">La Conférence des Parties pourrait souhaiter adopter une décision qui ressemble à ce qui suit </w:t>
      </w:r>
      <w:r w:rsidR="00622CA6" w:rsidRPr="00AE70B8">
        <w:rPr>
          <w:kern w:val="22"/>
          <w:szCs w:val="22"/>
          <w:lang w:val="fr-CA"/>
        </w:rPr>
        <w:t>:</w:t>
      </w:r>
    </w:p>
    <w:p w14:paraId="6DF01415" w14:textId="0F7DE67B" w:rsidR="00622CA6" w:rsidRPr="00AE70B8" w:rsidRDefault="00EB5A3F" w:rsidP="00622CA6">
      <w:pPr>
        <w:pStyle w:val="ListParagraph"/>
        <w:suppressLineNumbers/>
        <w:suppressAutoHyphens/>
        <w:spacing w:before="120" w:after="120"/>
        <w:ind w:left="0" w:firstLine="720"/>
        <w:contextualSpacing w:val="0"/>
        <w:rPr>
          <w:kern w:val="22"/>
          <w:szCs w:val="22"/>
          <w:lang w:val="fr-CA"/>
        </w:rPr>
      </w:pPr>
      <w:r w:rsidRPr="00AE70B8">
        <w:rPr>
          <w:i/>
          <w:kern w:val="22"/>
          <w:szCs w:val="22"/>
          <w:lang w:val="fr-CA"/>
        </w:rPr>
        <w:t>La Conférence des Parties</w:t>
      </w:r>
    </w:p>
    <w:p w14:paraId="2E3F541A" w14:textId="05A9D74E" w:rsidR="00622CA6" w:rsidRPr="00AE70B8" w:rsidRDefault="00EB5A3F" w:rsidP="00622CA6">
      <w:pPr>
        <w:suppressLineNumbers/>
        <w:suppressAutoHyphens/>
        <w:spacing w:before="120" w:after="120"/>
        <w:ind w:firstLine="720"/>
        <w:rPr>
          <w:kern w:val="22"/>
          <w:szCs w:val="22"/>
          <w:lang w:val="fr-CA"/>
        </w:rPr>
      </w:pPr>
      <w:r w:rsidRPr="00AE70B8">
        <w:rPr>
          <w:i/>
          <w:kern w:val="22"/>
          <w:szCs w:val="22"/>
          <w:lang w:val="fr-CA"/>
        </w:rPr>
        <w:t xml:space="preserve">Rappelant </w:t>
      </w:r>
      <w:r w:rsidRPr="00AE70B8">
        <w:rPr>
          <w:kern w:val="22"/>
          <w:szCs w:val="22"/>
          <w:lang w:val="fr-CA"/>
        </w:rPr>
        <w:t>sa décision 14/37, dans laquelle elle approuve le budget de la période biennale 2019-2020 et demande à la Secrétaire exécutive de préparer des propositions budgétaires pour la période biennale 2021-2022</w:t>
      </w:r>
      <w:r w:rsidR="00716058" w:rsidRPr="00AE70B8">
        <w:rPr>
          <w:kern w:val="22"/>
          <w:szCs w:val="22"/>
          <w:lang w:val="fr-CA"/>
        </w:rPr>
        <w:t>,</w:t>
      </w:r>
      <w:r w:rsidR="008657DB" w:rsidRPr="00AE70B8">
        <w:rPr>
          <w:kern w:val="22"/>
          <w:szCs w:val="22"/>
          <w:lang w:val="fr-CA"/>
        </w:rPr>
        <w:t xml:space="preserve"> </w:t>
      </w:r>
    </w:p>
    <w:p w14:paraId="4E8A47A1" w14:textId="1E42D9CA" w:rsidR="00622CA6" w:rsidRPr="00AE70B8" w:rsidRDefault="00EB5A3F" w:rsidP="00622CA6">
      <w:pPr>
        <w:suppressLineNumbers/>
        <w:suppressAutoHyphens/>
        <w:spacing w:before="120" w:after="120"/>
        <w:ind w:firstLine="720"/>
        <w:rPr>
          <w:kern w:val="22"/>
          <w:lang w:val="fr-CA"/>
        </w:rPr>
      </w:pPr>
      <w:r w:rsidRPr="00AE70B8">
        <w:rPr>
          <w:i/>
          <w:iCs/>
          <w:kern w:val="22"/>
          <w:lang w:val="fr-CA"/>
        </w:rPr>
        <w:t xml:space="preserve">Rappelant également </w:t>
      </w:r>
      <w:r w:rsidRPr="00AE70B8">
        <w:rPr>
          <w:iCs/>
          <w:kern w:val="22"/>
          <w:lang w:val="fr-CA"/>
        </w:rPr>
        <w:t xml:space="preserve">sa décision EM-2/1, dans laquelle elle </w:t>
      </w:r>
      <w:r w:rsidR="00094E30" w:rsidRPr="00AE70B8">
        <w:rPr>
          <w:iCs/>
          <w:kern w:val="22"/>
          <w:lang w:val="fr-CA"/>
        </w:rPr>
        <w:t>approuve la prolongation du budget de la période biennale 2019-2020 et le budget provisoire de 2021</w:t>
      </w:r>
      <w:r w:rsidR="00716058" w:rsidRPr="00AE70B8">
        <w:rPr>
          <w:iCs/>
          <w:kern w:val="22"/>
          <w:lang w:val="fr-CA"/>
        </w:rPr>
        <w:t>,</w:t>
      </w:r>
      <w:r w:rsidR="008657DB" w:rsidRPr="00AE70B8">
        <w:rPr>
          <w:kern w:val="22"/>
          <w:lang w:val="fr-CA"/>
        </w:rPr>
        <w:t xml:space="preserve"> </w:t>
      </w:r>
    </w:p>
    <w:p w14:paraId="29EAD1B1" w14:textId="42EB5EB4" w:rsidR="00622CA6" w:rsidRPr="00AE70B8" w:rsidRDefault="00BD6B79" w:rsidP="00622CA6">
      <w:pPr>
        <w:suppressLineNumbers/>
        <w:suppressAutoHyphens/>
        <w:spacing w:before="120" w:after="120"/>
        <w:ind w:firstLine="720"/>
        <w:rPr>
          <w:kern w:val="22"/>
          <w:szCs w:val="22"/>
          <w:lang w:val="fr-CA"/>
        </w:rPr>
      </w:pPr>
      <w:r w:rsidRPr="00AE70B8">
        <w:rPr>
          <w:i/>
          <w:kern w:val="22"/>
          <w:szCs w:val="22"/>
          <w:lang w:val="fr-CA"/>
        </w:rPr>
        <w:t>Prenant compte</w:t>
      </w:r>
      <w:r w:rsidR="00094E30" w:rsidRPr="00AE70B8">
        <w:rPr>
          <w:i/>
          <w:kern w:val="22"/>
          <w:szCs w:val="22"/>
          <w:lang w:val="fr-CA"/>
        </w:rPr>
        <w:t xml:space="preserve"> </w:t>
      </w:r>
      <w:r w:rsidR="00094E30" w:rsidRPr="00AE70B8">
        <w:rPr>
          <w:kern w:val="22"/>
          <w:szCs w:val="22"/>
          <w:lang w:val="fr-CA"/>
        </w:rPr>
        <w:t>de la décision de présenter la quinzi</w:t>
      </w:r>
      <w:r w:rsidR="00716058" w:rsidRPr="00AE70B8">
        <w:rPr>
          <w:kern w:val="22"/>
          <w:szCs w:val="22"/>
          <w:lang w:val="fr-CA"/>
        </w:rPr>
        <w:t>ème réunion de la Conférence d</w:t>
      </w:r>
      <w:r w:rsidR="00094E30" w:rsidRPr="00AE70B8">
        <w:rPr>
          <w:kern w:val="22"/>
          <w:szCs w:val="22"/>
          <w:lang w:val="fr-CA"/>
        </w:rPr>
        <w:t xml:space="preserve">es Parties en deux parties, la partie I du 11 au 15 octobre 2021 et la partie II du 25 avril au 8 mai 2022, à cause des restrictions imposées par la pandémie de la COVID-19, et </w:t>
      </w:r>
      <w:r w:rsidR="00716058" w:rsidRPr="00AE70B8">
        <w:rPr>
          <w:kern w:val="22"/>
          <w:szCs w:val="22"/>
          <w:lang w:val="fr-CA"/>
        </w:rPr>
        <w:t>que</w:t>
      </w:r>
      <w:r w:rsidR="00094E30" w:rsidRPr="00AE70B8">
        <w:rPr>
          <w:kern w:val="22"/>
          <w:szCs w:val="22"/>
          <w:lang w:val="fr-CA"/>
        </w:rPr>
        <w:t xml:space="preserve"> </w:t>
      </w:r>
      <w:r w:rsidR="00C77A07">
        <w:rPr>
          <w:kern w:val="22"/>
          <w:szCs w:val="22"/>
          <w:lang w:val="fr-CA"/>
        </w:rPr>
        <w:t>l</w:t>
      </w:r>
      <w:r w:rsidR="00716058" w:rsidRPr="00AE70B8">
        <w:rPr>
          <w:kern w:val="22"/>
          <w:szCs w:val="22"/>
          <w:lang w:val="fr-CA"/>
        </w:rPr>
        <w:t>’examen</w:t>
      </w:r>
      <w:r w:rsidR="00094E30" w:rsidRPr="00AE70B8">
        <w:rPr>
          <w:kern w:val="22"/>
          <w:szCs w:val="22"/>
          <w:lang w:val="fr-CA"/>
        </w:rPr>
        <w:t xml:space="preserve"> et l’adoption d’un budget ordinaire ou complet</w:t>
      </w:r>
      <w:r w:rsidR="00716058" w:rsidRPr="00AE70B8">
        <w:rPr>
          <w:kern w:val="22"/>
          <w:szCs w:val="22"/>
          <w:lang w:val="fr-CA"/>
        </w:rPr>
        <w:t xml:space="preserve"> sont prévus au cours de la partie II de la réunion,</w:t>
      </w:r>
    </w:p>
    <w:p w14:paraId="5809599F" w14:textId="20986FBA" w:rsidR="00716058" w:rsidRPr="00AE70B8" w:rsidRDefault="00716058" w:rsidP="00622CA6">
      <w:pPr>
        <w:suppressLineNumbers/>
        <w:suppressAutoHyphens/>
        <w:spacing w:before="120" w:after="120"/>
        <w:ind w:firstLine="720"/>
        <w:rPr>
          <w:kern w:val="22"/>
          <w:lang w:val="fr-CA"/>
        </w:rPr>
      </w:pPr>
      <w:r w:rsidRPr="00AE70B8">
        <w:rPr>
          <w:i/>
          <w:kern w:val="22"/>
          <w:szCs w:val="22"/>
          <w:lang w:val="fr-CA"/>
        </w:rPr>
        <w:t>Prenant note,</w:t>
      </w:r>
      <w:r w:rsidRPr="00AE70B8">
        <w:rPr>
          <w:kern w:val="22"/>
          <w:szCs w:val="22"/>
          <w:lang w:val="fr-CA"/>
        </w:rPr>
        <w:t xml:space="preserve"> par conséquent, </w:t>
      </w:r>
      <w:r w:rsidR="00AD7D8A" w:rsidRPr="00AE70B8">
        <w:rPr>
          <w:kern w:val="22"/>
          <w:szCs w:val="22"/>
          <w:lang w:val="fr-CA"/>
        </w:rPr>
        <w:t>de la nécessité de prendre des arrangements pour maintenir le fonctionnement ininterrompu</w:t>
      </w:r>
      <w:r w:rsidR="0099414C">
        <w:rPr>
          <w:kern w:val="22"/>
          <w:szCs w:val="22"/>
          <w:lang w:val="fr-CA"/>
        </w:rPr>
        <w:t xml:space="preserve"> des organes de la Convention, d</w:t>
      </w:r>
      <w:r w:rsidR="00AD7D8A" w:rsidRPr="00AE70B8">
        <w:rPr>
          <w:kern w:val="22"/>
          <w:szCs w:val="22"/>
          <w:lang w:val="fr-CA"/>
        </w:rPr>
        <w:t>ont le Secrétariat et les réunions de la Conférence des Parties et des organes subsidiaires,</w:t>
      </w:r>
    </w:p>
    <w:p w14:paraId="307B43DA" w14:textId="6C933BE0" w:rsidR="00622CA6" w:rsidRPr="00AE70B8" w:rsidRDefault="00716058" w:rsidP="00622CA6">
      <w:pPr>
        <w:suppressLineNumbers/>
        <w:suppressAutoHyphens/>
        <w:spacing w:before="120" w:after="120"/>
        <w:ind w:firstLine="720"/>
        <w:rPr>
          <w:kern w:val="22"/>
          <w:szCs w:val="22"/>
          <w:lang w:val="fr-CA"/>
        </w:rPr>
      </w:pPr>
      <w:r w:rsidRPr="00AE70B8">
        <w:rPr>
          <w:i/>
          <w:kern w:val="22"/>
          <w:szCs w:val="22"/>
          <w:lang w:val="fr-CA"/>
        </w:rPr>
        <w:t>Prenant note</w:t>
      </w:r>
      <w:r w:rsidRPr="00AE70B8">
        <w:rPr>
          <w:kern w:val="22"/>
          <w:szCs w:val="22"/>
          <w:lang w:val="fr-CA"/>
        </w:rPr>
        <w:t xml:space="preserve"> de la proposition du Bureau de la Conférence des Parties que les Parties </w:t>
      </w:r>
      <w:r w:rsidR="00AD7D8A" w:rsidRPr="00AE70B8">
        <w:rPr>
          <w:kern w:val="22"/>
          <w:szCs w:val="22"/>
          <w:lang w:val="fr-CA"/>
        </w:rPr>
        <w:t xml:space="preserve">examinent et approuvent </w:t>
      </w:r>
      <w:r w:rsidRPr="00AE70B8">
        <w:rPr>
          <w:kern w:val="22"/>
          <w:szCs w:val="22"/>
          <w:lang w:val="fr-CA"/>
        </w:rPr>
        <w:t>un budget provisoire pour 2022</w:t>
      </w:r>
      <w:r w:rsidR="00AD7D8A" w:rsidRPr="00AE70B8">
        <w:rPr>
          <w:kern w:val="22"/>
          <w:szCs w:val="22"/>
          <w:lang w:val="fr-CA"/>
        </w:rPr>
        <w:t>, à titre exceptionnel,</w:t>
      </w:r>
      <w:r w:rsidRPr="00AE70B8">
        <w:rPr>
          <w:kern w:val="22"/>
          <w:szCs w:val="22"/>
          <w:lang w:val="fr-CA"/>
        </w:rPr>
        <w:t xml:space="preserve"> selon les modalités convenues,</w:t>
      </w:r>
    </w:p>
    <w:p w14:paraId="465867B2" w14:textId="130301D9" w:rsidR="00622CA6" w:rsidRPr="00AE70B8" w:rsidRDefault="00D3051B" w:rsidP="00622CA6">
      <w:pPr>
        <w:suppressLineNumbers/>
        <w:suppressAutoHyphens/>
        <w:spacing w:before="120" w:after="120"/>
        <w:ind w:firstLine="720"/>
        <w:rPr>
          <w:kern w:val="22"/>
          <w:szCs w:val="22"/>
          <w:lang w:val="fr-CA"/>
        </w:rPr>
      </w:pPr>
      <w:r w:rsidRPr="00AE70B8">
        <w:rPr>
          <w:i/>
          <w:kern w:val="22"/>
          <w:szCs w:val="22"/>
          <w:lang w:val="fr-CA"/>
        </w:rPr>
        <w:t>Ayant examiné</w:t>
      </w:r>
      <w:r w:rsidRPr="00AE70B8">
        <w:rPr>
          <w:kern w:val="22"/>
          <w:szCs w:val="22"/>
          <w:lang w:val="fr-CA"/>
        </w:rPr>
        <w:t xml:space="preserve"> la note de la Secrétaire exécutive,</w:t>
      </w:r>
      <w:bookmarkStart w:id="2" w:name="_Ref81136053"/>
      <w:r w:rsidR="00622CA6" w:rsidRPr="00AE70B8">
        <w:rPr>
          <w:rStyle w:val="FootnoteReference"/>
          <w:kern w:val="22"/>
          <w:szCs w:val="22"/>
        </w:rPr>
        <w:footnoteReference w:id="6"/>
      </w:r>
      <w:bookmarkEnd w:id="2"/>
    </w:p>
    <w:p w14:paraId="488F0429" w14:textId="5F46F745" w:rsidR="00622CA6" w:rsidRPr="00AE70B8" w:rsidRDefault="00D3051B" w:rsidP="00622CA6">
      <w:pPr>
        <w:suppressLineNumbers/>
        <w:suppressAutoHyphens/>
        <w:spacing w:before="120" w:after="120"/>
        <w:ind w:firstLine="720"/>
        <w:rPr>
          <w:kern w:val="22"/>
          <w:szCs w:val="22"/>
          <w:lang w:val="fr-CA"/>
        </w:rPr>
      </w:pPr>
      <w:r w:rsidRPr="00AE70B8">
        <w:rPr>
          <w:i/>
          <w:kern w:val="22"/>
          <w:szCs w:val="22"/>
          <w:lang w:val="fr-CA"/>
        </w:rPr>
        <w:t xml:space="preserve">Reconnaissant </w:t>
      </w:r>
      <w:r w:rsidRPr="00AE70B8">
        <w:rPr>
          <w:kern w:val="22"/>
          <w:szCs w:val="22"/>
          <w:lang w:val="fr-CA"/>
        </w:rPr>
        <w:t xml:space="preserve">la nature exceptionnelle des circonstances découlant de la pandémie et exprimant sa solidarité avec toutes les Parties face aux conséquences humaines et économiques de cette pandémie </w:t>
      </w:r>
      <w:r w:rsidR="00555737" w:rsidRPr="00AE70B8">
        <w:rPr>
          <w:kern w:val="22"/>
          <w:szCs w:val="22"/>
          <w:lang w:val="fr-CA"/>
        </w:rPr>
        <w:t>qui</w:t>
      </w:r>
      <w:r w:rsidRPr="00AE70B8">
        <w:rPr>
          <w:kern w:val="22"/>
          <w:szCs w:val="22"/>
          <w:lang w:val="fr-CA"/>
        </w:rPr>
        <w:t xml:space="preserve"> perdure,</w:t>
      </w:r>
    </w:p>
    <w:p w14:paraId="319F7356" w14:textId="5EAAB1A6" w:rsidR="00622CA6" w:rsidRPr="00AE70B8" w:rsidRDefault="00D3051B" w:rsidP="0099414C">
      <w:pPr>
        <w:pStyle w:val="ListParagraph"/>
        <w:numPr>
          <w:ilvl w:val="0"/>
          <w:numId w:val="14"/>
        </w:numPr>
        <w:suppressLineNumbers/>
        <w:suppressAutoHyphens/>
        <w:spacing w:before="120" w:after="120"/>
        <w:ind w:left="0" w:firstLine="720"/>
        <w:contextualSpacing w:val="0"/>
        <w:rPr>
          <w:kern w:val="22"/>
          <w:lang w:val="fr-CA"/>
        </w:rPr>
      </w:pPr>
      <w:r w:rsidRPr="00AE70B8">
        <w:rPr>
          <w:rFonts w:eastAsia="Malgun Gothic"/>
          <w:i/>
          <w:color w:val="000000" w:themeColor="text1"/>
          <w:kern w:val="22"/>
          <w:szCs w:val="22"/>
          <w:lang w:val="fr-CA" w:eastAsia="x-none"/>
        </w:rPr>
        <w:t>Approuve</w:t>
      </w:r>
      <w:r w:rsidR="00FD6311">
        <w:rPr>
          <w:rFonts w:eastAsia="Malgun Gothic"/>
          <w:i/>
          <w:color w:val="000000" w:themeColor="text1"/>
          <w:kern w:val="22"/>
          <w:szCs w:val="22"/>
          <w:lang w:val="fr-CA" w:eastAsia="x-none"/>
        </w:rPr>
        <w:t>,</w:t>
      </w:r>
      <w:r w:rsidRPr="00AE70B8">
        <w:rPr>
          <w:rFonts w:eastAsia="Malgun Gothic"/>
          <w:color w:val="000000" w:themeColor="text1"/>
          <w:kern w:val="22"/>
          <w:szCs w:val="22"/>
          <w:lang w:val="fr-CA" w:eastAsia="x-none"/>
        </w:rPr>
        <w:t xml:space="preserve"> à titre exceptionnel, un budget</w:t>
      </w:r>
      <w:r w:rsidR="00555737" w:rsidRPr="00AE70B8">
        <w:rPr>
          <w:rFonts w:eastAsia="Malgun Gothic"/>
          <w:color w:val="000000" w:themeColor="text1"/>
          <w:kern w:val="22"/>
          <w:szCs w:val="22"/>
          <w:lang w:val="fr-CA" w:eastAsia="x-none"/>
        </w:rPr>
        <w:t xml:space="preserve">-programme de base de 12 619 185 dollars des </w:t>
      </w:r>
      <w:r w:rsidR="00555737" w:rsidRPr="00AE70B8">
        <w:rPr>
          <w:color w:val="000000" w:themeColor="text1"/>
          <w:kern w:val="22"/>
          <w:szCs w:val="22"/>
          <w:lang w:val="fr-CA" w:eastAsia="x-none"/>
        </w:rPr>
        <w:t>États-Unis</w:t>
      </w:r>
      <w:r w:rsidR="00555737" w:rsidRPr="00AE70B8">
        <w:rPr>
          <w:rFonts w:eastAsia="Malgun Gothic"/>
          <w:color w:val="000000" w:themeColor="text1"/>
          <w:kern w:val="22"/>
          <w:szCs w:val="22"/>
          <w:lang w:val="fr-CA" w:eastAsia="x-none"/>
        </w:rPr>
        <w:t xml:space="preserve"> pour la Convention pour l’année 2022, re</w:t>
      </w:r>
      <w:r w:rsidR="0099414C">
        <w:rPr>
          <w:rFonts w:eastAsia="Malgun Gothic"/>
          <w:color w:val="000000" w:themeColor="text1"/>
          <w:kern w:val="22"/>
          <w:szCs w:val="22"/>
          <w:lang w:val="fr-CA" w:eastAsia="x-none"/>
        </w:rPr>
        <w:t xml:space="preserve">présentant 74 pour cent du </w:t>
      </w:r>
      <w:r w:rsidR="00555737" w:rsidRPr="00AE70B8">
        <w:rPr>
          <w:rFonts w:eastAsia="Malgun Gothic"/>
          <w:color w:val="000000" w:themeColor="text1"/>
          <w:kern w:val="22"/>
          <w:szCs w:val="22"/>
          <w:lang w:val="fr-CA" w:eastAsia="x-none"/>
        </w:rPr>
        <w:t xml:space="preserve">budget provisoire intégré </w:t>
      </w:r>
      <w:r w:rsidR="00B74D5F" w:rsidRPr="00AE70B8">
        <w:rPr>
          <w:rFonts w:eastAsia="Malgun Gothic"/>
          <w:color w:val="000000" w:themeColor="text1"/>
          <w:kern w:val="22"/>
          <w:szCs w:val="22"/>
          <w:lang w:val="fr-CA" w:eastAsia="x-none"/>
        </w:rPr>
        <w:t xml:space="preserve"> de 17 052 952 dollars des </w:t>
      </w:r>
      <w:r w:rsidR="00B74D5F" w:rsidRPr="00AE70B8">
        <w:rPr>
          <w:color w:val="000000" w:themeColor="text1"/>
          <w:kern w:val="22"/>
          <w:szCs w:val="22"/>
          <w:lang w:val="fr-CA" w:eastAsia="x-none"/>
        </w:rPr>
        <w:t>États-Unis</w:t>
      </w:r>
      <w:r w:rsidR="0099414C">
        <w:rPr>
          <w:rFonts w:eastAsia="Malgun Gothic"/>
          <w:color w:val="000000" w:themeColor="text1"/>
          <w:kern w:val="22"/>
          <w:szCs w:val="22"/>
          <w:lang w:val="fr-CA" w:eastAsia="x-none"/>
        </w:rPr>
        <w:t xml:space="preserve"> pour l’année 2022</w:t>
      </w:r>
      <w:r w:rsidR="00B74D5F" w:rsidRPr="00AE70B8">
        <w:rPr>
          <w:rFonts w:eastAsia="Malgun Gothic"/>
          <w:color w:val="000000" w:themeColor="text1"/>
          <w:kern w:val="22"/>
          <w:szCs w:val="22"/>
          <w:lang w:val="fr-CA" w:eastAsia="x-none"/>
        </w:rPr>
        <w:t xml:space="preserve">, pour les besoins </w:t>
      </w:r>
      <w:r w:rsidR="0099414C">
        <w:rPr>
          <w:rFonts w:eastAsia="Malgun Gothic"/>
          <w:color w:val="000000" w:themeColor="text1"/>
          <w:kern w:val="22"/>
          <w:szCs w:val="22"/>
          <w:lang w:val="fr-CA" w:eastAsia="x-none"/>
        </w:rPr>
        <w:t xml:space="preserve">indiqués </w:t>
      </w:r>
      <w:r w:rsidR="00B74D5F" w:rsidRPr="00AE70B8">
        <w:rPr>
          <w:rFonts w:eastAsia="Malgun Gothic"/>
          <w:color w:val="000000" w:themeColor="text1"/>
          <w:kern w:val="22"/>
          <w:szCs w:val="22"/>
          <w:lang w:val="fr-CA" w:eastAsia="x-none"/>
        </w:rPr>
        <w:t xml:space="preserve">dans les tableaux 5a et 5b </w:t>
      </w:r>
      <w:r w:rsidR="00FD6311">
        <w:rPr>
          <w:rFonts w:eastAsia="Malgun Gothic"/>
          <w:color w:val="000000" w:themeColor="text1"/>
          <w:kern w:val="22"/>
          <w:szCs w:val="22"/>
          <w:lang w:val="fr-CA" w:eastAsia="x-none"/>
        </w:rPr>
        <w:t>de la n</w:t>
      </w:r>
      <w:r w:rsidR="0099414C">
        <w:rPr>
          <w:rFonts w:eastAsia="Malgun Gothic"/>
          <w:color w:val="000000" w:themeColor="text1"/>
          <w:kern w:val="22"/>
          <w:szCs w:val="22"/>
          <w:lang w:val="fr-CA" w:eastAsia="x-none"/>
        </w:rPr>
        <w:t>ote de la Secrétaire exécutive</w:t>
      </w:r>
      <w:r w:rsidR="00622CA6" w:rsidRPr="00AE70B8">
        <w:rPr>
          <w:rFonts w:eastAsia="Malgun Gothic"/>
          <w:color w:val="000000" w:themeColor="text1"/>
          <w:kern w:val="22"/>
          <w:szCs w:val="22"/>
          <w:lang w:val="fr-CA" w:eastAsia="x-none"/>
        </w:rPr>
        <w:t>;</w:t>
      </w:r>
      <w:r w:rsidR="001D31F9" w:rsidRPr="00AE70B8">
        <w:rPr>
          <w:rFonts w:eastAsia="Malgun Gothic"/>
          <w:color w:val="000000" w:themeColor="text1"/>
          <w:kern w:val="22"/>
          <w:szCs w:val="22"/>
          <w:vertAlign w:val="superscript"/>
          <w:lang w:val="fr-CA" w:eastAsia="x-none"/>
        </w:rPr>
        <w:fldChar w:fldCharType="begin"/>
      </w:r>
      <w:r w:rsidR="001D31F9" w:rsidRPr="00AE70B8">
        <w:rPr>
          <w:rFonts w:eastAsia="Malgun Gothic"/>
          <w:color w:val="000000" w:themeColor="text1"/>
          <w:kern w:val="22"/>
          <w:szCs w:val="22"/>
          <w:vertAlign w:val="superscript"/>
          <w:lang w:val="fr-CA" w:eastAsia="x-none"/>
        </w:rPr>
        <w:instrText xml:space="preserve"> NOTEREF _Ref81136053 \h  \* MERGEFORMAT </w:instrText>
      </w:r>
      <w:r w:rsidR="001D31F9" w:rsidRPr="00AE70B8">
        <w:rPr>
          <w:rFonts w:eastAsia="Malgun Gothic"/>
          <w:color w:val="000000" w:themeColor="text1"/>
          <w:kern w:val="22"/>
          <w:szCs w:val="22"/>
          <w:vertAlign w:val="superscript"/>
          <w:lang w:val="fr-CA" w:eastAsia="x-none"/>
        </w:rPr>
      </w:r>
      <w:r w:rsidR="001D31F9" w:rsidRPr="00AE70B8">
        <w:rPr>
          <w:rFonts w:eastAsia="Malgun Gothic"/>
          <w:color w:val="000000" w:themeColor="text1"/>
          <w:kern w:val="22"/>
          <w:szCs w:val="22"/>
          <w:vertAlign w:val="superscript"/>
          <w:lang w:val="fr-CA" w:eastAsia="x-none"/>
        </w:rPr>
        <w:fldChar w:fldCharType="separate"/>
      </w:r>
      <w:r w:rsidR="001D31F9" w:rsidRPr="00AE70B8">
        <w:rPr>
          <w:rFonts w:eastAsia="Malgun Gothic"/>
          <w:color w:val="000000" w:themeColor="text1"/>
          <w:kern w:val="22"/>
          <w:szCs w:val="22"/>
          <w:vertAlign w:val="superscript"/>
          <w:lang w:val="fr-CA" w:eastAsia="x-none"/>
        </w:rPr>
        <w:t>3</w:t>
      </w:r>
      <w:r w:rsidR="001D31F9" w:rsidRPr="00AE70B8">
        <w:rPr>
          <w:rFonts w:eastAsia="Malgun Gothic"/>
          <w:color w:val="000000" w:themeColor="text1"/>
          <w:kern w:val="22"/>
          <w:szCs w:val="22"/>
          <w:vertAlign w:val="superscript"/>
          <w:lang w:val="fr-CA" w:eastAsia="x-none"/>
        </w:rPr>
        <w:fldChar w:fldCharType="end"/>
      </w:r>
    </w:p>
    <w:p w14:paraId="4D1866EF" w14:textId="57C8B2BC" w:rsidR="00622CA6" w:rsidRPr="00AE70B8" w:rsidRDefault="00B74D5F" w:rsidP="00622CA6">
      <w:pPr>
        <w:pStyle w:val="ListParagraph"/>
        <w:numPr>
          <w:ilvl w:val="0"/>
          <w:numId w:val="14"/>
        </w:numPr>
        <w:suppressLineNumbers/>
        <w:suppressAutoHyphens/>
        <w:spacing w:before="120" w:after="120"/>
        <w:ind w:left="0" w:firstLine="720"/>
        <w:contextualSpacing w:val="0"/>
        <w:rPr>
          <w:kern w:val="22"/>
          <w:szCs w:val="22"/>
          <w:lang w:val="fr-CA"/>
        </w:rPr>
      </w:pPr>
      <w:r w:rsidRPr="00AE70B8">
        <w:rPr>
          <w:rFonts w:eastAsia="Malgun Gothic"/>
          <w:i/>
          <w:color w:val="000000" w:themeColor="text1"/>
          <w:kern w:val="22"/>
          <w:szCs w:val="22"/>
          <w:lang w:val="fr-CA" w:eastAsia="ko-KR"/>
        </w:rPr>
        <w:t xml:space="preserve">Décide </w:t>
      </w:r>
      <w:r w:rsidRPr="00AE70B8">
        <w:rPr>
          <w:rFonts w:eastAsia="Malgun Gothic"/>
          <w:color w:val="000000" w:themeColor="text1"/>
          <w:kern w:val="22"/>
          <w:szCs w:val="22"/>
          <w:lang w:val="fr-CA" w:eastAsia="ko-KR"/>
        </w:rPr>
        <w:t xml:space="preserve">de répartir tous les </w:t>
      </w:r>
      <w:r w:rsidRPr="00AE70B8">
        <w:rPr>
          <w:color w:val="000000" w:themeColor="text1"/>
          <w:kern w:val="22"/>
          <w:szCs w:val="22"/>
          <w:lang w:val="fr-CA" w:eastAsia="ko-KR"/>
        </w:rPr>
        <w:t>coûts</w:t>
      </w:r>
      <w:r w:rsidRPr="00AE70B8">
        <w:rPr>
          <w:rFonts w:eastAsia="Malgun Gothic"/>
          <w:color w:val="000000" w:themeColor="text1"/>
          <w:kern w:val="22"/>
          <w:szCs w:val="22"/>
          <w:lang w:val="fr-CA" w:eastAsia="ko-KR"/>
        </w:rPr>
        <w:t xml:space="preserve"> des services de Secrétariat entre la Convention, le Protocole de Cartagena et le Protocole de Nagoya dans </w:t>
      </w:r>
      <w:r w:rsidR="00FD6311">
        <w:rPr>
          <w:rFonts w:eastAsia="Malgun Gothic"/>
          <w:color w:val="000000" w:themeColor="text1"/>
          <w:kern w:val="22"/>
          <w:szCs w:val="22"/>
          <w:lang w:val="fr-CA" w:eastAsia="ko-KR"/>
        </w:rPr>
        <w:t>une proportion</w:t>
      </w:r>
      <w:r w:rsidRPr="00AE70B8">
        <w:rPr>
          <w:rFonts w:eastAsia="Malgun Gothic"/>
          <w:color w:val="000000" w:themeColor="text1"/>
          <w:kern w:val="22"/>
          <w:szCs w:val="22"/>
          <w:lang w:val="fr-CA" w:eastAsia="ko-KR"/>
        </w:rPr>
        <w:t xml:space="preserve"> de 74:15:11 pour l’année 2022</w:t>
      </w:r>
      <w:r w:rsidR="00622CA6" w:rsidRPr="00AE70B8">
        <w:rPr>
          <w:rFonts w:eastAsia="Malgun Gothic"/>
          <w:color w:val="000000" w:themeColor="text1"/>
          <w:kern w:val="22"/>
          <w:szCs w:val="22"/>
          <w:lang w:val="fr-CA" w:eastAsia="x-none"/>
        </w:rPr>
        <w:t>;</w:t>
      </w:r>
    </w:p>
    <w:p w14:paraId="3C31BD9C" w14:textId="4195A838" w:rsidR="00622CA6" w:rsidRPr="00AE70B8" w:rsidRDefault="00946114" w:rsidP="00946114">
      <w:pPr>
        <w:pStyle w:val="ListParagraph"/>
        <w:numPr>
          <w:ilvl w:val="0"/>
          <w:numId w:val="14"/>
        </w:numPr>
        <w:suppressLineNumbers/>
        <w:suppressAutoHyphens/>
        <w:spacing w:before="120" w:after="120"/>
        <w:ind w:left="0" w:firstLine="720"/>
        <w:contextualSpacing w:val="0"/>
        <w:rPr>
          <w:kern w:val="22"/>
          <w:lang w:val="fr-CA"/>
        </w:rPr>
      </w:pPr>
      <w:r w:rsidRPr="00AE70B8">
        <w:rPr>
          <w:i/>
          <w:color w:val="000000" w:themeColor="text1"/>
          <w:kern w:val="22"/>
          <w:szCs w:val="22"/>
          <w:lang w:val="fr-CA"/>
        </w:rPr>
        <w:t xml:space="preserve">Remercie </w:t>
      </w:r>
      <w:r w:rsidRPr="00AE70B8">
        <w:rPr>
          <w:color w:val="000000" w:themeColor="text1"/>
          <w:kern w:val="22"/>
          <w:szCs w:val="22"/>
          <w:lang w:val="fr-CA"/>
        </w:rPr>
        <w:t xml:space="preserve">le pays hôte, le Canada, de renouveler son soutien pour le Secrétariat et </w:t>
      </w:r>
      <w:r w:rsidRPr="00AE70B8">
        <w:rPr>
          <w:i/>
          <w:color w:val="000000" w:themeColor="text1"/>
          <w:kern w:val="22"/>
          <w:szCs w:val="22"/>
          <w:lang w:val="fr-CA"/>
        </w:rPr>
        <w:t>se réjouit</w:t>
      </w:r>
      <w:r w:rsidR="00FD6311">
        <w:rPr>
          <w:color w:val="000000" w:themeColor="text1"/>
          <w:kern w:val="22"/>
          <w:szCs w:val="22"/>
          <w:lang w:val="fr-CA"/>
        </w:rPr>
        <w:t xml:space="preserve"> de la contribution de 2 092</w:t>
      </w:r>
      <w:r w:rsidRPr="00AE70B8">
        <w:rPr>
          <w:color w:val="000000" w:themeColor="text1"/>
          <w:kern w:val="22"/>
          <w:szCs w:val="22"/>
          <w:lang w:val="fr-CA"/>
        </w:rPr>
        <w:t> 229 dollars canadiens du pays hôte et de la Province de Québec pour l’année 2022, pour le loyer</w:t>
      </w:r>
      <w:r w:rsidR="00FD6311">
        <w:rPr>
          <w:color w:val="000000" w:themeColor="text1"/>
          <w:kern w:val="22"/>
          <w:szCs w:val="22"/>
          <w:lang w:val="fr-CA"/>
        </w:rPr>
        <w:t xml:space="preserve"> et</w:t>
      </w:r>
      <w:r w:rsidRPr="00AE70B8">
        <w:rPr>
          <w:color w:val="000000" w:themeColor="text1"/>
          <w:kern w:val="22"/>
          <w:szCs w:val="22"/>
          <w:lang w:val="fr-CA"/>
        </w:rPr>
        <w:t xml:space="preserve"> les coûts apparentés du Secrétariat à Montréal, répartis dans </w:t>
      </w:r>
      <w:r w:rsidR="00FD6311">
        <w:rPr>
          <w:color w:val="000000" w:themeColor="text1"/>
          <w:kern w:val="22"/>
          <w:szCs w:val="22"/>
          <w:lang w:val="fr-CA"/>
        </w:rPr>
        <w:t>une proportion</w:t>
      </w:r>
      <w:r w:rsidRPr="00AE70B8">
        <w:rPr>
          <w:color w:val="000000" w:themeColor="text1"/>
          <w:kern w:val="22"/>
          <w:szCs w:val="22"/>
          <w:lang w:val="fr-CA"/>
        </w:rPr>
        <w:t xml:space="preserve"> de 74:15:11 </w:t>
      </w:r>
      <w:r w:rsidR="002F5001" w:rsidRPr="00AE70B8">
        <w:rPr>
          <w:color w:val="000000" w:themeColor="text1"/>
          <w:kern w:val="22"/>
          <w:szCs w:val="22"/>
          <w:lang w:val="fr-CA"/>
        </w:rPr>
        <w:t>afin de</w:t>
      </w:r>
      <w:r w:rsidRPr="00AE70B8">
        <w:rPr>
          <w:color w:val="000000" w:themeColor="text1"/>
          <w:kern w:val="22"/>
          <w:szCs w:val="22"/>
          <w:lang w:val="fr-CA"/>
        </w:rPr>
        <w:t xml:space="preserve"> compenser les contributions </w:t>
      </w:r>
      <w:r w:rsidR="00FD6311">
        <w:rPr>
          <w:color w:val="000000" w:themeColor="text1"/>
          <w:kern w:val="22"/>
          <w:szCs w:val="22"/>
          <w:lang w:val="fr-CA"/>
        </w:rPr>
        <w:t>des Parties à la Convention, au Protocole de Cartagena et a</w:t>
      </w:r>
      <w:r w:rsidRPr="00AE70B8">
        <w:rPr>
          <w:color w:val="000000" w:themeColor="text1"/>
          <w:kern w:val="22"/>
          <w:szCs w:val="22"/>
          <w:lang w:val="fr-CA"/>
        </w:rPr>
        <w:t>u Protocole de Nagoya</w:t>
      </w:r>
      <w:r w:rsidR="00714ECD">
        <w:rPr>
          <w:color w:val="000000" w:themeColor="text1"/>
          <w:kern w:val="22"/>
          <w:szCs w:val="22"/>
          <w:lang w:val="fr-CA"/>
        </w:rPr>
        <w:t>, respectivement,</w:t>
      </w:r>
      <w:r w:rsidRPr="00AE70B8">
        <w:rPr>
          <w:color w:val="000000" w:themeColor="text1"/>
          <w:kern w:val="22"/>
          <w:szCs w:val="22"/>
          <w:lang w:val="fr-CA"/>
        </w:rPr>
        <w:t xml:space="preserve"> pour l’année 2022</w:t>
      </w:r>
      <w:r w:rsidR="00622CA6" w:rsidRPr="00AE70B8">
        <w:rPr>
          <w:color w:val="000000" w:themeColor="text1"/>
          <w:kern w:val="22"/>
          <w:szCs w:val="22"/>
          <w:lang w:val="fr-CA"/>
        </w:rPr>
        <w:t>;</w:t>
      </w:r>
    </w:p>
    <w:p w14:paraId="5B43DAE5" w14:textId="044E0E9E" w:rsidR="00622CA6" w:rsidRPr="00AE70B8" w:rsidRDefault="002F5001" w:rsidP="00622CA6">
      <w:pPr>
        <w:pStyle w:val="ListParagraph"/>
        <w:numPr>
          <w:ilvl w:val="0"/>
          <w:numId w:val="14"/>
        </w:numPr>
        <w:suppressLineNumbers/>
        <w:suppressAutoHyphens/>
        <w:spacing w:before="120" w:after="120"/>
        <w:ind w:left="0" w:firstLine="720"/>
        <w:contextualSpacing w:val="0"/>
        <w:rPr>
          <w:kern w:val="22"/>
          <w:szCs w:val="22"/>
          <w:lang w:val="fr-CA"/>
        </w:rPr>
      </w:pPr>
      <w:r w:rsidRPr="00AE70B8">
        <w:rPr>
          <w:rFonts w:eastAsia="Malgun Gothic"/>
          <w:i/>
          <w:color w:val="000000" w:themeColor="text1"/>
          <w:kern w:val="22"/>
          <w:szCs w:val="22"/>
          <w:lang w:val="fr-CA" w:eastAsia="x-none"/>
        </w:rPr>
        <w:t xml:space="preserve">Adopte </w:t>
      </w:r>
      <w:r w:rsidRPr="00AE70B8">
        <w:rPr>
          <w:rFonts w:eastAsia="Malgun Gothic"/>
          <w:color w:val="000000" w:themeColor="text1"/>
          <w:kern w:val="22"/>
          <w:szCs w:val="22"/>
          <w:lang w:val="fr-CA" w:eastAsia="x-none"/>
        </w:rPr>
        <w:t>un barème de contribution pour la r</w:t>
      </w:r>
      <w:r w:rsidR="00CE083E" w:rsidRPr="00AE70B8">
        <w:rPr>
          <w:rFonts w:eastAsia="Malgun Gothic"/>
          <w:color w:val="000000" w:themeColor="text1"/>
          <w:kern w:val="22"/>
          <w:szCs w:val="22"/>
          <w:lang w:val="fr-CA" w:eastAsia="x-none"/>
        </w:rPr>
        <w:t>épartition des dépenses de 2022, présenté</w:t>
      </w:r>
      <w:r w:rsidR="00AB4AF9">
        <w:rPr>
          <w:rFonts w:eastAsia="Malgun Gothic"/>
          <w:color w:val="000000" w:themeColor="text1"/>
          <w:kern w:val="22"/>
          <w:szCs w:val="22"/>
          <w:lang w:val="fr-CA" w:eastAsia="x-none"/>
        </w:rPr>
        <w:t>es</w:t>
      </w:r>
      <w:r w:rsidR="00CE083E" w:rsidRPr="00AE70B8">
        <w:rPr>
          <w:rFonts w:eastAsia="Malgun Gothic"/>
          <w:color w:val="000000" w:themeColor="text1"/>
          <w:kern w:val="22"/>
          <w:szCs w:val="22"/>
          <w:lang w:val="fr-CA" w:eastAsia="x-none"/>
        </w:rPr>
        <w:t xml:space="preserve"> dans les tableaux 7, 8 et 9 de la présente décision, </w:t>
      </w:r>
      <w:r w:rsidRPr="00AE70B8">
        <w:rPr>
          <w:rFonts w:eastAsia="Malgun Gothic"/>
          <w:color w:val="000000" w:themeColor="text1"/>
          <w:kern w:val="22"/>
          <w:szCs w:val="22"/>
          <w:lang w:val="fr-CA" w:eastAsia="x-none"/>
        </w:rPr>
        <w:t>conform</w:t>
      </w:r>
      <w:r w:rsidR="00CE083E" w:rsidRPr="00AE70B8">
        <w:rPr>
          <w:rFonts w:eastAsia="Malgun Gothic"/>
          <w:color w:val="000000" w:themeColor="text1"/>
          <w:kern w:val="22"/>
          <w:szCs w:val="22"/>
          <w:lang w:val="fr-CA" w:eastAsia="x-none"/>
        </w:rPr>
        <w:t>e</w:t>
      </w:r>
      <w:r w:rsidRPr="00AE70B8">
        <w:rPr>
          <w:rFonts w:eastAsia="Malgun Gothic"/>
          <w:color w:val="000000" w:themeColor="text1"/>
          <w:kern w:val="22"/>
          <w:szCs w:val="22"/>
          <w:lang w:val="fr-CA" w:eastAsia="x-none"/>
        </w:rPr>
        <w:t xml:space="preserve"> au barème de contribution </w:t>
      </w:r>
      <w:r w:rsidR="00714ECD">
        <w:rPr>
          <w:rFonts w:eastAsia="Malgun Gothic"/>
          <w:color w:val="000000" w:themeColor="text1"/>
          <w:kern w:val="22"/>
          <w:szCs w:val="22"/>
          <w:lang w:val="fr-CA" w:eastAsia="x-none"/>
        </w:rPr>
        <w:t xml:space="preserve">actuel </w:t>
      </w:r>
      <w:r w:rsidRPr="00AE70B8">
        <w:rPr>
          <w:rFonts w:eastAsia="Malgun Gothic"/>
          <w:color w:val="000000" w:themeColor="text1"/>
          <w:kern w:val="22"/>
          <w:szCs w:val="22"/>
          <w:lang w:val="fr-CA" w:eastAsia="x-none"/>
        </w:rPr>
        <w:t xml:space="preserve">pour la </w:t>
      </w:r>
      <w:r w:rsidR="00CE083E" w:rsidRPr="00AE70B8">
        <w:rPr>
          <w:rFonts w:eastAsia="Malgun Gothic"/>
          <w:color w:val="000000" w:themeColor="text1"/>
          <w:kern w:val="22"/>
          <w:szCs w:val="22"/>
          <w:lang w:val="fr-CA" w:eastAsia="x-none"/>
        </w:rPr>
        <w:t>répartition des dépenses des Nations Unies, en prenant note que l’Assemblée générale des Nations Unies devrait approuver un barème de contribution révisé pour la période 2022-2024 en décembre 2022 et que le nouveau barème de contribution s’appliquera au calcul des contributions de 2022 dès sa publication</w:t>
      </w:r>
      <w:r w:rsidR="001E4FC7" w:rsidRPr="00AE70B8">
        <w:rPr>
          <w:rStyle w:val="markedcontent"/>
          <w:kern w:val="22"/>
          <w:szCs w:val="22"/>
          <w:lang w:val="fr-CA"/>
        </w:rPr>
        <w:t>;</w:t>
      </w:r>
    </w:p>
    <w:p w14:paraId="55315922" w14:textId="6511E4AA" w:rsidR="00622CA6" w:rsidRPr="00AE70B8" w:rsidRDefault="00CE083E" w:rsidP="00622CA6">
      <w:pPr>
        <w:pStyle w:val="ListParagraph"/>
        <w:numPr>
          <w:ilvl w:val="0"/>
          <w:numId w:val="14"/>
        </w:numPr>
        <w:suppressLineNumbers/>
        <w:suppressAutoHyphens/>
        <w:spacing w:before="120" w:after="120"/>
        <w:ind w:left="0" w:firstLine="720"/>
        <w:contextualSpacing w:val="0"/>
        <w:rPr>
          <w:kern w:val="22"/>
          <w:szCs w:val="22"/>
          <w:lang w:val="fr-CA"/>
        </w:rPr>
      </w:pPr>
      <w:r w:rsidRPr="00AE70B8">
        <w:rPr>
          <w:i/>
          <w:color w:val="000000" w:themeColor="text1"/>
          <w:kern w:val="22"/>
          <w:szCs w:val="22"/>
          <w:lang w:val="fr-CA" w:eastAsia="fr-FR"/>
        </w:rPr>
        <w:t xml:space="preserve">Adopte également </w:t>
      </w:r>
      <w:r w:rsidRPr="00AE70B8">
        <w:rPr>
          <w:color w:val="000000" w:themeColor="text1"/>
          <w:kern w:val="22"/>
          <w:szCs w:val="22"/>
          <w:lang w:val="fr-CA" w:eastAsia="fr-FR"/>
        </w:rPr>
        <w:t>le tableau d’effectifs (tableau 6) du Secrétariat pour l’année 2022</w:t>
      </w:r>
      <w:r w:rsidR="0045736F" w:rsidRPr="00AE70B8">
        <w:rPr>
          <w:color w:val="000000" w:themeColor="text1"/>
          <w:kern w:val="22"/>
          <w:szCs w:val="22"/>
          <w:lang w:val="fr-CA" w:eastAsia="fr-FR"/>
        </w:rPr>
        <w:t>, qui servira à l’établissement des coûts dans le budget global</w:t>
      </w:r>
      <w:r w:rsidR="00622CA6" w:rsidRPr="00AE70B8">
        <w:rPr>
          <w:rFonts w:eastAsia="Malgun Gothic"/>
          <w:color w:val="000000" w:themeColor="text1"/>
          <w:kern w:val="22"/>
          <w:szCs w:val="22"/>
          <w:lang w:val="fr-CA" w:eastAsia="ko-KR"/>
        </w:rPr>
        <w:t>;</w:t>
      </w:r>
    </w:p>
    <w:p w14:paraId="6135544D" w14:textId="33BCD98E" w:rsidR="00622CA6" w:rsidRPr="00AE70B8" w:rsidRDefault="0045736F" w:rsidP="00622CA6">
      <w:pPr>
        <w:pStyle w:val="ListParagraph"/>
        <w:numPr>
          <w:ilvl w:val="0"/>
          <w:numId w:val="14"/>
        </w:numPr>
        <w:suppressLineNumbers/>
        <w:suppressAutoHyphens/>
        <w:spacing w:before="120" w:after="120"/>
        <w:ind w:left="0" w:firstLine="720"/>
        <w:contextualSpacing w:val="0"/>
        <w:rPr>
          <w:rFonts w:eastAsia="Malgun Gothic"/>
          <w:color w:val="000000" w:themeColor="text1"/>
          <w:kern w:val="22"/>
          <w:szCs w:val="22"/>
          <w:lang w:val="fr-CA" w:eastAsia="x-none"/>
        </w:rPr>
      </w:pPr>
      <w:r w:rsidRPr="00AE70B8">
        <w:rPr>
          <w:rFonts w:eastAsia="Malgun Gothic"/>
          <w:i/>
          <w:color w:val="000000" w:themeColor="text1"/>
          <w:kern w:val="22"/>
          <w:szCs w:val="22"/>
          <w:lang w:val="fr-CA" w:eastAsia="x-none"/>
        </w:rPr>
        <w:t xml:space="preserve">Autorise </w:t>
      </w:r>
      <w:r w:rsidRPr="00AE70B8">
        <w:rPr>
          <w:rFonts w:eastAsia="Malgun Gothic"/>
          <w:color w:val="000000" w:themeColor="text1"/>
          <w:kern w:val="22"/>
          <w:szCs w:val="22"/>
          <w:lang w:val="fr-CA" w:eastAsia="x-none"/>
        </w:rPr>
        <w:t>la Secrétaire exécutive à engager des coûts jusqu’à concurrence du budget établi, en puisant dans les ressources en argent disponibles, dont les soldes non dépensés, les contributions des périodes financières précédentes et les revenus divers, conformément au Règlement financier et règles de gestion financière du Programme des Nations Unies pour l’environnement</w:t>
      </w:r>
      <w:r w:rsidR="00622CA6" w:rsidRPr="00AE70B8">
        <w:rPr>
          <w:rFonts w:eastAsia="Malgun Gothic"/>
          <w:color w:val="000000" w:themeColor="text1"/>
          <w:kern w:val="22"/>
          <w:szCs w:val="22"/>
          <w:lang w:val="fr-CA" w:eastAsia="x-none"/>
        </w:rPr>
        <w:t>;</w:t>
      </w:r>
    </w:p>
    <w:p w14:paraId="55EFFDD7" w14:textId="52B7105D" w:rsidR="00622CA6" w:rsidRPr="00AE70B8" w:rsidRDefault="00C24DC4" w:rsidP="00622CA6">
      <w:pPr>
        <w:pStyle w:val="ListParagraph"/>
        <w:numPr>
          <w:ilvl w:val="0"/>
          <w:numId w:val="14"/>
        </w:numPr>
        <w:suppressLineNumbers/>
        <w:suppressAutoHyphens/>
        <w:spacing w:before="120" w:after="120"/>
        <w:ind w:left="0" w:firstLine="720"/>
        <w:contextualSpacing w:val="0"/>
        <w:rPr>
          <w:rFonts w:eastAsia="Malgun Gothic"/>
          <w:color w:val="000000" w:themeColor="text1"/>
          <w:kern w:val="22"/>
          <w:szCs w:val="22"/>
          <w:lang w:val="fr-CA" w:eastAsia="x-none"/>
        </w:rPr>
      </w:pPr>
      <w:r w:rsidRPr="00AE70B8">
        <w:rPr>
          <w:rFonts w:eastAsia="Malgun Gothic"/>
          <w:i/>
          <w:color w:val="000000" w:themeColor="text1"/>
          <w:kern w:val="22"/>
          <w:szCs w:val="22"/>
          <w:lang w:val="fr-CA" w:eastAsia="x-none"/>
        </w:rPr>
        <w:t xml:space="preserve">Autorise également </w:t>
      </w:r>
      <w:r w:rsidRPr="00AE70B8">
        <w:rPr>
          <w:rFonts w:eastAsia="Malgun Gothic"/>
          <w:color w:val="000000" w:themeColor="text1"/>
          <w:kern w:val="22"/>
          <w:szCs w:val="22"/>
          <w:lang w:val="fr-CA" w:eastAsia="x-none"/>
        </w:rPr>
        <w:t xml:space="preserve">la Secrétaire exécutive </w:t>
      </w:r>
      <w:r w:rsidR="00AB4AF9">
        <w:rPr>
          <w:rFonts w:eastAsia="Malgun Gothic"/>
          <w:color w:val="000000" w:themeColor="text1"/>
          <w:kern w:val="22"/>
          <w:szCs w:val="22"/>
          <w:lang w:val="fr-CA" w:eastAsia="x-none"/>
        </w:rPr>
        <w:t>à</w:t>
      </w:r>
      <w:r w:rsidRPr="00AE70B8">
        <w:rPr>
          <w:rFonts w:eastAsia="Malgun Gothic"/>
          <w:color w:val="000000" w:themeColor="text1"/>
          <w:kern w:val="22"/>
          <w:szCs w:val="22"/>
          <w:lang w:val="fr-CA" w:eastAsia="x-none"/>
        </w:rPr>
        <w:t xml:space="preserve"> réattribuer les ressources parmi les programmes pour les principaux articles budgétaires indiqués dans le tableau 5b de la note de la Secrétaire exécutive</w:t>
      </w:r>
      <w:r w:rsidRPr="00AE70B8">
        <w:rPr>
          <w:rFonts w:eastAsia="Malgun Gothic"/>
          <w:color w:val="000000" w:themeColor="text1"/>
          <w:kern w:val="22"/>
          <w:szCs w:val="22"/>
          <w:vertAlign w:val="superscript"/>
          <w:lang w:eastAsia="x-none"/>
        </w:rPr>
        <w:fldChar w:fldCharType="begin"/>
      </w:r>
      <w:r w:rsidRPr="00AE70B8">
        <w:rPr>
          <w:rFonts w:eastAsia="Malgun Gothic"/>
          <w:color w:val="000000" w:themeColor="text1"/>
          <w:kern w:val="22"/>
          <w:szCs w:val="22"/>
          <w:vertAlign w:val="superscript"/>
          <w:lang w:val="fr-CA" w:eastAsia="x-none"/>
        </w:rPr>
        <w:instrText xml:space="preserve"> NOTEREF _Ref81136053 \h  \* MERGEFORMAT </w:instrText>
      </w:r>
      <w:r w:rsidRPr="00AE70B8">
        <w:rPr>
          <w:rFonts w:eastAsia="Malgun Gothic"/>
          <w:color w:val="000000" w:themeColor="text1"/>
          <w:kern w:val="22"/>
          <w:szCs w:val="22"/>
          <w:vertAlign w:val="superscript"/>
          <w:lang w:eastAsia="x-none"/>
        </w:rPr>
      </w:r>
      <w:r w:rsidRPr="00AE70B8">
        <w:rPr>
          <w:rFonts w:eastAsia="Malgun Gothic"/>
          <w:color w:val="000000" w:themeColor="text1"/>
          <w:kern w:val="22"/>
          <w:szCs w:val="22"/>
          <w:vertAlign w:val="superscript"/>
          <w:lang w:eastAsia="x-none"/>
        </w:rPr>
        <w:fldChar w:fldCharType="separate"/>
      </w:r>
      <w:r w:rsidRPr="00AE70B8">
        <w:rPr>
          <w:rFonts w:eastAsia="Malgun Gothic"/>
          <w:color w:val="000000" w:themeColor="text1"/>
          <w:kern w:val="22"/>
          <w:szCs w:val="22"/>
          <w:vertAlign w:val="superscript"/>
          <w:lang w:val="fr-CA" w:eastAsia="x-none"/>
        </w:rPr>
        <w:t>3</w:t>
      </w:r>
      <w:r w:rsidRPr="00AE70B8">
        <w:rPr>
          <w:rFonts w:eastAsia="Malgun Gothic"/>
          <w:color w:val="000000" w:themeColor="text1"/>
          <w:kern w:val="22"/>
          <w:szCs w:val="22"/>
          <w:vertAlign w:val="superscript"/>
          <w:lang w:eastAsia="x-none"/>
        </w:rPr>
        <w:fldChar w:fldCharType="end"/>
      </w:r>
      <w:r w:rsidRPr="00AE70B8">
        <w:rPr>
          <w:rFonts w:eastAsia="Malgun Gothic"/>
          <w:color w:val="000000" w:themeColor="text1"/>
          <w:kern w:val="22"/>
          <w:szCs w:val="22"/>
          <w:vertAlign w:val="superscript"/>
          <w:lang w:val="fr-CA" w:eastAsia="x-none"/>
        </w:rPr>
        <w:t xml:space="preserve"> </w:t>
      </w:r>
      <w:r w:rsidRPr="00AE70B8">
        <w:rPr>
          <w:rFonts w:eastAsia="Malgun Gothic"/>
          <w:color w:val="000000" w:themeColor="text1"/>
          <w:kern w:val="22"/>
          <w:szCs w:val="22"/>
          <w:lang w:val="fr-CA" w:eastAsia="x-none"/>
        </w:rPr>
        <w:t>jusqu’à concurrence de 15 pour cent du budget-programme total, sous réserve de l’application d’une limite supplémentaire pouvant atteindre 25 pour cent de</w:t>
      </w:r>
      <w:r w:rsidR="0004203A" w:rsidRPr="00AE70B8">
        <w:rPr>
          <w:rFonts w:eastAsia="Malgun Gothic"/>
          <w:color w:val="000000" w:themeColor="text1"/>
          <w:kern w:val="22"/>
          <w:szCs w:val="22"/>
          <w:lang w:val="fr-CA" w:eastAsia="x-none"/>
        </w:rPr>
        <w:t xml:space="preserve"> chaque article budgétaire</w:t>
      </w:r>
      <w:r w:rsidR="00622CA6" w:rsidRPr="00AE70B8">
        <w:rPr>
          <w:rFonts w:eastAsia="Malgun Gothic"/>
          <w:color w:val="000000" w:themeColor="text1"/>
          <w:kern w:val="22"/>
          <w:szCs w:val="22"/>
          <w:lang w:val="fr-CA" w:eastAsia="x-none"/>
        </w:rPr>
        <w:t>;</w:t>
      </w:r>
    </w:p>
    <w:p w14:paraId="72EA0236" w14:textId="34F6F122" w:rsidR="00622CA6" w:rsidRPr="00AE70B8" w:rsidRDefault="0004203A" w:rsidP="00622CA6">
      <w:pPr>
        <w:pStyle w:val="ListParagraph"/>
        <w:numPr>
          <w:ilvl w:val="0"/>
          <w:numId w:val="14"/>
        </w:numPr>
        <w:suppressLineNumbers/>
        <w:suppressAutoHyphens/>
        <w:spacing w:before="120" w:after="120"/>
        <w:ind w:left="0" w:firstLine="720"/>
        <w:contextualSpacing w:val="0"/>
        <w:rPr>
          <w:kern w:val="22"/>
          <w:szCs w:val="22"/>
          <w:lang w:val="fr-CA"/>
        </w:rPr>
      </w:pPr>
      <w:r w:rsidRPr="00AE70B8">
        <w:rPr>
          <w:rFonts w:eastAsia="Malgun Gothic"/>
          <w:i/>
          <w:color w:val="000000" w:themeColor="text1"/>
          <w:kern w:val="22"/>
          <w:szCs w:val="22"/>
          <w:lang w:val="fr-CA" w:eastAsia="x-none"/>
        </w:rPr>
        <w:t xml:space="preserve">Invite </w:t>
      </w:r>
      <w:r w:rsidRPr="00AE70B8">
        <w:rPr>
          <w:rFonts w:eastAsia="Malgun Gothic"/>
          <w:color w:val="000000" w:themeColor="text1"/>
          <w:kern w:val="22"/>
          <w:szCs w:val="22"/>
          <w:lang w:val="fr-CA" w:eastAsia="x-none"/>
        </w:rPr>
        <w:t>toutes les Parties à la Convention à prendre note que les contributions aux budgets de base (fonds d’affectation spéciale BY, BG et BB) sont dues le 1</w:t>
      </w:r>
      <w:r w:rsidRPr="00AE70B8">
        <w:rPr>
          <w:rFonts w:eastAsia="Malgun Gothic"/>
          <w:color w:val="000000" w:themeColor="text1"/>
          <w:kern w:val="22"/>
          <w:szCs w:val="22"/>
          <w:vertAlign w:val="superscript"/>
          <w:lang w:val="fr-CA" w:eastAsia="x-none"/>
        </w:rPr>
        <w:t>er</w:t>
      </w:r>
      <w:r w:rsidRPr="00AE70B8">
        <w:rPr>
          <w:rFonts w:eastAsia="Malgun Gothic"/>
          <w:color w:val="000000" w:themeColor="text1"/>
          <w:kern w:val="22"/>
          <w:szCs w:val="22"/>
          <w:lang w:val="fr-CA" w:eastAsia="x-none"/>
        </w:rPr>
        <w:t xml:space="preserve"> janvier de l’année pour laquelle les contributions ont été budgét</w:t>
      </w:r>
      <w:r w:rsidR="00912165" w:rsidRPr="00AE70B8">
        <w:rPr>
          <w:rFonts w:eastAsia="Malgun Gothic"/>
          <w:color w:val="000000" w:themeColor="text1"/>
          <w:kern w:val="22"/>
          <w:szCs w:val="22"/>
          <w:lang w:val="fr-CA" w:eastAsia="x-none"/>
        </w:rPr>
        <w:t>is</w:t>
      </w:r>
      <w:r w:rsidRPr="00AE70B8">
        <w:rPr>
          <w:rFonts w:eastAsia="Malgun Gothic"/>
          <w:color w:val="000000" w:themeColor="text1"/>
          <w:kern w:val="22"/>
          <w:szCs w:val="22"/>
          <w:lang w:val="fr-CA" w:eastAsia="x-none"/>
        </w:rPr>
        <w:t xml:space="preserve">ées et </w:t>
      </w:r>
      <w:r w:rsidR="00912165" w:rsidRPr="00AE70B8">
        <w:rPr>
          <w:rFonts w:eastAsia="Malgun Gothic"/>
          <w:color w:val="000000" w:themeColor="text1"/>
          <w:kern w:val="22"/>
          <w:szCs w:val="22"/>
          <w:lang w:val="fr-CA" w:eastAsia="x-none"/>
        </w:rPr>
        <w:t xml:space="preserve">à payer ces contributions dans les délais, et </w:t>
      </w:r>
      <w:r w:rsidR="00912165" w:rsidRPr="00AE70B8">
        <w:rPr>
          <w:rFonts w:eastAsia="Malgun Gothic"/>
          <w:i/>
          <w:color w:val="000000" w:themeColor="text1"/>
          <w:kern w:val="22"/>
          <w:szCs w:val="22"/>
          <w:lang w:val="fr-CA" w:eastAsia="x-none"/>
        </w:rPr>
        <w:t>demande</w:t>
      </w:r>
      <w:r w:rsidR="00912165" w:rsidRPr="00AE70B8">
        <w:rPr>
          <w:rFonts w:eastAsia="Malgun Gothic"/>
          <w:color w:val="000000" w:themeColor="text1"/>
          <w:kern w:val="22"/>
          <w:szCs w:val="22"/>
          <w:lang w:val="fr-CA" w:eastAsia="x-none"/>
        </w:rPr>
        <w:t xml:space="preserve"> à ce que les Parties soient informées du montant de leur contribution aussitôt que possible au cours de l’année précédant l’année pour laquelle les contributions doivent être payées</w:t>
      </w:r>
      <w:r w:rsidR="00622CA6" w:rsidRPr="00AE70B8">
        <w:rPr>
          <w:rFonts w:eastAsia="Malgun Gothic"/>
          <w:color w:val="000000" w:themeColor="text1"/>
          <w:kern w:val="22"/>
          <w:szCs w:val="22"/>
          <w:lang w:val="fr-CA" w:eastAsia="x-none"/>
        </w:rPr>
        <w:t>;</w:t>
      </w:r>
    </w:p>
    <w:p w14:paraId="1663BB0B" w14:textId="6DF415EB" w:rsidR="00622CA6" w:rsidRPr="00AE70B8" w:rsidRDefault="00912165" w:rsidP="00622CA6">
      <w:pPr>
        <w:pStyle w:val="ListParagraph"/>
        <w:numPr>
          <w:ilvl w:val="0"/>
          <w:numId w:val="14"/>
        </w:numPr>
        <w:suppressLineNumbers/>
        <w:suppressAutoHyphens/>
        <w:spacing w:before="120" w:after="120"/>
        <w:ind w:left="0" w:firstLine="720"/>
        <w:contextualSpacing w:val="0"/>
        <w:rPr>
          <w:kern w:val="22"/>
          <w:lang w:val="fr-CA"/>
        </w:rPr>
      </w:pPr>
      <w:r w:rsidRPr="00AE70B8">
        <w:rPr>
          <w:i/>
          <w:color w:val="000000" w:themeColor="text1"/>
          <w:kern w:val="22"/>
          <w:szCs w:val="22"/>
          <w:lang w:val="fr-CA" w:eastAsia="x-none"/>
        </w:rPr>
        <w:t xml:space="preserve">Prend note avec inquiétude </w:t>
      </w:r>
      <w:r w:rsidRPr="00AE70B8">
        <w:rPr>
          <w:color w:val="000000" w:themeColor="text1"/>
          <w:kern w:val="22"/>
          <w:szCs w:val="22"/>
          <w:lang w:val="fr-CA" w:eastAsia="x-none"/>
        </w:rPr>
        <w:t>que plusieurs Parties n’ont pas payé leurs contributions aux budgets de base (fonds d’affectation spéciale BY, BG et BB) pour 2020 et les années précédentes</w:t>
      </w:r>
      <w:r w:rsidR="004B2E49">
        <w:rPr>
          <w:color w:val="000000" w:themeColor="text1"/>
          <w:kern w:val="22"/>
          <w:szCs w:val="22"/>
          <w:lang w:val="fr-CA" w:eastAsia="x-none"/>
        </w:rPr>
        <w:t>,</w:t>
      </w:r>
      <w:r w:rsidRPr="00AE70B8">
        <w:rPr>
          <w:color w:val="000000" w:themeColor="text1"/>
          <w:kern w:val="22"/>
          <w:szCs w:val="22"/>
          <w:lang w:val="fr-CA" w:eastAsia="x-none"/>
        </w:rPr>
        <w:t xml:space="preserve"> et que certaines Parties n’ont jamais versé leur contribution</w:t>
      </w:r>
      <w:r w:rsidR="00622CA6" w:rsidRPr="00AE70B8">
        <w:rPr>
          <w:color w:val="000000" w:themeColor="text1"/>
          <w:kern w:val="22"/>
          <w:szCs w:val="22"/>
          <w:lang w:val="fr-CA" w:eastAsia="ko-KR"/>
        </w:rPr>
        <w:t>;</w:t>
      </w:r>
    </w:p>
    <w:p w14:paraId="0B0B5E5B" w14:textId="2D4C5225" w:rsidR="00622CA6" w:rsidRPr="00AE70B8" w:rsidRDefault="00912165" w:rsidP="00622CA6">
      <w:pPr>
        <w:pStyle w:val="ListParagraph"/>
        <w:numPr>
          <w:ilvl w:val="0"/>
          <w:numId w:val="14"/>
        </w:numPr>
        <w:suppressLineNumbers/>
        <w:suppressAutoHyphens/>
        <w:spacing w:before="120" w:after="120"/>
        <w:ind w:left="0" w:firstLine="720"/>
        <w:contextualSpacing w:val="0"/>
        <w:rPr>
          <w:kern w:val="22"/>
          <w:lang w:val="fr-CA"/>
        </w:rPr>
      </w:pPr>
      <w:r w:rsidRPr="00AE70B8">
        <w:rPr>
          <w:i/>
          <w:color w:val="000000" w:themeColor="text1"/>
          <w:kern w:val="22"/>
          <w:szCs w:val="22"/>
          <w:lang w:val="fr-CA" w:eastAsia="ko-KR"/>
        </w:rPr>
        <w:t xml:space="preserve">Prend note </w:t>
      </w:r>
      <w:r w:rsidR="00CC37CF" w:rsidRPr="00AE70B8">
        <w:rPr>
          <w:color w:val="000000" w:themeColor="text1"/>
          <w:kern w:val="22"/>
          <w:szCs w:val="22"/>
          <w:lang w:val="fr-CA" w:eastAsia="ko-KR"/>
        </w:rPr>
        <w:t>que les fonds d’affectation spéciale de la Convention et de ses Protocoles (BY, BG et BB) devraient être prolongés pour une période de deux ans, à savoir du 1</w:t>
      </w:r>
      <w:r w:rsidR="00CC37CF" w:rsidRPr="00AE70B8">
        <w:rPr>
          <w:color w:val="000000" w:themeColor="text1"/>
          <w:kern w:val="22"/>
          <w:szCs w:val="22"/>
          <w:vertAlign w:val="superscript"/>
          <w:lang w:val="fr-CA" w:eastAsia="ko-KR"/>
        </w:rPr>
        <w:t>er</w:t>
      </w:r>
      <w:r w:rsidR="00CC37CF" w:rsidRPr="00AE70B8">
        <w:rPr>
          <w:color w:val="000000" w:themeColor="text1"/>
          <w:kern w:val="22"/>
          <w:szCs w:val="22"/>
          <w:lang w:val="fr-CA" w:eastAsia="ko-KR"/>
        </w:rPr>
        <w:t xml:space="preserve"> janvier 2022 au 31 décembre 2023, et </w:t>
      </w:r>
      <w:r w:rsidR="00CC37CF" w:rsidRPr="00AE70B8">
        <w:rPr>
          <w:i/>
          <w:color w:val="000000" w:themeColor="text1"/>
          <w:kern w:val="22"/>
          <w:szCs w:val="22"/>
          <w:lang w:val="fr-CA" w:eastAsia="ko-KR"/>
        </w:rPr>
        <w:t xml:space="preserve">prie </w:t>
      </w:r>
      <w:r w:rsidR="00CC37CF" w:rsidRPr="00AE70B8">
        <w:rPr>
          <w:color w:val="000000" w:themeColor="text1"/>
          <w:kern w:val="22"/>
          <w:szCs w:val="22"/>
          <w:lang w:val="fr-CA" w:eastAsia="ko-KR"/>
        </w:rPr>
        <w:t>le Directeur exécutif du Programme des Nations Unies pour l’environnement de faire approuver cette prolongation par l’Assemblée générale des Nations Unies</w:t>
      </w:r>
      <w:r w:rsidR="00622CA6" w:rsidRPr="00AE70B8">
        <w:rPr>
          <w:rFonts w:eastAsia="Malgun Gothic"/>
          <w:color w:val="000000" w:themeColor="text1"/>
          <w:kern w:val="22"/>
          <w:szCs w:val="22"/>
          <w:lang w:val="fr-CA" w:eastAsia="ko-KR"/>
        </w:rPr>
        <w:t>;</w:t>
      </w:r>
    </w:p>
    <w:p w14:paraId="4E2F75DD" w14:textId="58822CAE" w:rsidR="00622CA6" w:rsidRPr="00AE70B8" w:rsidRDefault="00CC37CF" w:rsidP="00622CA6">
      <w:pPr>
        <w:pStyle w:val="ListParagraph"/>
        <w:numPr>
          <w:ilvl w:val="0"/>
          <w:numId w:val="14"/>
        </w:numPr>
        <w:suppressLineNumbers/>
        <w:suppressAutoHyphens/>
        <w:spacing w:before="120" w:after="120"/>
        <w:ind w:left="0" w:firstLine="720"/>
        <w:contextualSpacing w:val="0"/>
        <w:rPr>
          <w:kern w:val="22"/>
          <w:lang w:val="fr-CA"/>
        </w:rPr>
      </w:pPr>
      <w:r w:rsidRPr="00AE70B8">
        <w:rPr>
          <w:i/>
          <w:kern w:val="22"/>
          <w:szCs w:val="22"/>
          <w:lang w:val="fr-CA"/>
        </w:rPr>
        <w:t xml:space="preserve">Affirme </w:t>
      </w:r>
      <w:r w:rsidRPr="00AE70B8">
        <w:rPr>
          <w:kern w:val="22"/>
          <w:szCs w:val="22"/>
          <w:lang w:val="fr-CA"/>
        </w:rPr>
        <w:t xml:space="preserve">que cette décision </w:t>
      </w:r>
      <w:r w:rsidR="00F3056A" w:rsidRPr="00AE70B8">
        <w:rPr>
          <w:kern w:val="22"/>
          <w:szCs w:val="22"/>
          <w:lang w:val="fr-CA"/>
        </w:rPr>
        <w:t>est prise sous réserve de toute autre décision que pourrait prendre la Conférence des Parties à la partie II de sa quinzième réunion</w:t>
      </w:r>
      <w:r w:rsidR="00622CA6" w:rsidRPr="00AE70B8">
        <w:rPr>
          <w:kern w:val="22"/>
          <w:szCs w:val="22"/>
          <w:lang w:val="fr-CA"/>
        </w:rPr>
        <w:t>;</w:t>
      </w:r>
    </w:p>
    <w:p w14:paraId="0DC990F4" w14:textId="21FC98EB" w:rsidR="00622CA6" w:rsidRPr="00AE70B8" w:rsidRDefault="00F3056A" w:rsidP="00622CA6">
      <w:pPr>
        <w:pStyle w:val="ListParagraph"/>
        <w:numPr>
          <w:ilvl w:val="0"/>
          <w:numId w:val="14"/>
        </w:numPr>
        <w:suppressLineNumbers/>
        <w:suppressAutoHyphens/>
        <w:spacing w:before="120" w:after="120"/>
        <w:ind w:left="0" w:firstLine="720"/>
        <w:contextualSpacing w:val="0"/>
        <w:rPr>
          <w:kern w:val="22"/>
          <w:lang w:val="fr-CA"/>
        </w:rPr>
      </w:pPr>
      <w:r w:rsidRPr="00AE70B8">
        <w:rPr>
          <w:i/>
          <w:kern w:val="22"/>
          <w:szCs w:val="22"/>
          <w:lang w:val="fr-CA"/>
        </w:rPr>
        <w:t xml:space="preserve">Demande </w:t>
      </w:r>
      <w:r w:rsidRPr="00AE70B8">
        <w:rPr>
          <w:kern w:val="22"/>
          <w:szCs w:val="22"/>
          <w:lang w:val="fr-CA"/>
        </w:rPr>
        <w:t>à la Secrétaire exécutive :</w:t>
      </w:r>
    </w:p>
    <w:p w14:paraId="08CAA92D" w14:textId="699DB036" w:rsidR="00622CA6" w:rsidRPr="00AE70B8" w:rsidRDefault="00F3056A" w:rsidP="00F3056A">
      <w:pPr>
        <w:pStyle w:val="ListParagraph"/>
        <w:numPr>
          <w:ilvl w:val="1"/>
          <w:numId w:val="35"/>
        </w:numPr>
        <w:suppressLineNumbers/>
        <w:suppressAutoHyphens/>
        <w:spacing w:before="120" w:after="120"/>
        <w:ind w:left="0" w:firstLine="720"/>
        <w:contextualSpacing w:val="0"/>
        <w:rPr>
          <w:kern w:val="22"/>
          <w:lang w:val="fr-CA"/>
        </w:rPr>
      </w:pPr>
      <w:r w:rsidRPr="00AE70B8">
        <w:rPr>
          <w:kern w:val="22"/>
          <w:szCs w:val="22"/>
          <w:lang w:val="fr-CA"/>
        </w:rPr>
        <w:t>De tenir compte des résultats de cette décision lors de la préparation des propositions budgétaires pour la période biennale 2023-2024, conformément au paragraphe 48 de la décision 14/37</w:t>
      </w:r>
      <w:r w:rsidR="00622CA6" w:rsidRPr="00AE70B8">
        <w:rPr>
          <w:kern w:val="22"/>
          <w:szCs w:val="22"/>
          <w:lang w:val="fr-CA"/>
        </w:rPr>
        <w:t>;</w:t>
      </w:r>
    </w:p>
    <w:p w14:paraId="61C8D03A" w14:textId="6D422E43" w:rsidR="00622CA6" w:rsidRPr="00AE70B8" w:rsidRDefault="00F3056A" w:rsidP="00622CA6">
      <w:pPr>
        <w:pStyle w:val="ListParagraph"/>
        <w:numPr>
          <w:ilvl w:val="1"/>
          <w:numId w:val="35"/>
        </w:numPr>
        <w:suppressLineNumbers/>
        <w:suppressAutoHyphens/>
        <w:spacing w:before="120" w:after="120"/>
        <w:ind w:left="0" w:firstLine="720"/>
        <w:contextualSpacing w:val="0"/>
        <w:rPr>
          <w:kern w:val="22"/>
          <w:lang w:val="fr-CA"/>
        </w:rPr>
      </w:pPr>
      <w:r w:rsidRPr="00AE70B8">
        <w:rPr>
          <w:kern w:val="22"/>
          <w:lang w:val="fr-CA"/>
        </w:rPr>
        <w:t>De préparer des propositions budgétaires pour la période 2023-2024 en attendant la décision de la Conférence des Parties et des Conférence</w:t>
      </w:r>
      <w:r w:rsidR="004B2E49">
        <w:rPr>
          <w:kern w:val="22"/>
          <w:lang w:val="fr-CA"/>
        </w:rPr>
        <w:t>s</w:t>
      </w:r>
      <w:r w:rsidRPr="00AE70B8">
        <w:rPr>
          <w:kern w:val="22"/>
          <w:lang w:val="fr-CA"/>
        </w:rPr>
        <w:t xml:space="preserve"> des Parties siégeant en tant que réunion</w:t>
      </w:r>
      <w:r w:rsidR="00254BC1">
        <w:rPr>
          <w:kern w:val="22"/>
          <w:lang w:val="fr-CA"/>
        </w:rPr>
        <w:t>s</w:t>
      </w:r>
      <w:r w:rsidRPr="00AE70B8">
        <w:rPr>
          <w:kern w:val="22"/>
          <w:lang w:val="fr-CA"/>
        </w:rPr>
        <w:t xml:space="preserve"> des Parties aux Protocoles de Cartagena et de Nagoya concernant les </w:t>
      </w:r>
      <w:r w:rsidR="00FB4424" w:rsidRPr="00AE70B8">
        <w:rPr>
          <w:kern w:val="22"/>
          <w:lang w:val="fr-CA"/>
        </w:rPr>
        <w:t xml:space="preserve">dates respectives </w:t>
      </w:r>
      <w:r w:rsidRPr="00AE70B8">
        <w:rPr>
          <w:kern w:val="22"/>
          <w:lang w:val="fr-CA"/>
        </w:rPr>
        <w:t>de</w:t>
      </w:r>
      <w:r w:rsidR="00FB4424" w:rsidRPr="00AE70B8">
        <w:rPr>
          <w:kern w:val="22"/>
          <w:lang w:val="fr-CA"/>
        </w:rPr>
        <w:t xml:space="preserve"> leur seizième, onzième et cinquième réunions</w:t>
      </w:r>
      <w:r w:rsidR="00622CA6" w:rsidRPr="00AE70B8">
        <w:rPr>
          <w:kern w:val="22"/>
          <w:szCs w:val="22"/>
          <w:lang w:val="fr-CA"/>
        </w:rPr>
        <w:t>.</w:t>
      </w:r>
    </w:p>
    <w:p w14:paraId="0311BF33" w14:textId="77777777" w:rsidR="00622CA6" w:rsidRPr="00AE70B8" w:rsidRDefault="00622CA6" w:rsidP="00282AF6">
      <w:pPr>
        <w:pStyle w:val="ListParagraph"/>
        <w:suppressLineNumbers/>
        <w:suppressAutoHyphens/>
        <w:ind w:left="0"/>
        <w:contextualSpacing w:val="0"/>
        <w:rPr>
          <w:kern w:val="22"/>
          <w:lang w:val="fr-CA"/>
        </w:rPr>
      </w:pPr>
    </w:p>
    <w:p w14:paraId="6FE939B4" w14:textId="4A8E0B76" w:rsidR="00622CA6" w:rsidRPr="00AE70B8" w:rsidRDefault="00622CA6" w:rsidP="00282AF6">
      <w:pPr>
        <w:pStyle w:val="ListParagraph"/>
        <w:keepNext/>
        <w:suppressLineNumbers/>
        <w:suppressAutoHyphens/>
        <w:spacing w:after="120"/>
        <w:ind w:left="1152" w:hanging="720"/>
        <w:contextualSpacing w:val="0"/>
        <w:outlineLvl w:val="0"/>
        <w:rPr>
          <w:caps/>
          <w:kern w:val="22"/>
          <w:szCs w:val="22"/>
          <w:lang w:val="fr-CA"/>
        </w:rPr>
      </w:pPr>
      <w:r w:rsidRPr="00AE70B8">
        <w:rPr>
          <w:b/>
          <w:caps/>
          <w:kern w:val="22"/>
          <w:szCs w:val="22"/>
          <w:lang w:val="fr-CA"/>
        </w:rPr>
        <w:t>IV.</w:t>
      </w:r>
      <w:r w:rsidRPr="00AE70B8">
        <w:rPr>
          <w:b/>
          <w:caps/>
          <w:kern w:val="22"/>
          <w:szCs w:val="22"/>
          <w:lang w:val="fr-CA"/>
        </w:rPr>
        <w:tab/>
      </w:r>
      <w:r w:rsidR="00FB4424" w:rsidRPr="00AE70B8">
        <w:rPr>
          <w:b/>
          <w:caps/>
          <w:kern w:val="22"/>
          <w:szCs w:val="22"/>
          <w:lang w:val="fr-CA"/>
        </w:rPr>
        <w:t>projet de décision pour examen par la Conférence des Parties siégeant en tant que réunion des Parties au protocole</w:t>
      </w:r>
      <w:r w:rsidR="00362D8E" w:rsidRPr="00AE70B8">
        <w:rPr>
          <w:b/>
          <w:caps/>
          <w:kern w:val="22"/>
          <w:szCs w:val="22"/>
          <w:lang w:val="fr-CA"/>
        </w:rPr>
        <w:t xml:space="preserve"> de</w:t>
      </w:r>
      <w:r w:rsidR="00FB4424" w:rsidRPr="00AE70B8">
        <w:rPr>
          <w:b/>
          <w:caps/>
          <w:kern w:val="22"/>
          <w:szCs w:val="22"/>
          <w:lang w:val="fr-CA"/>
        </w:rPr>
        <w:t xml:space="preserve"> cartagena sur la prévention des risques biotechnologiques</w:t>
      </w:r>
    </w:p>
    <w:p w14:paraId="61579929" w14:textId="201C7C9A" w:rsidR="00622CA6" w:rsidRPr="00AE70B8" w:rsidRDefault="00FB4424" w:rsidP="00622CA6">
      <w:pPr>
        <w:pStyle w:val="ListParagraph"/>
        <w:numPr>
          <w:ilvl w:val="0"/>
          <w:numId w:val="19"/>
        </w:numPr>
        <w:suppressLineNumbers/>
        <w:suppressAutoHyphens/>
        <w:spacing w:before="120" w:after="120"/>
        <w:ind w:left="0" w:firstLine="0"/>
        <w:contextualSpacing w:val="0"/>
        <w:rPr>
          <w:kern w:val="22"/>
          <w:lang w:val="fr-CA"/>
        </w:rPr>
      </w:pPr>
      <w:r w:rsidRPr="00AE70B8">
        <w:rPr>
          <w:kern w:val="22"/>
          <w:lang w:val="fr-CA"/>
        </w:rPr>
        <w:t>La Conférence des Parties siégeant en tant que réunion des Parties au Protocole de Cartagena sur la prévention des risques biotechnologiques pourrait souhaiter adopter une décision qui ressemble à ce qui suit </w:t>
      </w:r>
      <w:r w:rsidR="00622CA6" w:rsidRPr="00AE70B8">
        <w:rPr>
          <w:kern w:val="22"/>
          <w:szCs w:val="22"/>
          <w:lang w:val="fr-CA"/>
        </w:rPr>
        <w:t>:</w:t>
      </w:r>
    </w:p>
    <w:p w14:paraId="789BB3F3" w14:textId="01913309" w:rsidR="00622CA6" w:rsidRPr="00AE70B8" w:rsidRDefault="00FB4424" w:rsidP="00622CA6">
      <w:pPr>
        <w:pStyle w:val="ListParagraph"/>
        <w:suppressLineNumbers/>
        <w:suppressAutoHyphens/>
        <w:spacing w:before="120" w:after="120"/>
        <w:ind w:left="0" w:firstLine="720"/>
        <w:contextualSpacing w:val="0"/>
        <w:rPr>
          <w:kern w:val="22"/>
          <w:szCs w:val="22"/>
          <w:lang w:val="fr-CA"/>
        </w:rPr>
      </w:pPr>
      <w:r w:rsidRPr="00AE70B8">
        <w:rPr>
          <w:i/>
          <w:kern w:val="22"/>
          <w:szCs w:val="22"/>
          <w:lang w:val="fr-CA"/>
        </w:rPr>
        <w:t>La Conférence des Parties siégeant en tant que réunion des Parties au Protocole de Cartagena sur la prévention des risques biotechnologiques.</w:t>
      </w:r>
      <w:r w:rsidR="008657DB" w:rsidRPr="00AE70B8">
        <w:rPr>
          <w:iCs/>
          <w:kern w:val="22"/>
          <w:szCs w:val="22"/>
          <w:lang w:val="fr-CA"/>
        </w:rPr>
        <w:t xml:space="preserve"> </w:t>
      </w:r>
    </w:p>
    <w:p w14:paraId="08536D5D" w14:textId="4F53B7A5" w:rsidR="00622CA6" w:rsidRPr="00AE70B8" w:rsidRDefault="00FB4424" w:rsidP="00622CA6">
      <w:pPr>
        <w:suppressLineNumbers/>
        <w:suppressAutoHyphens/>
        <w:spacing w:before="120" w:after="120"/>
        <w:ind w:firstLine="720"/>
        <w:rPr>
          <w:kern w:val="22"/>
          <w:lang w:val="fr-CA"/>
        </w:rPr>
      </w:pPr>
      <w:r w:rsidRPr="00AE70B8">
        <w:rPr>
          <w:i/>
          <w:kern w:val="22"/>
          <w:lang w:val="fr-CA"/>
        </w:rPr>
        <w:t xml:space="preserve">Rappelant </w:t>
      </w:r>
      <w:r w:rsidRPr="00AE70B8">
        <w:rPr>
          <w:kern w:val="22"/>
          <w:lang w:val="fr-CA"/>
        </w:rPr>
        <w:t>sa décision</w:t>
      </w:r>
      <w:r w:rsidR="00622CA6" w:rsidRPr="00AE70B8">
        <w:rPr>
          <w:kern w:val="22"/>
          <w:lang w:val="fr-CA"/>
        </w:rPr>
        <w:t xml:space="preserve"> </w:t>
      </w:r>
      <w:hyperlink r:id="rId14" w:history="1">
        <w:r w:rsidR="00622CA6" w:rsidRPr="00AE70B8">
          <w:rPr>
            <w:rStyle w:val="Hyperlink"/>
            <w:kern w:val="22"/>
            <w:sz w:val="22"/>
            <w:lang w:val="fr-CA"/>
          </w:rPr>
          <w:t>9/16</w:t>
        </w:r>
      </w:hyperlink>
      <w:r w:rsidRPr="00AE70B8">
        <w:rPr>
          <w:rStyle w:val="Hyperlink"/>
          <w:kern w:val="22"/>
          <w:sz w:val="22"/>
          <w:lang w:val="fr-CA"/>
        </w:rPr>
        <w:t>,</w:t>
      </w:r>
      <w:r w:rsidR="008657DB" w:rsidRPr="00AE70B8">
        <w:rPr>
          <w:kern w:val="22"/>
          <w:lang w:val="fr-CA"/>
        </w:rPr>
        <w:t xml:space="preserve"> </w:t>
      </w:r>
      <w:r w:rsidRPr="00AE70B8">
        <w:rPr>
          <w:kern w:val="22"/>
          <w:lang w:val="fr-CA"/>
        </w:rPr>
        <w:t>dans laquelle elle a approuvé le budget de la période biennale</w:t>
      </w:r>
      <w:r w:rsidR="00622CA6" w:rsidRPr="00AE70B8">
        <w:rPr>
          <w:kern w:val="22"/>
          <w:lang w:val="fr-CA"/>
        </w:rPr>
        <w:t xml:space="preserve"> 2019-2020</w:t>
      </w:r>
      <w:r w:rsidR="00BD6B79" w:rsidRPr="00AE70B8">
        <w:rPr>
          <w:kern w:val="22"/>
          <w:lang w:val="fr-CA"/>
        </w:rPr>
        <w:t>,</w:t>
      </w:r>
      <w:r w:rsidR="008657DB" w:rsidRPr="00AE70B8">
        <w:rPr>
          <w:kern w:val="22"/>
          <w:lang w:val="fr-CA"/>
        </w:rPr>
        <w:t xml:space="preserve"> </w:t>
      </w:r>
    </w:p>
    <w:p w14:paraId="5AC4B576" w14:textId="013467D1" w:rsidR="00622CA6" w:rsidRPr="00AE70B8" w:rsidRDefault="00BD6B79" w:rsidP="00282AF6">
      <w:pPr>
        <w:suppressLineNumbers/>
        <w:suppressAutoHyphens/>
        <w:spacing w:before="120" w:after="120"/>
        <w:ind w:firstLine="720"/>
        <w:rPr>
          <w:kern w:val="22"/>
          <w:lang w:val="fr-CA"/>
        </w:rPr>
      </w:pPr>
      <w:r w:rsidRPr="00AE70B8">
        <w:rPr>
          <w:i/>
          <w:iCs/>
          <w:kern w:val="22"/>
          <w:lang w:val="fr-CA"/>
        </w:rPr>
        <w:t xml:space="preserve">Rappelant </w:t>
      </w:r>
      <w:r w:rsidRPr="00AE70B8">
        <w:rPr>
          <w:iCs/>
          <w:kern w:val="22"/>
          <w:lang w:val="fr-CA"/>
        </w:rPr>
        <w:t>sa décision CP-EM-1/1, dans laquelle elle a approuvé la prolongation du budget de la période biennale 2019-2020</w:t>
      </w:r>
      <w:r w:rsidR="005D1EBC">
        <w:rPr>
          <w:iCs/>
          <w:kern w:val="22"/>
          <w:lang w:val="fr-CA"/>
        </w:rPr>
        <w:t xml:space="preserve"> et le budget provisoire de 2021</w:t>
      </w:r>
      <w:r w:rsidRPr="00AE70B8">
        <w:rPr>
          <w:iCs/>
          <w:kern w:val="22"/>
          <w:lang w:val="fr-CA"/>
        </w:rPr>
        <w:t>,</w:t>
      </w:r>
    </w:p>
    <w:p w14:paraId="76DB5BDF" w14:textId="36ACA622" w:rsidR="00BD6B79" w:rsidRPr="00AE70B8" w:rsidRDefault="00BD6B79" w:rsidP="00BD6B79">
      <w:pPr>
        <w:suppressLineNumbers/>
        <w:suppressAutoHyphens/>
        <w:spacing w:before="120" w:after="120"/>
        <w:ind w:firstLine="720"/>
        <w:rPr>
          <w:kern w:val="22"/>
          <w:szCs w:val="22"/>
          <w:lang w:val="fr-CA"/>
        </w:rPr>
      </w:pPr>
      <w:r w:rsidRPr="00AE70B8">
        <w:rPr>
          <w:i/>
          <w:kern w:val="22"/>
          <w:szCs w:val="22"/>
          <w:lang w:val="fr-CA"/>
        </w:rPr>
        <w:t xml:space="preserve">Prenant compte </w:t>
      </w:r>
      <w:r w:rsidRPr="00AE70B8">
        <w:rPr>
          <w:kern w:val="22"/>
          <w:szCs w:val="22"/>
          <w:lang w:val="fr-CA"/>
        </w:rPr>
        <w:t xml:space="preserve">de la décision de présenter la </w:t>
      </w:r>
      <w:r w:rsidR="009B3482" w:rsidRPr="00AE70B8">
        <w:rPr>
          <w:kern w:val="22"/>
          <w:szCs w:val="22"/>
          <w:lang w:val="fr-CA"/>
        </w:rPr>
        <w:t>dixième</w:t>
      </w:r>
      <w:r w:rsidRPr="00AE70B8">
        <w:rPr>
          <w:kern w:val="22"/>
          <w:szCs w:val="22"/>
          <w:lang w:val="fr-CA"/>
        </w:rPr>
        <w:t xml:space="preserve"> réunion de la Conférence des Parties </w:t>
      </w:r>
      <w:r w:rsidR="009B3482" w:rsidRPr="00AE70B8">
        <w:rPr>
          <w:kern w:val="22"/>
          <w:szCs w:val="22"/>
          <w:lang w:val="fr-CA"/>
        </w:rPr>
        <w:t>siég</w:t>
      </w:r>
      <w:r w:rsidR="005D1EBC">
        <w:rPr>
          <w:kern w:val="22"/>
          <w:szCs w:val="22"/>
          <w:lang w:val="fr-CA"/>
        </w:rPr>
        <w:t>e</w:t>
      </w:r>
      <w:r w:rsidR="00BB7F9C">
        <w:rPr>
          <w:kern w:val="22"/>
          <w:szCs w:val="22"/>
          <w:lang w:val="fr-CA"/>
        </w:rPr>
        <w:t>ant en tant que r</w:t>
      </w:r>
      <w:r w:rsidR="009B3482" w:rsidRPr="00AE70B8">
        <w:rPr>
          <w:kern w:val="22"/>
          <w:szCs w:val="22"/>
          <w:lang w:val="fr-CA"/>
        </w:rPr>
        <w:t xml:space="preserve">éunion des Parties au Protocole de Cartagena </w:t>
      </w:r>
      <w:r w:rsidRPr="00AE70B8">
        <w:rPr>
          <w:kern w:val="22"/>
          <w:szCs w:val="22"/>
          <w:lang w:val="fr-CA"/>
        </w:rPr>
        <w:t xml:space="preserve">en deux parties, </w:t>
      </w:r>
      <w:r w:rsidR="005D1EBC">
        <w:rPr>
          <w:kern w:val="22"/>
          <w:szCs w:val="22"/>
          <w:lang w:val="fr-CA"/>
        </w:rPr>
        <w:t>la partie I du 11 au 15 octobre </w:t>
      </w:r>
      <w:r w:rsidRPr="00AE70B8">
        <w:rPr>
          <w:kern w:val="22"/>
          <w:szCs w:val="22"/>
          <w:lang w:val="fr-CA"/>
        </w:rPr>
        <w:t xml:space="preserve">2021 et la partie II du 25 avril au 8 mai 2022, à cause des restrictions imposées par la pandémie de la COVID-19, et que </w:t>
      </w:r>
      <w:r w:rsidR="009B3482" w:rsidRPr="00AE70B8">
        <w:rPr>
          <w:kern w:val="22"/>
          <w:szCs w:val="22"/>
          <w:lang w:val="fr-CA"/>
        </w:rPr>
        <w:t>l</w:t>
      </w:r>
      <w:r w:rsidRPr="00AE70B8">
        <w:rPr>
          <w:kern w:val="22"/>
          <w:szCs w:val="22"/>
          <w:lang w:val="fr-CA"/>
        </w:rPr>
        <w:t>’examen et l’adoption d’un budget ordinaire ou complet sont prévus au cours de la partie II de la réunion,</w:t>
      </w:r>
    </w:p>
    <w:p w14:paraId="58605EA4" w14:textId="72E87A3B" w:rsidR="00BD6B79" w:rsidRPr="00AE70B8" w:rsidRDefault="00BD6B79" w:rsidP="00BD6B79">
      <w:pPr>
        <w:suppressLineNumbers/>
        <w:suppressAutoHyphens/>
        <w:spacing w:before="120" w:after="120"/>
        <w:ind w:firstLine="720"/>
        <w:rPr>
          <w:kern w:val="22"/>
          <w:lang w:val="fr-CA"/>
        </w:rPr>
      </w:pPr>
      <w:r w:rsidRPr="00AE70B8">
        <w:rPr>
          <w:i/>
          <w:kern w:val="22"/>
          <w:szCs w:val="22"/>
          <w:lang w:val="fr-CA"/>
        </w:rPr>
        <w:t>Prenant note,</w:t>
      </w:r>
      <w:r w:rsidRPr="00AE70B8">
        <w:rPr>
          <w:kern w:val="22"/>
          <w:szCs w:val="22"/>
          <w:lang w:val="fr-CA"/>
        </w:rPr>
        <w:t xml:space="preserve"> par conséquent, de la nécessité de prendre des arrangements pour maintenir le fonctionnement ininterrompu des organes </w:t>
      </w:r>
      <w:r w:rsidR="009B3482" w:rsidRPr="00AE70B8">
        <w:rPr>
          <w:kern w:val="22"/>
          <w:szCs w:val="22"/>
          <w:lang w:val="fr-CA"/>
        </w:rPr>
        <w:t>du Protocole</w:t>
      </w:r>
      <w:r w:rsidRPr="00AE70B8">
        <w:rPr>
          <w:kern w:val="22"/>
          <w:szCs w:val="22"/>
          <w:lang w:val="fr-CA"/>
        </w:rPr>
        <w:t xml:space="preserve">, </w:t>
      </w:r>
      <w:r w:rsidR="009B3482" w:rsidRPr="00AE70B8">
        <w:rPr>
          <w:kern w:val="22"/>
          <w:szCs w:val="22"/>
          <w:lang w:val="fr-CA"/>
        </w:rPr>
        <w:t>d</w:t>
      </w:r>
      <w:r w:rsidRPr="00AE70B8">
        <w:rPr>
          <w:kern w:val="22"/>
          <w:szCs w:val="22"/>
          <w:lang w:val="fr-CA"/>
        </w:rPr>
        <w:t xml:space="preserve">ont le Secrétariat et les réunions </w:t>
      </w:r>
      <w:r w:rsidR="009B3482" w:rsidRPr="00AE70B8">
        <w:rPr>
          <w:kern w:val="22"/>
          <w:szCs w:val="22"/>
          <w:lang w:val="fr-CA"/>
        </w:rPr>
        <w:t>de ses</w:t>
      </w:r>
      <w:r w:rsidRPr="00AE70B8">
        <w:rPr>
          <w:kern w:val="22"/>
          <w:szCs w:val="22"/>
          <w:lang w:val="fr-CA"/>
        </w:rPr>
        <w:t xml:space="preserve"> Parties et organes subsidiaires,</w:t>
      </w:r>
    </w:p>
    <w:p w14:paraId="30A2C52A" w14:textId="77777777" w:rsidR="00BD6B79" w:rsidRPr="00AE70B8" w:rsidRDefault="00BD6B79" w:rsidP="00BD6B79">
      <w:pPr>
        <w:suppressLineNumbers/>
        <w:suppressAutoHyphens/>
        <w:spacing w:before="120" w:after="120"/>
        <w:ind w:firstLine="720"/>
        <w:rPr>
          <w:kern w:val="22"/>
          <w:szCs w:val="22"/>
          <w:lang w:val="fr-CA"/>
        </w:rPr>
      </w:pPr>
      <w:r w:rsidRPr="00AE70B8">
        <w:rPr>
          <w:i/>
          <w:kern w:val="22"/>
          <w:szCs w:val="22"/>
          <w:lang w:val="fr-CA"/>
        </w:rPr>
        <w:t>Prenant note</w:t>
      </w:r>
      <w:r w:rsidRPr="00AE70B8">
        <w:rPr>
          <w:kern w:val="22"/>
          <w:szCs w:val="22"/>
          <w:lang w:val="fr-CA"/>
        </w:rPr>
        <w:t xml:space="preserve"> de la proposition du Bureau de la Conférence des Parties que les Parties examinent et approuvent un budget provisoire pour 2022, à titre exceptionnel, selon les modalités convenues,</w:t>
      </w:r>
    </w:p>
    <w:p w14:paraId="18EF4ABA" w14:textId="64C11B0A" w:rsidR="00622CA6" w:rsidRPr="00AE70B8" w:rsidRDefault="009B3482" w:rsidP="00BD6B79">
      <w:pPr>
        <w:suppressLineNumbers/>
        <w:suppressAutoHyphens/>
        <w:spacing w:before="120" w:after="120"/>
        <w:ind w:firstLine="720"/>
        <w:rPr>
          <w:kern w:val="22"/>
          <w:szCs w:val="22"/>
          <w:lang w:val="fr-CA"/>
        </w:rPr>
      </w:pPr>
      <w:r w:rsidRPr="00AE70B8">
        <w:rPr>
          <w:i/>
          <w:kern w:val="22"/>
          <w:szCs w:val="22"/>
          <w:lang w:val="fr-CA"/>
        </w:rPr>
        <w:t xml:space="preserve">Ayant examiné </w:t>
      </w:r>
      <w:r w:rsidRPr="00AE70B8">
        <w:rPr>
          <w:kern w:val="22"/>
          <w:szCs w:val="22"/>
          <w:lang w:val="fr-CA"/>
        </w:rPr>
        <w:t xml:space="preserve">la </w:t>
      </w:r>
      <w:r w:rsidR="00D30469" w:rsidRPr="00AE70B8">
        <w:rPr>
          <w:kern w:val="22"/>
          <w:szCs w:val="22"/>
          <w:lang w:val="fr-CA"/>
        </w:rPr>
        <w:t>note de la Secrétaire exécutive,</w:t>
      </w:r>
      <w:bookmarkStart w:id="3" w:name="_Ref81140950"/>
      <w:r w:rsidR="00622CA6" w:rsidRPr="00AE70B8">
        <w:rPr>
          <w:rStyle w:val="FootnoteReference"/>
          <w:kern w:val="22"/>
          <w:szCs w:val="22"/>
        </w:rPr>
        <w:footnoteReference w:id="7"/>
      </w:r>
      <w:bookmarkEnd w:id="3"/>
    </w:p>
    <w:p w14:paraId="2F128BE7" w14:textId="547F40C1" w:rsidR="00622CA6" w:rsidRPr="00AE70B8" w:rsidRDefault="009B3482" w:rsidP="00622CA6">
      <w:pPr>
        <w:pStyle w:val="ListParagraph"/>
        <w:numPr>
          <w:ilvl w:val="0"/>
          <w:numId w:val="33"/>
        </w:numPr>
        <w:suppressLineNumbers/>
        <w:suppressAutoHyphens/>
        <w:spacing w:before="120" w:after="120"/>
        <w:ind w:left="0" w:firstLine="720"/>
        <w:contextualSpacing w:val="0"/>
        <w:rPr>
          <w:rFonts w:eastAsia="Malgun Gothic"/>
          <w:color w:val="000000" w:themeColor="text1"/>
          <w:kern w:val="22"/>
          <w:lang w:val="fr-CA" w:eastAsia="x-none"/>
        </w:rPr>
      </w:pPr>
      <w:r w:rsidRPr="00AE70B8">
        <w:rPr>
          <w:rFonts w:eastAsia="Malgun Gothic"/>
          <w:i/>
          <w:color w:val="000000" w:themeColor="text1"/>
          <w:kern w:val="22"/>
          <w:szCs w:val="22"/>
          <w:lang w:val="fr-CA" w:eastAsia="x-none"/>
        </w:rPr>
        <w:t>Approuve</w:t>
      </w:r>
      <w:r w:rsidRPr="00AE70B8">
        <w:rPr>
          <w:rFonts w:eastAsia="Malgun Gothic"/>
          <w:color w:val="000000" w:themeColor="text1"/>
          <w:kern w:val="22"/>
          <w:szCs w:val="22"/>
          <w:lang w:val="fr-CA" w:eastAsia="x-none"/>
        </w:rPr>
        <w:t xml:space="preserve"> à titre exceptionnel, un budget-programme de base de 2 557 943 dollars des </w:t>
      </w:r>
      <w:r w:rsidRPr="00AE70B8">
        <w:rPr>
          <w:color w:val="000000" w:themeColor="text1"/>
          <w:kern w:val="22"/>
          <w:szCs w:val="22"/>
          <w:lang w:val="fr-CA" w:eastAsia="x-none"/>
        </w:rPr>
        <w:t>États-Unis</w:t>
      </w:r>
      <w:r w:rsidRPr="00AE70B8">
        <w:rPr>
          <w:rFonts w:eastAsia="Malgun Gothic"/>
          <w:color w:val="000000" w:themeColor="text1"/>
          <w:kern w:val="22"/>
          <w:szCs w:val="22"/>
          <w:lang w:val="fr-CA" w:eastAsia="x-none"/>
        </w:rPr>
        <w:t xml:space="preserve"> pour </w:t>
      </w:r>
      <w:r w:rsidR="00D30469" w:rsidRPr="00AE70B8">
        <w:rPr>
          <w:rFonts w:eastAsia="Malgun Gothic"/>
          <w:color w:val="000000" w:themeColor="text1"/>
          <w:kern w:val="22"/>
          <w:szCs w:val="22"/>
          <w:lang w:val="fr-CA" w:eastAsia="x-none"/>
        </w:rPr>
        <w:t>le Protocole sur la prévention des risques biotechnologiques</w:t>
      </w:r>
      <w:r w:rsidRPr="00AE70B8">
        <w:rPr>
          <w:rFonts w:eastAsia="Malgun Gothic"/>
          <w:color w:val="000000" w:themeColor="text1"/>
          <w:kern w:val="22"/>
          <w:szCs w:val="22"/>
          <w:lang w:val="fr-CA" w:eastAsia="x-none"/>
        </w:rPr>
        <w:t xml:space="preserve"> pour l’année 2022, représent</w:t>
      </w:r>
      <w:r w:rsidR="008902A2" w:rsidRPr="00AE70B8">
        <w:rPr>
          <w:rFonts w:eastAsia="Malgun Gothic"/>
          <w:color w:val="000000" w:themeColor="text1"/>
          <w:kern w:val="22"/>
          <w:szCs w:val="22"/>
          <w:lang w:val="fr-CA" w:eastAsia="x-none"/>
        </w:rPr>
        <w:t>ant 15</w:t>
      </w:r>
      <w:r w:rsidRPr="00AE70B8">
        <w:rPr>
          <w:rFonts w:eastAsia="Malgun Gothic"/>
          <w:color w:val="000000" w:themeColor="text1"/>
          <w:kern w:val="22"/>
          <w:szCs w:val="22"/>
          <w:lang w:val="fr-CA" w:eastAsia="x-none"/>
        </w:rPr>
        <w:t xml:space="preserve"> pour cent d</w:t>
      </w:r>
      <w:r w:rsidR="00D30469" w:rsidRPr="00AE70B8">
        <w:rPr>
          <w:rFonts w:eastAsia="Malgun Gothic"/>
          <w:color w:val="000000" w:themeColor="text1"/>
          <w:kern w:val="22"/>
          <w:szCs w:val="22"/>
          <w:lang w:val="fr-CA" w:eastAsia="x-none"/>
        </w:rPr>
        <w:t>u</w:t>
      </w:r>
      <w:r w:rsidR="006A128D">
        <w:rPr>
          <w:rFonts w:eastAsia="Malgun Gothic"/>
          <w:color w:val="000000" w:themeColor="text1"/>
          <w:kern w:val="22"/>
          <w:szCs w:val="22"/>
          <w:lang w:val="fr-CA" w:eastAsia="x-none"/>
        </w:rPr>
        <w:t xml:space="preserve"> budget provisoire intégré </w:t>
      </w:r>
      <w:r w:rsidRPr="00AE70B8">
        <w:rPr>
          <w:rFonts w:eastAsia="Malgun Gothic"/>
          <w:color w:val="000000" w:themeColor="text1"/>
          <w:kern w:val="22"/>
          <w:szCs w:val="22"/>
          <w:lang w:val="fr-CA" w:eastAsia="x-none"/>
        </w:rPr>
        <w:t xml:space="preserve">de 17 052 952 dollars des </w:t>
      </w:r>
      <w:r w:rsidRPr="00AE70B8">
        <w:rPr>
          <w:color w:val="000000" w:themeColor="text1"/>
          <w:kern w:val="22"/>
          <w:szCs w:val="22"/>
          <w:lang w:val="fr-CA" w:eastAsia="x-none"/>
        </w:rPr>
        <w:t>États-Unis</w:t>
      </w:r>
      <w:r w:rsidRPr="00AE70B8">
        <w:rPr>
          <w:rFonts w:eastAsia="Malgun Gothic"/>
          <w:color w:val="000000" w:themeColor="text1"/>
          <w:kern w:val="22"/>
          <w:szCs w:val="22"/>
          <w:lang w:val="fr-CA" w:eastAsia="x-none"/>
        </w:rPr>
        <w:t xml:space="preserve"> pour l’année 202</w:t>
      </w:r>
      <w:r w:rsidR="00D30469" w:rsidRPr="00AE70B8">
        <w:rPr>
          <w:rFonts w:eastAsia="Malgun Gothic"/>
          <w:color w:val="000000" w:themeColor="text1"/>
          <w:kern w:val="22"/>
          <w:szCs w:val="22"/>
          <w:lang w:val="fr-CA" w:eastAsia="x-none"/>
        </w:rPr>
        <w:t>2</w:t>
      </w:r>
      <w:r w:rsidRPr="00AE70B8">
        <w:rPr>
          <w:rFonts w:eastAsia="Malgun Gothic"/>
          <w:color w:val="000000" w:themeColor="text1"/>
          <w:kern w:val="22"/>
          <w:szCs w:val="22"/>
          <w:lang w:val="fr-CA" w:eastAsia="x-none"/>
        </w:rPr>
        <w:t xml:space="preserve">, </w:t>
      </w:r>
      <w:r w:rsidR="00FD6311" w:rsidRPr="00AE70B8">
        <w:rPr>
          <w:rFonts w:eastAsia="Malgun Gothic"/>
          <w:color w:val="000000" w:themeColor="text1"/>
          <w:kern w:val="22"/>
          <w:szCs w:val="22"/>
          <w:lang w:val="fr-CA" w:eastAsia="x-none"/>
        </w:rPr>
        <w:t xml:space="preserve">pour les besoins </w:t>
      </w:r>
      <w:r w:rsidR="00FD6311">
        <w:rPr>
          <w:rFonts w:eastAsia="Malgun Gothic"/>
          <w:color w:val="000000" w:themeColor="text1"/>
          <w:kern w:val="22"/>
          <w:szCs w:val="22"/>
          <w:lang w:val="fr-CA" w:eastAsia="x-none"/>
        </w:rPr>
        <w:t xml:space="preserve">indiqués </w:t>
      </w:r>
      <w:r w:rsidR="00FD6311" w:rsidRPr="00AE70B8">
        <w:rPr>
          <w:rFonts w:eastAsia="Malgun Gothic"/>
          <w:color w:val="000000" w:themeColor="text1"/>
          <w:kern w:val="22"/>
          <w:szCs w:val="22"/>
          <w:lang w:val="fr-CA" w:eastAsia="x-none"/>
        </w:rPr>
        <w:t xml:space="preserve">dans les tableaux 5a et 5b </w:t>
      </w:r>
      <w:r w:rsidR="00FD6311">
        <w:rPr>
          <w:rFonts w:eastAsia="Malgun Gothic"/>
          <w:color w:val="000000" w:themeColor="text1"/>
          <w:kern w:val="22"/>
          <w:szCs w:val="22"/>
          <w:lang w:val="fr-CA" w:eastAsia="x-none"/>
        </w:rPr>
        <w:t>de la note de la Secrétaire exécutive</w:t>
      </w:r>
      <w:r w:rsidR="00622CA6" w:rsidRPr="00AE70B8">
        <w:rPr>
          <w:rFonts w:eastAsia="Malgun Gothic"/>
          <w:color w:val="000000" w:themeColor="text1"/>
          <w:kern w:val="22"/>
          <w:lang w:val="fr-CA" w:eastAsia="x-none"/>
        </w:rPr>
        <w:t>;</w:t>
      </w:r>
      <w:r w:rsidR="006852DC" w:rsidRPr="00AE70B8">
        <w:rPr>
          <w:rFonts w:eastAsia="Malgun Gothic"/>
          <w:color w:val="000000" w:themeColor="text1"/>
          <w:kern w:val="22"/>
          <w:vertAlign w:val="superscript"/>
          <w:lang w:val="fr-CA" w:eastAsia="x-none"/>
        </w:rPr>
        <w:fldChar w:fldCharType="begin"/>
      </w:r>
      <w:r w:rsidR="006852DC" w:rsidRPr="00AE70B8">
        <w:rPr>
          <w:rFonts w:eastAsia="Malgun Gothic"/>
          <w:color w:val="000000" w:themeColor="text1"/>
          <w:kern w:val="22"/>
          <w:vertAlign w:val="superscript"/>
          <w:lang w:val="fr-CA" w:eastAsia="x-none"/>
        </w:rPr>
        <w:instrText xml:space="preserve"> NOTEREF _Ref81140950 \h  \* MERGEFORMAT </w:instrText>
      </w:r>
      <w:r w:rsidR="006852DC" w:rsidRPr="00AE70B8">
        <w:rPr>
          <w:rFonts w:eastAsia="Malgun Gothic"/>
          <w:color w:val="000000" w:themeColor="text1"/>
          <w:kern w:val="22"/>
          <w:vertAlign w:val="superscript"/>
          <w:lang w:val="fr-CA" w:eastAsia="x-none"/>
        </w:rPr>
      </w:r>
      <w:r w:rsidR="006852DC" w:rsidRPr="00AE70B8">
        <w:rPr>
          <w:rFonts w:eastAsia="Malgun Gothic"/>
          <w:color w:val="000000" w:themeColor="text1"/>
          <w:kern w:val="22"/>
          <w:vertAlign w:val="superscript"/>
          <w:lang w:val="fr-CA" w:eastAsia="x-none"/>
        </w:rPr>
        <w:fldChar w:fldCharType="separate"/>
      </w:r>
      <w:r w:rsidR="006852DC" w:rsidRPr="00AE70B8">
        <w:rPr>
          <w:rFonts w:eastAsia="Malgun Gothic"/>
          <w:color w:val="000000" w:themeColor="text1"/>
          <w:kern w:val="22"/>
          <w:vertAlign w:val="superscript"/>
          <w:lang w:val="fr-CA" w:eastAsia="x-none"/>
        </w:rPr>
        <w:t>4</w:t>
      </w:r>
      <w:r w:rsidR="006852DC" w:rsidRPr="00AE70B8">
        <w:rPr>
          <w:rFonts w:eastAsia="Malgun Gothic"/>
          <w:color w:val="000000" w:themeColor="text1"/>
          <w:kern w:val="22"/>
          <w:vertAlign w:val="superscript"/>
          <w:lang w:val="fr-CA" w:eastAsia="x-none"/>
        </w:rPr>
        <w:fldChar w:fldCharType="end"/>
      </w:r>
    </w:p>
    <w:p w14:paraId="758DD795" w14:textId="0F065348" w:rsidR="00622CA6" w:rsidRPr="00AE70B8" w:rsidRDefault="00D30469" w:rsidP="00622CA6">
      <w:pPr>
        <w:pStyle w:val="ListParagraph"/>
        <w:numPr>
          <w:ilvl w:val="0"/>
          <w:numId w:val="33"/>
        </w:numPr>
        <w:suppressLineNumbers/>
        <w:suppressAutoHyphens/>
        <w:spacing w:before="120" w:after="120"/>
        <w:ind w:left="0" w:firstLine="720"/>
        <w:contextualSpacing w:val="0"/>
        <w:rPr>
          <w:rFonts w:eastAsia="Malgun Gothic"/>
          <w:color w:val="000000" w:themeColor="text1"/>
          <w:kern w:val="22"/>
          <w:lang w:val="fr-CA" w:eastAsia="x-none"/>
        </w:rPr>
      </w:pPr>
      <w:r w:rsidRPr="00AE70B8">
        <w:rPr>
          <w:i/>
          <w:kern w:val="22"/>
          <w:lang w:val="fr-CA"/>
        </w:rPr>
        <w:t xml:space="preserve">Prie </w:t>
      </w:r>
      <w:r w:rsidRPr="00AE70B8">
        <w:rPr>
          <w:kern w:val="22"/>
          <w:lang w:val="fr-CA"/>
        </w:rPr>
        <w:t xml:space="preserve">la Secrétaire exécutive </w:t>
      </w:r>
      <w:r w:rsidR="006A128D">
        <w:rPr>
          <w:kern w:val="22"/>
          <w:szCs w:val="22"/>
          <w:lang w:val="fr-CA"/>
        </w:rPr>
        <w:t xml:space="preserve">de préparer </w:t>
      </w:r>
      <w:r w:rsidRPr="00AE70B8">
        <w:rPr>
          <w:kern w:val="22"/>
          <w:szCs w:val="22"/>
          <w:lang w:val="fr-CA"/>
        </w:rPr>
        <w:t xml:space="preserve">des propositions budgétaires pour la période </w:t>
      </w:r>
      <w:r w:rsidR="00F60221">
        <w:rPr>
          <w:kern w:val="22"/>
          <w:szCs w:val="22"/>
          <w:lang w:val="fr-CA"/>
        </w:rPr>
        <w:t>biennale</w:t>
      </w:r>
      <w:r w:rsidRPr="00AE70B8">
        <w:rPr>
          <w:kern w:val="22"/>
          <w:szCs w:val="22"/>
          <w:lang w:val="fr-CA"/>
        </w:rPr>
        <w:t xml:space="preserve"> 2023-2024</w:t>
      </w:r>
      <w:r w:rsidR="00622CA6" w:rsidRPr="00AE70B8">
        <w:rPr>
          <w:kern w:val="22"/>
          <w:lang w:val="fr-CA"/>
        </w:rPr>
        <w:t>;</w:t>
      </w:r>
    </w:p>
    <w:p w14:paraId="5D9477F2" w14:textId="753622A5" w:rsidR="00622CA6" w:rsidRPr="00AE70B8" w:rsidRDefault="00D30469" w:rsidP="00622CA6">
      <w:pPr>
        <w:pStyle w:val="ListParagraph"/>
        <w:numPr>
          <w:ilvl w:val="0"/>
          <w:numId w:val="33"/>
        </w:numPr>
        <w:suppressLineNumbers/>
        <w:shd w:val="clear" w:color="auto" w:fill="FFFFFF" w:themeFill="background1"/>
        <w:suppressAutoHyphens/>
        <w:spacing w:before="120" w:after="120"/>
        <w:ind w:left="0" w:firstLine="720"/>
        <w:contextualSpacing w:val="0"/>
        <w:rPr>
          <w:kern w:val="22"/>
          <w:lang w:val="fr-CA"/>
        </w:rPr>
      </w:pPr>
      <w:r w:rsidRPr="00AE70B8">
        <w:rPr>
          <w:rFonts w:eastAsia="Malgun Gothic"/>
          <w:i/>
          <w:snapToGrid w:val="0"/>
          <w:kern w:val="22"/>
          <w:lang w:val="fr-CA" w:eastAsia="x-none"/>
        </w:rPr>
        <w:t xml:space="preserve">Décide </w:t>
      </w:r>
      <w:r w:rsidRPr="00AE70B8">
        <w:rPr>
          <w:rFonts w:eastAsia="Malgun Gothic"/>
          <w:snapToGrid w:val="0"/>
          <w:kern w:val="22"/>
          <w:lang w:val="fr-CA" w:eastAsia="x-none"/>
        </w:rPr>
        <w:t>d’appliquer, mutatis mutandis, les paragraphes 2 à 12 de la décision adoptée par la Conférence des Parties à sa quinzième réunion (partie I</w:t>
      </w:r>
      <w:r w:rsidR="00111F38" w:rsidRPr="00AE70B8">
        <w:rPr>
          <w:rFonts w:eastAsia="Malgun Gothic"/>
          <w:snapToGrid w:val="0"/>
          <w:kern w:val="22"/>
          <w:lang w:val="fr-CA" w:eastAsia="x-none"/>
        </w:rPr>
        <w:t>)</w:t>
      </w:r>
      <w:r w:rsidR="00622CA6" w:rsidRPr="00AE70B8">
        <w:rPr>
          <w:rFonts w:eastAsia="Malgun Gothic"/>
          <w:snapToGrid w:val="0"/>
          <w:kern w:val="22"/>
          <w:lang w:val="fr-CA" w:eastAsia="x-none"/>
        </w:rPr>
        <w:t>.</w:t>
      </w:r>
      <w:r w:rsidR="00630353" w:rsidRPr="00AE70B8">
        <w:rPr>
          <w:rStyle w:val="FootnoteReference"/>
          <w:rFonts w:eastAsia="Malgun Gothic"/>
          <w:snapToGrid w:val="0"/>
          <w:kern w:val="22"/>
          <w:lang w:eastAsia="x-none"/>
        </w:rPr>
        <w:footnoteReference w:id="8"/>
      </w:r>
    </w:p>
    <w:p w14:paraId="64054016" w14:textId="77777777" w:rsidR="00622CA6" w:rsidRPr="00AE70B8" w:rsidRDefault="00622CA6" w:rsidP="00282AF6">
      <w:pPr>
        <w:pStyle w:val="ListParagraph"/>
        <w:suppressLineNumbers/>
        <w:shd w:val="clear" w:color="auto" w:fill="FFFFFF" w:themeFill="background1"/>
        <w:suppressAutoHyphens/>
        <w:ind w:left="0"/>
        <w:contextualSpacing w:val="0"/>
        <w:rPr>
          <w:kern w:val="22"/>
          <w:lang w:val="fr-CA"/>
        </w:rPr>
      </w:pPr>
    </w:p>
    <w:p w14:paraId="23CA72D5" w14:textId="3B6B29F0" w:rsidR="00622CA6" w:rsidRPr="00AE70B8" w:rsidRDefault="00622CA6" w:rsidP="00282AF6">
      <w:pPr>
        <w:keepNext/>
        <w:suppressLineNumbers/>
        <w:suppressAutoHyphens/>
        <w:spacing w:after="120"/>
        <w:ind w:left="1152" w:hanging="432"/>
        <w:jc w:val="left"/>
        <w:outlineLvl w:val="0"/>
        <w:rPr>
          <w:bCs/>
          <w:caps/>
          <w:kern w:val="22"/>
          <w:szCs w:val="22"/>
          <w:lang w:val="fr-CA"/>
        </w:rPr>
      </w:pPr>
      <w:r w:rsidRPr="00AE70B8">
        <w:rPr>
          <w:b/>
          <w:bCs/>
          <w:caps/>
          <w:kern w:val="22"/>
          <w:szCs w:val="22"/>
          <w:lang w:val="fr-CA"/>
        </w:rPr>
        <w:t>V.</w:t>
      </w:r>
      <w:r w:rsidRPr="00AE70B8">
        <w:rPr>
          <w:b/>
          <w:bCs/>
          <w:caps/>
          <w:kern w:val="22"/>
          <w:szCs w:val="22"/>
          <w:lang w:val="fr-CA"/>
        </w:rPr>
        <w:tab/>
      </w:r>
      <w:r w:rsidR="00362D8E" w:rsidRPr="00AE70B8">
        <w:rPr>
          <w:b/>
          <w:bCs/>
          <w:caps/>
          <w:kern w:val="22"/>
          <w:szCs w:val="22"/>
          <w:lang w:val="fr-CA"/>
        </w:rPr>
        <w:t xml:space="preserve">projet de décision </w:t>
      </w:r>
      <w:r w:rsidR="00F60221">
        <w:rPr>
          <w:b/>
          <w:bCs/>
          <w:caps/>
          <w:kern w:val="22"/>
          <w:szCs w:val="22"/>
          <w:lang w:val="fr-CA"/>
        </w:rPr>
        <w:t>pour examen par la</w:t>
      </w:r>
      <w:r w:rsidR="00362D8E" w:rsidRPr="00AE70B8">
        <w:rPr>
          <w:b/>
          <w:bCs/>
          <w:caps/>
          <w:kern w:val="22"/>
          <w:szCs w:val="22"/>
          <w:lang w:val="fr-CA"/>
        </w:rPr>
        <w:t xml:space="preserve"> Conférence des Parties siégeant en tant que réunion des Parties au protocole de nagoya sur l’accès et le partage  des avantages</w:t>
      </w:r>
    </w:p>
    <w:p w14:paraId="55B9C10C" w14:textId="6AB61E46" w:rsidR="00362D8E" w:rsidRPr="00AE70B8" w:rsidRDefault="00362D8E" w:rsidP="00362D8E">
      <w:pPr>
        <w:pStyle w:val="ListParagraph"/>
        <w:numPr>
          <w:ilvl w:val="0"/>
          <w:numId w:val="19"/>
        </w:numPr>
        <w:suppressLineNumbers/>
        <w:suppressAutoHyphens/>
        <w:spacing w:before="120" w:after="120"/>
        <w:ind w:left="0" w:firstLine="0"/>
        <w:contextualSpacing w:val="0"/>
        <w:rPr>
          <w:kern w:val="22"/>
          <w:lang w:val="fr-CA"/>
        </w:rPr>
      </w:pPr>
      <w:r w:rsidRPr="00AE70B8">
        <w:rPr>
          <w:kern w:val="22"/>
          <w:lang w:val="fr-CA"/>
        </w:rPr>
        <w:t>La Conférence des Parties siégeant en tant que réunion des Parties au Protocole de Nagoya sur l’accès et le partage des avantages pourrait souhaiter adopter une décision qui ressemble à ce qui suit </w:t>
      </w:r>
      <w:r w:rsidRPr="00AE70B8">
        <w:rPr>
          <w:kern w:val="22"/>
          <w:szCs w:val="22"/>
          <w:lang w:val="fr-CA"/>
        </w:rPr>
        <w:t>:</w:t>
      </w:r>
    </w:p>
    <w:p w14:paraId="0C9CD5FF" w14:textId="363A3458" w:rsidR="00362D8E" w:rsidRPr="00AE70B8" w:rsidRDefault="00362D8E" w:rsidP="00362D8E">
      <w:pPr>
        <w:suppressLineNumbers/>
        <w:suppressAutoHyphens/>
        <w:spacing w:before="120" w:after="120"/>
        <w:ind w:firstLine="720"/>
        <w:rPr>
          <w:i/>
          <w:kern w:val="22"/>
          <w:szCs w:val="22"/>
          <w:lang w:val="fr-CA"/>
        </w:rPr>
      </w:pPr>
      <w:r w:rsidRPr="00AE70B8">
        <w:rPr>
          <w:i/>
          <w:kern w:val="22"/>
          <w:szCs w:val="22"/>
          <w:lang w:val="fr-CA"/>
        </w:rPr>
        <w:t xml:space="preserve">La Conférence des Parties siégeant en tant que réunion des Parties au Protocole de </w:t>
      </w:r>
      <w:r w:rsidR="00C02926" w:rsidRPr="00AE70B8">
        <w:rPr>
          <w:i/>
          <w:kern w:val="22"/>
          <w:szCs w:val="22"/>
          <w:lang w:val="fr-CA"/>
        </w:rPr>
        <w:t>Nagoya sur l’accès et le partage des avantages</w:t>
      </w:r>
      <w:r w:rsidRPr="00AE70B8">
        <w:rPr>
          <w:i/>
          <w:kern w:val="22"/>
          <w:szCs w:val="22"/>
          <w:lang w:val="fr-CA"/>
        </w:rPr>
        <w:t>,</w:t>
      </w:r>
    </w:p>
    <w:p w14:paraId="4D47C5EF" w14:textId="58E333AD" w:rsidR="00622CA6" w:rsidRPr="00AE70B8" w:rsidRDefault="00C02926" w:rsidP="00362D8E">
      <w:pPr>
        <w:suppressLineNumbers/>
        <w:suppressAutoHyphens/>
        <w:spacing w:before="120" w:after="120"/>
        <w:ind w:firstLine="720"/>
        <w:rPr>
          <w:kern w:val="22"/>
          <w:lang w:val="fr-CA"/>
        </w:rPr>
      </w:pPr>
      <w:r w:rsidRPr="00AE70B8">
        <w:rPr>
          <w:i/>
          <w:kern w:val="22"/>
          <w:lang w:val="fr-CA"/>
        </w:rPr>
        <w:t>Rappelant</w:t>
      </w:r>
      <w:r w:rsidR="00622CA6" w:rsidRPr="00AE70B8">
        <w:rPr>
          <w:kern w:val="22"/>
          <w:lang w:val="fr-CA"/>
        </w:rPr>
        <w:t xml:space="preserve"> </w:t>
      </w:r>
      <w:r w:rsidRPr="00AE70B8">
        <w:rPr>
          <w:kern w:val="22"/>
          <w:lang w:val="fr-CA"/>
        </w:rPr>
        <w:t>sa décision</w:t>
      </w:r>
      <w:r w:rsidR="00622CA6" w:rsidRPr="00AE70B8">
        <w:rPr>
          <w:kern w:val="22"/>
          <w:lang w:val="fr-CA"/>
        </w:rPr>
        <w:t xml:space="preserve"> </w:t>
      </w:r>
      <w:hyperlink r:id="rId15" w:history="1">
        <w:r w:rsidR="00622CA6" w:rsidRPr="00AE70B8">
          <w:rPr>
            <w:rStyle w:val="Hyperlink"/>
            <w:kern w:val="22"/>
            <w:sz w:val="22"/>
            <w:lang w:val="fr-CA"/>
          </w:rPr>
          <w:t>3/16</w:t>
        </w:r>
      </w:hyperlink>
      <w:r w:rsidR="00625F06" w:rsidRPr="00AE70B8">
        <w:rPr>
          <w:rStyle w:val="Hyperlink"/>
          <w:kern w:val="22"/>
          <w:sz w:val="22"/>
          <w:lang w:val="fr-CA"/>
        </w:rPr>
        <w:t>,</w:t>
      </w:r>
      <w:r w:rsidR="008657DB" w:rsidRPr="00AE70B8">
        <w:rPr>
          <w:kern w:val="22"/>
          <w:lang w:val="fr-CA"/>
        </w:rPr>
        <w:t xml:space="preserve"> </w:t>
      </w:r>
      <w:r w:rsidR="00622CA6" w:rsidRPr="00AE70B8">
        <w:rPr>
          <w:kern w:val="22"/>
          <w:lang w:val="fr-CA"/>
        </w:rPr>
        <w:t xml:space="preserve"> </w:t>
      </w:r>
      <w:r w:rsidR="00625F06" w:rsidRPr="00AE70B8">
        <w:rPr>
          <w:kern w:val="22"/>
          <w:lang w:val="fr-CA"/>
        </w:rPr>
        <w:t xml:space="preserve">dans laquelle elle </w:t>
      </w:r>
      <w:r w:rsidR="00BB7F9C">
        <w:rPr>
          <w:kern w:val="22"/>
          <w:lang w:val="fr-CA"/>
        </w:rPr>
        <w:t>a approuvé</w:t>
      </w:r>
      <w:r w:rsidR="00625F06" w:rsidRPr="00AE70B8">
        <w:rPr>
          <w:kern w:val="22"/>
          <w:lang w:val="fr-CA"/>
        </w:rPr>
        <w:t xml:space="preserve"> le budget pour la période biennale</w:t>
      </w:r>
      <w:r w:rsidR="00622CA6" w:rsidRPr="00AE70B8">
        <w:rPr>
          <w:kern w:val="22"/>
          <w:lang w:val="fr-CA"/>
        </w:rPr>
        <w:t xml:space="preserve"> 2019-2020</w:t>
      </w:r>
      <w:r w:rsidR="008657DB" w:rsidRPr="00AE70B8">
        <w:rPr>
          <w:kern w:val="22"/>
          <w:lang w:val="fr-CA"/>
        </w:rPr>
        <w:t xml:space="preserve"> </w:t>
      </w:r>
    </w:p>
    <w:p w14:paraId="1C9D8F2D" w14:textId="7F363C06" w:rsidR="00625F06" w:rsidRPr="00AE70B8" w:rsidRDefault="00625F06" w:rsidP="00625F06">
      <w:pPr>
        <w:suppressLineNumbers/>
        <w:suppressAutoHyphens/>
        <w:spacing w:before="120" w:after="120"/>
        <w:ind w:firstLine="720"/>
        <w:rPr>
          <w:kern w:val="22"/>
          <w:lang w:val="fr-CA"/>
        </w:rPr>
      </w:pPr>
      <w:r w:rsidRPr="00AE70B8">
        <w:rPr>
          <w:i/>
          <w:iCs/>
          <w:kern w:val="22"/>
          <w:lang w:val="fr-CA"/>
        </w:rPr>
        <w:t xml:space="preserve">Rappelant </w:t>
      </w:r>
      <w:r w:rsidRPr="00AE70B8">
        <w:rPr>
          <w:iCs/>
          <w:kern w:val="22"/>
          <w:lang w:val="fr-CA"/>
        </w:rPr>
        <w:t>sa décision NP-EM-1/1, dans laquelle elle a approuvé la prolongation du budget de la période biennale 2019-2020 et le budget provisoire de 2021,</w:t>
      </w:r>
    </w:p>
    <w:p w14:paraId="638A7036" w14:textId="54E9F447" w:rsidR="00625F06" w:rsidRPr="00AE70B8" w:rsidRDefault="00625F06" w:rsidP="00625F06">
      <w:pPr>
        <w:suppressLineNumbers/>
        <w:suppressAutoHyphens/>
        <w:spacing w:before="120" w:after="120"/>
        <w:ind w:firstLine="720"/>
        <w:rPr>
          <w:kern w:val="22"/>
          <w:szCs w:val="22"/>
          <w:lang w:val="fr-CA"/>
        </w:rPr>
      </w:pPr>
      <w:r w:rsidRPr="00AE70B8">
        <w:rPr>
          <w:i/>
          <w:kern w:val="22"/>
          <w:szCs w:val="22"/>
          <w:lang w:val="fr-CA"/>
        </w:rPr>
        <w:t xml:space="preserve">Prenant compte </w:t>
      </w:r>
      <w:r w:rsidRPr="00AE70B8">
        <w:rPr>
          <w:kern w:val="22"/>
          <w:szCs w:val="22"/>
          <w:lang w:val="fr-CA"/>
        </w:rPr>
        <w:t>de la décision de présenter la quatrième réunion de la Conférence de</w:t>
      </w:r>
      <w:r w:rsidR="00BB7F9C">
        <w:rPr>
          <w:kern w:val="22"/>
          <w:szCs w:val="22"/>
          <w:lang w:val="fr-CA"/>
        </w:rPr>
        <w:t>s Parties siégeant en tant que r</w:t>
      </w:r>
      <w:r w:rsidRPr="00AE70B8">
        <w:rPr>
          <w:kern w:val="22"/>
          <w:szCs w:val="22"/>
          <w:lang w:val="fr-CA"/>
        </w:rPr>
        <w:t>éunion des Parties en deux parties, la partie I du 11 au 15 octobre 2021 et la partie II du 25 avril au 8 mai 2022, à cause des restrictions imposées par la pandémie de la COVID-19, et que l’examen et l’adoption d’un budget ordinaire ou complet sont prévus au cours de la partie II de la réunion,</w:t>
      </w:r>
    </w:p>
    <w:p w14:paraId="50FFB0AA" w14:textId="77777777" w:rsidR="00625F06" w:rsidRPr="00AE70B8" w:rsidRDefault="00625F06" w:rsidP="00625F06">
      <w:pPr>
        <w:suppressLineNumbers/>
        <w:suppressAutoHyphens/>
        <w:spacing w:before="120" w:after="120"/>
        <w:ind w:firstLine="720"/>
        <w:rPr>
          <w:kern w:val="22"/>
          <w:lang w:val="fr-CA"/>
        </w:rPr>
      </w:pPr>
      <w:r w:rsidRPr="00AE70B8">
        <w:rPr>
          <w:i/>
          <w:kern w:val="22"/>
          <w:szCs w:val="22"/>
          <w:lang w:val="fr-CA"/>
        </w:rPr>
        <w:t>Prenant note,</w:t>
      </w:r>
      <w:r w:rsidRPr="00AE70B8">
        <w:rPr>
          <w:kern w:val="22"/>
          <w:szCs w:val="22"/>
          <w:lang w:val="fr-CA"/>
        </w:rPr>
        <w:t xml:space="preserve"> par conséquent, de la nécessité de prendre des arrangements pour maintenir le fonctionnement ininterrompu des organes du Protocole, dont le Secrétariat et les réunions de ses Parties et organes subsidiaires,</w:t>
      </w:r>
    </w:p>
    <w:p w14:paraId="7C295CEB" w14:textId="77777777" w:rsidR="00625F06" w:rsidRPr="00AE70B8" w:rsidRDefault="00625F06" w:rsidP="00625F06">
      <w:pPr>
        <w:suppressLineNumbers/>
        <w:suppressAutoHyphens/>
        <w:spacing w:before="120" w:after="120"/>
        <w:ind w:firstLine="720"/>
        <w:rPr>
          <w:kern w:val="22"/>
          <w:szCs w:val="22"/>
          <w:lang w:val="fr-CA"/>
        </w:rPr>
      </w:pPr>
      <w:r w:rsidRPr="00AE70B8">
        <w:rPr>
          <w:i/>
          <w:kern w:val="22"/>
          <w:szCs w:val="22"/>
          <w:lang w:val="fr-CA"/>
        </w:rPr>
        <w:t>Prenant note</w:t>
      </w:r>
      <w:r w:rsidRPr="00AE70B8">
        <w:rPr>
          <w:kern w:val="22"/>
          <w:szCs w:val="22"/>
          <w:lang w:val="fr-CA"/>
        </w:rPr>
        <w:t xml:space="preserve"> de la proposition du Bureau de la Conférence des Parties que les Parties examinent et approuvent un budget provisoire pour 2022, à titre exceptionnel, selon les modalités convenues,</w:t>
      </w:r>
    </w:p>
    <w:p w14:paraId="6573385B" w14:textId="59DEAA8A" w:rsidR="00622CA6" w:rsidRPr="00AE70B8" w:rsidRDefault="00625F06" w:rsidP="00625F06">
      <w:pPr>
        <w:suppressLineNumbers/>
        <w:suppressAutoHyphens/>
        <w:spacing w:before="120" w:after="120"/>
        <w:ind w:firstLine="720"/>
        <w:rPr>
          <w:kern w:val="22"/>
          <w:szCs w:val="22"/>
          <w:lang w:val="fr-CA"/>
        </w:rPr>
      </w:pPr>
      <w:r w:rsidRPr="00AE70B8">
        <w:rPr>
          <w:i/>
          <w:kern w:val="22"/>
          <w:szCs w:val="22"/>
          <w:lang w:val="fr-CA"/>
        </w:rPr>
        <w:t xml:space="preserve">Ayant examiné </w:t>
      </w:r>
      <w:r w:rsidRPr="00AE70B8">
        <w:rPr>
          <w:kern w:val="22"/>
          <w:szCs w:val="22"/>
          <w:lang w:val="fr-CA"/>
        </w:rPr>
        <w:t>la note de la Secrétaire exécutive</w:t>
      </w:r>
      <w:r w:rsidR="008657DB" w:rsidRPr="00AE70B8">
        <w:rPr>
          <w:kern w:val="22"/>
          <w:szCs w:val="22"/>
          <w:lang w:val="fr-CA"/>
        </w:rPr>
        <w:t xml:space="preserve"> </w:t>
      </w:r>
      <w:bookmarkStart w:id="4" w:name="_Ref81141669"/>
      <w:r w:rsidR="00622CA6" w:rsidRPr="00AE70B8">
        <w:rPr>
          <w:rStyle w:val="FootnoteReference"/>
          <w:kern w:val="22"/>
          <w:szCs w:val="22"/>
        </w:rPr>
        <w:footnoteReference w:id="9"/>
      </w:r>
      <w:bookmarkEnd w:id="4"/>
    </w:p>
    <w:p w14:paraId="460ED34B" w14:textId="2E869847" w:rsidR="00625F06" w:rsidRPr="00AE70B8" w:rsidRDefault="00625F06" w:rsidP="00335281">
      <w:pPr>
        <w:pStyle w:val="ListParagraph"/>
        <w:numPr>
          <w:ilvl w:val="3"/>
          <w:numId w:val="61"/>
        </w:numPr>
        <w:suppressLineNumbers/>
        <w:suppressAutoHyphens/>
        <w:spacing w:before="120" w:after="120"/>
        <w:ind w:left="0" w:firstLine="720"/>
        <w:contextualSpacing w:val="0"/>
        <w:rPr>
          <w:rFonts w:eastAsia="Malgun Gothic"/>
          <w:color w:val="000000" w:themeColor="text1"/>
          <w:kern w:val="22"/>
          <w:lang w:val="fr-CA" w:eastAsia="x-none"/>
        </w:rPr>
      </w:pPr>
      <w:r w:rsidRPr="00AE70B8">
        <w:rPr>
          <w:rFonts w:eastAsia="Malgun Gothic"/>
          <w:i/>
          <w:color w:val="000000" w:themeColor="text1"/>
          <w:kern w:val="22"/>
          <w:szCs w:val="22"/>
          <w:lang w:val="fr-CA" w:eastAsia="x-none"/>
        </w:rPr>
        <w:t>Approuve</w:t>
      </w:r>
      <w:r w:rsidRPr="00AE70B8">
        <w:rPr>
          <w:rFonts w:eastAsia="Malgun Gothic"/>
          <w:color w:val="000000" w:themeColor="text1"/>
          <w:kern w:val="22"/>
          <w:szCs w:val="22"/>
          <w:lang w:val="fr-CA" w:eastAsia="x-none"/>
        </w:rPr>
        <w:t xml:space="preserve"> à titre exceptionnel, un budget-programme de base de 1 875 825 dollars des </w:t>
      </w:r>
      <w:r w:rsidRPr="00AE70B8">
        <w:rPr>
          <w:color w:val="000000" w:themeColor="text1"/>
          <w:kern w:val="22"/>
          <w:szCs w:val="22"/>
          <w:lang w:val="fr-CA" w:eastAsia="x-none"/>
        </w:rPr>
        <w:t>États-Unis</w:t>
      </w:r>
      <w:r w:rsidRPr="00AE70B8">
        <w:rPr>
          <w:rFonts w:eastAsia="Malgun Gothic"/>
          <w:color w:val="000000" w:themeColor="text1"/>
          <w:kern w:val="22"/>
          <w:szCs w:val="22"/>
          <w:lang w:val="fr-CA" w:eastAsia="x-none"/>
        </w:rPr>
        <w:t xml:space="preserve"> pour le Protocole</w:t>
      </w:r>
      <w:r w:rsidR="008902A2" w:rsidRPr="00AE70B8">
        <w:rPr>
          <w:rFonts w:eastAsia="Malgun Gothic"/>
          <w:color w:val="000000" w:themeColor="text1"/>
          <w:kern w:val="22"/>
          <w:szCs w:val="22"/>
          <w:lang w:val="fr-CA" w:eastAsia="x-none"/>
        </w:rPr>
        <w:t xml:space="preserve"> de Nagoya sur l’accès et le partage des avantages p</w:t>
      </w:r>
      <w:r w:rsidRPr="00AE70B8">
        <w:rPr>
          <w:rFonts w:eastAsia="Malgun Gothic"/>
          <w:color w:val="000000" w:themeColor="text1"/>
          <w:kern w:val="22"/>
          <w:szCs w:val="22"/>
          <w:lang w:val="fr-CA" w:eastAsia="x-none"/>
        </w:rPr>
        <w:t>our l’année 2022, représent</w:t>
      </w:r>
      <w:r w:rsidR="008902A2" w:rsidRPr="00AE70B8">
        <w:rPr>
          <w:rFonts w:eastAsia="Malgun Gothic"/>
          <w:color w:val="000000" w:themeColor="text1"/>
          <w:kern w:val="22"/>
          <w:szCs w:val="22"/>
          <w:lang w:val="fr-CA" w:eastAsia="x-none"/>
        </w:rPr>
        <w:t>ant 11</w:t>
      </w:r>
      <w:r w:rsidRPr="00AE70B8">
        <w:rPr>
          <w:rFonts w:eastAsia="Malgun Gothic"/>
          <w:color w:val="000000" w:themeColor="text1"/>
          <w:kern w:val="22"/>
          <w:szCs w:val="22"/>
          <w:lang w:val="fr-CA" w:eastAsia="x-none"/>
        </w:rPr>
        <w:t xml:space="preserve"> pour cent du budget provisoire intégré  de 17 052 952 dollars des </w:t>
      </w:r>
      <w:r w:rsidRPr="00AE70B8">
        <w:rPr>
          <w:color w:val="000000" w:themeColor="text1"/>
          <w:kern w:val="22"/>
          <w:szCs w:val="22"/>
          <w:lang w:val="fr-CA" w:eastAsia="x-none"/>
        </w:rPr>
        <w:t>États-Unis</w:t>
      </w:r>
      <w:r w:rsidRPr="00AE70B8">
        <w:rPr>
          <w:rFonts w:eastAsia="Malgun Gothic"/>
          <w:color w:val="000000" w:themeColor="text1"/>
          <w:kern w:val="22"/>
          <w:szCs w:val="22"/>
          <w:lang w:val="fr-CA" w:eastAsia="x-none"/>
        </w:rPr>
        <w:t xml:space="preserve"> pour l’année 2022, </w:t>
      </w:r>
      <w:r w:rsidR="00FD6311" w:rsidRPr="00AE70B8">
        <w:rPr>
          <w:rFonts w:eastAsia="Malgun Gothic"/>
          <w:color w:val="000000" w:themeColor="text1"/>
          <w:kern w:val="22"/>
          <w:szCs w:val="22"/>
          <w:lang w:val="fr-CA" w:eastAsia="x-none"/>
        </w:rPr>
        <w:t xml:space="preserve">pour les besoins </w:t>
      </w:r>
      <w:r w:rsidR="00FD6311">
        <w:rPr>
          <w:rFonts w:eastAsia="Malgun Gothic"/>
          <w:color w:val="000000" w:themeColor="text1"/>
          <w:kern w:val="22"/>
          <w:szCs w:val="22"/>
          <w:lang w:val="fr-CA" w:eastAsia="x-none"/>
        </w:rPr>
        <w:t xml:space="preserve">indiqués </w:t>
      </w:r>
      <w:r w:rsidR="00FD6311" w:rsidRPr="00AE70B8">
        <w:rPr>
          <w:rFonts w:eastAsia="Malgun Gothic"/>
          <w:color w:val="000000" w:themeColor="text1"/>
          <w:kern w:val="22"/>
          <w:szCs w:val="22"/>
          <w:lang w:val="fr-CA" w:eastAsia="x-none"/>
        </w:rPr>
        <w:t xml:space="preserve">dans les tableaux 5a et 5b </w:t>
      </w:r>
      <w:r w:rsidR="00FD6311">
        <w:rPr>
          <w:rFonts w:eastAsia="Malgun Gothic"/>
          <w:color w:val="000000" w:themeColor="text1"/>
          <w:kern w:val="22"/>
          <w:szCs w:val="22"/>
          <w:lang w:val="fr-CA" w:eastAsia="x-none"/>
        </w:rPr>
        <w:t>de la note de la Secrétaire exécutive</w:t>
      </w:r>
      <w:r w:rsidRPr="00AE70B8">
        <w:rPr>
          <w:rFonts w:eastAsia="Malgun Gothic"/>
          <w:color w:val="000000" w:themeColor="text1"/>
          <w:kern w:val="22"/>
          <w:lang w:val="fr-CA" w:eastAsia="x-none"/>
        </w:rPr>
        <w:t>;</w:t>
      </w:r>
      <w:r w:rsidR="00335281">
        <w:rPr>
          <w:rFonts w:eastAsia="Malgun Gothic"/>
          <w:color w:val="000000" w:themeColor="text1"/>
          <w:kern w:val="22"/>
          <w:vertAlign w:val="superscript"/>
          <w:lang w:val="fr-CA" w:eastAsia="x-none"/>
        </w:rPr>
        <w:t>6</w:t>
      </w:r>
    </w:p>
    <w:p w14:paraId="41CCC01C" w14:textId="7C18D37F" w:rsidR="00625F06" w:rsidRPr="00AE70B8" w:rsidRDefault="00625F06" w:rsidP="00335281">
      <w:pPr>
        <w:pStyle w:val="ListParagraph"/>
        <w:numPr>
          <w:ilvl w:val="3"/>
          <w:numId w:val="61"/>
        </w:numPr>
        <w:suppressLineNumbers/>
        <w:suppressAutoHyphens/>
        <w:spacing w:before="120" w:after="120"/>
        <w:ind w:left="0" w:firstLine="720"/>
        <w:contextualSpacing w:val="0"/>
        <w:rPr>
          <w:rFonts w:eastAsia="Malgun Gothic"/>
          <w:color w:val="000000" w:themeColor="text1"/>
          <w:kern w:val="22"/>
          <w:lang w:val="fr-CA" w:eastAsia="x-none"/>
        </w:rPr>
      </w:pPr>
      <w:r w:rsidRPr="00AE70B8">
        <w:rPr>
          <w:i/>
          <w:kern w:val="22"/>
          <w:lang w:val="fr-CA"/>
        </w:rPr>
        <w:t xml:space="preserve">Prie </w:t>
      </w:r>
      <w:r w:rsidRPr="00AE70B8">
        <w:rPr>
          <w:kern w:val="22"/>
          <w:lang w:val="fr-CA"/>
        </w:rPr>
        <w:t xml:space="preserve">la Secrétaire exécutive </w:t>
      </w:r>
      <w:r w:rsidRPr="00AE70B8">
        <w:rPr>
          <w:kern w:val="22"/>
          <w:szCs w:val="22"/>
          <w:lang w:val="fr-CA"/>
        </w:rPr>
        <w:t>de préparer des propositions budgétaires pour la période budgétaire 2023-2024</w:t>
      </w:r>
      <w:r w:rsidRPr="00AE70B8">
        <w:rPr>
          <w:kern w:val="22"/>
          <w:lang w:val="fr-CA"/>
        </w:rPr>
        <w:t>;</w:t>
      </w:r>
    </w:p>
    <w:p w14:paraId="58B31AAF" w14:textId="670090A0" w:rsidR="00622CA6" w:rsidRPr="00AE70B8" w:rsidRDefault="00625F06" w:rsidP="00335281">
      <w:pPr>
        <w:pStyle w:val="ListParagraph"/>
        <w:numPr>
          <w:ilvl w:val="0"/>
          <w:numId w:val="61"/>
        </w:numPr>
        <w:suppressLineNumbers/>
        <w:shd w:val="clear" w:color="auto" w:fill="FFFFFF" w:themeFill="background1"/>
        <w:suppressAutoHyphens/>
        <w:spacing w:before="120" w:after="120"/>
        <w:ind w:left="0" w:firstLine="720"/>
        <w:contextualSpacing w:val="0"/>
        <w:rPr>
          <w:kern w:val="22"/>
          <w:lang w:val="fr-CA"/>
        </w:rPr>
      </w:pPr>
      <w:r w:rsidRPr="00AE70B8">
        <w:rPr>
          <w:rFonts w:eastAsia="Malgun Gothic"/>
          <w:i/>
          <w:snapToGrid w:val="0"/>
          <w:kern w:val="22"/>
          <w:lang w:val="fr-CA" w:eastAsia="x-none"/>
        </w:rPr>
        <w:t xml:space="preserve">Décide </w:t>
      </w:r>
      <w:r w:rsidRPr="00AE70B8">
        <w:rPr>
          <w:rFonts w:eastAsia="Malgun Gothic"/>
          <w:snapToGrid w:val="0"/>
          <w:kern w:val="22"/>
          <w:lang w:val="fr-CA" w:eastAsia="x-none"/>
        </w:rPr>
        <w:t>d’appliquer, mutatis mutandis, les paragraphes 2 à 12 de la décision adoptée par la Conférence des Parties à sa quinzième réunion (partie I)</w:t>
      </w:r>
      <w:r w:rsidR="002D6FC1" w:rsidRPr="00AE70B8">
        <w:rPr>
          <w:rFonts w:eastAsia="Malgun Gothic"/>
          <w:snapToGrid w:val="0"/>
          <w:kern w:val="22"/>
          <w:lang w:val="fr-CA" w:eastAsia="x-none"/>
        </w:rPr>
        <w:t>.</w:t>
      </w:r>
      <w:r w:rsidR="00885FAB" w:rsidRPr="00AE70B8">
        <w:rPr>
          <w:rStyle w:val="FootnoteReference"/>
          <w:rFonts w:eastAsia="Malgun Gothic"/>
          <w:snapToGrid w:val="0"/>
          <w:kern w:val="22"/>
          <w:lang w:eastAsia="x-none"/>
        </w:rPr>
        <w:footnoteReference w:id="10"/>
      </w:r>
    </w:p>
    <w:p w14:paraId="2BE74A2C" w14:textId="77777777" w:rsidR="00622CA6" w:rsidRPr="00AE70B8" w:rsidRDefault="00622CA6" w:rsidP="006914CE">
      <w:pPr>
        <w:suppressLineNumbers/>
        <w:suppressAutoHyphens/>
        <w:spacing w:before="120" w:after="120"/>
        <w:rPr>
          <w:kern w:val="22"/>
          <w:szCs w:val="22"/>
          <w:lang w:val="fr-CA"/>
        </w:rPr>
      </w:pPr>
    </w:p>
    <w:p w14:paraId="3782C0FB" w14:textId="2DB846A1" w:rsidR="001168DF" w:rsidRPr="00AE70B8" w:rsidRDefault="00ED362B" w:rsidP="00282AF6">
      <w:pPr>
        <w:pStyle w:val="Default"/>
        <w:keepNext/>
        <w:keepLines/>
        <w:suppressLineNumbers/>
        <w:suppressAutoHyphens/>
        <w:adjustRightInd/>
        <w:ind w:left="144"/>
        <w:jc w:val="both"/>
        <w:rPr>
          <w:b/>
          <w:color w:val="000000" w:themeColor="text1"/>
          <w:kern w:val="22"/>
          <w:sz w:val="22"/>
          <w:szCs w:val="22"/>
          <w:lang w:val="fr-CA"/>
        </w:rPr>
      </w:pPr>
      <w:r w:rsidRPr="00AE70B8">
        <w:rPr>
          <w:b/>
          <w:color w:val="000000" w:themeColor="text1"/>
          <w:kern w:val="22"/>
          <w:sz w:val="22"/>
          <w:szCs w:val="22"/>
          <w:lang w:val="fr-CA"/>
        </w:rPr>
        <w:t>Table</w:t>
      </w:r>
      <w:r w:rsidR="008902A2" w:rsidRPr="00AE70B8">
        <w:rPr>
          <w:b/>
          <w:color w:val="000000" w:themeColor="text1"/>
          <w:kern w:val="22"/>
          <w:sz w:val="22"/>
          <w:szCs w:val="22"/>
          <w:lang w:val="fr-CA"/>
        </w:rPr>
        <w:t>au</w:t>
      </w:r>
      <w:r w:rsidRPr="00AE70B8">
        <w:rPr>
          <w:b/>
          <w:color w:val="000000" w:themeColor="text1"/>
          <w:kern w:val="22"/>
          <w:sz w:val="22"/>
          <w:szCs w:val="22"/>
          <w:lang w:val="fr-CA"/>
        </w:rPr>
        <w:t xml:space="preserve"> </w:t>
      </w:r>
      <w:r w:rsidR="004A4638" w:rsidRPr="00AE70B8">
        <w:rPr>
          <w:b/>
          <w:color w:val="000000" w:themeColor="text1"/>
          <w:kern w:val="22"/>
          <w:sz w:val="22"/>
          <w:szCs w:val="22"/>
          <w:lang w:val="fr-CA"/>
        </w:rPr>
        <w:t>6</w:t>
      </w:r>
    </w:p>
    <w:p w14:paraId="4618EE10" w14:textId="13867E49" w:rsidR="0074350D" w:rsidRPr="00AE70B8" w:rsidRDefault="008902A2" w:rsidP="00282AF6">
      <w:pPr>
        <w:pStyle w:val="Default"/>
        <w:keepNext/>
        <w:keepLines/>
        <w:suppressLineNumbers/>
        <w:suppressAutoHyphens/>
        <w:adjustRightInd/>
        <w:ind w:left="144"/>
        <w:jc w:val="both"/>
        <w:rPr>
          <w:color w:val="000000" w:themeColor="text1"/>
          <w:kern w:val="22"/>
          <w:sz w:val="22"/>
          <w:szCs w:val="22"/>
          <w:lang w:val="fr-CA"/>
        </w:rPr>
      </w:pPr>
      <w:r w:rsidRPr="00AE70B8">
        <w:rPr>
          <w:b/>
          <w:color w:val="000000" w:themeColor="text1"/>
          <w:kern w:val="22"/>
          <w:sz w:val="22"/>
          <w:szCs w:val="22"/>
          <w:lang w:val="fr-CA"/>
        </w:rPr>
        <w:t>Tableau des effectifs extraits des programmes de base de la Convention et de ses Protocoles</w:t>
      </w:r>
      <w:r w:rsidR="1A04E8F9" w:rsidRPr="00AE70B8">
        <w:rPr>
          <w:b/>
          <w:color w:val="000000" w:themeColor="text1"/>
          <w:kern w:val="22"/>
          <w:sz w:val="22"/>
          <w:szCs w:val="22"/>
          <w:lang w:val="fr-CA"/>
        </w:rPr>
        <w:t xml:space="preserve"> 202</w:t>
      </w:r>
      <w:r w:rsidR="21992E8B" w:rsidRPr="00AE70B8">
        <w:rPr>
          <w:b/>
          <w:color w:val="000000" w:themeColor="text1"/>
          <w:kern w:val="22"/>
          <w:sz w:val="22"/>
          <w:szCs w:val="22"/>
          <w:lang w:val="fr-CA"/>
        </w:rPr>
        <w:t>2</w:t>
      </w:r>
    </w:p>
    <w:p w14:paraId="386F0107" w14:textId="77777777" w:rsidR="0074350D" w:rsidRPr="00AE70B8" w:rsidRDefault="0074350D" w:rsidP="00282AF6">
      <w:pPr>
        <w:keepNext/>
        <w:keepLines/>
        <w:suppressLineNumbers/>
        <w:suppressAutoHyphens/>
        <w:ind w:left="144"/>
        <w:rPr>
          <w:kern w:val="22"/>
          <w:szCs w:val="22"/>
          <w:lang w:val="fr-CA"/>
        </w:rPr>
      </w:pPr>
    </w:p>
    <w:tbl>
      <w:tblPr>
        <w:tblW w:w="9073" w:type="dxa"/>
        <w:jc w:val="center"/>
        <w:tblLook w:val="04A0" w:firstRow="1" w:lastRow="0" w:firstColumn="1" w:lastColumn="0" w:noHBand="0" w:noVBand="1"/>
      </w:tblPr>
      <w:tblGrid>
        <w:gridCol w:w="3651"/>
        <w:gridCol w:w="1807"/>
        <w:gridCol w:w="1807"/>
        <w:gridCol w:w="1808"/>
      </w:tblGrid>
      <w:tr w:rsidR="00C302BB" w:rsidRPr="00AE70B8" w14:paraId="54EBEB76" w14:textId="41668475" w:rsidTr="006914CE">
        <w:trPr>
          <w:cantSplit/>
          <w:jc w:val="center"/>
        </w:trPr>
        <w:tc>
          <w:tcPr>
            <w:tcW w:w="3651" w:type="dxa"/>
            <w:tcBorders>
              <w:top w:val="nil"/>
              <w:left w:val="nil"/>
              <w:bottom w:val="single" w:sz="8" w:space="0" w:color="auto"/>
              <w:right w:val="nil"/>
            </w:tcBorders>
            <w:shd w:val="clear" w:color="auto" w:fill="auto"/>
            <w:vAlign w:val="center"/>
            <w:hideMark/>
          </w:tcPr>
          <w:p w14:paraId="0717C7E7" w14:textId="2EC7B8F4" w:rsidR="00C302BB" w:rsidRPr="00AE70B8" w:rsidRDefault="00E14784" w:rsidP="004B1319">
            <w:pPr>
              <w:keepNext/>
              <w:keepLines/>
              <w:suppressLineNumbers/>
              <w:suppressAutoHyphens/>
              <w:jc w:val="center"/>
              <w:rPr>
                <w:b/>
                <w:color w:val="000000" w:themeColor="text1"/>
                <w:kern w:val="22"/>
                <w:szCs w:val="22"/>
                <w:lang w:val="fr-CA"/>
              </w:rPr>
            </w:pPr>
            <w:r w:rsidRPr="00AE70B8">
              <w:rPr>
                <w:b/>
                <w:color w:val="000000" w:themeColor="text1"/>
                <w:kern w:val="22"/>
                <w:szCs w:val="22"/>
                <w:lang w:val="fr-CA"/>
              </w:rPr>
              <w:t>Catégorie et niveau</w:t>
            </w:r>
          </w:p>
        </w:tc>
        <w:tc>
          <w:tcPr>
            <w:tcW w:w="1807" w:type="dxa"/>
            <w:tcBorders>
              <w:top w:val="nil"/>
              <w:left w:val="nil"/>
              <w:bottom w:val="single" w:sz="8" w:space="0" w:color="auto"/>
              <w:right w:val="nil"/>
            </w:tcBorders>
            <w:shd w:val="clear" w:color="auto" w:fill="auto"/>
            <w:vAlign w:val="center"/>
            <w:hideMark/>
          </w:tcPr>
          <w:p w14:paraId="365CA888" w14:textId="306F1CE7" w:rsidR="00C302BB" w:rsidRPr="00AE70B8" w:rsidRDefault="00E14784" w:rsidP="004B1319">
            <w:pPr>
              <w:keepNext/>
              <w:keepLines/>
              <w:suppressLineNumbers/>
              <w:suppressAutoHyphens/>
              <w:jc w:val="center"/>
              <w:rPr>
                <w:b/>
                <w:color w:val="000000" w:themeColor="text1"/>
                <w:kern w:val="22"/>
                <w:szCs w:val="22"/>
                <w:lang w:val="fr-CA"/>
              </w:rPr>
            </w:pPr>
            <w:r w:rsidRPr="00AE70B8">
              <w:rPr>
                <w:b/>
                <w:color w:val="000000" w:themeColor="text1"/>
                <w:kern w:val="22"/>
                <w:szCs w:val="22"/>
                <w:lang w:val="fr-CA"/>
              </w:rPr>
              <w:t xml:space="preserve">Approuvés pour </w:t>
            </w:r>
            <w:r w:rsidR="008F19B3" w:rsidRPr="00AE70B8">
              <w:rPr>
                <w:b/>
                <w:color w:val="000000" w:themeColor="text1"/>
                <w:kern w:val="22"/>
                <w:szCs w:val="22"/>
                <w:lang w:val="fr-CA"/>
              </w:rPr>
              <w:t>20</w:t>
            </w:r>
            <w:r w:rsidR="0081489E" w:rsidRPr="00AE70B8">
              <w:rPr>
                <w:b/>
                <w:bCs/>
                <w:iCs/>
                <w:color w:val="000000" w:themeColor="text1"/>
                <w:kern w:val="22"/>
                <w:lang w:val="fr-CA"/>
              </w:rPr>
              <w:t>21</w:t>
            </w:r>
          </w:p>
        </w:tc>
        <w:tc>
          <w:tcPr>
            <w:tcW w:w="1807" w:type="dxa"/>
            <w:tcBorders>
              <w:top w:val="nil"/>
              <w:left w:val="nil"/>
              <w:bottom w:val="single" w:sz="8" w:space="0" w:color="auto"/>
              <w:right w:val="nil"/>
            </w:tcBorders>
            <w:shd w:val="clear" w:color="auto" w:fill="auto"/>
            <w:vAlign w:val="center"/>
            <w:hideMark/>
          </w:tcPr>
          <w:p w14:paraId="1BBA4B6A" w14:textId="0F404A4D" w:rsidR="00C302BB" w:rsidRPr="00AE70B8" w:rsidRDefault="00E14784" w:rsidP="004B1319">
            <w:pPr>
              <w:keepNext/>
              <w:keepLines/>
              <w:suppressLineNumbers/>
              <w:suppressAutoHyphens/>
              <w:jc w:val="center"/>
              <w:rPr>
                <w:b/>
                <w:color w:val="000000" w:themeColor="text1"/>
                <w:kern w:val="22"/>
                <w:szCs w:val="22"/>
                <w:lang w:val="fr-CA"/>
              </w:rPr>
            </w:pPr>
            <w:r w:rsidRPr="00AE70B8">
              <w:rPr>
                <w:b/>
                <w:color w:val="000000" w:themeColor="text1"/>
                <w:kern w:val="22"/>
                <w:szCs w:val="22"/>
                <w:lang w:val="fr-CA"/>
              </w:rPr>
              <w:t>Proposés pour</w:t>
            </w:r>
            <w:r w:rsidR="00C302BB" w:rsidRPr="00AE70B8">
              <w:rPr>
                <w:b/>
                <w:color w:val="000000" w:themeColor="text1"/>
                <w:kern w:val="22"/>
                <w:szCs w:val="22"/>
                <w:lang w:val="fr-CA"/>
              </w:rPr>
              <w:t xml:space="preserve"> </w:t>
            </w:r>
            <w:r w:rsidR="00C302BB" w:rsidRPr="00AE70B8">
              <w:rPr>
                <w:b/>
                <w:color w:val="000000" w:themeColor="text1"/>
                <w:kern w:val="22"/>
                <w:lang w:val="fr-CA"/>
              </w:rPr>
              <w:t>202</w:t>
            </w:r>
            <w:r w:rsidR="0081489E" w:rsidRPr="00AE70B8">
              <w:rPr>
                <w:b/>
                <w:bCs/>
                <w:iCs/>
                <w:color w:val="000000" w:themeColor="text1"/>
                <w:kern w:val="22"/>
                <w:lang w:val="fr-CA"/>
              </w:rPr>
              <w:t>2</w:t>
            </w:r>
          </w:p>
        </w:tc>
        <w:tc>
          <w:tcPr>
            <w:tcW w:w="1808" w:type="dxa"/>
            <w:tcBorders>
              <w:top w:val="nil"/>
              <w:left w:val="nil"/>
              <w:bottom w:val="single" w:sz="8" w:space="0" w:color="auto"/>
              <w:right w:val="nil"/>
            </w:tcBorders>
            <w:vAlign w:val="center"/>
          </w:tcPr>
          <w:p w14:paraId="14F449C2" w14:textId="789109F3" w:rsidR="00C302BB" w:rsidRPr="00AE70B8" w:rsidRDefault="00E14784" w:rsidP="004B1319">
            <w:pPr>
              <w:keepNext/>
              <w:keepLines/>
              <w:suppressLineNumbers/>
              <w:suppressAutoHyphens/>
              <w:jc w:val="center"/>
              <w:rPr>
                <w:b/>
                <w:color w:val="000000" w:themeColor="text1"/>
                <w:kern w:val="22"/>
                <w:szCs w:val="22"/>
                <w:lang w:val="fr-CA"/>
              </w:rPr>
            </w:pPr>
            <w:r w:rsidRPr="00AE70B8">
              <w:rPr>
                <w:b/>
                <w:color w:val="000000" w:themeColor="text1"/>
                <w:kern w:val="22"/>
                <w:szCs w:val="22"/>
                <w:lang w:val="fr-CA"/>
              </w:rPr>
              <w:t>Écart</w:t>
            </w:r>
          </w:p>
        </w:tc>
      </w:tr>
      <w:tr w:rsidR="00C302BB" w:rsidRPr="00AE70B8" w14:paraId="598DD700" w14:textId="7ABE555D" w:rsidTr="006914CE">
        <w:trPr>
          <w:trHeight w:val="288"/>
          <w:jc w:val="center"/>
        </w:trPr>
        <w:tc>
          <w:tcPr>
            <w:tcW w:w="3651" w:type="dxa"/>
            <w:tcBorders>
              <w:top w:val="nil"/>
              <w:left w:val="nil"/>
              <w:bottom w:val="nil"/>
              <w:right w:val="nil"/>
            </w:tcBorders>
            <w:shd w:val="clear" w:color="auto" w:fill="auto"/>
            <w:noWrap/>
            <w:vAlign w:val="center"/>
            <w:hideMark/>
          </w:tcPr>
          <w:p w14:paraId="79B4F26B" w14:textId="067A650B" w:rsidR="00C302BB" w:rsidRPr="00AE70B8" w:rsidRDefault="00E14784" w:rsidP="00E14784">
            <w:pPr>
              <w:keepNext/>
              <w:keepLines/>
              <w:suppressLineNumbers/>
              <w:suppressAutoHyphens/>
              <w:rPr>
                <w:b/>
                <w:color w:val="000000" w:themeColor="text1"/>
                <w:kern w:val="22"/>
                <w:szCs w:val="22"/>
                <w:lang w:val="fr-CA"/>
              </w:rPr>
            </w:pPr>
            <w:r w:rsidRPr="00AE70B8">
              <w:rPr>
                <w:b/>
                <w:color w:val="000000" w:themeColor="text1"/>
                <w:kern w:val="22"/>
                <w:szCs w:val="22"/>
                <w:lang w:val="fr-CA"/>
              </w:rPr>
              <w:t>Niveaux professionnel et supérieur</w:t>
            </w:r>
          </w:p>
        </w:tc>
        <w:tc>
          <w:tcPr>
            <w:tcW w:w="1807" w:type="dxa"/>
            <w:tcBorders>
              <w:top w:val="nil"/>
              <w:left w:val="nil"/>
              <w:bottom w:val="nil"/>
              <w:right w:val="nil"/>
            </w:tcBorders>
            <w:shd w:val="clear" w:color="auto" w:fill="auto"/>
            <w:vAlign w:val="center"/>
            <w:hideMark/>
          </w:tcPr>
          <w:p w14:paraId="2DC4E9EF" w14:textId="77777777" w:rsidR="00C302BB" w:rsidRPr="00AE70B8" w:rsidRDefault="00C302BB" w:rsidP="006914CE">
            <w:pPr>
              <w:keepNext/>
              <w:keepLines/>
              <w:suppressLineNumbers/>
              <w:suppressAutoHyphens/>
              <w:rPr>
                <w:color w:val="000000" w:themeColor="text1"/>
                <w:kern w:val="22"/>
                <w:szCs w:val="22"/>
                <w:lang w:val="fr-CA"/>
              </w:rPr>
            </w:pPr>
          </w:p>
        </w:tc>
        <w:tc>
          <w:tcPr>
            <w:tcW w:w="1807" w:type="dxa"/>
            <w:tcBorders>
              <w:top w:val="nil"/>
              <w:left w:val="nil"/>
              <w:bottom w:val="nil"/>
              <w:right w:val="nil"/>
            </w:tcBorders>
            <w:shd w:val="clear" w:color="auto" w:fill="auto"/>
            <w:vAlign w:val="center"/>
            <w:hideMark/>
          </w:tcPr>
          <w:p w14:paraId="764F416D" w14:textId="77777777" w:rsidR="00C302BB" w:rsidRPr="00AE70B8" w:rsidRDefault="00C302BB" w:rsidP="006914CE">
            <w:pPr>
              <w:keepNext/>
              <w:keepLines/>
              <w:suppressLineNumbers/>
              <w:suppressAutoHyphens/>
              <w:rPr>
                <w:color w:val="000000" w:themeColor="text1"/>
                <w:kern w:val="22"/>
                <w:szCs w:val="22"/>
                <w:lang w:val="fr-CA"/>
              </w:rPr>
            </w:pPr>
          </w:p>
        </w:tc>
        <w:tc>
          <w:tcPr>
            <w:tcW w:w="1808" w:type="dxa"/>
            <w:tcBorders>
              <w:top w:val="nil"/>
              <w:left w:val="nil"/>
              <w:bottom w:val="nil"/>
              <w:right w:val="nil"/>
            </w:tcBorders>
          </w:tcPr>
          <w:p w14:paraId="72DDD255" w14:textId="77777777" w:rsidR="00C302BB" w:rsidRPr="00AE70B8" w:rsidRDefault="00C302BB" w:rsidP="006914CE">
            <w:pPr>
              <w:keepNext/>
              <w:keepLines/>
              <w:suppressLineNumbers/>
              <w:suppressAutoHyphens/>
              <w:rPr>
                <w:color w:val="000000" w:themeColor="text1"/>
                <w:kern w:val="22"/>
                <w:szCs w:val="22"/>
                <w:lang w:val="fr-CA"/>
              </w:rPr>
            </w:pPr>
          </w:p>
        </w:tc>
      </w:tr>
      <w:tr w:rsidR="00C302BB" w:rsidRPr="00AE70B8" w14:paraId="36EFE52A" w14:textId="42DB0954" w:rsidTr="006914CE">
        <w:trPr>
          <w:trHeight w:val="288"/>
          <w:jc w:val="center"/>
        </w:trPr>
        <w:tc>
          <w:tcPr>
            <w:tcW w:w="3651" w:type="dxa"/>
            <w:tcBorders>
              <w:top w:val="nil"/>
              <w:left w:val="nil"/>
              <w:bottom w:val="nil"/>
              <w:right w:val="nil"/>
            </w:tcBorders>
            <w:shd w:val="clear" w:color="auto" w:fill="auto"/>
            <w:vAlign w:val="center"/>
            <w:hideMark/>
          </w:tcPr>
          <w:p w14:paraId="317E0420" w14:textId="47FD9A27" w:rsidR="00C302BB" w:rsidRPr="00AE70B8" w:rsidRDefault="00E14784" w:rsidP="006914CE">
            <w:pPr>
              <w:keepNext/>
              <w:keepLines/>
              <w:suppressLineNumbers/>
              <w:suppressAutoHyphens/>
              <w:rPr>
                <w:color w:val="000000" w:themeColor="text1"/>
                <w:kern w:val="22"/>
                <w:szCs w:val="22"/>
                <w:lang w:val="fr-CA"/>
              </w:rPr>
            </w:pPr>
            <w:r w:rsidRPr="00AE70B8">
              <w:rPr>
                <w:color w:val="000000" w:themeColor="text1"/>
                <w:kern w:val="22"/>
                <w:szCs w:val="22"/>
                <w:lang w:val="fr-CA"/>
              </w:rPr>
              <w:t>SSG</w:t>
            </w:r>
          </w:p>
        </w:tc>
        <w:tc>
          <w:tcPr>
            <w:tcW w:w="1807" w:type="dxa"/>
            <w:tcBorders>
              <w:top w:val="nil"/>
              <w:left w:val="nil"/>
              <w:bottom w:val="nil"/>
              <w:right w:val="nil"/>
            </w:tcBorders>
            <w:shd w:val="clear" w:color="auto" w:fill="auto"/>
            <w:vAlign w:val="center"/>
            <w:hideMark/>
          </w:tcPr>
          <w:p w14:paraId="4A711365" w14:textId="77777777" w:rsidR="00C302BB" w:rsidRPr="00AE70B8" w:rsidRDefault="00C302BB" w:rsidP="006914CE">
            <w:pPr>
              <w:keepNext/>
              <w:keepLines/>
              <w:suppressLineNumbers/>
              <w:suppressAutoHyphens/>
              <w:ind w:right="451"/>
              <w:jc w:val="right"/>
              <w:rPr>
                <w:color w:val="000000" w:themeColor="text1"/>
                <w:kern w:val="22"/>
                <w:szCs w:val="22"/>
                <w:lang w:val="fr-CA"/>
              </w:rPr>
            </w:pPr>
            <w:r w:rsidRPr="00AE70B8">
              <w:rPr>
                <w:color w:val="000000" w:themeColor="text1"/>
                <w:kern w:val="22"/>
                <w:szCs w:val="22"/>
                <w:lang w:val="fr-CA"/>
              </w:rPr>
              <w:t>1</w:t>
            </w:r>
          </w:p>
        </w:tc>
        <w:tc>
          <w:tcPr>
            <w:tcW w:w="1807" w:type="dxa"/>
            <w:tcBorders>
              <w:top w:val="nil"/>
              <w:left w:val="nil"/>
              <w:bottom w:val="nil"/>
              <w:right w:val="nil"/>
            </w:tcBorders>
            <w:shd w:val="clear" w:color="auto" w:fill="auto"/>
            <w:vAlign w:val="center"/>
            <w:hideMark/>
          </w:tcPr>
          <w:p w14:paraId="6F01E660" w14:textId="77777777" w:rsidR="00C302BB" w:rsidRPr="00AE70B8" w:rsidRDefault="00C302BB" w:rsidP="006914CE">
            <w:pPr>
              <w:keepNext/>
              <w:keepLines/>
              <w:suppressLineNumbers/>
              <w:suppressAutoHyphens/>
              <w:ind w:right="451"/>
              <w:jc w:val="right"/>
              <w:rPr>
                <w:color w:val="000000" w:themeColor="text1"/>
                <w:kern w:val="22"/>
                <w:szCs w:val="22"/>
                <w:lang w:val="fr-CA"/>
              </w:rPr>
            </w:pPr>
            <w:r w:rsidRPr="00AE70B8">
              <w:rPr>
                <w:color w:val="000000" w:themeColor="text1"/>
                <w:kern w:val="22"/>
                <w:szCs w:val="22"/>
                <w:lang w:val="fr-CA"/>
              </w:rPr>
              <w:t>1</w:t>
            </w:r>
          </w:p>
        </w:tc>
        <w:tc>
          <w:tcPr>
            <w:tcW w:w="1808" w:type="dxa"/>
            <w:tcBorders>
              <w:top w:val="nil"/>
              <w:left w:val="nil"/>
              <w:bottom w:val="nil"/>
              <w:right w:val="nil"/>
            </w:tcBorders>
          </w:tcPr>
          <w:p w14:paraId="6801BE7E" w14:textId="52E5793C" w:rsidR="00C302BB" w:rsidRPr="00AE70B8" w:rsidRDefault="00C302BB" w:rsidP="006914CE">
            <w:pPr>
              <w:keepNext/>
              <w:keepLines/>
              <w:suppressLineNumbers/>
              <w:suppressAutoHyphens/>
              <w:ind w:right="451"/>
              <w:jc w:val="right"/>
              <w:rPr>
                <w:color w:val="000000" w:themeColor="text1"/>
                <w:kern w:val="22"/>
                <w:szCs w:val="22"/>
                <w:lang w:val="fr-CA"/>
              </w:rPr>
            </w:pPr>
            <w:r w:rsidRPr="00AE70B8">
              <w:rPr>
                <w:color w:val="000000" w:themeColor="text1"/>
                <w:kern w:val="22"/>
                <w:szCs w:val="22"/>
                <w:lang w:val="fr-CA"/>
              </w:rPr>
              <w:t>-</w:t>
            </w:r>
          </w:p>
        </w:tc>
      </w:tr>
      <w:tr w:rsidR="006B120D" w:rsidRPr="00AE70B8" w14:paraId="18ED9AAE" w14:textId="77777777" w:rsidTr="006914CE">
        <w:trPr>
          <w:trHeight w:val="288"/>
          <w:jc w:val="center"/>
        </w:trPr>
        <w:tc>
          <w:tcPr>
            <w:tcW w:w="3651" w:type="dxa"/>
            <w:tcBorders>
              <w:top w:val="nil"/>
              <w:left w:val="nil"/>
              <w:bottom w:val="nil"/>
              <w:right w:val="nil"/>
            </w:tcBorders>
            <w:shd w:val="clear" w:color="auto" w:fill="auto"/>
            <w:vAlign w:val="center"/>
          </w:tcPr>
          <w:p w14:paraId="345CF398" w14:textId="37590526" w:rsidR="006B120D" w:rsidRPr="00AE70B8" w:rsidRDefault="006B120D" w:rsidP="006914CE">
            <w:pPr>
              <w:keepNext/>
              <w:keepLines/>
              <w:suppressLineNumbers/>
              <w:suppressAutoHyphens/>
              <w:rPr>
                <w:color w:val="000000" w:themeColor="text1"/>
                <w:kern w:val="22"/>
                <w:szCs w:val="22"/>
                <w:lang w:val="fr-CA"/>
              </w:rPr>
            </w:pPr>
            <w:r w:rsidRPr="00AE70B8">
              <w:rPr>
                <w:color w:val="000000" w:themeColor="text1"/>
                <w:kern w:val="22"/>
                <w:szCs w:val="22"/>
                <w:lang w:val="fr-CA"/>
              </w:rPr>
              <w:t>D-2</w:t>
            </w:r>
            <w:r w:rsidR="00D14898" w:rsidRPr="00AE70B8">
              <w:rPr>
                <w:color w:val="000000" w:themeColor="text1"/>
                <w:kern w:val="22"/>
                <w:szCs w:val="22"/>
                <w:vertAlign w:val="superscript"/>
                <w:lang w:val="fr-CA"/>
              </w:rPr>
              <w:t>1</w:t>
            </w:r>
          </w:p>
        </w:tc>
        <w:tc>
          <w:tcPr>
            <w:tcW w:w="1807" w:type="dxa"/>
            <w:tcBorders>
              <w:top w:val="nil"/>
              <w:left w:val="nil"/>
              <w:bottom w:val="nil"/>
              <w:right w:val="nil"/>
            </w:tcBorders>
            <w:shd w:val="clear" w:color="auto" w:fill="auto"/>
            <w:vAlign w:val="center"/>
          </w:tcPr>
          <w:p w14:paraId="6CF9E79B" w14:textId="77777777" w:rsidR="006B120D" w:rsidRPr="00AE70B8" w:rsidRDefault="006B120D" w:rsidP="006914CE">
            <w:pPr>
              <w:keepNext/>
              <w:keepLines/>
              <w:suppressLineNumbers/>
              <w:suppressAutoHyphens/>
              <w:ind w:right="451"/>
              <w:jc w:val="right"/>
              <w:rPr>
                <w:color w:val="000000" w:themeColor="text1"/>
                <w:kern w:val="22"/>
                <w:szCs w:val="22"/>
                <w:lang w:val="fr-CA"/>
              </w:rPr>
            </w:pPr>
          </w:p>
        </w:tc>
        <w:tc>
          <w:tcPr>
            <w:tcW w:w="1807" w:type="dxa"/>
            <w:tcBorders>
              <w:top w:val="nil"/>
              <w:left w:val="nil"/>
              <w:bottom w:val="nil"/>
              <w:right w:val="nil"/>
            </w:tcBorders>
            <w:shd w:val="clear" w:color="auto" w:fill="auto"/>
            <w:vAlign w:val="center"/>
          </w:tcPr>
          <w:p w14:paraId="4A3719E6" w14:textId="152ECA1A" w:rsidR="006B120D" w:rsidRPr="00AE70B8" w:rsidRDefault="006B120D" w:rsidP="006914CE">
            <w:pPr>
              <w:keepNext/>
              <w:keepLines/>
              <w:suppressLineNumbers/>
              <w:suppressAutoHyphens/>
              <w:ind w:right="451"/>
              <w:jc w:val="right"/>
              <w:rPr>
                <w:color w:val="000000" w:themeColor="text1"/>
                <w:kern w:val="22"/>
                <w:szCs w:val="22"/>
                <w:lang w:val="fr-CA"/>
              </w:rPr>
            </w:pPr>
            <w:r w:rsidRPr="00AE70B8">
              <w:rPr>
                <w:color w:val="000000" w:themeColor="text1"/>
                <w:kern w:val="22"/>
                <w:szCs w:val="22"/>
                <w:lang w:val="fr-CA"/>
              </w:rPr>
              <w:t>1</w:t>
            </w:r>
          </w:p>
        </w:tc>
        <w:tc>
          <w:tcPr>
            <w:tcW w:w="1808" w:type="dxa"/>
            <w:tcBorders>
              <w:top w:val="nil"/>
              <w:left w:val="nil"/>
              <w:bottom w:val="nil"/>
              <w:right w:val="nil"/>
            </w:tcBorders>
          </w:tcPr>
          <w:p w14:paraId="3EE9584F" w14:textId="3F0BFB39" w:rsidR="006B120D" w:rsidRPr="00AE70B8" w:rsidRDefault="006B120D" w:rsidP="006914CE">
            <w:pPr>
              <w:keepNext/>
              <w:keepLines/>
              <w:suppressLineNumbers/>
              <w:suppressAutoHyphens/>
              <w:ind w:right="451"/>
              <w:jc w:val="right"/>
              <w:rPr>
                <w:color w:val="000000" w:themeColor="text1"/>
                <w:kern w:val="22"/>
                <w:szCs w:val="22"/>
                <w:lang w:val="fr-CA"/>
              </w:rPr>
            </w:pPr>
            <w:r w:rsidRPr="00AE70B8">
              <w:rPr>
                <w:color w:val="000000" w:themeColor="text1"/>
                <w:kern w:val="22"/>
                <w:szCs w:val="22"/>
                <w:lang w:val="fr-CA"/>
              </w:rPr>
              <w:t>1</w:t>
            </w:r>
          </w:p>
        </w:tc>
      </w:tr>
      <w:tr w:rsidR="00C302BB" w:rsidRPr="00AE70B8" w14:paraId="76E1F209" w14:textId="25F5E5F4" w:rsidTr="006914CE">
        <w:trPr>
          <w:trHeight w:val="288"/>
          <w:jc w:val="center"/>
        </w:trPr>
        <w:tc>
          <w:tcPr>
            <w:tcW w:w="3651" w:type="dxa"/>
            <w:tcBorders>
              <w:top w:val="nil"/>
              <w:left w:val="nil"/>
              <w:bottom w:val="nil"/>
              <w:right w:val="nil"/>
            </w:tcBorders>
            <w:shd w:val="clear" w:color="auto" w:fill="auto"/>
            <w:vAlign w:val="center"/>
            <w:hideMark/>
          </w:tcPr>
          <w:p w14:paraId="669D4665" w14:textId="77777777" w:rsidR="00C302BB" w:rsidRPr="00AE70B8" w:rsidRDefault="00C302BB" w:rsidP="006914CE">
            <w:pPr>
              <w:keepNext/>
              <w:keepLines/>
              <w:suppressLineNumbers/>
              <w:suppressAutoHyphens/>
              <w:rPr>
                <w:color w:val="000000" w:themeColor="text1"/>
                <w:kern w:val="22"/>
                <w:szCs w:val="22"/>
                <w:lang w:val="fr-CA"/>
              </w:rPr>
            </w:pPr>
            <w:r w:rsidRPr="00AE70B8">
              <w:rPr>
                <w:color w:val="000000" w:themeColor="text1"/>
                <w:kern w:val="22"/>
                <w:szCs w:val="22"/>
                <w:lang w:val="fr-CA"/>
              </w:rPr>
              <w:t>D-1</w:t>
            </w:r>
          </w:p>
        </w:tc>
        <w:tc>
          <w:tcPr>
            <w:tcW w:w="1807" w:type="dxa"/>
            <w:tcBorders>
              <w:top w:val="nil"/>
              <w:left w:val="nil"/>
              <w:bottom w:val="nil"/>
              <w:right w:val="nil"/>
            </w:tcBorders>
            <w:shd w:val="clear" w:color="auto" w:fill="auto"/>
            <w:vAlign w:val="center"/>
            <w:hideMark/>
          </w:tcPr>
          <w:p w14:paraId="3AA27AB7" w14:textId="77777777" w:rsidR="00C302BB" w:rsidRPr="00AE70B8" w:rsidRDefault="00C302BB" w:rsidP="006914CE">
            <w:pPr>
              <w:keepNext/>
              <w:keepLines/>
              <w:suppressLineNumbers/>
              <w:suppressAutoHyphens/>
              <w:ind w:right="451"/>
              <w:jc w:val="right"/>
              <w:rPr>
                <w:color w:val="000000" w:themeColor="text1"/>
                <w:kern w:val="22"/>
                <w:szCs w:val="22"/>
                <w:lang w:val="fr-CA"/>
              </w:rPr>
            </w:pPr>
            <w:r w:rsidRPr="00AE70B8">
              <w:rPr>
                <w:color w:val="000000" w:themeColor="text1"/>
                <w:kern w:val="22"/>
                <w:szCs w:val="22"/>
                <w:lang w:val="fr-CA"/>
              </w:rPr>
              <w:t>3</w:t>
            </w:r>
          </w:p>
        </w:tc>
        <w:tc>
          <w:tcPr>
            <w:tcW w:w="1807" w:type="dxa"/>
            <w:tcBorders>
              <w:top w:val="nil"/>
              <w:left w:val="nil"/>
              <w:bottom w:val="nil"/>
              <w:right w:val="nil"/>
            </w:tcBorders>
            <w:shd w:val="clear" w:color="auto" w:fill="auto"/>
            <w:vAlign w:val="center"/>
            <w:hideMark/>
          </w:tcPr>
          <w:p w14:paraId="064A9926" w14:textId="31E2B218" w:rsidR="00C302BB" w:rsidRPr="00AE70B8" w:rsidRDefault="006B120D" w:rsidP="006914CE">
            <w:pPr>
              <w:keepNext/>
              <w:keepLines/>
              <w:suppressLineNumbers/>
              <w:suppressAutoHyphens/>
              <w:ind w:right="451"/>
              <w:jc w:val="right"/>
              <w:rPr>
                <w:color w:val="000000" w:themeColor="text1"/>
                <w:kern w:val="22"/>
                <w:szCs w:val="22"/>
                <w:lang w:val="fr-CA"/>
              </w:rPr>
            </w:pPr>
            <w:r w:rsidRPr="00AE70B8">
              <w:rPr>
                <w:color w:val="000000" w:themeColor="text1"/>
                <w:kern w:val="22"/>
                <w:szCs w:val="22"/>
                <w:lang w:val="fr-CA"/>
              </w:rPr>
              <w:t>2</w:t>
            </w:r>
          </w:p>
        </w:tc>
        <w:tc>
          <w:tcPr>
            <w:tcW w:w="1808" w:type="dxa"/>
            <w:tcBorders>
              <w:top w:val="nil"/>
              <w:left w:val="nil"/>
              <w:bottom w:val="nil"/>
              <w:right w:val="nil"/>
            </w:tcBorders>
          </w:tcPr>
          <w:p w14:paraId="658396FB" w14:textId="60D71331" w:rsidR="00C302BB" w:rsidRPr="00AE70B8" w:rsidRDefault="006B120D" w:rsidP="006914CE">
            <w:pPr>
              <w:keepNext/>
              <w:keepLines/>
              <w:suppressLineNumbers/>
              <w:suppressAutoHyphens/>
              <w:ind w:right="451"/>
              <w:jc w:val="right"/>
              <w:rPr>
                <w:color w:val="000000" w:themeColor="text1"/>
                <w:kern w:val="22"/>
                <w:szCs w:val="22"/>
                <w:lang w:val="fr-CA"/>
              </w:rPr>
            </w:pPr>
            <w:r w:rsidRPr="00AE70B8">
              <w:rPr>
                <w:color w:val="000000" w:themeColor="text1"/>
                <w:kern w:val="22"/>
                <w:szCs w:val="22"/>
                <w:lang w:val="fr-CA"/>
              </w:rPr>
              <w:t>-1</w:t>
            </w:r>
          </w:p>
        </w:tc>
      </w:tr>
      <w:tr w:rsidR="00C302BB" w:rsidRPr="00AE70B8" w14:paraId="6E6810E3" w14:textId="0444171E" w:rsidTr="006914CE">
        <w:trPr>
          <w:trHeight w:val="288"/>
          <w:jc w:val="center"/>
        </w:trPr>
        <w:tc>
          <w:tcPr>
            <w:tcW w:w="3651" w:type="dxa"/>
            <w:tcBorders>
              <w:top w:val="nil"/>
              <w:left w:val="nil"/>
              <w:bottom w:val="nil"/>
              <w:right w:val="nil"/>
            </w:tcBorders>
            <w:shd w:val="clear" w:color="auto" w:fill="auto"/>
            <w:vAlign w:val="center"/>
            <w:hideMark/>
          </w:tcPr>
          <w:p w14:paraId="550F3C0E" w14:textId="77777777" w:rsidR="00C302BB" w:rsidRPr="00AE70B8" w:rsidRDefault="00C302BB" w:rsidP="006914CE">
            <w:pPr>
              <w:keepNext/>
              <w:keepLines/>
              <w:suppressLineNumbers/>
              <w:suppressAutoHyphens/>
              <w:rPr>
                <w:color w:val="000000" w:themeColor="text1"/>
                <w:kern w:val="22"/>
                <w:szCs w:val="22"/>
                <w:lang w:val="fr-CA"/>
              </w:rPr>
            </w:pPr>
            <w:r w:rsidRPr="00AE70B8">
              <w:rPr>
                <w:color w:val="000000" w:themeColor="text1"/>
                <w:kern w:val="22"/>
                <w:szCs w:val="22"/>
                <w:lang w:val="fr-CA"/>
              </w:rPr>
              <w:t>P-5</w:t>
            </w:r>
          </w:p>
        </w:tc>
        <w:tc>
          <w:tcPr>
            <w:tcW w:w="1807" w:type="dxa"/>
            <w:tcBorders>
              <w:top w:val="nil"/>
              <w:left w:val="nil"/>
              <w:bottom w:val="nil"/>
              <w:right w:val="nil"/>
            </w:tcBorders>
            <w:shd w:val="clear" w:color="auto" w:fill="auto"/>
            <w:vAlign w:val="center"/>
            <w:hideMark/>
          </w:tcPr>
          <w:p w14:paraId="447FB76F" w14:textId="77777777" w:rsidR="00C302BB" w:rsidRPr="00AE70B8" w:rsidRDefault="00C302BB" w:rsidP="006914CE">
            <w:pPr>
              <w:keepNext/>
              <w:keepLines/>
              <w:suppressLineNumbers/>
              <w:suppressAutoHyphens/>
              <w:ind w:right="451"/>
              <w:jc w:val="right"/>
              <w:rPr>
                <w:color w:val="000000" w:themeColor="text1"/>
                <w:kern w:val="22"/>
                <w:szCs w:val="22"/>
                <w:lang w:val="fr-CA"/>
              </w:rPr>
            </w:pPr>
            <w:r w:rsidRPr="00AE70B8">
              <w:rPr>
                <w:color w:val="000000" w:themeColor="text1"/>
                <w:kern w:val="22"/>
                <w:szCs w:val="22"/>
                <w:lang w:val="fr-CA"/>
              </w:rPr>
              <w:t>10</w:t>
            </w:r>
          </w:p>
        </w:tc>
        <w:tc>
          <w:tcPr>
            <w:tcW w:w="1807" w:type="dxa"/>
            <w:tcBorders>
              <w:top w:val="nil"/>
              <w:left w:val="nil"/>
              <w:bottom w:val="nil"/>
              <w:right w:val="nil"/>
            </w:tcBorders>
            <w:shd w:val="clear" w:color="auto" w:fill="auto"/>
            <w:vAlign w:val="center"/>
            <w:hideMark/>
          </w:tcPr>
          <w:p w14:paraId="72ACE8B3" w14:textId="77777777" w:rsidR="00C302BB" w:rsidRPr="00AE70B8" w:rsidRDefault="00C302BB" w:rsidP="006914CE">
            <w:pPr>
              <w:keepNext/>
              <w:keepLines/>
              <w:suppressLineNumbers/>
              <w:suppressAutoHyphens/>
              <w:ind w:right="451"/>
              <w:jc w:val="right"/>
              <w:rPr>
                <w:color w:val="000000" w:themeColor="text1"/>
                <w:kern w:val="22"/>
                <w:szCs w:val="22"/>
                <w:lang w:val="fr-CA"/>
              </w:rPr>
            </w:pPr>
            <w:r w:rsidRPr="00AE70B8">
              <w:rPr>
                <w:color w:val="000000" w:themeColor="text1"/>
                <w:kern w:val="22"/>
                <w:szCs w:val="22"/>
                <w:lang w:val="fr-CA"/>
              </w:rPr>
              <w:t>10</w:t>
            </w:r>
          </w:p>
        </w:tc>
        <w:tc>
          <w:tcPr>
            <w:tcW w:w="1808" w:type="dxa"/>
            <w:tcBorders>
              <w:top w:val="nil"/>
              <w:left w:val="nil"/>
              <w:bottom w:val="nil"/>
              <w:right w:val="nil"/>
            </w:tcBorders>
          </w:tcPr>
          <w:p w14:paraId="43379E02" w14:textId="7887CEFC" w:rsidR="00C302BB" w:rsidRPr="00AE70B8" w:rsidRDefault="00C302BB" w:rsidP="006914CE">
            <w:pPr>
              <w:keepNext/>
              <w:keepLines/>
              <w:suppressLineNumbers/>
              <w:suppressAutoHyphens/>
              <w:ind w:right="451"/>
              <w:jc w:val="right"/>
              <w:rPr>
                <w:color w:val="000000" w:themeColor="text1"/>
                <w:kern w:val="22"/>
                <w:szCs w:val="22"/>
                <w:lang w:val="fr-CA"/>
              </w:rPr>
            </w:pPr>
            <w:r w:rsidRPr="00AE70B8">
              <w:rPr>
                <w:color w:val="000000" w:themeColor="text1"/>
                <w:kern w:val="22"/>
                <w:szCs w:val="22"/>
                <w:lang w:val="fr-CA"/>
              </w:rPr>
              <w:t>-</w:t>
            </w:r>
          </w:p>
        </w:tc>
      </w:tr>
      <w:tr w:rsidR="00C302BB" w:rsidRPr="00AE70B8" w14:paraId="1205E80A" w14:textId="47B590D6" w:rsidTr="006914CE">
        <w:trPr>
          <w:trHeight w:val="288"/>
          <w:jc w:val="center"/>
        </w:trPr>
        <w:tc>
          <w:tcPr>
            <w:tcW w:w="3651" w:type="dxa"/>
            <w:tcBorders>
              <w:top w:val="nil"/>
              <w:left w:val="nil"/>
              <w:bottom w:val="nil"/>
              <w:right w:val="nil"/>
            </w:tcBorders>
            <w:shd w:val="clear" w:color="auto" w:fill="auto"/>
            <w:vAlign w:val="center"/>
            <w:hideMark/>
          </w:tcPr>
          <w:p w14:paraId="295CCA07" w14:textId="6D27579F" w:rsidR="00C302BB" w:rsidRPr="00AE70B8" w:rsidRDefault="00C302BB" w:rsidP="006914CE">
            <w:pPr>
              <w:keepNext/>
              <w:keepLines/>
              <w:suppressLineNumbers/>
              <w:suppressAutoHyphens/>
              <w:rPr>
                <w:color w:val="000000" w:themeColor="text1"/>
                <w:kern w:val="22"/>
                <w:szCs w:val="22"/>
                <w:lang w:val="fr-CA"/>
              </w:rPr>
            </w:pPr>
            <w:r w:rsidRPr="00AE70B8">
              <w:rPr>
                <w:color w:val="000000" w:themeColor="text1"/>
                <w:kern w:val="22"/>
                <w:szCs w:val="22"/>
                <w:lang w:val="fr-CA"/>
              </w:rPr>
              <w:t>P-4</w:t>
            </w:r>
            <w:r w:rsidR="00D14898" w:rsidRPr="00AE70B8">
              <w:rPr>
                <w:color w:val="000000" w:themeColor="text1"/>
                <w:kern w:val="22"/>
                <w:szCs w:val="22"/>
                <w:vertAlign w:val="superscript"/>
                <w:lang w:val="fr-CA"/>
              </w:rPr>
              <w:t>2</w:t>
            </w:r>
          </w:p>
        </w:tc>
        <w:tc>
          <w:tcPr>
            <w:tcW w:w="1807" w:type="dxa"/>
            <w:tcBorders>
              <w:top w:val="nil"/>
              <w:left w:val="nil"/>
              <w:bottom w:val="nil"/>
              <w:right w:val="nil"/>
            </w:tcBorders>
            <w:shd w:val="clear" w:color="auto" w:fill="auto"/>
            <w:vAlign w:val="center"/>
            <w:hideMark/>
          </w:tcPr>
          <w:p w14:paraId="67BF483B" w14:textId="77777777" w:rsidR="00C302BB" w:rsidRPr="00AE70B8" w:rsidRDefault="00C302BB" w:rsidP="006914CE">
            <w:pPr>
              <w:keepNext/>
              <w:keepLines/>
              <w:suppressLineNumbers/>
              <w:suppressAutoHyphens/>
              <w:ind w:right="451"/>
              <w:jc w:val="right"/>
              <w:rPr>
                <w:color w:val="000000" w:themeColor="text1"/>
                <w:kern w:val="22"/>
                <w:szCs w:val="22"/>
                <w:lang w:val="fr-CA"/>
              </w:rPr>
            </w:pPr>
            <w:r w:rsidRPr="00AE70B8">
              <w:rPr>
                <w:color w:val="000000" w:themeColor="text1"/>
                <w:kern w:val="22"/>
                <w:szCs w:val="22"/>
                <w:lang w:val="fr-CA"/>
              </w:rPr>
              <w:t>12</w:t>
            </w:r>
          </w:p>
        </w:tc>
        <w:tc>
          <w:tcPr>
            <w:tcW w:w="1807" w:type="dxa"/>
            <w:tcBorders>
              <w:top w:val="nil"/>
              <w:left w:val="nil"/>
              <w:bottom w:val="nil"/>
              <w:right w:val="nil"/>
            </w:tcBorders>
            <w:shd w:val="clear" w:color="auto" w:fill="auto"/>
            <w:vAlign w:val="center"/>
            <w:hideMark/>
          </w:tcPr>
          <w:p w14:paraId="3042E989" w14:textId="36081BCA" w:rsidR="00C302BB" w:rsidRPr="00AE70B8" w:rsidRDefault="00C302BB" w:rsidP="006914CE">
            <w:pPr>
              <w:keepNext/>
              <w:keepLines/>
              <w:suppressLineNumbers/>
              <w:suppressAutoHyphens/>
              <w:ind w:right="451"/>
              <w:jc w:val="right"/>
              <w:rPr>
                <w:color w:val="000000" w:themeColor="text1"/>
                <w:kern w:val="22"/>
                <w:szCs w:val="22"/>
                <w:lang w:val="fr-CA"/>
              </w:rPr>
            </w:pPr>
            <w:r w:rsidRPr="00AE70B8">
              <w:rPr>
                <w:color w:val="000000" w:themeColor="text1"/>
                <w:kern w:val="22"/>
                <w:szCs w:val="22"/>
                <w:lang w:val="fr-CA"/>
              </w:rPr>
              <w:t>1</w:t>
            </w:r>
            <w:r w:rsidR="00BA6551" w:rsidRPr="00AE70B8">
              <w:rPr>
                <w:color w:val="000000" w:themeColor="text1"/>
                <w:kern w:val="22"/>
                <w:szCs w:val="22"/>
                <w:lang w:val="fr-CA"/>
              </w:rPr>
              <w:t>3</w:t>
            </w:r>
          </w:p>
        </w:tc>
        <w:tc>
          <w:tcPr>
            <w:tcW w:w="1808" w:type="dxa"/>
            <w:tcBorders>
              <w:top w:val="nil"/>
              <w:left w:val="nil"/>
              <w:bottom w:val="nil"/>
              <w:right w:val="nil"/>
            </w:tcBorders>
          </w:tcPr>
          <w:p w14:paraId="1B8240FB" w14:textId="5103AAB1" w:rsidR="00C302BB" w:rsidRPr="00AE70B8" w:rsidRDefault="00BA6551" w:rsidP="006914CE">
            <w:pPr>
              <w:keepNext/>
              <w:keepLines/>
              <w:suppressLineNumbers/>
              <w:suppressAutoHyphens/>
              <w:ind w:right="451"/>
              <w:jc w:val="right"/>
              <w:rPr>
                <w:color w:val="000000" w:themeColor="text1"/>
                <w:kern w:val="22"/>
                <w:szCs w:val="22"/>
                <w:lang w:val="fr-CA"/>
              </w:rPr>
            </w:pPr>
            <w:r w:rsidRPr="00AE70B8">
              <w:rPr>
                <w:color w:val="000000" w:themeColor="text1"/>
                <w:kern w:val="22"/>
                <w:szCs w:val="22"/>
                <w:lang w:val="fr-CA"/>
              </w:rPr>
              <w:t>1</w:t>
            </w:r>
            <w:r w:rsidR="00C302BB" w:rsidRPr="00AE70B8">
              <w:rPr>
                <w:color w:val="000000" w:themeColor="text1"/>
                <w:kern w:val="22"/>
                <w:szCs w:val="22"/>
                <w:lang w:val="fr-CA"/>
              </w:rPr>
              <w:t>-</w:t>
            </w:r>
          </w:p>
        </w:tc>
      </w:tr>
      <w:tr w:rsidR="00C302BB" w:rsidRPr="00AE70B8" w14:paraId="75113981" w14:textId="6F038B7D" w:rsidTr="006914CE">
        <w:trPr>
          <w:trHeight w:val="288"/>
          <w:jc w:val="center"/>
        </w:trPr>
        <w:tc>
          <w:tcPr>
            <w:tcW w:w="3651" w:type="dxa"/>
            <w:tcBorders>
              <w:top w:val="nil"/>
              <w:left w:val="nil"/>
              <w:bottom w:val="nil"/>
              <w:right w:val="nil"/>
            </w:tcBorders>
            <w:shd w:val="clear" w:color="auto" w:fill="auto"/>
            <w:vAlign w:val="center"/>
            <w:hideMark/>
          </w:tcPr>
          <w:p w14:paraId="07A3951D" w14:textId="77777777" w:rsidR="00C302BB" w:rsidRPr="00AE70B8" w:rsidRDefault="00C302BB" w:rsidP="006914CE">
            <w:pPr>
              <w:keepNext/>
              <w:keepLines/>
              <w:suppressLineNumbers/>
              <w:suppressAutoHyphens/>
              <w:rPr>
                <w:color w:val="000000" w:themeColor="text1"/>
                <w:kern w:val="22"/>
                <w:szCs w:val="22"/>
                <w:lang w:val="fr-CA"/>
              </w:rPr>
            </w:pPr>
            <w:r w:rsidRPr="00AE70B8">
              <w:rPr>
                <w:color w:val="000000" w:themeColor="text1"/>
                <w:kern w:val="22"/>
                <w:szCs w:val="22"/>
                <w:lang w:val="fr-CA"/>
              </w:rPr>
              <w:t>P-3</w:t>
            </w:r>
          </w:p>
        </w:tc>
        <w:tc>
          <w:tcPr>
            <w:tcW w:w="1807" w:type="dxa"/>
            <w:tcBorders>
              <w:top w:val="nil"/>
              <w:left w:val="nil"/>
              <w:bottom w:val="nil"/>
              <w:right w:val="nil"/>
            </w:tcBorders>
            <w:shd w:val="clear" w:color="auto" w:fill="auto"/>
            <w:vAlign w:val="center"/>
            <w:hideMark/>
          </w:tcPr>
          <w:p w14:paraId="299C25F8" w14:textId="77777777" w:rsidR="00C302BB" w:rsidRPr="00AE70B8" w:rsidRDefault="00C302BB" w:rsidP="006914CE">
            <w:pPr>
              <w:keepNext/>
              <w:keepLines/>
              <w:suppressLineNumbers/>
              <w:suppressAutoHyphens/>
              <w:ind w:right="451"/>
              <w:jc w:val="right"/>
              <w:rPr>
                <w:color w:val="000000" w:themeColor="text1"/>
                <w:kern w:val="22"/>
                <w:szCs w:val="22"/>
                <w:lang w:val="fr-CA"/>
              </w:rPr>
            </w:pPr>
            <w:r w:rsidRPr="00AE70B8">
              <w:rPr>
                <w:color w:val="000000" w:themeColor="text1"/>
                <w:kern w:val="22"/>
                <w:szCs w:val="22"/>
                <w:lang w:val="fr-CA"/>
              </w:rPr>
              <w:t>14</w:t>
            </w:r>
          </w:p>
        </w:tc>
        <w:tc>
          <w:tcPr>
            <w:tcW w:w="1807" w:type="dxa"/>
            <w:tcBorders>
              <w:top w:val="nil"/>
              <w:left w:val="nil"/>
              <w:bottom w:val="nil"/>
              <w:right w:val="nil"/>
            </w:tcBorders>
            <w:shd w:val="clear" w:color="auto" w:fill="auto"/>
            <w:vAlign w:val="center"/>
            <w:hideMark/>
          </w:tcPr>
          <w:p w14:paraId="666969EB" w14:textId="701ED7D1" w:rsidR="00C302BB" w:rsidRPr="00AE70B8" w:rsidRDefault="00C302BB" w:rsidP="006914CE">
            <w:pPr>
              <w:keepNext/>
              <w:keepLines/>
              <w:suppressLineNumbers/>
              <w:suppressAutoHyphens/>
              <w:ind w:right="451"/>
              <w:jc w:val="right"/>
              <w:rPr>
                <w:color w:val="000000" w:themeColor="text1"/>
                <w:kern w:val="22"/>
                <w:szCs w:val="22"/>
                <w:lang w:val="fr-CA"/>
              </w:rPr>
            </w:pPr>
            <w:r w:rsidRPr="00AE70B8">
              <w:rPr>
                <w:color w:val="000000" w:themeColor="text1"/>
                <w:kern w:val="22"/>
                <w:szCs w:val="22"/>
                <w:lang w:val="fr-CA"/>
              </w:rPr>
              <w:t>1</w:t>
            </w:r>
            <w:r w:rsidR="00BA6551" w:rsidRPr="00AE70B8">
              <w:rPr>
                <w:color w:val="000000" w:themeColor="text1"/>
                <w:kern w:val="22"/>
                <w:szCs w:val="22"/>
                <w:lang w:val="fr-CA"/>
              </w:rPr>
              <w:t>3</w:t>
            </w:r>
          </w:p>
        </w:tc>
        <w:tc>
          <w:tcPr>
            <w:tcW w:w="1808" w:type="dxa"/>
            <w:tcBorders>
              <w:top w:val="nil"/>
              <w:left w:val="nil"/>
              <w:bottom w:val="nil"/>
              <w:right w:val="nil"/>
            </w:tcBorders>
          </w:tcPr>
          <w:p w14:paraId="760B1DFD" w14:textId="77C3249E" w:rsidR="00C302BB" w:rsidRPr="00AE70B8" w:rsidRDefault="00BA6551" w:rsidP="006914CE">
            <w:pPr>
              <w:keepNext/>
              <w:keepLines/>
              <w:suppressLineNumbers/>
              <w:suppressAutoHyphens/>
              <w:ind w:right="451"/>
              <w:jc w:val="right"/>
              <w:rPr>
                <w:color w:val="000000" w:themeColor="text1"/>
                <w:kern w:val="22"/>
                <w:szCs w:val="22"/>
                <w:lang w:val="fr-CA"/>
              </w:rPr>
            </w:pPr>
            <w:r w:rsidRPr="00AE70B8">
              <w:rPr>
                <w:color w:val="000000" w:themeColor="text1"/>
                <w:kern w:val="22"/>
                <w:szCs w:val="22"/>
                <w:lang w:val="fr-CA"/>
              </w:rPr>
              <w:t>-1</w:t>
            </w:r>
            <w:r w:rsidR="00C302BB" w:rsidRPr="00AE70B8">
              <w:rPr>
                <w:color w:val="000000" w:themeColor="text1"/>
                <w:kern w:val="22"/>
                <w:szCs w:val="22"/>
                <w:lang w:val="fr-CA"/>
              </w:rPr>
              <w:t>-</w:t>
            </w:r>
          </w:p>
        </w:tc>
      </w:tr>
      <w:tr w:rsidR="00C302BB" w:rsidRPr="00AE70B8" w14:paraId="122322CE" w14:textId="238A5C30" w:rsidTr="006914CE">
        <w:trPr>
          <w:trHeight w:val="300"/>
          <w:jc w:val="center"/>
        </w:trPr>
        <w:tc>
          <w:tcPr>
            <w:tcW w:w="3651" w:type="dxa"/>
            <w:tcBorders>
              <w:top w:val="nil"/>
              <w:left w:val="nil"/>
              <w:bottom w:val="nil"/>
              <w:right w:val="nil"/>
            </w:tcBorders>
            <w:shd w:val="clear" w:color="auto" w:fill="auto"/>
            <w:vAlign w:val="center"/>
            <w:hideMark/>
          </w:tcPr>
          <w:p w14:paraId="30D8019A" w14:textId="77777777" w:rsidR="00C302BB" w:rsidRPr="00AE70B8" w:rsidRDefault="00C302BB" w:rsidP="006914CE">
            <w:pPr>
              <w:keepNext/>
              <w:keepLines/>
              <w:suppressLineNumbers/>
              <w:suppressAutoHyphens/>
              <w:rPr>
                <w:color w:val="000000" w:themeColor="text1"/>
                <w:kern w:val="22"/>
                <w:szCs w:val="22"/>
                <w:lang w:val="fr-CA"/>
              </w:rPr>
            </w:pPr>
            <w:r w:rsidRPr="00AE70B8">
              <w:rPr>
                <w:color w:val="000000" w:themeColor="text1"/>
                <w:kern w:val="22"/>
                <w:szCs w:val="22"/>
                <w:lang w:val="fr-CA"/>
              </w:rPr>
              <w:t>P-2/1</w:t>
            </w:r>
          </w:p>
        </w:tc>
        <w:tc>
          <w:tcPr>
            <w:tcW w:w="1807" w:type="dxa"/>
            <w:tcBorders>
              <w:top w:val="nil"/>
              <w:left w:val="nil"/>
              <w:bottom w:val="nil"/>
              <w:right w:val="nil"/>
            </w:tcBorders>
            <w:shd w:val="clear" w:color="auto" w:fill="auto"/>
            <w:vAlign w:val="center"/>
            <w:hideMark/>
          </w:tcPr>
          <w:p w14:paraId="69C22E9C" w14:textId="77777777" w:rsidR="00C302BB" w:rsidRPr="00AE70B8" w:rsidRDefault="00C302BB" w:rsidP="006914CE">
            <w:pPr>
              <w:keepNext/>
              <w:keepLines/>
              <w:suppressLineNumbers/>
              <w:suppressAutoHyphens/>
              <w:ind w:right="451"/>
              <w:jc w:val="right"/>
              <w:rPr>
                <w:color w:val="000000" w:themeColor="text1"/>
                <w:kern w:val="22"/>
                <w:szCs w:val="22"/>
                <w:lang w:val="fr-CA"/>
              </w:rPr>
            </w:pPr>
            <w:r w:rsidRPr="00AE70B8">
              <w:rPr>
                <w:color w:val="000000" w:themeColor="text1"/>
                <w:kern w:val="22"/>
                <w:szCs w:val="22"/>
                <w:lang w:val="fr-CA"/>
              </w:rPr>
              <w:t>9</w:t>
            </w:r>
          </w:p>
        </w:tc>
        <w:tc>
          <w:tcPr>
            <w:tcW w:w="1807" w:type="dxa"/>
            <w:tcBorders>
              <w:top w:val="nil"/>
              <w:left w:val="nil"/>
              <w:bottom w:val="nil"/>
              <w:right w:val="nil"/>
            </w:tcBorders>
            <w:shd w:val="clear" w:color="auto" w:fill="auto"/>
            <w:vAlign w:val="center"/>
            <w:hideMark/>
          </w:tcPr>
          <w:p w14:paraId="59830351" w14:textId="77777777" w:rsidR="00C302BB" w:rsidRPr="00AE70B8" w:rsidRDefault="00C302BB" w:rsidP="006914CE">
            <w:pPr>
              <w:keepNext/>
              <w:keepLines/>
              <w:suppressLineNumbers/>
              <w:suppressAutoHyphens/>
              <w:ind w:right="451"/>
              <w:jc w:val="right"/>
              <w:rPr>
                <w:color w:val="000000" w:themeColor="text1"/>
                <w:kern w:val="22"/>
                <w:szCs w:val="22"/>
                <w:lang w:val="fr-CA"/>
              </w:rPr>
            </w:pPr>
            <w:r w:rsidRPr="00AE70B8">
              <w:rPr>
                <w:color w:val="000000" w:themeColor="text1"/>
                <w:kern w:val="22"/>
                <w:szCs w:val="22"/>
                <w:lang w:val="fr-CA"/>
              </w:rPr>
              <w:t>9</w:t>
            </w:r>
          </w:p>
        </w:tc>
        <w:tc>
          <w:tcPr>
            <w:tcW w:w="1808" w:type="dxa"/>
            <w:tcBorders>
              <w:top w:val="nil"/>
              <w:left w:val="nil"/>
              <w:bottom w:val="nil"/>
              <w:right w:val="nil"/>
            </w:tcBorders>
          </w:tcPr>
          <w:p w14:paraId="0DFF58DC" w14:textId="77E93A96" w:rsidR="00C302BB" w:rsidRPr="00AE70B8" w:rsidRDefault="00C302BB" w:rsidP="006914CE">
            <w:pPr>
              <w:keepNext/>
              <w:keepLines/>
              <w:suppressLineNumbers/>
              <w:suppressAutoHyphens/>
              <w:ind w:right="451"/>
              <w:jc w:val="right"/>
              <w:rPr>
                <w:color w:val="000000" w:themeColor="text1"/>
                <w:kern w:val="22"/>
                <w:szCs w:val="22"/>
                <w:lang w:val="fr-CA"/>
              </w:rPr>
            </w:pPr>
            <w:r w:rsidRPr="00AE70B8">
              <w:rPr>
                <w:color w:val="000000" w:themeColor="text1"/>
                <w:kern w:val="22"/>
                <w:szCs w:val="22"/>
                <w:lang w:val="fr-CA"/>
              </w:rPr>
              <w:t>-</w:t>
            </w:r>
          </w:p>
        </w:tc>
      </w:tr>
      <w:tr w:rsidR="00C302BB" w:rsidRPr="00AE70B8" w14:paraId="1C826BF3" w14:textId="1800A4F9" w:rsidTr="006914CE">
        <w:trPr>
          <w:trHeight w:val="300"/>
          <w:jc w:val="center"/>
        </w:trPr>
        <w:tc>
          <w:tcPr>
            <w:tcW w:w="3651" w:type="dxa"/>
            <w:tcBorders>
              <w:top w:val="single" w:sz="8" w:space="0" w:color="auto"/>
              <w:left w:val="nil"/>
              <w:bottom w:val="single" w:sz="8" w:space="0" w:color="auto"/>
              <w:right w:val="nil"/>
            </w:tcBorders>
            <w:shd w:val="clear" w:color="auto" w:fill="auto"/>
            <w:vAlign w:val="center"/>
            <w:hideMark/>
          </w:tcPr>
          <w:p w14:paraId="68FAED49" w14:textId="697F3773" w:rsidR="00C302BB" w:rsidRPr="00AE70B8" w:rsidRDefault="00E14784" w:rsidP="006914CE">
            <w:pPr>
              <w:keepNext/>
              <w:keepLines/>
              <w:suppressLineNumbers/>
              <w:suppressAutoHyphens/>
              <w:rPr>
                <w:b/>
                <w:color w:val="000000" w:themeColor="text1"/>
                <w:kern w:val="22"/>
                <w:szCs w:val="22"/>
                <w:lang w:val="fr-CA"/>
              </w:rPr>
            </w:pPr>
            <w:r w:rsidRPr="00AE70B8">
              <w:rPr>
                <w:b/>
                <w:color w:val="000000" w:themeColor="text1"/>
                <w:kern w:val="22"/>
                <w:szCs w:val="22"/>
                <w:lang w:val="fr-CA"/>
              </w:rPr>
              <w:t>Total partiel</w:t>
            </w:r>
          </w:p>
        </w:tc>
        <w:tc>
          <w:tcPr>
            <w:tcW w:w="1807" w:type="dxa"/>
            <w:tcBorders>
              <w:top w:val="single" w:sz="8" w:space="0" w:color="auto"/>
              <w:left w:val="nil"/>
              <w:bottom w:val="single" w:sz="8" w:space="0" w:color="auto"/>
              <w:right w:val="nil"/>
            </w:tcBorders>
            <w:shd w:val="clear" w:color="auto" w:fill="auto"/>
            <w:vAlign w:val="center"/>
            <w:hideMark/>
          </w:tcPr>
          <w:p w14:paraId="7D6DE90D" w14:textId="77777777" w:rsidR="00C302BB" w:rsidRPr="00AE70B8" w:rsidRDefault="00C302BB" w:rsidP="006914CE">
            <w:pPr>
              <w:keepNext/>
              <w:keepLines/>
              <w:suppressLineNumbers/>
              <w:suppressAutoHyphens/>
              <w:ind w:right="451"/>
              <w:jc w:val="right"/>
              <w:rPr>
                <w:b/>
                <w:color w:val="000000" w:themeColor="text1"/>
                <w:kern w:val="22"/>
                <w:szCs w:val="22"/>
                <w:lang w:val="fr-CA"/>
              </w:rPr>
            </w:pPr>
            <w:r w:rsidRPr="00AE70B8">
              <w:rPr>
                <w:b/>
                <w:color w:val="000000" w:themeColor="text1"/>
                <w:kern w:val="22"/>
                <w:szCs w:val="22"/>
                <w:lang w:val="fr-CA"/>
              </w:rPr>
              <w:t>49</w:t>
            </w:r>
          </w:p>
        </w:tc>
        <w:tc>
          <w:tcPr>
            <w:tcW w:w="1807" w:type="dxa"/>
            <w:tcBorders>
              <w:top w:val="single" w:sz="8" w:space="0" w:color="auto"/>
              <w:left w:val="nil"/>
              <w:bottom w:val="single" w:sz="8" w:space="0" w:color="auto"/>
              <w:right w:val="nil"/>
            </w:tcBorders>
            <w:shd w:val="clear" w:color="auto" w:fill="auto"/>
            <w:vAlign w:val="center"/>
            <w:hideMark/>
          </w:tcPr>
          <w:p w14:paraId="7C928843" w14:textId="77777777" w:rsidR="00C302BB" w:rsidRPr="00AE70B8" w:rsidRDefault="00C302BB" w:rsidP="006914CE">
            <w:pPr>
              <w:keepNext/>
              <w:keepLines/>
              <w:suppressLineNumbers/>
              <w:suppressAutoHyphens/>
              <w:ind w:right="451"/>
              <w:jc w:val="right"/>
              <w:rPr>
                <w:b/>
                <w:color w:val="000000" w:themeColor="text1"/>
                <w:kern w:val="22"/>
                <w:szCs w:val="22"/>
                <w:lang w:val="fr-CA"/>
              </w:rPr>
            </w:pPr>
            <w:r w:rsidRPr="00AE70B8">
              <w:rPr>
                <w:b/>
                <w:color w:val="000000" w:themeColor="text1"/>
                <w:kern w:val="22"/>
                <w:szCs w:val="22"/>
                <w:lang w:val="fr-CA"/>
              </w:rPr>
              <w:t>49</w:t>
            </w:r>
          </w:p>
        </w:tc>
        <w:tc>
          <w:tcPr>
            <w:tcW w:w="1808" w:type="dxa"/>
            <w:tcBorders>
              <w:top w:val="single" w:sz="8" w:space="0" w:color="auto"/>
              <w:left w:val="nil"/>
              <w:bottom w:val="single" w:sz="8" w:space="0" w:color="auto"/>
              <w:right w:val="nil"/>
            </w:tcBorders>
          </w:tcPr>
          <w:p w14:paraId="6BC5AF02" w14:textId="49799131" w:rsidR="00C302BB" w:rsidRPr="00AE70B8" w:rsidRDefault="00C302BB" w:rsidP="006914CE">
            <w:pPr>
              <w:keepNext/>
              <w:keepLines/>
              <w:suppressLineNumbers/>
              <w:suppressAutoHyphens/>
              <w:ind w:right="451"/>
              <w:jc w:val="right"/>
              <w:rPr>
                <w:b/>
                <w:color w:val="000000" w:themeColor="text1"/>
                <w:kern w:val="22"/>
                <w:szCs w:val="22"/>
                <w:lang w:val="fr-CA"/>
              </w:rPr>
            </w:pPr>
            <w:r w:rsidRPr="00AE70B8">
              <w:rPr>
                <w:b/>
                <w:color w:val="000000" w:themeColor="text1"/>
                <w:kern w:val="22"/>
                <w:szCs w:val="22"/>
                <w:lang w:val="fr-CA"/>
              </w:rPr>
              <w:t>-</w:t>
            </w:r>
          </w:p>
        </w:tc>
      </w:tr>
      <w:tr w:rsidR="00C302BB" w:rsidRPr="00AE70B8" w14:paraId="3DCC06E9" w14:textId="19D7D5AB" w:rsidTr="006914CE">
        <w:trPr>
          <w:trHeight w:val="300"/>
          <w:jc w:val="center"/>
        </w:trPr>
        <w:tc>
          <w:tcPr>
            <w:tcW w:w="3651" w:type="dxa"/>
            <w:tcBorders>
              <w:top w:val="nil"/>
              <w:left w:val="nil"/>
              <w:bottom w:val="single" w:sz="8" w:space="0" w:color="auto"/>
              <w:right w:val="nil"/>
            </w:tcBorders>
            <w:shd w:val="clear" w:color="auto" w:fill="auto"/>
            <w:vAlign w:val="center"/>
            <w:hideMark/>
          </w:tcPr>
          <w:p w14:paraId="52741B9F" w14:textId="0B5670E5" w:rsidR="00C302BB" w:rsidRPr="00AE70B8" w:rsidRDefault="00E14784" w:rsidP="006914CE">
            <w:pPr>
              <w:keepNext/>
              <w:keepLines/>
              <w:suppressLineNumbers/>
              <w:suppressAutoHyphens/>
              <w:rPr>
                <w:b/>
                <w:color w:val="000000" w:themeColor="text1"/>
                <w:kern w:val="22"/>
                <w:szCs w:val="22"/>
                <w:lang w:val="fr-CA"/>
              </w:rPr>
            </w:pPr>
            <w:r w:rsidRPr="00AE70B8">
              <w:rPr>
                <w:b/>
                <w:color w:val="000000" w:themeColor="text1"/>
                <w:kern w:val="22"/>
                <w:szCs w:val="22"/>
                <w:lang w:val="fr-CA"/>
              </w:rPr>
              <w:t>Services généraux</w:t>
            </w:r>
          </w:p>
        </w:tc>
        <w:tc>
          <w:tcPr>
            <w:tcW w:w="1807" w:type="dxa"/>
            <w:tcBorders>
              <w:top w:val="nil"/>
              <w:left w:val="nil"/>
              <w:bottom w:val="single" w:sz="8" w:space="0" w:color="auto"/>
              <w:right w:val="nil"/>
            </w:tcBorders>
            <w:shd w:val="clear" w:color="auto" w:fill="auto"/>
            <w:vAlign w:val="center"/>
            <w:hideMark/>
          </w:tcPr>
          <w:p w14:paraId="4B549481" w14:textId="77777777" w:rsidR="00C302BB" w:rsidRPr="00AE70B8" w:rsidRDefault="00C302BB" w:rsidP="006914CE">
            <w:pPr>
              <w:keepNext/>
              <w:keepLines/>
              <w:suppressLineNumbers/>
              <w:suppressAutoHyphens/>
              <w:ind w:right="451"/>
              <w:jc w:val="right"/>
              <w:rPr>
                <w:color w:val="000000" w:themeColor="text1"/>
                <w:kern w:val="22"/>
                <w:szCs w:val="22"/>
                <w:lang w:val="fr-CA"/>
              </w:rPr>
            </w:pPr>
            <w:r w:rsidRPr="00AE70B8">
              <w:rPr>
                <w:color w:val="000000" w:themeColor="text1"/>
                <w:kern w:val="22"/>
                <w:szCs w:val="22"/>
                <w:lang w:val="fr-CA"/>
              </w:rPr>
              <w:t>29</w:t>
            </w:r>
          </w:p>
        </w:tc>
        <w:tc>
          <w:tcPr>
            <w:tcW w:w="1807" w:type="dxa"/>
            <w:tcBorders>
              <w:top w:val="nil"/>
              <w:left w:val="nil"/>
              <w:bottom w:val="single" w:sz="8" w:space="0" w:color="auto"/>
              <w:right w:val="nil"/>
            </w:tcBorders>
            <w:shd w:val="clear" w:color="auto" w:fill="auto"/>
            <w:vAlign w:val="center"/>
            <w:hideMark/>
          </w:tcPr>
          <w:p w14:paraId="06D1E85E" w14:textId="77777777" w:rsidR="00C302BB" w:rsidRPr="00AE70B8" w:rsidRDefault="00C302BB" w:rsidP="006914CE">
            <w:pPr>
              <w:keepNext/>
              <w:keepLines/>
              <w:suppressLineNumbers/>
              <w:suppressAutoHyphens/>
              <w:ind w:right="451"/>
              <w:jc w:val="right"/>
              <w:rPr>
                <w:color w:val="000000" w:themeColor="text1"/>
                <w:kern w:val="22"/>
                <w:szCs w:val="22"/>
                <w:lang w:val="fr-CA"/>
              </w:rPr>
            </w:pPr>
            <w:r w:rsidRPr="00AE70B8">
              <w:rPr>
                <w:color w:val="000000" w:themeColor="text1"/>
                <w:kern w:val="22"/>
                <w:szCs w:val="22"/>
                <w:lang w:val="fr-CA"/>
              </w:rPr>
              <w:t>29</w:t>
            </w:r>
          </w:p>
        </w:tc>
        <w:tc>
          <w:tcPr>
            <w:tcW w:w="1808" w:type="dxa"/>
            <w:tcBorders>
              <w:top w:val="nil"/>
              <w:left w:val="nil"/>
              <w:bottom w:val="single" w:sz="8" w:space="0" w:color="auto"/>
              <w:right w:val="nil"/>
            </w:tcBorders>
          </w:tcPr>
          <w:p w14:paraId="082CB101" w14:textId="57C3D2A6" w:rsidR="00C302BB" w:rsidRPr="00AE70B8" w:rsidRDefault="00C302BB" w:rsidP="006914CE">
            <w:pPr>
              <w:keepNext/>
              <w:keepLines/>
              <w:suppressLineNumbers/>
              <w:suppressAutoHyphens/>
              <w:ind w:right="451"/>
              <w:jc w:val="right"/>
              <w:rPr>
                <w:color w:val="000000" w:themeColor="text1"/>
                <w:kern w:val="22"/>
                <w:szCs w:val="22"/>
                <w:lang w:val="fr-CA"/>
              </w:rPr>
            </w:pPr>
            <w:r w:rsidRPr="00AE70B8">
              <w:rPr>
                <w:color w:val="000000" w:themeColor="text1"/>
                <w:kern w:val="22"/>
                <w:szCs w:val="22"/>
                <w:lang w:val="fr-CA"/>
              </w:rPr>
              <w:t>-</w:t>
            </w:r>
          </w:p>
        </w:tc>
      </w:tr>
      <w:tr w:rsidR="00C302BB" w:rsidRPr="00AE70B8" w14:paraId="7F2DC48E" w14:textId="358F2976" w:rsidTr="006914CE">
        <w:trPr>
          <w:trHeight w:val="300"/>
          <w:jc w:val="center"/>
        </w:trPr>
        <w:tc>
          <w:tcPr>
            <w:tcW w:w="3651" w:type="dxa"/>
            <w:tcBorders>
              <w:top w:val="nil"/>
              <w:left w:val="nil"/>
              <w:bottom w:val="single" w:sz="12" w:space="0" w:color="auto"/>
              <w:right w:val="nil"/>
            </w:tcBorders>
            <w:shd w:val="clear" w:color="auto" w:fill="auto"/>
            <w:vAlign w:val="center"/>
            <w:hideMark/>
          </w:tcPr>
          <w:p w14:paraId="5731EB4A" w14:textId="77777777" w:rsidR="00C302BB" w:rsidRPr="00AE70B8" w:rsidRDefault="00C302BB" w:rsidP="006914CE">
            <w:pPr>
              <w:keepNext/>
              <w:keepLines/>
              <w:suppressLineNumbers/>
              <w:suppressAutoHyphens/>
              <w:rPr>
                <w:b/>
                <w:color w:val="000000" w:themeColor="text1"/>
                <w:kern w:val="22"/>
                <w:szCs w:val="22"/>
                <w:lang w:val="fr-CA"/>
              </w:rPr>
            </w:pPr>
            <w:r w:rsidRPr="00AE70B8">
              <w:rPr>
                <w:b/>
                <w:color w:val="000000" w:themeColor="text1"/>
                <w:kern w:val="22"/>
                <w:szCs w:val="22"/>
                <w:lang w:val="fr-CA"/>
              </w:rPr>
              <w:t>Total</w:t>
            </w:r>
          </w:p>
        </w:tc>
        <w:tc>
          <w:tcPr>
            <w:tcW w:w="1807" w:type="dxa"/>
            <w:tcBorders>
              <w:top w:val="nil"/>
              <w:left w:val="nil"/>
              <w:bottom w:val="single" w:sz="12" w:space="0" w:color="auto"/>
              <w:right w:val="nil"/>
            </w:tcBorders>
            <w:shd w:val="clear" w:color="auto" w:fill="auto"/>
            <w:vAlign w:val="center"/>
            <w:hideMark/>
          </w:tcPr>
          <w:p w14:paraId="311C5D23" w14:textId="77777777" w:rsidR="00C302BB" w:rsidRPr="00AE70B8" w:rsidRDefault="00C302BB" w:rsidP="006914CE">
            <w:pPr>
              <w:keepNext/>
              <w:keepLines/>
              <w:suppressLineNumbers/>
              <w:suppressAutoHyphens/>
              <w:ind w:right="451"/>
              <w:jc w:val="right"/>
              <w:rPr>
                <w:b/>
                <w:color w:val="000000" w:themeColor="text1"/>
                <w:kern w:val="22"/>
                <w:szCs w:val="22"/>
                <w:lang w:val="fr-CA"/>
              </w:rPr>
            </w:pPr>
            <w:r w:rsidRPr="00AE70B8">
              <w:rPr>
                <w:b/>
                <w:color w:val="000000" w:themeColor="text1"/>
                <w:kern w:val="22"/>
                <w:szCs w:val="22"/>
                <w:lang w:val="fr-CA"/>
              </w:rPr>
              <w:t>78</w:t>
            </w:r>
          </w:p>
        </w:tc>
        <w:tc>
          <w:tcPr>
            <w:tcW w:w="1807" w:type="dxa"/>
            <w:tcBorders>
              <w:top w:val="nil"/>
              <w:left w:val="nil"/>
              <w:bottom w:val="single" w:sz="12" w:space="0" w:color="auto"/>
              <w:right w:val="nil"/>
            </w:tcBorders>
            <w:shd w:val="clear" w:color="auto" w:fill="auto"/>
            <w:vAlign w:val="center"/>
            <w:hideMark/>
          </w:tcPr>
          <w:p w14:paraId="282DC6BB" w14:textId="77777777" w:rsidR="00C302BB" w:rsidRPr="00AE70B8" w:rsidRDefault="00C302BB" w:rsidP="006914CE">
            <w:pPr>
              <w:keepNext/>
              <w:keepLines/>
              <w:suppressLineNumbers/>
              <w:suppressAutoHyphens/>
              <w:ind w:right="451"/>
              <w:jc w:val="right"/>
              <w:rPr>
                <w:b/>
                <w:color w:val="000000" w:themeColor="text1"/>
                <w:kern w:val="22"/>
                <w:szCs w:val="22"/>
                <w:lang w:val="fr-CA"/>
              </w:rPr>
            </w:pPr>
            <w:r w:rsidRPr="00AE70B8">
              <w:rPr>
                <w:b/>
                <w:color w:val="000000" w:themeColor="text1"/>
                <w:kern w:val="22"/>
                <w:szCs w:val="22"/>
                <w:lang w:val="fr-CA"/>
              </w:rPr>
              <w:t>78</w:t>
            </w:r>
          </w:p>
        </w:tc>
        <w:tc>
          <w:tcPr>
            <w:tcW w:w="1808" w:type="dxa"/>
            <w:tcBorders>
              <w:top w:val="nil"/>
              <w:left w:val="nil"/>
              <w:bottom w:val="single" w:sz="12" w:space="0" w:color="auto"/>
              <w:right w:val="nil"/>
            </w:tcBorders>
          </w:tcPr>
          <w:p w14:paraId="50367340" w14:textId="0E751FF2" w:rsidR="00C302BB" w:rsidRPr="00AE70B8" w:rsidRDefault="00C302BB" w:rsidP="006914CE">
            <w:pPr>
              <w:keepNext/>
              <w:keepLines/>
              <w:suppressLineNumbers/>
              <w:suppressAutoHyphens/>
              <w:ind w:right="451"/>
              <w:jc w:val="right"/>
              <w:rPr>
                <w:b/>
                <w:color w:val="000000" w:themeColor="text1"/>
                <w:kern w:val="22"/>
                <w:szCs w:val="22"/>
                <w:lang w:val="fr-CA"/>
              </w:rPr>
            </w:pPr>
            <w:r w:rsidRPr="00AE70B8">
              <w:rPr>
                <w:b/>
                <w:color w:val="000000" w:themeColor="text1"/>
                <w:kern w:val="22"/>
                <w:szCs w:val="22"/>
                <w:lang w:val="fr-CA"/>
              </w:rPr>
              <w:t>-</w:t>
            </w:r>
          </w:p>
        </w:tc>
      </w:tr>
    </w:tbl>
    <w:p w14:paraId="1766E1FC" w14:textId="461309A2" w:rsidR="005B4FB5" w:rsidRPr="00AE70B8" w:rsidRDefault="00D14898" w:rsidP="00A82FE0">
      <w:pPr>
        <w:pStyle w:val="ListParagraph"/>
        <w:suppressLineNumbers/>
        <w:tabs>
          <w:tab w:val="left" w:pos="1395"/>
        </w:tabs>
        <w:suppressAutoHyphens/>
        <w:spacing w:before="120" w:after="120"/>
        <w:ind w:left="144" w:right="144"/>
        <w:contextualSpacing w:val="0"/>
        <w:rPr>
          <w:rFonts w:eastAsia="Malgun Gothic"/>
          <w:bCs/>
          <w:color w:val="000000" w:themeColor="text1"/>
          <w:kern w:val="22"/>
          <w:sz w:val="20"/>
          <w:szCs w:val="20"/>
          <w:lang w:val="fr-CA" w:eastAsia="ko-KR"/>
        </w:rPr>
      </w:pPr>
      <w:r w:rsidRPr="00AE70B8">
        <w:rPr>
          <w:rFonts w:eastAsia="Malgun Gothic"/>
          <w:bCs/>
          <w:color w:val="000000" w:themeColor="text1"/>
          <w:kern w:val="22"/>
          <w:sz w:val="20"/>
          <w:szCs w:val="20"/>
          <w:vertAlign w:val="superscript"/>
          <w:lang w:val="fr-CA" w:eastAsia="ko-KR"/>
        </w:rPr>
        <w:t>1</w:t>
      </w:r>
      <w:r w:rsidR="00C828EC" w:rsidRPr="00AE70B8">
        <w:rPr>
          <w:rFonts w:eastAsia="Malgun Gothic"/>
          <w:bCs/>
          <w:color w:val="000000" w:themeColor="text1"/>
          <w:kern w:val="22"/>
          <w:sz w:val="20"/>
          <w:szCs w:val="20"/>
          <w:lang w:val="fr-CA" w:eastAsia="ko-KR"/>
        </w:rPr>
        <w:t xml:space="preserve"> </w:t>
      </w:r>
      <w:r w:rsidR="00E14784" w:rsidRPr="00AE70B8">
        <w:rPr>
          <w:sz w:val="20"/>
          <w:szCs w:val="20"/>
          <w:lang w:val="fr-CA"/>
        </w:rPr>
        <w:t xml:space="preserve">Suite à la recommandation du Bureau et à une communication de suivi du président de la Conférence des Parties au Directeur exécutif du Programme des Nations </w:t>
      </w:r>
      <w:r w:rsidR="00DB7BD1">
        <w:rPr>
          <w:sz w:val="20"/>
          <w:szCs w:val="20"/>
          <w:lang w:val="fr-CA"/>
        </w:rPr>
        <w:t>U</w:t>
      </w:r>
      <w:r w:rsidR="00E14784" w:rsidRPr="00AE70B8">
        <w:rPr>
          <w:sz w:val="20"/>
          <w:szCs w:val="20"/>
          <w:lang w:val="fr-CA"/>
        </w:rPr>
        <w:t xml:space="preserve">nies pour le développement en mai 2020, il est proposé </w:t>
      </w:r>
      <w:r w:rsidR="00BD6229" w:rsidRPr="00AE70B8">
        <w:rPr>
          <w:sz w:val="20"/>
          <w:szCs w:val="20"/>
          <w:lang w:val="fr-CA"/>
        </w:rPr>
        <w:t xml:space="preserve">d’actualiser </w:t>
      </w:r>
      <w:r w:rsidR="00E14784" w:rsidRPr="00AE70B8">
        <w:rPr>
          <w:sz w:val="20"/>
          <w:szCs w:val="20"/>
          <w:lang w:val="fr-CA"/>
        </w:rPr>
        <w:t>le niveau du poste de Secrétaire exécutif adjoint (D-1)</w:t>
      </w:r>
      <w:r w:rsidR="00BD6229" w:rsidRPr="00AE70B8">
        <w:rPr>
          <w:sz w:val="20"/>
          <w:szCs w:val="20"/>
          <w:lang w:val="fr-CA"/>
        </w:rPr>
        <w:t xml:space="preserve"> à D-2, afin de le rendre conforme à des postes semblables dans lesquels le chef du bureau </w:t>
      </w:r>
      <w:r w:rsidR="00DB7BD1">
        <w:rPr>
          <w:sz w:val="20"/>
          <w:szCs w:val="20"/>
          <w:lang w:val="fr-CA"/>
        </w:rPr>
        <w:t>occupe un poste de</w:t>
      </w:r>
      <w:r w:rsidR="00BD6229" w:rsidRPr="00AE70B8">
        <w:rPr>
          <w:sz w:val="20"/>
          <w:szCs w:val="20"/>
          <w:lang w:val="fr-CA"/>
        </w:rPr>
        <w:t xml:space="preserve"> niveau du SEA ou supérieur</w:t>
      </w:r>
      <w:r w:rsidR="00082F96" w:rsidRPr="00AE70B8">
        <w:rPr>
          <w:sz w:val="20"/>
          <w:szCs w:val="20"/>
          <w:lang w:val="fr-CA"/>
        </w:rPr>
        <w:t>.</w:t>
      </w:r>
    </w:p>
    <w:p w14:paraId="25955D02" w14:textId="42181EB3" w:rsidR="006D6053" w:rsidRPr="00AE70B8" w:rsidRDefault="00D50661" w:rsidP="006D6053">
      <w:pPr>
        <w:suppressLineNumbers/>
        <w:suppressAutoHyphens/>
        <w:spacing w:before="120" w:after="120"/>
        <w:ind w:left="144" w:right="144"/>
        <w:rPr>
          <w:sz w:val="20"/>
          <w:szCs w:val="20"/>
          <w:lang w:val="fr-CA"/>
        </w:rPr>
      </w:pPr>
      <w:r w:rsidRPr="00AE70B8">
        <w:rPr>
          <w:kern w:val="22"/>
          <w:sz w:val="20"/>
          <w:szCs w:val="20"/>
          <w:vertAlign w:val="superscript"/>
          <w:lang w:val="fr-CA"/>
        </w:rPr>
        <w:t>2</w:t>
      </w:r>
      <w:r w:rsidRPr="00AE70B8">
        <w:rPr>
          <w:kern w:val="22"/>
          <w:sz w:val="20"/>
          <w:szCs w:val="20"/>
          <w:lang w:val="fr-CA"/>
        </w:rPr>
        <w:t xml:space="preserve"> </w:t>
      </w:r>
      <w:r w:rsidR="00BD6229" w:rsidRPr="00AE70B8">
        <w:rPr>
          <w:sz w:val="20"/>
          <w:szCs w:val="20"/>
          <w:lang w:val="fr-CA"/>
        </w:rPr>
        <w:t>Faisant suite à l</w:t>
      </w:r>
      <w:r w:rsidR="00E86DC4" w:rsidRPr="00AE70B8">
        <w:rPr>
          <w:sz w:val="20"/>
          <w:szCs w:val="20"/>
          <w:lang w:val="fr-CA"/>
        </w:rPr>
        <w:t>’examen des activités du Secrétariat,</w:t>
      </w:r>
      <w:r w:rsidR="00297744" w:rsidRPr="00AE70B8">
        <w:rPr>
          <w:sz w:val="20"/>
          <w:szCs w:val="20"/>
          <w:lang w:val="fr-CA"/>
        </w:rPr>
        <w:t>*</w:t>
      </w:r>
      <w:r w:rsidR="00082F96" w:rsidRPr="00AE70B8">
        <w:rPr>
          <w:sz w:val="20"/>
          <w:szCs w:val="20"/>
          <w:lang w:val="fr-CA"/>
        </w:rPr>
        <w:t xml:space="preserve"> </w:t>
      </w:r>
      <w:r w:rsidR="00E86DC4" w:rsidRPr="00AE70B8">
        <w:rPr>
          <w:sz w:val="20"/>
          <w:szCs w:val="20"/>
          <w:lang w:val="fr-CA"/>
        </w:rPr>
        <w:t>le service de gestion des ressources humaines du Bureau des Nations Unies à Nairobi a confirmé que le poste d’adjoint spécial (A-3) a été classé au niveau P-4 et que les fonctions associées à ce poste demeurent à jour</w:t>
      </w:r>
      <w:r w:rsidR="00DB7BD1">
        <w:rPr>
          <w:sz w:val="20"/>
          <w:szCs w:val="20"/>
          <w:lang w:val="fr-CA"/>
        </w:rPr>
        <w:t xml:space="preserve"> et doivent être harmonisées à l</w:t>
      </w:r>
      <w:r w:rsidR="00E86DC4" w:rsidRPr="00AE70B8">
        <w:rPr>
          <w:sz w:val="20"/>
          <w:szCs w:val="20"/>
          <w:lang w:val="fr-CA"/>
        </w:rPr>
        <w:t>a reclassification exacte</w:t>
      </w:r>
      <w:r w:rsidR="008846F7" w:rsidRPr="00AE70B8">
        <w:rPr>
          <w:sz w:val="20"/>
          <w:szCs w:val="20"/>
          <w:lang w:val="fr-CA"/>
        </w:rPr>
        <w:t xml:space="preserve"> du poste</w:t>
      </w:r>
      <w:r w:rsidR="00082F96" w:rsidRPr="00AE70B8">
        <w:rPr>
          <w:sz w:val="20"/>
          <w:szCs w:val="20"/>
          <w:lang w:val="fr-CA"/>
        </w:rPr>
        <w:t>.</w:t>
      </w:r>
    </w:p>
    <w:p w14:paraId="617F4BD0" w14:textId="312D304A" w:rsidR="00DE3002" w:rsidRPr="00AE70B8" w:rsidRDefault="00DE3002" w:rsidP="00CC3598">
      <w:pPr>
        <w:suppressLineNumbers/>
        <w:suppressAutoHyphens/>
        <w:spacing w:before="120" w:after="120"/>
        <w:ind w:left="144" w:right="144"/>
        <w:jc w:val="left"/>
        <w:rPr>
          <w:kern w:val="22"/>
          <w:sz w:val="20"/>
          <w:szCs w:val="20"/>
          <w:lang w:val="fr-CA"/>
        </w:rPr>
      </w:pPr>
      <w:r w:rsidRPr="00AE70B8">
        <w:rPr>
          <w:kern w:val="22"/>
          <w:sz w:val="20"/>
          <w:szCs w:val="20"/>
          <w:lang w:val="fr-CA"/>
        </w:rPr>
        <w:t xml:space="preserve">* </w:t>
      </w:r>
      <w:r w:rsidR="00E86DC4" w:rsidRPr="00CC3598">
        <w:rPr>
          <w:sz w:val="18"/>
          <w:szCs w:val="18"/>
          <w:lang w:val="fr-CA"/>
        </w:rPr>
        <w:t>Voir</w:t>
      </w:r>
      <w:r w:rsidRPr="00CC3598">
        <w:rPr>
          <w:sz w:val="18"/>
          <w:szCs w:val="18"/>
          <w:lang w:val="fr-CA"/>
        </w:rPr>
        <w:t xml:space="preserve"> </w:t>
      </w:r>
      <w:r w:rsidR="000878A4" w:rsidRPr="00CC3598">
        <w:rPr>
          <w:sz w:val="18"/>
          <w:szCs w:val="18"/>
          <w:lang w:val="fr-CA"/>
        </w:rPr>
        <w:t>UNEP/CBD/COP/13/7/Add.2</w:t>
      </w:r>
      <w:r w:rsidR="00CC3598" w:rsidRPr="00CC3598">
        <w:rPr>
          <w:sz w:val="18"/>
          <w:szCs w:val="18"/>
          <w:lang w:val="fr-CA"/>
        </w:rPr>
        <w:t xml:space="preserve">, </w:t>
      </w:r>
      <w:r w:rsidR="000878A4" w:rsidRPr="00CC3598">
        <w:rPr>
          <w:sz w:val="18"/>
          <w:szCs w:val="18"/>
          <w:lang w:val="fr-CA"/>
        </w:rPr>
        <w:t>UNEP/CBD/BS/COP-MOP/8/7/Add.2</w:t>
      </w:r>
      <w:r w:rsidR="00CC3598" w:rsidRPr="00CC3598">
        <w:rPr>
          <w:sz w:val="18"/>
          <w:szCs w:val="18"/>
          <w:lang w:val="fr-CA"/>
        </w:rPr>
        <w:t xml:space="preserve">, </w:t>
      </w:r>
      <w:r w:rsidR="000878A4" w:rsidRPr="00CC3598">
        <w:rPr>
          <w:sz w:val="18"/>
          <w:szCs w:val="18"/>
          <w:lang w:val="fr-CA"/>
        </w:rPr>
        <w:t>UNEP/CBD/NP/COP</w:t>
      </w:r>
      <w:r w:rsidR="00CC3598" w:rsidRPr="00CC3598">
        <w:rPr>
          <w:sz w:val="18"/>
          <w:szCs w:val="18"/>
          <w:lang w:val="fr-CA"/>
        </w:rPr>
        <w:t>-M</w:t>
      </w:r>
      <w:r w:rsidR="000878A4" w:rsidRPr="00CC3598">
        <w:rPr>
          <w:sz w:val="18"/>
          <w:szCs w:val="18"/>
          <w:lang w:val="fr-CA"/>
        </w:rPr>
        <w:t>OP/2/7/Add.2</w:t>
      </w:r>
      <w:r w:rsidR="001A79AC" w:rsidRPr="00CC3598">
        <w:rPr>
          <w:sz w:val="18"/>
          <w:szCs w:val="18"/>
          <w:lang w:val="fr-CA"/>
        </w:rPr>
        <w:t>.</w:t>
      </w:r>
    </w:p>
    <w:p w14:paraId="0B31F9BC" w14:textId="77777777" w:rsidR="00120F79" w:rsidRPr="00AE70B8" w:rsidRDefault="00120F79">
      <w:pPr>
        <w:spacing w:after="160" w:line="259" w:lineRule="auto"/>
        <w:jc w:val="left"/>
        <w:rPr>
          <w:kern w:val="22"/>
          <w:sz w:val="18"/>
          <w:szCs w:val="18"/>
          <w:highlight w:val="green"/>
          <w:lang w:val="fr-CA"/>
        </w:rPr>
      </w:pPr>
      <w:r w:rsidRPr="00AE70B8">
        <w:rPr>
          <w:kern w:val="22"/>
          <w:sz w:val="18"/>
          <w:szCs w:val="18"/>
          <w:highlight w:val="green"/>
          <w:lang w:val="fr-CA"/>
        </w:rPr>
        <w:br w:type="page"/>
      </w:r>
    </w:p>
    <w:p w14:paraId="3301E5A3" w14:textId="07810985" w:rsidR="0079737F" w:rsidRPr="00B60DF3" w:rsidRDefault="3295F67A" w:rsidP="00282AF6">
      <w:pPr>
        <w:suppressLineNumbers/>
        <w:suppressAutoHyphens/>
        <w:spacing w:after="160" w:line="259" w:lineRule="auto"/>
        <w:jc w:val="left"/>
        <w:rPr>
          <w:rFonts w:eastAsiaTheme="minorEastAsia"/>
          <w:b/>
          <w:kern w:val="22"/>
          <w:lang w:val="fr-CA"/>
        </w:rPr>
      </w:pPr>
      <w:r w:rsidRPr="00B60DF3">
        <w:rPr>
          <w:rFonts w:eastAsiaTheme="minorEastAsia"/>
          <w:b/>
          <w:bCs/>
          <w:kern w:val="22"/>
          <w:lang w:val="fr-CA"/>
        </w:rPr>
        <w:t>Table</w:t>
      </w:r>
      <w:r w:rsidR="00B60DF3" w:rsidRPr="00B60DF3">
        <w:rPr>
          <w:rFonts w:eastAsiaTheme="minorEastAsia"/>
          <w:b/>
          <w:bCs/>
          <w:kern w:val="22"/>
          <w:lang w:val="fr-CA"/>
        </w:rPr>
        <w:t>au</w:t>
      </w:r>
      <w:r w:rsidRPr="00B60DF3">
        <w:rPr>
          <w:rFonts w:eastAsiaTheme="minorEastAsia"/>
          <w:b/>
          <w:bCs/>
          <w:kern w:val="22"/>
          <w:lang w:val="fr-CA"/>
        </w:rPr>
        <w:t xml:space="preserve"> </w:t>
      </w:r>
      <w:r w:rsidR="0079737F" w:rsidRPr="00B60DF3" w:rsidDel="480E6465">
        <w:rPr>
          <w:rFonts w:eastAsiaTheme="minorEastAsia"/>
          <w:b/>
          <w:bCs/>
          <w:kern w:val="22"/>
          <w:lang w:val="fr-CA"/>
        </w:rPr>
        <w:t>7</w:t>
      </w:r>
      <w:r w:rsidR="00B77230" w:rsidRPr="00B60DF3">
        <w:rPr>
          <w:rFonts w:eastAsiaTheme="minorEastAsia"/>
          <w:b/>
          <w:bCs/>
          <w:kern w:val="22"/>
          <w:szCs w:val="22"/>
          <w:lang w:val="fr-CA"/>
        </w:rPr>
        <w:br/>
      </w:r>
      <w:r w:rsidRPr="00B60DF3">
        <w:rPr>
          <w:rFonts w:eastAsiaTheme="minorEastAsia"/>
          <w:b/>
          <w:kern w:val="22"/>
          <w:lang w:val="fr-CA"/>
        </w:rPr>
        <w:t>C</w:t>
      </w:r>
      <w:r w:rsidR="00B60DF3" w:rsidRPr="00B60DF3">
        <w:rPr>
          <w:rFonts w:eastAsiaTheme="minorEastAsia"/>
          <w:b/>
          <w:kern w:val="22"/>
          <w:lang w:val="fr-CA"/>
        </w:rPr>
        <w:t>ontributions au fonds d’affectation spéciale de la Convention sur la diversité biologique pour 2022</w:t>
      </w:r>
    </w:p>
    <w:tbl>
      <w:tblPr>
        <w:tblW w:w="9265" w:type="dxa"/>
        <w:jc w:val="center"/>
        <w:tblLayout w:type="fixed"/>
        <w:tblLook w:val="04A0" w:firstRow="1" w:lastRow="0" w:firstColumn="1" w:lastColumn="0" w:noHBand="0" w:noVBand="1"/>
      </w:tblPr>
      <w:tblGrid>
        <w:gridCol w:w="610"/>
        <w:gridCol w:w="15"/>
        <w:gridCol w:w="3870"/>
        <w:gridCol w:w="1440"/>
        <w:gridCol w:w="1620"/>
        <w:gridCol w:w="1710"/>
      </w:tblGrid>
      <w:tr w:rsidR="00661352" w:rsidRPr="003C7831" w14:paraId="52459378" w14:textId="77777777" w:rsidTr="00661352">
        <w:trPr>
          <w:trHeight w:val="1040"/>
          <w:tblHeader/>
          <w:jc w:val="center"/>
        </w:trPr>
        <w:tc>
          <w:tcPr>
            <w:tcW w:w="6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65961" w14:textId="77777777" w:rsidR="00661352" w:rsidRPr="003C7831" w:rsidRDefault="00661352" w:rsidP="00120F79">
            <w:pPr>
              <w:jc w:val="left"/>
              <w:rPr>
                <w:kern w:val="22"/>
                <w:szCs w:val="22"/>
                <w:lang w:val="fr-CA" w:eastAsia="en-CA"/>
              </w:rPr>
            </w:pPr>
          </w:p>
        </w:tc>
        <w:tc>
          <w:tcPr>
            <w:tcW w:w="3870" w:type="dxa"/>
            <w:tcBorders>
              <w:top w:val="single" w:sz="4" w:space="0" w:color="auto"/>
              <w:left w:val="nil"/>
              <w:bottom w:val="single" w:sz="4" w:space="0" w:color="auto"/>
              <w:right w:val="single" w:sz="4" w:space="0" w:color="auto"/>
            </w:tcBorders>
            <w:shd w:val="clear" w:color="auto" w:fill="auto"/>
            <w:noWrap/>
            <w:vAlign w:val="center"/>
            <w:hideMark/>
          </w:tcPr>
          <w:p w14:paraId="7CDFBC45" w14:textId="77777777" w:rsidR="00661352" w:rsidRPr="003C7831" w:rsidRDefault="00661352" w:rsidP="00120F79">
            <w:pPr>
              <w:jc w:val="center"/>
              <w:rPr>
                <w:b/>
                <w:bCs/>
                <w:kern w:val="22"/>
                <w:szCs w:val="22"/>
                <w:lang w:val="fr-CA" w:eastAsia="en-CA"/>
              </w:rPr>
            </w:pPr>
            <w:r w:rsidRPr="003C7831">
              <w:rPr>
                <w:b/>
                <w:bCs/>
                <w:kern w:val="22"/>
                <w:szCs w:val="22"/>
                <w:lang w:val="fr-CA" w:eastAsia="en-CA"/>
              </w:rPr>
              <w:t>Partie</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E46A1B2" w14:textId="77777777" w:rsidR="00661352" w:rsidRPr="003C7831" w:rsidRDefault="00661352" w:rsidP="00120F79">
            <w:pPr>
              <w:jc w:val="center"/>
              <w:rPr>
                <w:b/>
                <w:bCs/>
                <w:kern w:val="22"/>
                <w:szCs w:val="22"/>
                <w:lang w:val="fr-CA" w:eastAsia="en-CA"/>
              </w:rPr>
            </w:pPr>
            <w:r w:rsidRPr="003C7831">
              <w:rPr>
                <w:b/>
                <w:bCs/>
                <w:kern w:val="22"/>
                <w:szCs w:val="22"/>
                <w:lang w:val="fr-CA" w:eastAsia="en-CA"/>
              </w:rPr>
              <w:t>Barème de contribution 2019-2021</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66B6029A" w14:textId="77777777" w:rsidR="00661352" w:rsidRPr="003C7831" w:rsidRDefault="00661352" w:rsidP="00120F79">
            <w:pPr>
              <w:jc w:val="center"/>
              <w:rPr>
                <w:b/>
                <w:bCs/>
                <w:kern w:val="22"/>
                <w:szCs w:val="22"/>
                <w:lang w:val="fr-CA" w:eastAsia="en-CA"/>
              </w:rPr>
            </w:pPr>
            <w:r w:rsidRPr="003C7831">
              <w:rPr>
                <w:b/>
                <w:bCs/>
                <w:kern w:val="22"/>
                <w:szCs w:val="22"/>
                <w:lang w:val="fr-CA" w:eastAsia="en-CA"/>
              </w:rPr>
              <w:t>Barème prévoyant un plafond de 22 %, sans PMA payant plus de 0,01 %</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F8EBF16" w14:textId="77777777" w:rsidR="00661352" w:rsidRPr="003C7831" w:rsidRDefault="00661352" w:rsidP="00120F79">
            <w:pPr>
              <w:jc w:val="center"/>
              <w:rPr>
                <w:b/>
                <w:bCs/>
                <w:kern w:val="22"/>
                <w:szCs w:val="22"/>
                <w:lang w:val="fr-CA" w:eastAsia="en-CA"/>
              </w:rPr>
            </w:pPr>
            <w:r w:rsidRPr="003C7831">
              <w:rPr>
                <w:b/>
                <w:bCs/>
                <w:kern w:val="22"/>
                <w:szCs w:val="22"/>
                <w:lang w:val="fr-CA" w:eastAsia="en-CA"/>
              </w:rPr>
              <w:t>Contributions au 1</w:t>
            </w:r>
            <w:r w:rsidRPr="003C7831">
              <w:rPr>
                <w:b/>
                <w:bCs/>
                <w:kern w:val="22"/>
                <w:szCs w:val="22"/>
                <w:vertAlign w:val="superscript"/>
                <w:lang w:val="fr-CA" w:eastAsia="en-CA"/>
              </w:rPr>
              <w:t>er</w:t>
            </w:r>
            <w:r w:rsidRPr="003C7831">
              <w:rPr>
                <w:b/>
                <w:bCs/>
                <w:kern w:val="22"/>
                <w:szCs w:val="22"/>
                <w:lang w:val="fr-CA" w:eastAsia="en-CA"/>
              </w:rPr>
              <w:t xml:space="preserve"> janvier 2022</w:t>
            </w:r>
          </w:p>
        </w:tc>
      </w:tr>
      <w:tr w:rsidR="00661352" w:rsidRPr="003C7831" w14:paraId="145C4DF7"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3752C3" w14:textId="77777777" w:rsidR="00661352" w:rsidRPr="003C7831" w:rsidRDefault="00661352" w:rsidP="00120F79">
            <w:pPr>
              <w:jc w:val="right"/>
              <w:rPr>
                <w:kern w:val="22"/>
                <w:szCs w:val="22"/>
                <w:lang w:val="fr-CA" w:eastAsia="en-CA"/>
              </w:rPr>
            </w:pPr>
            <w:r w:rsidRPr="003C7831">
              <w:rPr>
                <w:kern w:val="22"/>
                <w:szCs w:val="22"/>
                <w:lang w:val="fr-CA" w:eastAsia="en-CA"/>
              </w:rPr>
              <w:t>1</w:t>
            </w:r>
          </w:p>
        </w:tc>
        <w:tc>
          <w:tcPr>
            <w:tcW w:w="3870" w:type="dxa"/>
            <w:tcBorders>
              <w:top w:val="nil"/>
              <w:left w:val="nil"/>
              <w:bottom w:val="single" w:sz="4" w:space="0" w:color="auto"/>
              <w:right w:val="single" w:sz="4" w:space="0" w:color="auto"/>
            </w:tcBorders>
            <w:shd w:val="clear" w:color="auto" w:fill="auto"/>
            <w:vAlign w:val="center"/>
            <w:hideMark/>
          </w:tcPr>
          <w:p w14:paraId="2F6ED975" w14:textId="77777777" w:rsidR="00661352" w:rsidRPr="003C7831" w:rsidRDefault="00661352" w:rsidP="00120F79">
            <w:pPr>
              <w:jc w:val="left"/>
              <w:rPr>
                <w:kern w:val="22"/>
                <w:szCs w:val="22"/>
                <w:lang w:val="fr-CA" w:eastAsia="en-CA"/>
              </w:rPr>
            </w:pPr>
            <w:r w:rsidRPr="003C7831">
              <w:rPr>
                <w:kern w:val="22"/>
                <w:szCs w:val="22"/>
                <w:lang w:val="fr-CA" w:eastAsia="en-CA"/>
              </w:rPr>
              <w:t>Afghanistan</w:t>
            </w:r>
          </w:p>
        </w:tc>
        <w:tc>
          <w:tcPr>
            <w:tcW w:w="1440" w:type="dxa"/>
            <w:tcBorders>
              <w:top w:val="nil"/>
              <w:left w:val="nil"/>
              <w:bottom w:val="single" w:sz="4" w:space="0" w:color="auto"/>
              <w:right w:val="single" w:sz="4" w:space="0" w:color="auto"/>
            </w:tcBorders>
            <w:shd w:val="clear" w:color="auto" w:fill="auto"/>
            <w:vAlign w:val="center"/>
            <w:hideMark/>
          </w:tcPr>
          <w:p w14:paraId="4A993672"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007</w:t>
            </w:r>
          </w:p>
        </w:tc>
        <w:tc>
          <w:tcPr>
            <w:tcW w:w="1620" w:type="dxa"/>
            <w:tcBorders>
              <w:top w:val="nil"/>
              <w:left w:val="nil"/>
              <w:bottom w:val="single" w:sz="4" w:space="0" w:color="auto"/>
              <w:right w:val="single" w:sz="4" w:space="0" w:color="auto"/>
            </w:tcBorders>
            <w:shd w:val="clear" w:color="auto" w:fill="auto"/>
            <w:noWrap/>
            <w:vAlign w:val="center"/>
            <w:hideMark/>
          </w:tcPr>
          <w:p w14:paraId="72CA7E31"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009</w:t>
            </w:r>
          </w:p>
        </w:tc>
        <w:tc>
          <w:tcPr>
            <w:tcW w:w="1710" w:type="dxa"/>
            <w:tcBorders>
              <w:top w:val="nil"/>
              <w:left w:val="nil"/>
              <w:bottom w:val="single" w:sz="4" w:space="0" w:color="auto"/>
              <w:right w:val="single" w:sz="4" w:space="0" w:color="auto"/>
            </w:tcBorders>
            <w:shd w:val="clear" w:color="auto" w:fill="auto"/>
            <w:noWrap/>
            <w:vAlign w:val="center"/>
            <w:hideMark/>
          </w:tcPr>
          <w:p w14:paraId="5D580247"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1 104</w:t>
            </w:r>
          </w:p>
        </w:tc>
      </w:tr>
      <w:tr w:rsidR="00661352" w:rsidRPr="00E470BA" w14:paraId="37E698E0"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tcPr>
          <w:p w14:paraId="3427ACFC" w14:textId="043914FA" w:rsidR="00661352" w:rsidRPr="00E470BA" w:rsidRDefault="00C95673" w:rsidP="004266BB">
            <w:pPr>
              <w:jc w:val="right"/>
              <w:rPr>
                <w:kern w:val="22"/>
                <w:szCs w:val="22"/>
                <w:lang w:val="fr-CA" w:eastAsia="en-CA"/>
              </w:rPr>
            </w:pPr>
            <w:r>
              <w:rPr>
                <w:kern w:val="22"/>
                <w:szCs w:val="22"/>
                <w:lang w:val="fr-CA" w:eastAsia="en-CA"/>
              </w:rPr>
              <w:t>2</w:t>
            </w:r>
          </w:p>
        </w:tc>
        <w:tc>
          <w:tcPr>
            <w:tcW w:w="3870" w:type="dxa"/>
            <w:tcBorders>
              <w:top w:val="nil"/>
              <w:left w:val="nil"/>
              <w:bottom w:val="single" w:sz="4" w:space="0" w:color="auto"/>
              <w:right w:val="single" w:sz="4" w:space="0" w:color="auto"/>
            </w:tcBorders>
            <w:shd w:val="clear" w:color="auto" w:fill="auto"/>
            <w:vAlign w:val="center"/>
            <w:hideMark/>
          </w:tcPr>
          <w:p w14:paraId="7124187C" w14:textId="77777777" w:rsidR="00661352" w:rsidRPr="00E470BA" w:rsidRDefault="00661352" w:rsidP="004266BB">
            <w:pPr>
              <w:jc w:val="left"/>
              <w:rPr>
                <w:kern w:val="22"/>
                <w:szCs w:val="22"/>
                <w:lang w:val="fr-CA" w:eastAsia="en-CA"/>
              </w:rPr>
            </w:pPr>
            <w:r>
              <w:rPr>
                <w:kern w:val="22"/>
                <w:szCs w:val="22"/>
                <w:lang w:val="fr-CA" w:eastAsia="en-CA"/>
              </w:rPr>
              <w:t>Afrique du Sud</w:t>
            </w:r>
          </w:p>
        </w:tc>
        <w:tc>
          <w:tcPr>
            <w:tcW w:w="1440" w:type="dxa"/>
            <w:tcBorders>
              <w:top w:val="nil"/>
              <w:left w:val="nil"/>
              <w:bottom w:val="single" w:sz="4" w:space="0" w:color="auto"/>
              <w:right w:val="single" w:sz="4" w:space="0" w:color="auto"/>
            </w:tcBorders>
            <w:shd w:val="clear" w:color="auto" w:fill="auto"/>
            <w:vAlign w:val="center"/>
            <w:hideMark/>
          </w:tcPr>
          <w:p w14:paraId="10CC3E31"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272</w:t>
            </w:r>
          </w:p>
        </w:tc>
        <w:tc>
          <w:tcPr>
            <w:tcW w:w="1620" w:type="dxa"/>
            <w:tcBorders>
              <w:top w:val="nil"/>
              <w:left w:val="nil"/>
              <w:bottom w:val="single" w:sz="4" w:space="0" w:color="auto"/>
              <w:right w:val="single" w:sz="4" w:space="0" w:color="auto"/>
            </w:tcBorders>
            <w:shd w:val="clear" w:color="auto" w:fill="auto"/>
            <w:noWrap/>
            <w:vAlign w:val="center"/>
            <w:hideMark/>
          </w:tcPr>
          <w:p w14:paraId="067A9C12"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340</w:t>
            </w:r>
          </w:p>
        </w:tc>
        <w:tc>
          <w:tcPr>
            <w:tcW w:w="1710" w:type="dxa"/>
            <w:tcBorders>
              <w:top w:val="nil"/>
              <w:left w:val="nil"/>
              <w:bottom w:val="single" w:sz="4" w:space="0" w:color="auto"/>
              <w:right w:val="single" w:sz="4" w:space="0" w:color="auto"/>
            </w:tcBorders>
            <w:shd w:val="clear" w:color="auto" w:fill="auto"/>
            <w:noWrap/>
            <w:vAlign w:val="center"/>
            <w:hideMark/>
          </w:tcPr>
          <w:p w14:paraId="28C20FD8" w14:textId="77777777" w:rsidR="00661352" w:rsidRPr="00E470BA" w:rsidRDefault="00661352" w:rsidP="00282AF6">
            <w:pPr>
              <w:ind w:right="144"/>
              <w:jc w:val="right"/>
              <w:rPr>
                <w:kern w:val="22"/>
                <w:szCs w:val="22"/>
                <w:lang w:val="fr-CA" w:eastAsia="en-CA"/>
              </w:rPr>
            </w:pPr>
            <w:r w:rsidRPr="00E470BA">
              <w:rPr>
                <w:kern w:val="22"/>
                <w:szCs w:val="22"/>
                <w:lang w:val="fr-CA" w:eastAsia="en-CA"/>
              </w:rPr>
              <w:t>42 913</w:t>
            </w:r>
          </w:p>
        </w:tc>
      </w:tr>
      <w:tr w:rsidR="00661352" w:rsidRPr="003C7831" w14:paraId="3AA44CF7"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83A730" w14:textId="4DAF5BF7" w:rsidR="00661352" w:rsidRPr="003C7831" w:rsidRDefault="00C95673" w:rsidP="00120F79">
            <w:pPr>
              <w:jc w:val="right"/>
              <w:rPr>
                <w:kern w:val="22"/>
                <w:szCs w:val="22"/>
                <w:lang w:val="fr-CA" w:eastAsia="en-CA"/>
              </w:rPr>
            </w:pPr>
            <w:r>
              <w:rPr>
                <w:kern w:val="22"/>
                <w:szCs w:val="22"/>
                <w:lang w:val="fr-CA" w:eastAsia="en-CA"/>
              </w:rPr>
              <w:t>3</w:t>
            </w:r>
          </w:p>
        </w:tc>
        <w:tc>
          <w:tcPr>
            <w:tcW w:w="3870" w:type="dxa"/>
            <w:tcBorders>
              <w:top w:val="nil"/>
              <w:left w:val="nil"/>
              <w:bottom w:val="single" w:sz="4" w:space="0" w:color="auto"/>
              <w:right w:val="single" w:sz="4" w:space="0" w:color="auto"/>
            </w:tcBorders>
            <w:shd w:val="clear" w:color="auto" w:fill="auto"/>
            <w:vAlign w:val="center"/>
            <w:hideMark/>
          </w:tcPr>
          <w:p w14:paraId="69B19FCC" w14:textId="77777777" w:rsidR="00661352" w:rsidRPr="003C7831" w:rsidRDefault="00661352" w:rsidP="00120F79">
            <w:pPr>
              <w:jc w:val="left"/>
              <w:rPr>
                <w:kern w:val="22"/>
                <w:szCs w:val="22"/>
                <w:lang w:val="fr-CA" w:eastAsia="en-CA"/>
              </w:rPr>
            </w:pPr>
            <w:r w:rsidRPr="003C7831">
              <w:rPr>
                <w:kern w:val="22"/>
                <w:szCs w:val="22"/>
                <w:lang w:val="fr-CA" w:eastAsia="en-CA"/>
              </w:rPr>
              <w:t>Albanie</w:t>
            </w:r>
          </w:p>
        </w:tc>
        <w:tc>
          <w:tcPr>
            <w:tcW w:w="1440" w:type="dxa"/>
            <w:tcBorders>
              <w:top w:val="nil"/>
              <w:left w:val="nil"/>
              <w:bottom w:val="single" w:sz="4" w:space="0" w:color="auto"/>
              <w:right w:val="single" w:sz="4" w:space="0" w:color="auto"/>
            </w:tcBorders>
            <w:shd w:val="clear" w:color="auto" w:fill="auto"/>
            <w:vAlign w:val="center"/>
            <w:hideMark/>
          </w:tcPr>
          <w:p w14:paraId="5E4C3A43"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008</w:t>
            </w:r>
          </w:p>
        </w:tc>
        <w:tc>
          <w:tcPr>
            <w:tcW w:w="1620" w:type="dxa"/>
            <w:tcBorders>
              <w:top w:val="nil"/>
              <w:left w:val="nil"/>
              <w:bottom w:val="single" w:sz="4" w:space="0" w:color="auto"/>
              <w:right w:val="single" w:sz="4" w:space="0" w:color="auto"/>
            </w:tcBorders>
            <w:shd w:val="clear" w:color="auto" w:fill="auto"/>
            <w:noWrap/>
            <w:vAlign w:val="center"/>
            <w:hideMark/>
          </w:tcPr>
          <w:p w14:paraId="2D63FE6C"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010</w:t>
            </w:r>
          </w:p>
        </w:tc>
        <w:tc>
          <w:tcPr>
            <w:tcW w:w="1710" w:type="dxa"/>
            <w:tcBorders>
              <w:top w:val="nil"/>
              <w:left w:val="nil"/>
              <w:bottom w:val="single" w:sz="4" w:space="0" w:color="auto"/>
              <w:right w:val="single" w:sz="4" w:space="0" w:color="auto"/>
            </w:tcBorders>
            <w:shd w:val="clear" w:color="auto" w:fill="auto"/>
            <w:noWrap/>
            <w:vAlign w:val="center"/>
            <w:hideMark/>
          </w:tcPr>
          <w:p w14:paraId="70244628"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1 262</w:t>
            </w:r>
          </w:p>
        </w:tc>
      </w:tr>
      <w:tr w:rsidR="00661352" w:rsidRPr="003C7831" w14:paraId="2834D1EA"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2970E1" w14:textId="3C0858EE" w:rsidR="00661352" w:rsidRPr="003C7831" w:rsidRDefault="00C95673" w:rsidP="00120F79">
            <w:pPr>
              <w:jc w:val="right"/>
              <w:rPr>
                <w:kern w:val="22"/>
                <w:szCs w:val="22"/>
                <w:lang w:val="fr-CA" w:eastAsia="en-CA"/>
              </w:rPr>
            </w:pPr>
            <w:r>
              <w:rPr>
                <w:kern w:val="22"/>
                <w:szCs w:val="22"/>
                <w:lang w:val="fr-CA" w:eastAsia="en-CA"/>
              </w:rPr>
              <w:t>4</w:t>
            </w:r>
          </w:p>
        </w:tc>
        <w:tc>
          <w:tcPr>
            <w:tcW w:w="3870" w:type="dxa"/>
            <w:tcBorders>
              <w:top w:val="nil"/>
              <w:left w:val="nil"/>
              <w:bottom w:val="single" w:sz="4" w:space="0" w:color="auto"/>
              <w:right w:val="single" w:sz="4" w:space="0" w:color="auto"/>
            </w:tcBorders>
            <w:shd w:val="clear" w:color="auto" w:fill="auto"/>
            <w:vAlign w:val="center"/>
            <w:hideMark/>
          </w:tcPr>
          <w:p w14:paraId="6CDC36B6" w14:textId="77777777" w:rsidR="00661352" w:rsidRPr="003C7831" w:rsidRDefault="00661352" w:rsidP="00120F79">
            <w:pPr>
              <w:jc w:val="left"/>
              <w:rPr>
                <w:kern w:val="22"/>
                <w:szCs w:val="22"/>
                <w:lang w:val="fr-CA" w:eastAsia="en-CA"/>
              </w:rPr>
            </w:pPr>
            <w:r w:rsidRPr="003C7831">
              <w:rPr>
                <w:kern w:val="22"/>
                <w:szCs w:val="22"/>
                <w:lang w:val="fr-CA" w:eastAsia="en-CA"/>
              </w:rPr>
              <w:t>Algérie</w:t>
            </w:r>
          </w:p>
        </w:tc>
        <w:tc>
          <w:tcPr>
            <w:tcW w:w="1440" w:type="dxa"/>
            <w:tcBorders>
              <w:top w:val="nil"/>
              <w:left w:val="nil"/>
              <w:bottom w:val="single" w:sz="4" w:space="0" w:color="auto"/>
              <w:right w:val="single" w:sz="4" w:space="0" w:color="auto"/>
            </w:tcBorders>
            <w:shd w:val="clear" w:color="auto" w:fill="auto"/>
            <w:vAlign w:val="center"/>
            <w:hideMark/>
          </w:tcPr>
          <w:p w14:paraId="572BCF30"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138</w:t>
            </w:r>
          </w:p>
        </w:tc>
        <w:tc>
          <w:tcPr>
            <w:tcW w:w="1620" w:type="dxa"/>
            <w:tcBorders>
              <w:top w:val="nil"/>
              <w:left w:val="nil"/>
              <w:bottom w:val="single" w:sz="4" w:space="0" w:color="auto"/>
              <w:right w:val="single" w:sz="4" w:space="0" w:color="auto"/>
            </w:tcBorders>
            <w:shd w:val="clear" w:color="auto" w:fill="auto"/>
            <w:noWrap/>
            <w:vAlign w:val="center"/>
            <w:hideMark/>
          </w:tcPr>
          <w:p w14:paraId="46B85401"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173</w:t>
            </w:r>
          </w:p>
        </w:tc>
        <w:tc>
          <w:tcPr>
            <w:tcW w:w="1710" w:type="dxa"/>
            <w:tcBorders>
              <w:top w:val="nil"/>
              <w:left w:val="nil"/>
              <w:bottom w:val="single" w:sz="4" w:space="0" w:color="auto"/>
              <w:right w:val="single" w:sz="4" w:space="0" w:color="auto"/>
            </w:tcBorders>
            <w:shd w:val="clear" w:color="auto" w:fill="auto"/>
            <w:noWrap/>
            <w:vAlign w:val="center"/>
            <w:hideMark/>
          </w:tcPr>
          <w:p w14:paraId="287B95F6"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21 772</w:t>
            </w:r>
          </w:p>
        </w:tc>
      </w:tr>
      <w:tr w:rsidR="00661352" w:rsidRPr="003C7831" w14:paraId="35613F73"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65C5CB" w14:textId="1FD02A6F" w:rsidR="00661352" w:rsidRPr="003C7831" w:rsidRDefault="00C95673" w:rsidP="00120F79">
            <w:pPr>
              <w:jc w:val="right"/>
              <w:rPr>
                <w:kern w:val="22"/>
                <w:szCs w:val="22"/>
                <w:lang w:val="fr-CA" w:eastAsia="en-CA"/>
              </w:rPr>
            </w:pPr>
            <w:r>
              <w:rPr>
                <w:kern w:val="22"/>
                <w:szCs w:val="22"/>
                <w:lang w:val="fr-CA" w:eastAsia="en-CA"/>
              </w:rPr>
              <w:t>5</w:t>
            </w:r>
          </w:p>
        </w:tc>
        <w:tc>
          <w:tcPr>
            <w:tcW w:w="3870" w:type="dxa"/>
            <w:tcBorders>
              <w:top w:val="nil"/>
              <w:left w:val="nil"/>
              <w:bottom w:val="single" w:sz="4" w:space="0" w:color="auto"/>
              <w:right w:val="single" w:sz="4" w:space="0" w:color="auto"/>
            </w:tcBorders>
            <w:shd w:val="clear" w:color="auto" w:fill="auto"/>
            <w:vAlign w:val="center"/>
            <w:hideMark/>
          </w:tcPr>
          <w:p w14:paraId="1461B0AD" w14:textId="77777777" w:rsidR="00661352" w:rsidRPr="003C7831" w:rsidRDefault="00661352" w:rsidP="00120F79">
            <w:pPr>
              <w:jc w:val="left"/>
              <w:rPr>
                <w:kern w:val="22"/>
                <w:szCs w:val="22"/>
                <w:lang w:val="fr-CA" w:eastAsia="en-CA"/>
              </w:rPr>
            </w:pPr>
            <w:r w:rsidRPr="003C7831">
              <w:rPr>
                <w:kern w:val="22"/>
                <w:szCs w:val="22"/>
                <w:lang w:val="fr-CA" w:eastAsia="en-CA"/>
              </w:rPr>
              <w:t>Allemagne</w:t>
            </w:r>
          </w:p>
        </w:tc>
        <w:tc>
          <w:tcPr>
            <w:tcW w:w="1440" w:type="dxa"/>
            <w:tcBorders>
              <w:top w:val="nil"/>
              <w:left w:val="nil"/>
              <w:bottom w:val="single" w:sz="4" w:space="0" w:color="auto"/>
              <w:right w:val="single" w:sz="4" w:space="0" w:color="auto"/>
            </w:tcBorders>
            <w:shd w:val="clear" w:color="auto" w:fill="auto"/>
            <w:vAlign w:val="center"/>
            <w:hideMark/>
          </w:tcPr>
          <w:p w14:paraId="02C38B9B" w14:textId="77777777" w:rsidR="00661352" w:rsidRPr="003C7831" w:rsidRDefault="00661352" w:rsidP="00282AF6">
            <w:pPr>
              <w:ind w:right="144"/>
              <w:jc w:val="right"/>
              <w:rPr>
                <w:kern w:val="22"/>
                <w:szCs w:val="22"/>
                <w:lang w:val="fr-CA" w:eastAsia="en-CA"/>
              </w:rPr>
            </w:pPr>
            <w:r w:rsidRPr="003C7831">
              <w:rPr>
                <w:kern w:val="22"/>
                <w:szCs w:val="22"/>
                <w:lang w:val="fr-CA" w:eastAsia="en-CA"/>
              </w:rPr>
              <w:t>6</w:t>
            </w:r>
            <w:r>
              <w:rPr>
                <w:kern w:val="22"/>
                <w:szCs w:val="22"/>
                <w:lang w:val="fr-CA" w:eastAsia="en-CA"/>
              </w:rPr>
              <w:t>,</w:t>
            </w:r>
            <w:r w:rsidRPr="003C7831">
              <w:rPr>
                <w:kern w:val="22"/>
                <w:szCs w:val="22"/>
                <w:lang w:val="fr-CA" w:eastAsia="en-CA"/>
              </w:rPr>
              <w:t>090</w:t>
            </w:r>
          </w:p>
        </w:tc>
        <w:tc>
          <w:tcPr>
            <w:tcW w:w="1620" w:type="dxa"/>
            <w:tcBorders>
              <w:top w:val="nil"/>
              <w:left w:val="nil"/>
              <w:bottom w:val="single" w:sz="4" w:space="0" w:color="auto"/>
              <w:right w:val="single" w:sz="4" w:space="0" w:color="auto"/>
            </w:tcBorders>
            <w:shd w:val="clear" w:color="auto" w:fill="auto"/>
            <w:noWrap/>
            <w:vAlign w:val="center"/>
            <w:hideMark/>
          </w:tcPr>
          <w:p w14:paraId="22CF79F9" w14:textId="77777777" w:rsidR="00661352" w:rsidRPr="003C7831" w:rsidRDefault="00661352" w:rsidP="00282AF6">
            <w:pPr>
              <w:ind w:right="144"/>
              <w:jc w:val="right"/>
              <w:rPr>
                <w:kern w:val="22"/>
                <w:szCs w:val="22"/>
                <w:lang w:val="fr-CA" w:eastAsia="en-CA"/>
              </w:rPr>
            </w:pPr>
            <w:r w:rsidRPr="003C7831">
              <w:rPr>
                <w:kern w:val="22"/>
                <w:szCs w:val="22"/>
                <w:lang w:val="fr-CA" w:eastAsia="en-CA"/>
              </w:rPr>
              <w:t>7</w:t>
            </w:r>
            <w:r>
              <w:rPr>
                <w:kern w:val="22"/>
                <w:szCs w:val="22"/>
                <w:lang w:val="fr-CA" w:eastAsia="en-CA"/>
              </w:rPr>
              <w:t>,</w:t>
            </w:r>
            <w:r w:rsidRPr="003C7831">
              <w:rPr>
                <w:kern w:val="22"/>
                <w:szCs w:val="22"/>
                <w:lang w:val="fr-CA" w:eastAsia="en-CA"/>
              </w:rPr>
              <w:t>614</w:t>
            </w:r>
          </w:p>
        </w:tc>
        <w:tc>
          <w:tcPr>
            <w:tcW w:w="1710" w:type="dxa"/>
            <w:tcBorders>
              <w:top w:val="nil"/>
              <w:left w:val="nil"/>
              <w:bottom w:val="single" w:sz="4" w:space="0" w:color="auto"/>
              <w:right w:val="single" w:sz="4" w:space="0" w:color="auto"/>
            </w:tcBorders>
            <w:shd w:val="clear" w:color="auto" w:fill="auto"/>
            <w:noWrap/>
            <w:vAlign w:val="center"/>
            <w:hideMark/>
          </w:tcPr>
          <w:p w14:paraId="0C8715F0" w14:textId="77777777" w:rsidR="00661352" w:rsidRPr="003C7831" w:rsidRDefault="00661352" w:rsidP="00282AF6">
            <w:pPr>
              <w:ind w:right="144"/>
              <w:jc w:val="right"/>
              <w:rPr>
                <w:kern w:val="22"/>
                <w:szCs w:val="22"/>
                <w:lang w:val="fr-CA" w:eastAsia="en-CA"/>
              </w:rPr>
            </w:pPr>
            <w:r w:rsidRPr="003C7831">
              <w:rPr>
                <w:kern w:val="22"/>
                <w:szCs w:val="22"/>
                <w:lang w:val="fr-CA" w:eastAsia="en-CA"/>
              </w:rPr>
              <w:t>960 808</w:t>
            </w:r>
          </w:p>
        </w:tc>
      </w:tr>
      <w:tr w:rsidR="00661352" w:rsidRPr="003C7831" w14:paraId="5F81D313"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CBFF82" w14:textId="53FA8A8F" w:rsidR="00661352" w:rsidRPr="003C7831" w:rsidRDefault="00C95673" w:rsidP="00120F79">
            <w:pPr>
              <w:jc w:val="right"/>
              <w:rPr>
                <w:kern w:val="22"/>
                <w:szCs w:val="22"/>
                <w:lang w:val="fr-CA" w:eastAsia="en-CA"/>
              </w:rPr>
            </w:pPr>
            <w:r>
              <w:rPr>
                <w:kern w:val="22"/>
                <w:szCs w:val="22"/>
                <w:lang w:val="fr-CA" w:eastAsia="en-CA"/>
              </w:rPr>
              <w:t>6</w:t>
            </w:r>
          </w:p>
        </w:tc>
        <w:tc>
          <w:tcPr>
            <w:tcW w:w="3870" w:type="dxa"/>
            <w:tcBorders>
              <w:top w:val="nil"/>
              <w:left w:val="nil"/>
              <w:bottom w:val="single" w:sz="4" w:space="0" w:color="auto"/>
              <w:right w:val="single" w:sz="4" w:space="0" w:color="auto"/>
            </w:tcBorders>
            <w:shd w:val="clear" w:color="auto" w:fill="auto"/>
            <w:vAlign w:val="center"/>
            <w:hideMark/>
          </w:tcPr>
          <w:p w14:paraId="23160B2D" w14:textId="77777777" w:rsidR="00661352" w:rsidRPr="003C7831" w:rsidRDefault="00661352" w:rsidP="00EB694E">
            <w:pPr>
              <w:jc w:val="left"/>
              <w:rPr>
                <w:kern w:val="22"/>
                <w:szCs w:val="22"/>
                <w:lang w:val="fr-CA" w:eastAsia="en-CA"/>
              </w:rPr>
            </w:pPr>
            <w:r w:rsidRPr="003C7831">
              <w:rPr>
                <w:kern w:val="22"/>
                <w:szCs w:val="22"/>
                <w:lang w:val="fr-CA" w:eastAsia="en-CA"/>
              </w:rPr>
              <w:t>Andorre</w:t>
            </w:r>
          </w:p>
        </w:tc>
        <w:tc>
          <w:tcPr>
            <w:tcW w:w="1440" w:type="dxa"/>
            <w:tcBorders>
              <w:top w:val="nil"/>
              <w:left w:val="nil"/>
              <w:bottom w:val="single" w:sz="4" w:space="0" w:color="auto"/>
              <w:right w:val="single" w:sz="4" w:space="0" w:color="auto"/>
            </w:tcBorders>
            <w:shd w:val="clear" w:color="auto" w:fill="auto"/>
            <w:vAlign w:val="center"/>
            <w:hideMark/>
          </w:tcPr>
          <w:p w14:paraId="1FB77506"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005</w:t>
            </w:r>
          </w:p>
        </w:tc>
        <w:tc>
          <w:tcPr>
            <w:tcW w:w="1620" w:type="dxa"/>
            <w:tcBorders>
              <w:top w:val="nil"/>
              <w:left w:val="nil"/>
              <w:bottom w:val="single" w:sz="4" w:space="0" w:color="auto"/>
              <w:right w:val="single" w:sz="4" w:space="0" w:color="auto"/>
            </w:tcBorders>
            <w:shd w:val="clear" w:color="auto" w:fill="auto"/>
            <w:noWrap/>
            <w:vAlign w:val="center"/>
            <w:hideMark/>
          </w:tcPr>
          <w:p w14:paraId="5C111915"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006</w:t>
            </w:r>
          </w:p>
        </w:tc>
        <w:tc>
          <w:tcPr>
            <w:tcW w:w="1710" w:type="dxa"/>
            <w:tcBorders>
              <w:top w:val="nil"/>
              <w:left w:val="nil"/>
              <w:bottom w:val="single" w:sz="4" w:space="0" w:color="auto"/>
              <w:right w:val="single" w:sz="4" w:space="0" w:color="auto"/>
            </w:tcBorders>
            <w:shd w:val="clear" w:color="auto" w:fill="auto"/>
            <w:noWrap/>
            <w:vAlign w:val="center"/>
            <w:hideMark/>
          </w:tcPr>
          <w:p w14:paraId="16FC136C"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789</w:t>
            </w:r>
          </w:p>
        </w:tc>
      </w:tr>
      <w:tr w:rsidR="00661352" w:rsidRPr="003C7831" w14:paraId="60136E53"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8B6CA0" w14:textId="6CA14674" w:rsidR="00661352" w:rsidRPr="003C7831" w:rsidRDefault="00C95673" w:rsidP="00120F79">
            <w:pPr>
              <w:jc w:val="right"/>
              <w:rPr>
                <w:kern w:val="22"/>
                <w:szCs w:val="22"/>
                <w:lang w:val="fr-CA" w:eastAsia="en-CA"/>
              </w:rPr>
            </w:pPr>
            <w:r>
              <w:rPr>
                <w:kern w:val="22"/>
                <w:szCs w:val="22"/>
                <w:lang w:val="fr-CA" w:eastAsia="en-CA"/>
              </w:rPr>
              <w:t>7</w:t>
            </w:r>
          </w:p>
        </w:tc>
        <w:tc>
          <w:tcPr>
            <w:tcW w:w="3870" w:type="dxa"/>
            <w:tcBorders>
              <w:top w:val="nil"/>
              <w:left w:val="nil"/>
              <w:bottom w:val="single" w:sz="4" w:space="0" w:color="auto"/>
              <w:right w:val="single" w:sz="4" w:space="0" w:color="auto"/>
            </w:tcBorders>
            <w:shd w:val="clear" w:color="auto" w:fill="auto"/>
            <w:vAlign w:val="center"/>
            <w:hideMark/>
          </w:tcPr>
          <w:p w14:paraId="09D2FF1C" w14:textId="77777777" w:rsidR="00661352" w:rsidRPr="003C7831" w:rsidRDefault="00661352" w:rsidP="00120F79">
            <w:pPr>
              <w:jc w:val="left"/>
              <w:rPr>
                <w:kern w:val="22"/>
                <w:szCs w:val="22"/>
                <w:lang w:val="fr-CA" w:eastAsia="en-CA"/>
              </w:rPr>
            </w:pPr>
            <w:r w:rsidRPr="003C7831">
              <w:rPr>
                <w:kern w:val="22"/>
                <w:szCs w:val="22"/>
                <w:lang w:val="fr-CA" w:eastAsia="en-CA"/>
              </w:rPr>
              <w:t>Angola</w:t>
            </w:r>
          </w:p>
        </w:tc>
        <w:tc>
          <w:tcPr>
            <w:tcW w:w="1440" w:type="dxa"/>
            <w:tcBorders>
              <w:top w:val="nil"/>
              <w:left w:val="nil"/>
              <w:bottom w:val="single" w:sz="4" w:space="0" w:color="auto"/>
              <w:right w:val="single" w:sz="4" w:space="0" w:color="auto"/>
            </w:tcBorders>
            <w:shd w:val="clear" w:color="auto" w:fill="auto"/>
            <w:vAlign w:val="center"/>
            <w:hideMark/>
          </w:tcPr>
          <w:p w14:paraId="7E91857F"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010</w:t>
            </w:r>
          </w:p>
        </w:tc>
        <w:tc>
          <w:tcPr>
            <w:tcW w:w="1620" w:type="dxa"/>
            <w:tcBorders>
              <w:top w:val="nil"/>
              <w:left w:val="nil"/>
              <w:bottom w:val="single" w:sz="4" w:space="0" w:color="auto"/>
              <w:right w:val="single" w:sz="4" w:space="0" w:color="auto"/>
            </w:tcBorders>
            <w:shd w:val="clear" w:color="auto" w:fill="auto"/>
            <w:noWrap/>
            <w:vAlign w:val="center"/>
            <w:hideMark/>
          </w:tcPr>
          <w:p w14:paraId="2FBB5F69"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010</w:t>
            </w:r>
          </w:p>
        </w:tc>
        <w:tc>
          <w:tcPr>
            <w:tcW w:w="1710" w:type="dxa"/>
            <w:tcBorders>
              <w:top w:val="nil"/>
              <w:left w:val="nil"/>
              <w:bottom w:val="single" w:sz="4" w:space="0" w:color="auto"/>
              <w:right w:val="single" w:sz="4" w:space="0" w:color="auto"/>
            </w:tcBorders>
            <w:shd w:val="clear" w:color="auto" w:fill="auto"/>
            <w:noWrap/>
            <w:vAlign w:val="center"/>
            <w:hideMark/>
          </w:tcPr>
          <w:p w14:paraId="424805CD"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1 262</w:t>
            </w:r>
          </w:p>
        </w:tc>
      </w:tr>
      <w:tr w:rsidR="00661352" w:rsidRPr="003C7831" w14:paraId="53E311C3"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7C52B9" w14:textId="0D456E69" w:rsidR="00661352" w:rsidRPr="003C7831" w:rsidRDefault="00C95673" w:rsidP="00120F79">
            <w:pPr>
              <w:jc w:val="right"/>
              <w:rPr>
                <w:kern w:val="22"/>
                <w:szCs w:val="22"/>
                <w:lang w:val="fr-CA" w:eastAsia="en-CA"/>
              </w:rPr>
            </w:pPr>
            <w:r>
              <w:rPr>
                <w:kern w:val="22"/>
                <w:szCs w:val="22"/>
                <w:lang w:val="fr-CA" w:eastAsia="en-CA"/>
              </w:rPr>
              <w:t>8</w:t>
            </w:r>
          </w:p>
        </w:tc>
        <w:tc>
          <w:tcPr>
            <w:tcW w:w="3870" w:type="dxa"/>
            <w:tcBorders>
              <w:top w:val="nil"/>
              <w:left w:val="nil"/>
              <w:bottom w:val="single" w:sz="4" w:space="0" w:color="auto"/>
              <w:right w:val="single" w:sz="4" w:space="0" w:color="auto"/>
            </w:tcBorders>
            <w:shd w:val="clear" w:color="auto" w:fill="auto"/>
            <w:vAlign w:val="center"/>
            <w:hideMark/>
          </w:tcPr>
          <w:p w14:paraId="107E649E" w14:textId="77777777" w:rsidR="00661352" w:rsidRPr="003C7831" w:rsidRDefault="00661352" w:rsidP="00EB694E">
            <w:pPr>
              <w:jc w:val="left"/>
              <w:rPr>
                <w:kern w:val="22"/>
                <w:szCs w:val="22"/>
                <w:lang w:val="fr-CA" w:eastAsia="en-CA"/>
              </w:rPr>
            </w:pPr>
            <w:r w:rsidRPr="003C7831">
              <w:rPr>
                <w:kern w:val="22"/>
                <w:szCs w:val="22"/>
                <w:lang w:val="fr-CA" w:eastAsia="en-CA"/>
              </w:rPr>
              <w:t>Antigua-et-Barbuda</w:t>
            </w:r>
          </w:p>
        </w:tc>
        <w:tc>
          <w:tcPr>
            <w:tcW w:w="1440" w:type="dxa"/>
            <w:tcBorders>
              <w:top w:val="nil"/>
              <w:left w:val="nil"/>
              <w:bottom w:val="single" w:sz="4" w:space="0" w:color="auto"/>
              <w:right w:val="single" w:sz="4" w:space="0" w:color="auto"/>
            </w:tcBorders>
            <w:shd w:val="clear" w:color="auto" w:fill="auto"/>
            <w:vAlign w:val="center"/>
            <w:hideMark/>
          </w:tcPr>
          <w:p w14:paraId="5BE6B9F8"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002</w:t>
            </w:r>
          </w:p>
        </w:tc>
        <w:tc>
          <w:tcPr>
            <w:tcW w:w="1620" w:type="dxa"/>
            <w:tcBorders>
              <w:top w:val="nil"/>
              <w:left w:val="nil"/>
              <w:bottom w:val="single" w:sz="4" w:space="0" w:color="auto"/>
              <w:right w:val="single" w:sz="4" w:space="0" w:color="auto"/>
            </w:tcBorders>
            <w:shd w:val="clear" w:color="auto" w:fill="auto"/>
            <w:noWrap/>
            <w:vAlign w:val="center"/>
            <w:hideMark/>
          </w:tcPr>
          <w:p w14:paraId="3D793E41"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003</w:t>
            </w:r>
          </w:p>
        </w:tc>
        <w:tc>
          <w:tcPr>
            <w:tcW w:w="1710" w:type="dxa"/>
            <w:tcBorders>
              <w:top w:val="nil"/>
              <w:left w:val="nil"/>
              <w:bottom w:val="single" w:sz="4" w:space="0" w:color="auto"/>
              <w:right w:val="single" w:sz="4" w:space="0" w:color="auto"/>
            </w:tcBorders>
            <w:shd w:val="clear" w:color="auto" w:fill="auto"/>
            <w:noWrap/>
            <w:vAlign w:val="center"/>
            <w:hideMark/>
          </w:tcPr>
          <w:p w14:paraId="6F561150"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316</w:t>
            </w:r>
          </w:p>
        </w:tc>
      </w:tr>
      <w:tr w:rsidR="00661352" w:rsidRPr="00E470BA" w14:paraId="5D2BF661"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tcPr>
          <w:p w14:paraId="492D4EAA" w14:textId="6E69F961" w:rsidR="00661352" w:rsidRPr="00E470BA" w:rsidRDefault="00C95673" w:rsidP="004266BB">
            <w:pPr>
              <w:jc w:val="right"/>
              <w:rPr>
                <w:kern w:val="22"/>
                <w:szCs w:val="22"/>
                <w:lang w:val="fr-CA" w:eastAsia="en-CA"/>
              </w:rPr>
            </w:pPr>
            <w:r>
              <w:rPr>
                <w:kern w:val="22"/>
                <w:szCs w:val="22"/>
                <w:lang w:val="fr-CA" w:eastAsia="en-CA"/>
              </w:rPr>
              <w:t>9</w:t>
            </w:r>
          </w:p>
        </w:tc>
        <w:tc>
          <w:tcPr>
            <w:tcW w:w="3870" w:type="dxa"/>
            <w:tcBorders>
              <w:top w:val="nil"/>
              <w:left w:val="nil"/>
              <w:bottom w:val="single" w:sz="4" w:space="0" w:color="auto"/>
              <w:right w:val="single" w:sz="4" w:space="0" w:color="auto"/>
            </w:tcBorders>
            <w:shd w:val="clear" w:color="auto" w:fill="auto"/>
            <w:vAlign w:val="center"/>
            <w:hideMark/>
          </w:tcPr>
          <w:p w14:paraId="6A2FAE04" w14:textId="77777777" w:rsidR="00661352" w:rsidRPr="00E470BA" w:rsidRDefault="00661352" w:rsidP="004266BB">
            <w:pPr>
              <w:jc w:val="left"/>
              <w:rPr>
                <w:kern w:val="22"/>
                <w:szCs w:val="22"/>
                <w:lang w:val="fr-CA" w:eastAsia="en-CA"/>
              </w:rPr>
            </w:pPr>
            <w:r>
              <w:rPr>
                <w:kern w:val="22"/>
                <w:szCs w:val="22"/>
                <w:lang w:val="fr-CA" w:eastAsia="en-CA"/>
              </w:rPr>
              <w:t>Arabie saoudite</w:t>
            </w:r>
          </w:p>
        </w:tc>
        <w:tc>
          <w:tcPr>
            <w:tcW w:w="1440" w:type="dxa"/>
            <w:tcBorders>
              <w:top w:val="nil"/>
              <w:left w:val="nil"/>
              <w:bottom w:val="single" w:sz="4" w:space="0" w:color="auto"/>
              <w:right w:val="single" w:sz="4" w:space="0" w:color="auto"/>
            </w:tcBorders>
            <w:shd w:val="clear" w:color="auto" w:fill="auto"/>
            <w:vAlign w:val="center"/>
            <w:hideMark/>
          </w:tcPr>
          <w:p w14:paraId="4233BCA0" w14:textId="77777777" w:rsidR="00661352" w:rsidRPr="00E470BA" w:rsidRDefault="00661352" w:rsidP="00282AF6">
            <w:pPr>
              <w:ind w:right="144"/>
              <w:jc w:val="right"/>
              <w:rPr>
                <w:kern w:val="22"/>
                <w:szCs w:val="22"/>
                <w:lang w:val="fr-CA" w:eastAsia="en-CA"/>
              </w:rPr>
            </w:pPr>
            <w:r w:rsidRPr="00E470BA">
              <w:rPr>
                <w:kern w:val="22"/>
                <w:szCs w:val="22"/>
                <w:lang w:val="fr-CA" w:eastAsia="en-CA"/>
              </w:rPr>
              <w:t>1</w:t>
            </w:r>
            <w:r>
              <w:rPr>
                <w:kern w:val="22"/>
                <w:szCs w:val="22"/>
                <w:lang w:val="fr-CA" w:eastAsia="en-CA"/>
              </w:rPr>
              <w:t>,</w:t>
            </w:r>
            <w:r w:rsidRPr="00E470BA">
              <w:rPr>
                <w:kern w:val="22"/>
                <w:szCs w:val="22"/>
                <w:lang w:val="fr-CA" w:eastAsia="en-CA"/>
              </w:rPr>
              <w:t>172</w:t>
            </w:r>
          </w:p>
        </w:tc>
        <w:tc>
          <w:tcPr>
            <w:tcW w:w="1620" w:type="dxa"/>
            <w:tcBorders>
              <w:top w:val="nil"/>
              <w:left w:val="nil"/>
              <w:bottom w:val="single" w:sz="4" w:space="0" w:color="auto"/>
              <w:right w:val="single" w:sz="4" w:space="0" w:color="auto"/>
            </w:tcBorders>
            <w:shd w:val="clear" w:color="auto" w:fill="auto"/>
            <w:noWrap/>
            <w:vAlign w:val="center"/>
            <w:hideMark/>
          </w:tcPr>
          <w:p w14:paraId="55D8128D" w14:textId="77777777" w:rsidR="00661352" w:rsidRPr="00E470BA" w:rsidRDefault="00661352" w:rsidP="00282AF6">
            <w:pPr>
              <w:ind w:right="144"/>
              <w:jc w:val="right"/>
              <w:rPr>
                <w:kern w:val="22"/>
                <w:szCs w:val="22"/>
                <w:lang w:val="fr-CA" w:eastAsia="en-CA"/>
              </w:rPr>
            </w:pPr>
            <w:r w:rsidRPr="00E470BA">
              <w:rPr>
                <w:kern w:val="22"/>
                <w:szCs w:val="22"/>
                <w:lang w:val="fr-CA" w:eastAsia="en-CA"/>
              </w:rPr>
              <w:t>1</w:t>
            </w:r>
            <w:r>
              <w:rPr>
                <w:kern w:val="22"/>
                <w:szCs w:val="22"/>
                <w:lang w:val="fr-CA" w:eastAsia="en-CA"/>
              </w:rPr>
              <w:t>,</w:t>
            </w:r>
            <w:r w:rsidRPr="00E470BA">
              <w:rPr>
                <w:kern w:val="22"/>
                <w:szCs w:val="22"/>
                <w:lang w:val="fr-CA" w:eastAsia="en-CA"/>
              </w:rPr>
              <w:t>465</w:t>
            </w:r>
          </w:p>
        </w:tc>
        <w:tc>
          <w:tcPr>
            <w:tcW w:w="1710" w:type="dxa"/>
            <w:tcBorders>
              <w:top w:val="nil"/>
              <w:left w:val="nil"/>
              <w:bottom w:val="single" w:sz="4" w:space="0" w:color="auto"/>
              <w:right w:val="single" w:sz="4" w:space="0" w:color="auto"/>
            </w:tcBorders>
            <w:shd w:val="clear" w:color="auto" w:fill="auto"/>
            <w:noWrap/>
            <w:vAlign w:val="center"/>
            <w:hideMark/>
          </w:tcPr>
          <w:p w14:paraId="5D4C8F8D" w14:textId="77777777" w:rsidR="00661352" w:rsidRPr="00E470BA" w:rsidRDefault="00661352" w:rsidP="00282AF6">
            <w:pPr>
              <w:ind w:right="144"/>
              <w:jc w:val="right"/>
              <w:rPr>
                <w:kern w:val="22"/>
                <w:szCs w:val="22"/>
                <w:lang w:val="fr-CA" w:eastAsia="en-CA"/>
              </w:rPr>
            </w:pPr>
            <w:r w:rsidRPr="00E470BA">
              <w:rPr>
                <w:kern w:val="22"/>
                <w:szCs w:val="22"/>
                <w:lang w:val="fr-CA" w:eastAsia="en-CA"/>
              </w:rPr>
              <w:t>184 904</w:t>
            </w:r>
          </w:p>
        </w:tc>
      </w:tr>
      <w:tr w:rsidR="00661352" w:rsidRPr="003C7831" w14:paraId="42D998F4"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97BF20" w14:textId="3DC91A75" w:rsidR="00661352" w:rsidRPr="003C7831" w:rsidRDefault="00C95673" w:rsidP="00120F79">
            <w:pPr>
              <w:jc w:val="right"/>
              <w:rPr>
                <w:kern w:val="22"/>
                <w:szCs w:val="22"/>
                <w:lang w:val="fr-CA" w:eastAsia="en-CA"/>
              </w:rPr>
            </w:pPr>
            <w:r>
              <w:rPr>
                <w:kern w:val="22"/>
                <w:szCs w:val="22"/>
                <w:lang w:val="fr-CA" w:eastAsia="en-CA"/>
              </w:rPr>
              <w:t>10</w:t>
            </w:r>
          </w:p>
        </w:tc>
        <w:tc>
          <w:tcPr>
            <w:tcW w:w="3870" w:type="dxa"/>
            <w:tcBorders>
              <w:top w:val="nil"/>
              <w:left w:val="nil"/>
              <w:bottom w:val="single" w:sz="4" w:space="0" w:color="auto"/>
              <w:right w:val="single" w:sz="4" w:space="0" w:color="auto"/>
            </w:tcBorders>
            <w:shd w:val="clear" w:color="auto" w:fill="auto"/>
            <w:vAlign w:val="center"/>
            <w:hideMark/>
          </w:tcPr>
          <w:p w14:paraId="2A8C314D" w14:textId="77777777" w:rsidR="00661352" w:rsidRPr="003C7831" w:rsidRDefault="00661352" w:rsidP="00EB694E">
            <w:pPr>
              <w:jc w:val="left"/>
              <w:rPr>
                <w:kern w:val="22"/>
                <w:szCs w:val="22"/>
                <w:lang w:val="fr-CA" w:eastAsia="en-CA"/>
              </w:rPr>
            </w:pPr>
            <w:r w:rsidRPr="003C7831">
              <w:rPr>
                <w:kern w:val="22"/>
                <w:szCs w:val="22"/>
                <w:lang w:val="fr-CA" w:eastAsia="en-CA"/>
              </w:rPr>
              <w:t>Argentine</w:t>
            </w:r>
          </w:p>
        </w:tc>
        <w:tc>
          <w:tcPr>
            <w:tcW w:w="1440" w:type="dxa"/>
            <w:tcBorders>
              <w:top w:val="nil"/>
              <w:left w:val="nil"/>
              <w:bottom w:val="single" w:sz="4" w:space="0" w:color="auto"/>
              <w:right w:val="single" w:sz="4" w:space="0" w:color="auto"/>
            </w:tcBorders>
            <w:shd w:val="clear" w:color="auto" w:fill="auto"/>
            <w:vAlign w:val="center"/>
            <w:hideMark/>
          </w:tcPr>
          <w:p w14:paraId="5F4C286B"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915</w:t>
            </w:r>
          </w:p>
        </w:tc>
        <w:tc>
          <w:tcPr>
            <w:tcW w:w="1620" w:type="dxa"/>
            <w:tcBorders>
              <w:top w:val="nil"/>
              <w:left w:val="nil"/>
              <w:bottom w:val="single" w:sz="4" w:space="0" w:color="auto"/>
              <w:right w:val="single" w:sz="4" w:space="0" w:color="auto"/>
            </w:tcBorders>
            <w:shd w:val="clear" w:color="auto" w:fill="auto"/>
            <w:noWrap/>
            <w:vAlign w:val="center"/>
            <w:hideMark/>
          </w:tcPr>
          <w:p w14:paraId="07B77BB9"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1</w:t>
            </w:r>
            <w:r>
              <w:rPr>
                <w:kern w:val="22"/>
                <w:szCs w:val="22"/>
                <w:lang w:val="fr-CA" w:eastAsia="en-CA"/>
              </w:rPr>
              <w:t>,</w:t>
            </w:r>
            <w:r w:rsidRPr="003C7831">
              <w:rPr>
                <w:kern w:val="22"/>
                <w:szCs w:val="22"/>
                <w:lang w:val="fr-CA" w:eastAsia="en-CA"/>
              </w:rPr>
              <w:t>144</w:t>
            </w:r>
          </w:p>
        </w:tc>
        <w:tc>
          <w:tcPr>
            <w:tcW w:w="1710" w:type="dxa"/>
            <w:tcBorders>
              <w:top w:val="nil"/>
              <w:left w:val="nil"/>
              <w:bottom w:val="single" w:sz="4" w:space="0" w:color="auto"/>
              <w:right w:val="single" w:sz="4" w:space="0" w:color="auto"/>
            </w:tcBorders>
            <w:shd w:val="clear" w:color="auto" w:fill="auto"/>
            <w:noWrap/>
            <w:vAlign w:val="center"/>
            <w:hideMark/>
          </w:tcPr>
          <w:p w14:paraId="25121C6F"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144 358</w:t>
            </w:r>
          </w:p>
        </w:tc>
      </w:tr>
      <w:tr w:rsidR="00661352" w:rsidRPr="003C7831" w14:paraId="481434FE"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CD9F2F" w14:textId="55E726BF" w:rsidR="00661352" w:rsidRPr="003C7831" w:rsidRDefault="00C95673" w:rsidP="00120F79">
            <w:pPr>
              <w:jc w:val="right"/>
              <w:rPr>
                <w:kern w:val="22"/>
                <w:szCs w:val="22"/>
                <w:lang w:val="fr-CA" w:eastAsia="en-CA"/>
              </w:rPr>
            </w:pPr>
            <w:r>
              <w:rPr>
                <w:kern w:val="22"/>
                <w:szCs w:val="22"/>
                <w:lang w:val="fr-CA" w:eastAsia="en-CA"/>
              </w:rPr>
              <w:t>11</w:t>
            </w:r>
          </w:p>
        </w:tc>
        <w:tc>
          <w:tcPr>
            <w:tcW w:w="3870" w:type="dxa"/>
            <w:tcBorders>
              <w:top w:val="nil"/>
              <w:left w:val="nil"/>
              <w:bottom w:val="single" w:sz="4" w:space="0" w:color="auto"/>
              <w:right w:val="single" w:sz="4" w:space="0" w:color="auto"/>
            </w:tcBorders>
            <w:shd w:val="clear" w:color="auto" w:fill="auto"/>
            <w:vAlign w:val="center"/>
            <w:hideMark/>
          </w:tcPr>
          <w:p w14:paraId="5B60A00B" w14:textId="77777777" w:rsidR="00661352" w:rsidRPr="003C7831" w:rsidRDefault="00661352" w:rsidP="00120F79">
            <w:pPr>
              <w:jc w:val="left"/>
              <w:rPr>
                <w:kern w:val="22"/>
                <w:szCs w:val="22"/>
                <w:lang w:val="fr-CA" w:eastAsia="en-CA"/>
              </w:rPr>
            </w:pPr>
            <w:r w:rsidRPr="003C7831">
              <w:rPr>
                <w:kern w:val="22"/>
                <w:szCs w:val="22"/>
                <w:lang w:val="fr-CA" w:eastAsia="en-CA"/>
              </w:rPr>
              <w:t>Arménie</w:t>
            </w:r>
          </w:p>
        </w:tc>
        <w:tc>
          <w:tcPr>
            <w:tcW w:w="1440" w:type="dxa"/>
            <w:tcBorders>
              <w:top w:val="nil"/>
              <w:left w:val="nil"/>
              <w:bottom w:val="single" w:sz="4" w:space="0" w:color="auto"/>
              <w:right w:val="single" w:sz="4" w:space="0" w:color="auto"/>
            </w:tcBorders>
            <w:shd w:val="clear" w:color="auto" w:fill="auto"/>
            <w:vAlign w:val="center"/>
            <w:hideMark/>
          </w:tcPr>
          <w:p w14:paraId="24E8BB43"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007</w:t>
            </w:r>
          </w:p>
        </w:tc>
        <w:tc>
          <w:tcPr>
            <w:tcW w:w="1620" w:type="dxa"/>
            <w:tcBorders>
              <w:top w:val="nil"/>
              <w:left w:val="nil"/>
              <w:bottom w:val="single" w:sz="4" w:space="0" w:color="auto"/>
              <w:right w:val="single" w:sz="4" w:space="0" w:color="auto"/>
            </w:tcBorders>
            <w:shd w:val="clear" w:color="auto" w:fill="auto"/>
            <w:noWrap/>
            <w:vAlign w:val="center"/>
            <w:hideMark/>
          </w:tcPr>
          <w:p w14:paraId="0F64B716"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009</w:t>
            </w:r>
          </w:p>
        </w:tc>
        <w:tc>
          <w:tcPr>
            <w:tcW w:w="1710" w:type="dxa"/>
            <w:tcBorders>
              <w:top w:val="nil"/>
              <w:left w:val="nil"/>
              <w:bottom w:val="single" w:sz="4" w:space="0" w:color="auto"/>
              <w:right w:val="single" w:sz="4" w:space="0" w:color="auto"/>
            </w:tcBorders>
            <w:shd w:val="clear" w:color="auto" w:fill="auto"/>
            <w:noWrap/>
            <w:vAlign w:val="center"/>
            <w:hideMark/>
          </w:tcPr>
          <w:p w14:paraId="25D06DE2"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1 104</w:t>
            </w:r>
          </w:p>
        </w:tc>
      </w:tr>
      <w:tr w:rsidR="00661352" w:rsidRPr="003C7831" w14:paraId="7B8BC62A"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41CF76" w14:textId="1775ED6A" w:rsidR="00661352" w:rsidRPr="003C7831" w:rsidRDefault="00C95673" w:rsidP="00120F79">
            <w:pPr>
              <w:jc w:val="right"/>
              <w:rPr>
                <w:kern w:val="22"/>
                <w:szCs w:val="22"/>
                <w:lang w:val="fr-CA" w:eastAsia="en-CA"/>
              </w:rPr>
            </w:pPr>
            <w:r>
              <w:rPr>
                <w:kern w:val="22"/>
                <w:szCs w:val="22"/>
                <w:lang w:val="fr-CA" w:eastAsia="en-CA"/>
              </w:rPr>
              <w:t>12</w:t>
            </w:r>
          </w:p>
        </w:tc>
        <w:tc>
          <w:tcPr>
            <w:tcW w:w="3870" w:type="dxa"/>
            <w:tcBorders>
              <w:top w:val="nil"/>
              <w:left w:val="nil"/>
              <w:bottom w:val="single" w:sz="4" w:space="0" w:color="auto"/>
              <w:right w:val="single" w:sz="4" w:space="0" w:color="auto"/>
            </w:tcBorders>
            <w:shd w:val="clear" w:color="auto" w:fill="auto"/>
            <w:vAlign w:val="center"/>
            <w:hideMark/>
          </w:tcPr>
          <w:p w14:paraId="59C0BDE1" w14:textId="77777777" w:rsidR="00661352" w:rsidRPr="003C7831" w:rsidRDefault="00661352" w:rsidP="00120F79">
            <w:pPr>
              <w:jc w:val="left"/>
              <w:rPr>
                <w:kern w:val="22"/>
                <w:szCs w:val="22"/>
                <w:lang w:val="fr-CA" w:eastAsia="en-CA"/>
              </w:rPr>
            </w:pPr>
            <w:r w:rsidRPr="003C7831">
              <w:rPr>
                <w:kern w:val="22"/>
                <w:szCs w:val="22"/>
                <w:lang w:val="fr-CA" w:eastAsia="en-CA"/>
              </w:rPr>
              <w:t>Australie</w:t>
            </w:r>
          </w:p>
        </w:tc>
        <w:tc>
          <w:tcPr>
            <w:tcW w:w="1440" w:type="dxa"/>
            <w:tcBorders>
              <w:top w:val="nil"/>
              <w:left w:val="nil"/>
              <w:bottom w:val="single" w:sz="4" w:space="0" w:color="auto"/>
              <w:right w:val="single" w:sz="4" w:space="0" w:color="auto"/>
            </w:tcBorders>
            <w:shd w:val="clear" w:color="auto" w:fill="auto"/>
            <w:vAlign w:val="center"/>
            <w:hideMark/>
          </w:tcPr>
          <w:p w14:paraId="52413CAD"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2</w:t>
            </w:r>
            <w:r>
              <w:rPr>
                <w:kern w:val="22"/>
                <w:szCs w:val="22"/>
                <w:lang w:val="fr-CA" w:eastAsia="en-CA"/>
              </w:rPr>
              <w:t>,</w:t>
            </w:r>
            <w:r w:rsidRPr="003C7831">
              <w:rPr>
                <w:kern w:val="22"/>
                <w:szCs w:val="22"/>
                <w:lang w:val="fr-CA" w:eastAsia="en-CA"/>
              </w:rPr>
              <w:t>210</w:t>
            </w:r>
          </w:p>
        </w:tc>
        <w:tc>
          <w:tcPr>
            <w:tcW w:w="1620" w:type="dxa"/>
            <w:tcBorders>
              <w:top w:val="nil"/>
              <w:left w:val="nil"/>
              <w:bottom w:val="single" w:sz="4" w:space="0" w:color="auto"/>
              <w:right w:val="single" w:sz="4" w:space="0" w:color="auto"/>
            </w:tcBorders>
            <w:shd w:val="clear" w:color="auto" w:fill="auto"/>
            <w:noWrap/>
            <w:vAlign w:val="center"/>
            <w:hideMark/>
          </w:tcPr>
          <w:p w14:paraId="2BC18DD1"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2</w:t>
            </w:r>
            <w:r>
              <w:rPr>
                <w:kern w:val="22"/>
                <w:szCs w:val="22"/>
                <w:lang w:val="fr-CA" w:eastAsia="en-CA"/>
              </w:rPr>
              <w:t>,</w:t>
            </w:r>
            <w:r w:rsidRPr="003C7831">
              <w:rPr>
                <w:kern w:val="22"/>
                <w:szCs w:val="22"/>
                <w:lang w:val="fr-CA" w:eastAsia="en-CA"/>
              </w:rPr>
              <w:t>763</w:t>
            </w:r>
          </w:p>
        </w:tc>
        <w:tc>
          <w:tcPr>
            <w:tcW w:w="1710" w:type="dxa"/>
            <w:tcBorders>
              <w:top w:val="nil"/>
              <w:left w:val="nil"/>
              <w:bottom w:val="single" w:sz="4" w:space="0" w:color="auto"/>
              <w:right w:val="single" w:sz="4" w:space="0" w:color="auto"/>
            </w:tcBorders>
            <w:shd w:val="clear" w:color="auto" w:fill="auto"/>
            <w:noWrap/>
            <w:vAlign w:val="center"/>
            <w:hideMark/>
          </w:tcPr>
          <w:p w14:paraId="3B6A6404"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348 668</w:t>
            </w:r>
          </w:p>
        </w:tc>
      </w:tr>
      <w:tr w:rsidR="00661352" w:rsidRPr="003C7831" w14:paraId="6CC7039F"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3E3BDC" w14:textId="0206426E" w:rsidR="00661352" w:rsidRPr="003C7831" w:rsidRDefault="00C95673" w:rsidP="00120F79">
            <w:pPr>
              <w:jc w:val="right"/>
              <w:rPr>
                <w:kern w:val="22"/>
                <w:szCs w:val="22"/>
                <w:lang w:val="fr-CA" w:eastAsia="en-CA"/>
              </w:rPr>
            </w:pPr>
            <w:r>
              <w:rPr>
                <w:kern w:val="22"/>
                <w:szCs w:val="22"/>
                <w:lang w:val="fr-CA" w:eastAsia="en-CA"/>
              </w:rPr>
              <w:t>11</w:t>
            </w:r>
          </w:p>
        </w:tc>
        <w:tc>
          <w:tcPr>
            <w:tcW w:w="3870" w:type="dxa"/>
            <w:tcBorders>
              <w:top w:val="nil"/>
              <w:left w:val="nil"/>
              <w:bottom w:val="single" w:sz="4" w:space="0" w:color="auto"/>
              <w:right w:val="single" w:sz="4" w:space="0" w:color="auto"/>
            </w:tcBorders>
            <w:shd w:val="clear" w:color="auto" w:fill="auto"/>
            <w:vAlign w:val="center"/>
            <w:hideMark/>
          </w:tcPr>
          <w:p w14:paraId="3A8B317A" w14:textId="77777777" w:rsidR="00661352" w:rsidRPr="003C7831" w:rsidRDefault="00661352" w:rsidP="00120F79">
            <w:pPr>
              <w:jc w:val="left"/>
              <w:rPr>
                <w:kern w:val="22"/>
                <w:szCs w:val="22"/>
                <w:lang w:val="fr-CA" w:eastAsia="en-CA"/>
              </w:rPr>
            </w:pPr>
            <w:r w:rsidRPr="003C7831">
              <w:rPr>
                <w:kern w:val="22"/>
                <w:szCs w:val="22"/>
                <w:lang w:val="fr-CA" w:eastAsia="en-CA"/>
              </w:rPr>
              <w:t>Autriche</w:t>
            </w:r>
          </w:p>
        </w:tc>
        <w:tc>
          <w:tcPr>
            <w:tcW w:w="1440" w:type="dxa"/>
            <w:tcBorders>
              <w:top w:val="nil"/>
              <w:left w:val="nil"/>
              <w:bottom w:val="single" w:sz="4" w:space="0" w:color="auto"/>
              <w:right w:val="single" w:sz="4" w:space="0" w:color="auto"/>
            </w:tcBorders>
            <w:shd w:val="clear" w:color="auto" w:fill="auto"/>
            <w:vAlign w:val="center"/>
            <w:hideMark/>
          </w:tcPr>
          <w:p w14:paraId="08F5E4E6"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677</w:t>
            </w:r>
          </w:p>
        </w:tc>
        <w:tc>
          <w:tcPr>
            <w:tcW w:w="1620" w:type="dxa"/>
            <w:tcBorders>
              <w:top w:val="nil"/>
              <w:left w:val="nil"/>
              <w:bottom w:val="single" w:sz="4" w:space="0" w:color="auto"/>
              <w:right w:val="single" w:sz="4" w:space="0" w:color="auto"/>
            </w:tcBorders>
            <w:shd w:val="clear" w:color="auto" w:fill="auto"/>
            <w:noWrap/>
            <w:vAlign w:val="center"/>
            <w:hideMark/>
          </w:tcPr>
          <w:p w14:paraId="5C5AFB48"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846</w:t>
            </w:r>
          </w:p>
        </w:tc>
        <w:tc>
          <w:tcPr>
            <w:tcW w:w="1710" w:type="dxa"/>
            <w:tcBorders>
              <w:top w:val="nil"/>
              <w:left w:val="nil"/>
              <w:bottom w:val="single" w:sz="4" w:space="0" w:color="auto"/>
              <w:right w:val="single" w:sz="4" w:space="0" w:color="auto"/>
            </w:tcBorders>
            <w:shd w:val="clear" w:color="auto" w:fill="auto"/>
            <w:noWrap/>
            <w:vAlign w:val="center"/>
            <w:hideMark/>
          </w:tcPr>
          <w:p w14:paraId="2966EE0C"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106 809</w:t>
            </w:r>
          </w:p>
        </w:tc>
      </w:tr>
      <w:tr w:rsidR="00661352" w:rsidRPr="003C7831" w14:paraId="13E868F5"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E2CC9F" w14:textId="3B83D450" w:rsidR="00661352" w:rsidRPr="003C7831" w:rsidRDefault="00C95673" w:rsidP="00120F79">
            <w:pPr>
              <w:jc w:val="right"/>
              <w:rPr>
                <w:kern w:val="22"/>
                <w:szCs w:val="22"/>
                <w:lang w:val="fr-CA" w:eastAsia="en-CA"/>
              </w:rPr>
            </w:pPr>
            <w:r>
              <w:rPr>
                <w:kern w:val="22"/>
                <w:szCs w:val="22"/>
                <w:lang w:val="fr-CA" w:eastAsia="en-CA"/>
              </w:rPr>
              <w:t>14</w:t>
            </w:r>
          </w:p>
        </w:tc>
        <w:tc>
          <w:tcPr>
            <w:tcW w:w="3870" w:type="dxa"/>
            <w:tcBorders>
              <w:top w:val="nil"/>
              <w:left w:val="nil"/>
              <w:bottom w:val="single" w:sz="4" w:space="0" w:color="auto"/>
              <w:right w:val="single" w:sz="4" w:space="0" w:color="auto"/>
            </w:tcBorders>
            <w:shd w:val="clear" w:color="auto" w:fill="auto"/>
            <w:vAlign w:val="center"/>
            <w:hideMark/>
          </w:tcPr>
          <w:p w14:paraId="7CD0ABED" w14:textId="77777777" w:rsidR="00661352" w:rsidRPr="003C7831" w:rsidRDefault="00661352" w:rsidP="00120F79">
            <w:pPr>
              <w:jc w:val="left"/>
              <w:rPr>
                <w:kern w:val="22"/>
                <w:szCs w:val="22"/>
                <w:lang w:val="fr-CA" w:eastAsia="en-CA"/>
              </w:rPr>
            </w:pPr>
            <w:r w:rsidRPr="003C7831">
              <w:rPr>
                <w:kern w:val="22"/>
                <w:szCs w:val="22"/>
                <w:lang w:val="fr-CA" w:eastAsia="en-CA"/>
              </w:rPr>
              <w:t>Azerbaïdjan</w:t>
            </w:r>
          </w:p>
        </w:tc>
        <w:tc>
          <w:tcPr>
            <w:tcW w:w="1440" w:type="dxa"/>
            <w:tcBorders>
              <w:top w:val="nil"/>
              <w:left w:val="nil"/>
              <w:bottom w:val="single" w:sz="4" w:space="0" w:color="auto"/>
              <w:right w:val="single" w:sz="4" w:space="0" w:color="auto"/>
            </w:tcBorders>
            <w:shd w:val="clear" w:color="auto" w:fill="auto"/>
            <w:vAlign w:val="center"/>
            <w:hideMark/>
          </w:tcPr>
          <w:p w14:paraId="6C609DD4"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049</w:t>
            </w:r>
          </w:p>
        </w:tc>
        <w:tc>
          <w:tcPr>
            <w:tcW w:w="1620" w:type="dxa"/>
            <w:tcBorders>
              <w:top w:val="nil"/>
              <w:left w:val="nil"/>
              <w:bottom w:val="single" w:sz="4" w:space="0" w:color="auto"/>
              <w:right w:val="single" w:sz="4" w:space="0" w:color="auto"/>
            </w:tcBorders>
            <w:shd w:val="clear" w:color="auto" w:fill="auto"/>
            <w:noWrap/>
            <w:vAlign w:val="center"/>
            <w:hideMark/>
          </w:tcPr>
          <w:p w14:paraId="5193BC3C"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061</w:t>
            </w:r>
          </w:p>
        </w:tc>
        <w:tc>
          <w:tcPr>
            <w:tcW w:w="1710" w:type="dxa"/>
            <w:tcBorders>
              <w:top w:val="nil"/>
              <w:left w:val="nil"/>
              <w:bottom w:val="single" w:sz="4" w:space="0" w:color="auto"/>
              <w:right w:val="single" w:sz="4" w:space="0" w:color="auto"/>
            </w:tcBorders>
            <w:shd w:val="clear" w:color="auto" w:fill="auto"/>
            <w:noWrap/>
            <w:vAlign w:val="center"/>
            <w:hideMark/>
          </w:tcPr>
          <w:p w14:paraId="2BA92B21"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7 731</w:t>
            </w:r>
          </w:p>
        </w:tc>
      </w:tr>
      <w:tr w:rsidR="00661352" w:rsidRPr="003C7831" w14:paraId="5F74B2D4"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0F3BEB" w14:textId="5CF0423C" w:rsidR="00661352" w:rsidRPr="003C7831" w:rsidRDefault="00C95673" w:rsidP="00120F79">
            <w:pPr>
              <w:jc w:val="right"/>
              <w:rPr>
                <w:kern w:val="22"/>
                <w:szCs w:val="22"/>
                <w:lang w:val="fr-CA" w:eastAsia="en-CA"/>
              </w:rPr>
            </w:pPr>
            <w:r>
              <w:rPr>
                <w:kern w:val="22"/>
                <w:szCs w:val="22"/>
                <w:lang w:val="fr-CA" w:eastAsia="en-CA"/>
              </w:rPr>
              <w:t>15</w:t>
            </w:r>
          </w:p>
        </w:tc>
        <w:tc>
          <w:tcPr>
            <w:tcW w:w="3870" w:type="dxa"/>
            <w:tcBorders>
              <w:top w:val="nil"/>
              <w:left w:val="nil"/>
              <w:bottom w:val="single" w:sz="4" w:space="0" w:color="auto"/>
              <w:right w:val="single" w:sz="4" w:space="0" w:color="auto"/>
            </w:tcBorders>
            <w:shd w:val="clear" w:color="auto" w:fill="auto"/>
            <w:vAlign w:val="center"/>
            <w:hideMark/>
          </w:tcPr>
          <w:p w14:paraId="217A9A10" w14:textId="77777777" w:rsidR="00661352" w:rsidRPr="003C7831" w:rsidRDefault="00661352" w:rsidP="00120F79">
            <w:pPr>
              <w:jc w:val="left"/>
              <w:rPr>
                <w:kern w:val="22"/>
                <w:szCs w:val="22"/>
                <w:lang w:val="fr-CA" w:eastAsia="en-CA"/>
              </w:rPr>
            </w:pPr>
            <w:r w:rsidRPr="003C7831">
              <w:rPr>
                <w:kern w:val="22"/>
                <w:szCs w:val="22"/>
                <w:lang w:val="fr-CA" w:eastAsia="en-CA"/>
              </w:rPr>
              <w:t>Bahamas</w:t>
            </w:r>
          </w:p>
        </w:tc>
        <w:tc>
          <w:tcPr>
            <w:tcW w:w="1440" w:type="dxa"/>
            <w:tcBorders>
              <w:top w:val="nil"/>
              <w:left w:val="nil"/>
              <w:bottom w:val="single" w:sz="4" w:space="0" w:color="auto"/>
              <w:right w:val="single" w:sz="4" w:space="0" w:color="auto"/>
            </w:tcBorders>
            <w:shd w:val="clear" w:color="auto" w:fill="auto"/>
            <w:vAlign w:val="center"/>
            <w:hideMark/>
          </w:tcPr>
          <w:p w14:paraId="77751CAB"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018</w:t>
            </w:r>
          </w:p>
        </w:tc>
        <w:tc>
          <w:tcPr>
            <w:tcW w:w="1620" w:type="dxa"/>
            <w:tcBorders>
              <w:top w:val="nil"/>
              <w:left w:val="nil"/>
              <w:bottom w:val="single" w:sz="4" w:space="0" w:color="auto"/>
              <w:right w:val="single" w:sz="4" w:space="0" w:color="auto"/>
            </w:tcBorders>
            <w:shd w:val="clear" w:color="auto" w:fill="auto"/>
            <w:noWrap/>
            <w:vAlign w:val="center"/>
            <w:hideMark/>
          </w:tcPr>
          <w:p w14:paraId="62D9C98D"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023</w:t>
            </w:r>
          </w:p>
        </w:tc>
        <w:tc>
          <w:tcPr>
            <w:tcW w:w="1710" w:type="dxa"/>
            <w:tcBorders>
              <w:top w:val="nil"/>
              <w:left w:val="nil"/>
              <w:bottom w:val="single" w:sz="4" w:space="0" w:color="auto"/>
              <w:right w:val="single" w:sz="4" w:space="0" w:color="auto"/>
            </w:tcBorders>
            <w:shd w:val="clear" w:color="auto" w:fill="auto"/>
            <w:noWrap/>
            <w:vAlign w:val="center"/>
            <w:hideMark/>
          </w:tcPr>
          <w:p w14:paraId="581602C2"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2 840</w:t>
            </w:r>
          </w:p>
        </w:tc>
      </w:tr>
      <w:tr w:rsidR="00661352" w:rsidRPr="003C7831" w14:paraId="0769E840"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FD4D81" w14:textId="4A616919" w:rsidR="00661352" w:rsidRPr="003C7831" w:rsidRDefault="00C95673" w:rsidP="00120F79">
            <w:pPr>
              <w:jc w:val="right"/>
              <w:rPr>
                <w:kern w:val="22"/>
                <w:szCs w:val="22"/>
                <w:lang w:val="fr-CA" w:eastAsia="en-CA"/>
              </w:rPr>
            </w:pPr>
            <w:r>
              <w:rPr>
                <w:kern w:val="22"/>
                <w:szCs w:val="22"/>
                <w:lang w:val="fr-CA" w:eastAsia="en-CA"/>
              </w:rPr>
              <w:t>16</w:t>
            </w:r>
          </w:p>
        </w:tc>
        <w:tc>
          <w:tcPr>
            <w:tcW w:w="3870" w:type="dxa"/>
            <w:tcBorders>
              <w:top w:val="nil"/>
              <w:left w:val="nil"/>
              <w:bottom w:val="single" w:sz="4" w:space="0" w:color="auto"/>
              <w:right w:val="single" w:sz="4" w:space="0" w:color="auto"/>
            </w:tcBorders>
            <w:shd w:val="clear" w:color="auto" w:fill="auto"/>
            <w:vAlign w:val="center"/>
            <w:hideMark/>
          </w:tcPr>
          <w:p w14:paraId="02930337" w14:textId="77777777" w:rsidR="00661352" w:rsidRPr="003C7831" w:rsidRDefault="00661352" w:rsidP="00EB694E">
            <w:pPr>
              <w:jc w:val="left"/>
              <w:rPr>
                <w:kern w:val="22"/>
                <w:szCs w:val="22"/>
                <w:lang w:val="fr-CA" w:eastAsia="en-CA"/>
              </w:rPr>
            </w:pPr>
            <w:r w:rsidRPr="003C7831">
              <w:rPr>
                <w:kern w:val="22"/>
                <w:szCs w:val="22"/>
                <w:lang w:val="fr-CA" w:eastAsia="en-CA"/>
              </w:rPr>
              <w:t>Bahreïn</w:t>
            </w:r>
          </w:p>
        </w:tc>
        <w:tc>
          <w:tcPr>
            <w:tcW w:w="1440" w:type="dxa"/>
            <w:tcBorders>
              <w:top w:val="nil"/>
              <w:left w:val="nil"/>
              <w:bottom w:val="single" w:sz="4" w:space="0" w:color="auto"/>
              <w:right w:val="single" w:sz="4" w:space="0" w:color="auto"/>
            </w:tcBorders>
            <w:shd w:val="clear" w:color="auto" w:fill="auto"/>
            <w:vAlign w:val="center"/>
            <w:hideMark/>
          </w:tcPr>
          <w:p w14:paraId="5CEF150B"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050</w:t>
            </w:r>
          </w:p>
        </w:tc>
        <w:tc>
          <w:tcPr>
            <w:tcW w:w="1620" w:type="dxa"/>
            <w:tcBorders>
              <w:top w:val="nil"/>
              <w:left w:val="nil"/>
              <w:bottom w:val="single" w:sz="4" w:space="0" w:color="auto"/>
              <w:right w:val="single" w:sz="4" w:space="0" w:color="auto"/>
            </w:tcBorders>
            <w:shd w:val="clear" w:color="auto" w:fill="auto"/>
            <w:noWrap/>
            <w:vAlign w:val="center"/>
            <w:hideMark/>
          </w:tcPr>
          <w:p w14:paraId="5B072C73"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063</w:t>
            </w:r>
          </w:p>
        </w:tc>
        <w:tc>
          <w:tcPr>
            <w:tcW w:w="1710" w:type="dxa"/>
            <w:tcBorders>
              <w:top w:val="nil"/>
              <w:left w:val="nil"/>
              <w:bottom w:val="single" w:sz="4" w:space="0" w:color="auto"/>
              <w:right w:val="single" w:sz="4" w:space="0" w:color="auto"/>
            </w:tcBorders>
            <w:shd w:val="clear" w:color="auto" w:fill="auto"/>
            <w:noWrap/>
            <w:vAlign w:val="center"/>
            <w:hideMark/>
          </w:tcPr>
          <w:p w14:paraId="3D41265F"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7 888</w:t>
            </w:r>
          </w:p>
        </w:tc>
      </w:tr>
      <w:tr w:rsidR="00661352" w:rsidRPr="003C7831" w14:paraId="49AC7D11"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FF9BA5" w14:textId="0F4EF255" w:rsidR="00661352" w:rsidRPr="003C7831" w:rsidRDefault="00C95673" w:rsidP="00120F79">
            <w:pPr>
              <w:jc w:val="right"/>
              <w:rPr>
                <w:kern w:val="22"/>
                <w:szCs w:val="22"/>
                <w:lang w:val="fr-CA" w:eastAsia="en-CA"/>
              </w:rPr>
            </w:pPr>
            <w:r>
              <w:rPr>
                <w:kern w:val="22"/>
                <w:szCs w:val="22"/>
                <w:lang w:val="fr-CA" w:eastAsia="en-CA"/>
              </w:rPr>
              <w:t>17</w:t>
            </w:r>
          </w:p>
        </w:tc>
        <w:tc>
          <w:tcPr>
            <w:tcW w:w="3870" w:type="dxa"/>
            <w:tcBorders>
              <w:top w:val="nil"/>
              <w:left w:val="nil"/>
              <w:bottom w:val="single" w:sz="4" w:space="0" w:color="auto"/>
              <w:right w:val="single" w:sz="4" w:space="0" w:color="auto"/>
            </w:tcBorders>
            <w:shd w:val="clear" w:color="auto" w:fill="auto"/>
            <w:vAlign w:val="center"/>
            <w:hideMark/>
          </w:tcPr>
          <w:p w14:paraId="5D02CBDA" w14:textId="77777777" w:rsidR="00661352" w:rsidRPr="003C7831" w:rsidRDefault="00661352" w:rsidP="00120F79">
            <w:pPr>
              <w:jc w:val="left"/>
              <w:rPr>
                <w:kern w:val="22"/>
                <w:szCs w:val="22"/>
                <w:lang w:val="fr-CA" w:eastAsia="en-CA"/>
              </w:rPr>
            </w:pPr>
            <w:r w:rsidRPr="003C7831">
              <w:rPr>
                <w:kern w:val="22"/>
                <w:szCs w:val="22"/>
                <w:lang w:val="fr-CA" w:eastAsia="en-CA"/>
              </w:rPr>
              <w:t>Bangladesh</w:t>
            </w:r>
          </w:p>
        </w:tc>
        <w:tc>
          <w:tcPr>
            <w:tcW w:w="1440" w:type="dxa"/>
            <w:tcBorders>
              <w:top w:val="nil"/>
              <w:left w:val="nil"/>
              <w:bottom w:val="single" w:sz="4" w:space="0" w:color="auto"/>
              <w:right w:val="single" w:sz="4" w:space="0" w:color="auto"/>
            </w:tcBorders>
            <w:shd w:val="clear" w:color="auto" w:fill="auto"/>
            <w:vAlign w:val="center"/>
            <w:hideMark/>
          </w:tcPr>
          <w:p w14:paraId="4F534BE7"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010</w:t>
            </w:r>
          </w:p>
        </w:tc>
        <w:tc>
          <w:tcPr>
            <w:tcW w:w="1620" w:type="dxa"/>
            <w:tcBorders>
              <w:top w:val="nil"/>
              <w:left w:val="nil"/>
              <w:bottom w:val="single" w:sz="4" w:space="0" w:color="auto"/>
              <w:right w:val="single" w:sz="4" w:space="0" w:color="auto"/>
            </w:tcBorders>
            <w:shd w:val="clear" w:color="auto" w:fill="auto"/>
            <w:noWrap/>
            <w:vAlign w:val="center"/>
            <w:hideMark/>
          </w:tcPr>
          <w:p w14:paraId="4993B15D"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010</w:t>
            </w:r>
          </w:p>
        </w:tc>
        <w:tc>
          <w:tcPr>
            <w:tcW w:w="1710" w:type="dxa"/>
            <w:tcBorders>
              <w:top w:val="nil"/>
              <w:left w:val="nil"/>
              <w:bottom w:val="single" w:sz="4" w:space="0" w:color="auto"/>
              <w:right w:val="single" w:sz="4" w:space="0" w:color="auto"/>
            </w:tcBorders>
            <w:shd w:val="clear" w:color="auto" w:fill="auto"/>
            <w:noWrap/>
            <w:vAlign w:val="center"/>
            <w:hideMark/>
          </w:tcPr>
          <w:p w14:paraId="42080B76"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1 262</w:t>
            </w:r>
          </w:p>
        </w:tc>
      </w:tr>
      <w:tr w:rsidR="00661352" w:rsidRPr="003C7831" w14:paraId="06C21332"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46CEC9" w14:textId="15450ABE" w:rsidR="00661352" w:rsidRPr="003C7831" w:rsidRDefault="00C95673" w:rsidP="00120F79">
            <w:pPr>
              <w:jc w:val="right"/>
              <w:rPr>
                <w:kern w:val="22"/>
                <w:szCs w:val="22"/>
                <w:lang w:val="fr-CA" w:eastAsia="en-CA"/>
              </w:rPr>
            </w:pPr>
            <w:r>
              <w:rPr>
                <w:kern w:val="22"/>
                <w:szCs w:val="22"/>
                <w:lang w:val="fr-CA" w:eastAsia="en-CA"/>
              </w:rPr>
              <w:t>18</w:t>
            </w:r>
          </w:p>
        </w:tc>
        <w:tc>
          <w:tcPr>
            <w:tcW w:w="3870" w:type="dxa"/>
            <w:tcBorders>
              <w:top w:val="nil"/>
              <w:left w:val="nil"/>
              <w:bottom w:val="single" w:sz="4" w:space="0" w:color="auto"/>
              <w:right w:val="single" w:sz="4" w:space="0" w:color="auto"/>
            </w:tcBorders>
            <w:shd w:val="clear" w:color="auto" w:fill="auto"/>
            <w:vAlign w:val="center"/>
            <w:hideMark/>
          </w:tcPr>
          <w:p w14:paraId="2C77FE84" w14:textId="77777777" w:rsidR="00661352" w:rsidRPr="003C7831" w:rsidRDefault="00661352" w:rsidP="00120F79">
            <w:pPr>
              <w:jc w:val="left"/>
              <w:rPr>
                <w:kern w:val="22"/>
                <w:szCs w:val="22"/>
                <w:lang w:val="fr-CA" w:eastAsia="en-CA"/>
              </w:rPr>
            </w:pPr>
            <w:r w:rsidRPr="003C7831">
              <w:rPr>
                <w:kern w:val="22"/>
                <w:szCs w:val="22"/>
                <w:lang w:val="fr-CA" w:eastAsia="en-CA"/>
              </w:rPr>
              <w:t>Barbade</w:t>
            </w:r>
          </w:p>
        </w:tc>
        <w:tc>
          <w:tcPr>
            <w:tcW w:w="1440" w:type="dxa"/>
            <w:tcBorders>
              <w:top w:val="nil"/>
              <w:left w:val="nil"/>
              <w:bottom w:val="single" w:sz="4" w:space="0" w:color="auto"/>
              <w:right w:val="single" w:sz="4" w:space="0" w:color="auto"/>
            </w:tcBorders>
            <w:shd w:val="clear" w:color="auto" w:fill="auto"/>
            <w:vAlign w:val="center"/>
            <w:hideMark/>
          </w:tcPr>
          <w:p w14:paraId="126BCD6C"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007</w:t>
            </w:r>
          </w:p>
        </w:tc>
        <w:tc>
          <w:tcPr>
            <w:tcW w:w="1620" w:type="dxa"/>
            <w:tcBorders>
              <w:top w:val="nil"/>
              <w:left w:val="nil"/>
              <w:bottom w:val="single" w:sz="4" w:space="0" w:color="auto"/>
              <w:right w:val="single" w:sz="4" w:space="0" w:color="auto"/>
            </w:tcBorders>
            <w:shd w:val="clear" w:color="auto" w:fill="auto"/>
            <w:noWrap/>
            <w:vAlign w:val="center"/>
            <w:hideMark/>
          </w:tcPr>
          <w:p w14:paraId="4CB455F1"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009</w:t>
            </w:r>
          </w:p>
        </w:tc>
        <w:tc>
          <w:tcPr>
            <w:tcW w:w="1710" w:type="dxa"/>
            <w:tcBorders>
              <w:top w:val="nil"/>
              <w:left w:val="nil"/>
              <w:bottom w:val="single" w:sz="4" w:space="0" w:color="auto"/>
              <w:right w:val="single" w:sz="4" w:space="0" w:color="auto"/>
            </w:tcBorders>
            <w:shd w:val="clear" w:color="auto" w:fill="auto"/>
            <w:noWrap/>
            <w:vAlign w:val="center"/>
            <w:hideMark/>
          </w:tcPr>
          <w:p w14:paraId="3D51D0BF"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1 104</w:t>
            </w:r>
          </w:p>
        </w:tc>
      </w:tr>
      <w:tr w:rsidR="00661352" w:rsidRPr="003C7831" w14:paraId="712EE373"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67168A" w14:textId="39086118" w:rsidR="00661352" w:rsidRPr="003C7831" w:rsidRDefault="00C95673" w:rsidP="00120F79">
            <w:pPr>
              <w:jc w:val="right"/>
              <w:rPr>
                <w:kern w:val="22"/>
                <w:szCs w:val="22"/>
                <w:lang w:val="fr-CA" w:eastAsia="en-CA"/>
              </w:rPr>
            </w:pPr>
            <w:r>
              <w:rPr>
                <w:kern w:val="22"/>
                <w:szCs w:val="22"/>
                <w:lang w:val="fr-CA" w:eastAsia="en-CA"/>
              </w:rPr>
              <w:t>19</w:t>
            </w:r>
          </w:p>
        </w:tc>
        <w:tc>
          <w:tcPr>
            <w:tcW w:w="3870" w:type="dxa"/>
            <w:tcBorders>
              <w:top w:val="nil"/>
              <w:left w:val="nil"/>
              <w:bottom w:val="single" w:sz="4" w:space="0" w:color="auto"/>
              <w:right w:val="single" w:sz="4" w:space="0" w:color="auto"/>
            </w:tcBorders>
            <w:shd w:val="clear" w:color="auto" w:fill="auto"/>
            <w:vAlign w:val="center"/>
            <w:hideMark/>
          </w:tcPr>
          <w:p w14:paraId="33D8A0DF" w14:textId="77777777" w:rsidR="00661352" w:rsidRPr="003C7831" w:rsidRDefault="00661352" w:rsidP="00120F79">
            <w:pPr>
              <w:jc w:val="left"/>
              <w:rPr>
                <w:kern w:val="22"/>
                <w:szCs w:val="22"/>
                <w:lang w:val="fr-CA" w:eastAsia="en-CA"/>
              </w:rPr>
            </w:pPr>
            <w:r w:rsidRPr="003C7831">
              <w:rPr>
                <w:kern w:val="22"/>
                <w:szCs w:val="22"/>
                <w:lang w:val="fr-CA" w:eastAsia="en-CA"/>
              </w:rPr>
              <w:t>Belarus</w:t>
            </w:r>
          </w:p>
        </w:tc>
        <w:tc>
          <w:tcPr>
            <w:tcW w:w="1440" w:type="dxa"/>
            <w:tcBorders>
              <w:top w:val="nil"/>
              <w:left w:val="nil"/>
              <w:bottom w:val="single" w:sz="4" w:space="0" w:color="auto"/>
              <w:right w:val="single" w:sz="4" w:space="0" w:color="auto"/>
            </w:tcBorders>
            <w:shd w:val="clear" w:color="auto" w:fill="auto"/>
            <w:vAlign w:val="center"/>
            <w:hideMark/>
          </w:tcPr>
          <w:p w14:paraId="18A064B4"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049</w:t>
            </w:r>
          </w:p>
        </w:tc>
        <w:tc>
          <w:tcPr>
            <w:tcW w:w="1620" w:type="dxa"/>
            <w:tcBorders>
              <w:top w:val="nil"/>
              <w:left w:val="nil"/>
              <w:bottom w:val="single" w:sz="4" w:space="0" w:color="auto"/>
              <w:right w:val="single" w:sz="4" w:space="0" w:color="auto"/>
            </w:tcBorders>
            <w:shd w:val="clear" w:color="auto" w:fill="auto"/>
            <w:noWrap/>
            <w:vAlign w:val="center"/>
            <w:hideMark/>
          </w:tcPr>
          <w:p w14:paraId="5C441120"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061</w:t>
            </w:r>
          </w:p>
        </w:tc>
        <w:tc>
          <w:tcPr>
            <w:tcW w:w="1710" w:type="dxa"/>
            <w:tcBorders>
              <w:top w:val="nil"/>
              <w:left w:val="nil"/>
              <w:bottom w:val="single" w:sz="4" w:space="0" w:color="auto"/>
              <w:right w:val="single" w:sz="4" w:space="0" w:color="auto"/>
            </w:tcBorders>
            <w:shd w:val="clear" w:color="auto" w:fill="auto"/>
            <w:noWrap/>
            <w:vAlign w:val="center"/>
            <w:hideMark/>
          </w:tcPr>
          <w:p w14:paraId="3A51DA42"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7 731</w:t>
            </w:r>
          </w:p>
        </w:tc>
      </w:tr>
      <w:tr w:rsidR="00661352" w:rsidRPr="003C7831" w14:paraId="3218418A"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D8ABF0" w14:textId="34395527" w:rsidR="00661352" w:rsidRPr="003C7831" w:rsidRDefault="00C95673" w:rsidP="00120F79">
            <w:pPr>
              <w:jc w:val="right"/>
              <w:rPr>
                <w:kern w:val="22"/>
                <w:szCs w:val="22"/>
                <w:lang w:val="fr-CA" w:eastAsia="en-CA"/>
              </w:rPr>
            </w:pPr>
            <w:r>
              <w:rPr>
                <w:kern w:val="22"/>
                <w:szCs w:val="22"/>
                <w:lang w:val="fr-CA" w:eastAsia="en-CA"/>
              </w:rPr>
              <w:t>20</w:t>
            </w:r>
          </w:p>
        </w:tc>
        <w:tc>
          <w:tcPr>
            <w:tcW w:w="3870" w:type="dxa"/>
            <w:tcBorders>
              <w:top w:val="nil"/>
              <w:left w:val="nil"/>
              <w:bottom w:val="single" w:sz="4" w:space="0" w:color="auto"/>
              <w:right w:val="single" w:sz="4" w:space="0" w:color="auto"/>
            </w:tcBorders>
            <w:shd w:val="clear" w:color="auto" w:fill="auto"/>
            <w:vAlign w:val="center"/>
            <w:hideMark/>
          </w:tcPr>
          <w:p w14:paraId="4948E516" w14:textId="77777777" w:rsidR="00661352" w:rsidRPr="003C7831" w:rsidRDefault="00661352" w:rsidP="00EB694E">
            <w:pPr>
              <w:jc w:val="left"/>
              <w:rPr>
                <w:kern w:val="22"/>
                <w:szCs w:val="22"/>
                <w:lang w:val="fr-CA" w:eastAsia="en-CA"/>
              </w:rPr>
            </w:pPr>
            <w:r w:rsidRPr="003C7831">
              <w:rPr>
                <w:kern w:val="22"/>
                <w:szCs w:val="22"/>
                <w:lang w:val="fr-CA" w:eastAsia="en-CA"/>
              </w:rPr>
              <w:t>Belgique</w:t>
            </w:r>
          </w:p>
        </w:tc>
        <w:tc>
          <w:tcPr>
            <w:tcW w:w="1440" w:type="dxa"/>
            <w:tcBorders>
              <w:top w:val="nil"/>
              <w:left w:val="nil"/>
              <w:bottom w:val="single" w:sz="4" w:space="0" w:color="auto"/>
              <w:right w:val="single" w:sz="4" w:space="0" w:color="auto"/>
            </w:tcBorders>
            <w:shd w:val="clear" w:color="auto" w:fill="auto"/>
            <w:vAlign w:val="center"/>
            <w:hideMark/>
          </w:tcPr>
          <w:p w14:paraId="0C89611A"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821</w:t>
            </w:r>
          </w:p>
        </w:tc>
        <w:tc>
          <w:tcPr>
            <w:tcW w:w="1620" w:type="dxa"/>
            <w:tcBorders>
              <w:top w:val="nil"/>
              <w:left w:val="nil"/>
              <w:bottom w:val="single" w:sz="4" w:space="0" w:color="auto"/>
              <w:right w:val="single" w:sz="4" w:space="0" w:color="auto"/>
            </w:tcBorders>
            <w:shd w:val="clear" w:color="auto" w:fill="auto"/>
            <w:noWrap/>
            <w:vAlign w:val="center"/>
            <w:hideMark/>
          </w:tcPr>
          <w:p w14:paraId="0D5EC956"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1</w:t>
            </w:r>
            <w:r>
              <w:rPr>
                <w:kern w:val="22"/>
                <w:szCs w:val="22"/>
                <w:lang w:val="fr-CA" w:eastAsia="en-CA"/>
              </w:rPr>
              <w:t>,</w:t>
            </w:r>
            <w:r w:rsidRPr="003C7831">
              <w:rPr>
                <w:kern w:val="22"/>
                <w:szCs w:val="22"/>
                <w:lang w:val="fr-CA" w:eastAsia="en-CA"/>
              </w:rPr>
              <w:t>026</w:t>
            </w:r>
          </w:p>
        </w:tc>
        <w:tc>
          <w:tcPr>
            <w:tcW w:w="1710" w:type="dxa"/>
            <w:tcBorders>
              <w:top w:val="nil"/>
              <w:left w:val="nil"/>
              <w:bottom w:val="single" w:sz="4" w:space="0" w:color="auto"/>
              <w:right w:val="single" w:sz="4" w:space="0" w:color="auto"/>
            </w:tcBorders>
            <w:shd w:val="clear" w:color="auto" w:fill="auto"/>
            <w:noWrap/>
            <w:vAlign w:val="center"/>
            <w:hideMark/>
          </w:tcPr>
          <w:p w14:paraId="085EA623"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129 528</w:t>
            </w:r>
          </w:p>
        </w:tc>
      </w:tr>
      <w:tr w:rsidR="00661352" w:rsidRPr="003C7831" w14:paraId="51439FCF"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972725" w14:textId="7522BB40" w:rsidR="00661352" w:rsidRPr="003C7831" w:rsidRDefault="00C95673" w:rsidP="00120F79">
            <w:pPr>
              <w:jc w:val="right"/>
              <w:rPr>
                <w:kern w:val="22"/>
                <w:szCs w:val="22"/>
                <w:lang w:val="fr-CA" w:eastAsia="en-CA"/>
              </w:rPr>
            </w:pPr>
            <w:r>
              <w:rPr>
                <w:kern w:val="22"/>
                <w:szCs w:val="22"/>
                <w:lang w:val="fr-CA" w:eastAsia="en-CA"/>
              </w:rPr>
              <w:t>21</w:t>
            </w:r>
          </w:p>
        </w:tc>
        <w:tc>
          <w:tcPr>
            <w:tcW w:w="3870" w:type="dxa"/>
            <w:tcBorders>
              <w:top w:val="nil"/>
              <w:left w:val="nil"/>
              <w:bottom w:val="single" w:sz="4" w:space="0" w:color="auto"/>
              <w:right w:val="single" w:sz="4" w:space="0" w:color="auto"/>
            </w:tcBorders>
            <w:shd w:val="clear" w:color="auto" w:fill="auto"/>
            <w:vAlign w:val="center"/>
            <w:hideMark/>
          </w:tcPr>
          <w:p w14:paraId="2CC59261" w14:textId="77777777" w:rsidR="00661352" w:rsidRPr="003C7831" w:rsidRDefault="00661352" w:rsidP="00120F79">
            <w:pPr>
              <w:jc w:val="left"/>
              <w:rPr>
                <w:kern w:val="22"/>
                <w:szCs w:val="22"/>
                <w:lang w:val="fr-CA" w:eastAsia="en-CA"/>
              </w:rPr>
            </w:pPr>
            <w:r w:rsidRPr="003C7831">
              <w:rPr>
                <w:kern w:val="22"/>
                <w:szCs w:val="22"/>
                <w:lang w:val="fr-CA" w:eastAsia="en-CA"/>
              </w:rPr>
              <w:t>Belize</w:t>
            </w:r>
          </w:p>
        </w:tc>
        <w:tc>
          <w:tcPr>
            <w:tcW w:w="1440" w:type="dxa"/>
            <w:tcBorders>
              <w:top w:val="nil"/>
              <w:left w:val="nil"/>
              <w:bottom w:val="single" w:sz="4" w:space="0" w:color="auto"/>
              <w:right w:val="single" w:sz="4" w:space="0" w:color="auto"/>
            </w:tcBorders>
            <w:shd w:val="clear" w:color="auto" w:fill="auto"/>
            <w:vAlign w:val="center"/>
            <w:hideMark/>
          </w:tcPr>
          <w:p w14:paraId="328D6835"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001</w:t>
            </w:r>
          </w:p>
        </w:tc>
        <w:tc>
          <w:tcPr>
            <w:tcW w:w="1620" w:type="dxa"/>
            <w:tcBorders>
              <w:top w:val="nil"/>
              <w:left w:val="nil"/>
              <w:bottom w:val="single" w:sz="4" w:space="0" w:color="auto"/>
              <w:right w:val="single" w:sz="4" w:space="0" w:color="auto"/>
            </w:tcBorders>
            <w:shd w:val="clear" w:color="auto" w:fill="auto"/>
            <w:noWrap/>
            <w:vAlign w:val="center"/>
            <w:hideMark/>
          </w:tcPr>
          <w:p w14:paraId="75E39257"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001</w:t>
            </w:r>
          </w:p>
        </w:tc>
        <w:tc>
          <w:tcPr>
            <w:tcW w:w="1710" w:type="dxa"/>
            <w:tcBorders>
              <w:top w:val="nil"/>
              <w:left w:val="nil"/>
              <w:bottom w:val="single" w:sz="4" w:space="0" w:color="auto"/>
              <w:right w:val="single" w:sz="4" w:space="0" w:color="auto"/>
            </w:tcBorders>
            <w:shd w:val="clear" w:color="auto" w:fill="auto"/>
            <w:noWrap/>
            <w:vAlign w:val="center"/>
            <w:hideMark/>
          </w:tcPr>
          <w:p w14:paraId="367212AF"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158</w:t>
            </w:r>
          </w:p>
        </w:tc>
      </w:tr>
      <w:tr w:rsidR="00661352" w:rsidRPr="003C7831" w14:paraId="2DFD8C8B"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56B90B" w14:textId="33E75AD2" w:rsidR="00661352" w:rsidRPr="003C7831" w:rsidRDefault="00C95673" w:rsidP="00120F79">
            <w:pPr>
              <w:jc w:val="right"/>
              <w:rPr>
                <w:kern w:val="22"/>
                <w:szCs w:val="22"/>
                <w:lang w:val="fr-CA" w:eastAsia="en-CA"/>
              </w:rPr>
            </w:pPr>
            <w:r>
              <w:rPr>
                <w:kern w:val="22"/>
                <w:szCs w:val="22"/>
                <w:lang w:val="fr-CA" w:eastAsia="en-CA"/>
              </w:rPr>
              <w:t>22</w:t>
            </w:r>
          </w:p>
        </w:tc>
        <w:tc>
          <w:tcPr>
            <w:tcW w:w="3870" w:type="dxa"/>
            <w:tcBorders>
              <w:top w:val="nil"/>
              <w:left w:val="nil"/>
              <w:bottom w:val="single" w:sz="4" w:space="0" w:color="auto"/>
              <w:right w:val="single" w:sz="4" w:space="0" w:color="auto"/>
            </w:tcBorders>
            <w:shd w:val="clear" w:color="auto" w:fill="auto"/>
            <w:vAlign w:val="center"/>
            <w:hideMark/>
          </w:tcPr>
          <w:p w14:paraId="5C05A39A" w14:textId="77777777" w:rsidR="00661352" w:rsidRPr="003C7831" w:rsidRDefault="00661352" w:rsidP="00EB694E">
            <w:pPr>
              <w:jc w:val="left"/>
              <w:rPr>
                <w:kern w:val="22"/>
                <w:szCs w:val="22"/>
                <w:lang w:val="fr-CA" w:eastAsia="en-CA"/>
              </w:rPr>
            </w:pPr>
            <w:r w:rsidRPr="003C7831">
              <w:rPr>
                <w:kern w:val="22"/>
                <w:szCs w:val="22"/>
                <w:lang w:val="fr-CA" w:eastAsia="en-CA"/>
              </w:rPr>
              <w:t>Bénin</w:t>
            </w:r>
          </w:p>
        </w:tc>
        <w:tc>
          <w:tcPr>
            <w:tcW w:w="1440" w:type="dxa"/>
            <w:tcBorders>
              <w:top w:val="nil"/>
              <w:left w:val="nil"/>
              <w:bottom w:val="single" w:sz="4" w:space="0" w:color="auto"/>
              <w:right w:val="single" w:sz="4" w:space="0" w:color="auto"/>
            </w:tcBorders>
            <w:shd w:val="clear" w:color="auto" w:fill="auto"/>
            <w:vAlign w:val="center"/>
            <w:hideMark/>
          </w:tcPr>
          <w:p w14:paraId="5F622528"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003</w:t>
            </w:r>
          </w:p>
        </w:tc>
        <w:tc>
          <w:tcPr>
            <w:tcW w:w="1620" w:type="dxa"/>
            <w:tcBorders>
              <w:top w:val="nil"/>
              <w:left w:val="nil"/>
              <w:bottom w:val="single" w:sz="4" w:space="0" w:color="auto"/>
              <w:right w:val="single" w:sz="4" w:space="0" w:color="auto"/>
            </w:tcBorders>
            <w:shd w:val="clear" w:color="auto" w:fill="auto"/>
            <w:noWrap/>
            <w:vAlign w:val="center"/>
            <w:hideMark/>
          </w:tcPr>
          <w:p w14:paraId="5338640B"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004</w:t>
            </w:r>
          </w:p>
        </w:tc>
        <w:tc>
          <w:tcPr>
            <w:tcW w:w="1710" w:type="dxa"/>
            <w:tcBorders>
              <w:top w:val="nil"/>
              <w:left w:val="nil"/>
              <w:bottom w:val="single" w:sz="4" w:space="0" w:color="auto"/>
              <w:right w:val="single" w:sz="4" w:space="0" w:color="auto"/>
            </w:tcBorders>
            <w:shd w:val="clear" w:color="auto" w:fill="auto"/>
            <w:noWrap/>
            <w:vAlign w:val="center"/>
            <w:hideMark/>
          </w:tcPr>
          <w:p w14:paraId="3562E525"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473</w:t>
            </w:r>
          </w:p>
        </w:tc>
      </w:tr>
      <w:tr w:rsidR="00661352" w:rsidRPr="003C7831" w14:paraId="29DBF167"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056AA3" w14:textId="3E618659" w:rsidR="00661352" w:rsidRPr="003C7831" w:rsidRDefault="00C95673" w:rsidP="00120F79">
            <w:pPr>
              <w:jc w:val="right"/>
              <w:rPr>
                <w:kern w:val="22"/>
                <w:szCs w:val="22"/>
                <w:lang w:val="fr-CA" w:eastAsia="en-CA"/>
              </w:rPr>
            </w:pPr>
            <w:r>
              <w:rPr>
                <w:kern w:val="22"/>
                <w:szCs w:val="22"/>
                <w:lang w:val="fr-CA" w:eastAsia="en-CA"/>
              </w:rPr>
              <w:t>23</w:t>
            </w:r>
          </w:p>
        </w:tc>
        <w:tc>
          <w:tcPr>
            <w:tcW w:w="3870" w:type="dxa"/>
            <w:tcBorders>
              <w:top w:val="nil"/>
              <w:left w:val="nil"/>
              <w:bottom w:val="single" w:sz="4" w:space="0" w:color="auto"/>
              <w:right w:val="single" w:sz="4" w:space="0" w:color="auto"/>
            </w:tcBorders>
            <w:shd w:val="clear" w:color="auto" w:fill="auto"/>
            <w:vAlign w:val="center"/>
            <w:hideMark/>
          </w:tcPr>
          <w:p w14:paraId="31D8ED9F" w14:textId="77777777" w:rsidR="00661352" w:rsidRPr="003C7831" w:rsidRDefault="00661352" w:rsidP="00120F79">
            <w:pPr>
              <w:jc w:val="left"/>
              <w:rPr>
                <w:kern w:val="22"/>
                <w:szCs w:val="22"/>
                <w:lang w:val="fr-CA" w:eastAsia="en-CA"/>
              </w:rPr>
            </w:pPr>
            <w:r w:rsidRPr="003C7831">
              <w:rPr>
                <w:kern w:val="22"/>
                <w:szCs w:val="22"/>
                <w:lang w:val="fr-CA" w:eastAsia="en-CA"/>
              </w:rPr>
              <w:t>Bhoutan</w:t>
            </w:r>
          </w:p>
        </w:tc>
        <w:tc>
          <w:tcPr>
            <w:tcW w:w="1440" w:type="dxa"/>
            <w:tcBorders>
              <w:top w:val="nil"/>
              <w:left w:val="nil"/>
              <w:bottom w:val="single" w:sz="4" w:space="0" w:color="auto"/>
              <w:right w:val="single" w:sz="4" w:space="0" w:color="auto"/>
            </w:tcBorders>
            <w:shd w:val="clear" w:color="auto" w:fill="auto"/>
            <w:vAlign w:val="center"/>
            <w:hideMark/>
          </w:tcPr>
          <w:p w14:paraId="6A20B0B8"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001</w:t>
            </w:r>
          </w:p>
        </w:tc>
        <w:tc>
          <w:tcPr>
            <w:tcW w:w="1620" w:type="dxa"/>
            <w:tcBorders>
              <w:top w:val="nil"/>
              <w:left w:val="nil"/>
              <w:bottom w:val="single" w:sz="4" w:space="0" w:color="auto"/>
              <w:right w:val="single" w:sz="4" w:space="0" w:color="auto"/>
            </w:tcBorders>
            <w:shd w:val="clear" w:color="auto" w:fill="auto"/>
            <w:noWrap/>
            <w:vAlign w:val="center"/>
            <w:hideMark/>
          </w:tcPr>
          <w:p w14:paraId="03287962"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001</w:t>
            </w:r>
          </w:p>
        </w:tc>
        <w:tc>
          <w:tcPr>
            <w:tcW w:w="1710" w:type="dxa"/>
            <w:tcBorders>
              <w:top w:val="nil"/>
              <w:left w:val="nil"/>
              <w:bottom w:val="single" w:sz="4" w:space="0" w:color="auto"/>
              <w:right w:val="single" w:sz="4" w:space="0" w:color="auto"/>
            </w:tcBorders>
            <w:shd w:val="clear" w:color="auto" w:fill="auto"/>
            <w:noWrap/>
            <w:vAlign w:val="center"/>
            <w:hideMark/>
          </w:tcPr>
          <w:p w14:paraId="42C565B7"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158</w:t>
            </w:r>
          </w:p>
        </w:tc>
      </w:tr>
      <w:tr w:rsidR="00661352" w:rsidRPr="003C7831" w14:paraId="2B620F9C"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C8D7AD" w14:textId="49E0FF0C" w:rsidR="00661352" w:rsidRPr="003C7831" w:rsidRDefault="00C95673" w:rsidP="00120F79">
            <w:pPr>
              <w:jc w:val="right"/>
              <w:rPr>
                <w:kern w:val="22"/>
                <w:szCs w:val="22"/>
                <w:lang w:val="fr-CA" w:eastAsia="en-CA"/>
              </w:rPr>
            </w:pPr>
            <w:r>
              <w:rPr>
                <w:kern w:val="22"/>
                <w:szCs w:val="22"/>
                <w:lang w:val="fr-CA" w:eastAsia="en-CA"/>
              </w:rPr>
              <w:t>24</w:t>
            </w:r>
          </w:p>
        </w:tc>
        <w:tc>
          <w:tcPr>
            <w:tcW w:w="3870" w:type="dxa"/>
            <w:tcBorders>
              <w:top w:val="nil"/>
              <w:left w:val="nil"/>
              <w:bottom w:val="single" w:sz="4" w:space="0" w:color="auto"/>
              <w:right w:val="single" w:sz="4" w:space="0" w:color="auto"/>
            </w:tcBorders>
            <w:shd w:val="clear" w:color="auto" w:fill="auto"/>
            <w:vAlign w:val="center"/>
            <w:hideMark/>
          </w:tcPr>
          <w:p w14:paraId="35071131" w14:textId="77777777" w:rsidR="00661352" w:rsidRPr="003C7831" w:rsidRDefault="00661352" w:rsidP="00120F79">
            <w:pPr>
              <w:jc w:val="left"/>
              <w:rPr>
                <w:kern w:val="22"/>
                <w:szCs w:val="22"/>
                <w:lang w:val="fr-CA" w:eastAsia="en-CA"/>
              </w:rPr>
            </w:pPr>
            <w:r w:rsidRPr="003C7831">
              <w:rPr>
                <w:kern w:val="22"/>
                <w:szCs w:val="22"/>
                <w:lang w:val="fr-CA" w:eastAsia="en-CA"/>
              </w:rPr>
              <w:t>Bolivia (Plurinational State of)</w:t>
            </w:r>
          </w:p>
        </w:tc>
        <w:tc>
          <w:tcPr>
            <w:tcW w:w="1440" w:type="dxa"/>
            <w:tcBorders>
              <w:top w:val="nil"/>
              <w:left w:val="nil"/>
              <w:bottom w:val="single" w:sz="4" w:space="0" w:color="auto"/>
              <w:right w:val="single" w:sz="4" w:space="0" w:color="auto"/>
            </w:tcBorders>
            <w:shd w:val="clear" w:color="auto" w:fill="auto"/>
            <w:vAlign w:val="center"/>
            <w:hideMark/>
          </w:tcPr>
          <w:p w14:paraId="6B2B5CB0"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016</w:t>
            </w:r>
          </w:p>
        </w:tc>
        <w:tc>
          <w:tcPr>
            <w:tcW w:w="1620" w:type="dxa"/>
            <w:tcBorders>
              <w:top w:val="nil"/>
              <w:left w:val="nil"/>
              <w:bottom w:val="single" w:sz="4" w:space="0" w:color="auto"/>
              <w:right w:val="single" w:sz="4" w:space="0" w:color="auto"/>
            </w:tcBorders>
            <w:shd w:val="clear" w:color="auto" w:fill="auto"/>
            <w:noWrap/>
            <w:vAlign w:val="center"/>
            <w:hideMark/>
          </w:tcPr>
          <w:p w14:paraId="798FCE9C"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020</w:t>
            </w:r>
          </w:p>
        </w:tc>
        <w:tc>
          <w:tcPr>
            <w:tcW w:w="1710" w:type="dxa"/>
            <w:tcBorders>
              <w:top w:val="nil"/>
              <w:left w:val="nil"/>
              <w:bottom w:val="single" w:sz="4" w:space="0" w:color="auto"/>
              <w:right w:val="single" w:sz="4" w:space="0" w:color="auto"/>
            </w:tcBorders>
            <w:shd w:val="clear" w:color="auto" w:fill="auto"/>
            <w:noWrap/>
            <w:vAlign w:val="center"/>
            <w:hideMark/>
          </w:tcPr>
          <w:p w14:paraId="1CF62E7C"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2 524</w:t>
            </w:r>
          </w:p>
        </w:tc>
      </w:tr>
      <w:tr w:rsidR="00661352" w:rsidRPr="003C7831" w14:paraId="1ADDA0A5"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FD8EDD" w14:textId="79A5AA54" w:rsidR="00661352" w:rsidRPr="003C7831" w:rsidRDefault="00C95673" w:rsidP="00120F79">
            <w:pPr>
              <w:jc w:val="right"/>
              <w:rPr>
                <w:kern w:val="22"/>
                <w:szCs w:val="22"/>
                <w:lang w:val="fr-CA" w:eastAsia="en-CA"/>
              </w:rPr>
            </w:pPr>
            <w:r>
              <w:rPr>
                <w:kern w:val="22"/>
                <w:szCs w:val="22"/>
                <w:lang w:val="fr-CA" w:eastAsia="en-CA"/>
              </w:rPr>
              <w:t>25</w:t>
            </w:r>
          </w:p>
        </w:tc>
        <w:tc>
          <w:tcPr>
            <w:tcW w:w="3870" w:type="dxa"/>
            <w:tcBorders>
              <w:top w:val="nil"/>
              <w:left w:val="nil"/>
              <w:bottom w:val="single" w:sz="4" w:space="0" w:color="auto"/>
              <w:right w:val="single" w:sz="4" w:space="0" w:color="auto"/>
            </w:tcBorders>
            <w:shd w:val="clear" w:color="auto" w:fill="auto"/>
            <w:vAlign w:val="center"/>
            <w:hideMark/>
          </w:tcPr>
          <w:p w14:paraId="795EA127" w14:textId="77777777" w:rsidR="00661352" w:rsidRPr="003C7831" w:rsidRDefault="00661352" w:rsidP="00EB694E">
            <w:pPr>
              <w:jc w:val="left"/>
              <w:rPr>
                <w:kern w:val="22"/>
                <w:szCs w:val="22"/>
                <w:lang w:val="fr-CA" w:eastAsia="en-CA"/>
              </w:rPr>
            </w:pPr>
            <w:r w:rsidRPr="003C7831">
              <w:rPr>
                <w:kern w:val="22"/>
                <w:szCs w:val="22"/>
                <w:lang w:val="fr-CA" w:eastAsia="en-CA"/>
              </w:rPr>
              <w:t>Bosnie-Herzégovine</w:t>
            </w:r>
          </w:p>
        </w:tc>
        <w:tc>
          <w:tcPr>
            <w:tcW w:w="1440" w:type="dxa"/>
            <w:tcBorders>
              <w:top w:val="nil"/>
              <w:left w:val="nil"/>
              <w:bottom w:val="single" w:sz="4" w:space="0" w:color="auto"/>
              <w:right w:val="single" w:sz="4" w:space="0" w:color="auto"/>
            </w:tcBorders>
            <w:shd w:val="clear" w:color="auto" w:fill="auto"/>
            <w:vAlign w:val="center"/>
            <w:hideMark/>
          </w:tcPr>
          <w:p w14:paraId="3E595286"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012</w:t>
            </w:r>
          </w:p>
        </w:tc>
        <w:tc>
          <w:tcPr>
            <w:tcW w:w="1620" w:type="dxa"/>
            <w:tcBorders>
              <w:top w:val="nil"/>
              <w:left w:val="nil"/>
              <w:bottom w:val="single" w:sz="4" w:space="0" w:color="auto"/>
              <w:right w:val="single" w:sz="4" w:space="0" w:color="auto"/>
            </w:tcBorders>
            <w:shd w:val="clear" w:color="auto" w:fill="auto"/>
            <w:noWrap/>
            <w:vAlign w:val="center"/>
            <w:hideMark/>
          </w:tcPr>
          <w:p w14:paraId="03BFB42D"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015</w:t>
            </w:r>
          </w:p>
        </w:tc>
        <w:tc>
          <w:tcPr>
            <w:tcW w:w="1710" w:type="dxa"/>
            <w:tcBorders>
              <w:top w:val="nil"/>
              <w:left w:val="nil"/>
              <w:bottom w:val="single" w:sz="4" w:space="0" w:color="auto"/>
              <w:right w:val="single" w:sz="4" w:space="0" w:color="auto"/>
            </w:tcBorders>
            <w:shd w:val="clear" w:color="auto" w:fill="auto"/>
            <w:noWrap/>
            <w:vAlign w:val="center"/>
            <w:hideMark/>
          </w:tcPr>
          <w:p w14:paraId="6C6FDF7D"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1 893</w:t>
            </w:r>
          </w:p>
        </w:tc>
      </w:tr>
      <w:tr w:rsidR="00661352" w:rsidRPr="003C7831" w14:paraId="11E53AB4"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689283" w14:textId="64BFD9DF" w:rsidR="00661352" w:rsidRPr="003C7831" w:rsidRDefault="00C95673" w:rsidP="00120F79">
            <w:pPr>
              <w:jc w:val="right"/>
              <w:rPr>
                <w:kern w:val="22"/>
                <w:szCs w:val="22"/>
                <w:lang w:val="fr-CA" w:eastAsia="en-CA"/>
              </w:rPr>
            </w:pPr>
            <w:r>
              <w:rPr>
                <w:kern w:val="22"/>
                <w:szCs w:val="22"/>
                <w:lang w:val="fr-CA" w:eastAsia="en-CA"/>
              </w:rPr>
              <w:t>26</w:t>
            </w:r>
          </w:p>
        </w:tc>
        <w:tc>
          <w:tcPr>
            <w:tcW w:w="3870" w:type="dxa"/>
            <w:tcBorders>
              <w:top w:val="nil"/>
              <w:left w:val="nil"/>
              <w:bottom w:val="single" w:sz="4" w:space="0" w:color="auto"/>
              <w:right w:val="single" w:sz="4" w:space="0" w:color="auto"/>
            </w:tcBorders>
            <w:shd w:val="clear" w:color="auto" w:fill="auto"/>
            <w:vAlign w:val="center"/>
            <w:hideMark/>
          </w:tcPr>
          <w:p w14:paraId="1DC98AC0" w14:textId="77777777" w:rsidR="00661352" w:rsidRPr="003C7831" w:rsidRDefault="00661352" w:rsidP="00120F79">
            <w:pPr>
              <w:jc w:val="left"/>
              <w:rPr>
                <w:kern w:val="22"/>
                <w:szCs w:val="22"/>
                <w:lang w:val="fr-CA" w:eastAsia="en-CA"/>
              </w:rPr>
            </w:pPr>
            <w:r w:rsidRPr="003C7831">
              <w:rPr>
                <w:kern w:val="22"/>
                <w:szCs w:val="22"/>
                <w:lang w:val="fr-CA" w:eastAsia="en-CA"/>
              </w:rPr>
              <w:t>Botswana</w:t>
            </w:r>
          </w:p>
        </w:tc>
        <w:tc>
          <w:tcPr>
            <w:tcW w:w="1440" w:type="dxa"/>
            <w:tcBorders>
              <w:top w:val="nil"/>
              <w:left w:val="nil"/>
              <w:bottom w:val="single" w:sz="4" w:space="0" w:color="auto"/>
              <w:right w:val="single" w:sz="4" w:space="0" w:color="auto"/>
            </w:tcBorders>
            <w:shd w:val="clear" w:color="auto" w:fill="auto"/>
            <w:vAlign w:val="center"/>
            <w:hideMark/>
          </w:tcPr>
          <w:p w14:paraId="57DCB573"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014</w:t>
            </w:r>
          </w:p>
        </w:tc>
        <w:tc>
          <w:tcPr>
            <w:tcW w:w="1620" w:type="dxa"/>
            <w:tcBorders>
              <w:top w:val="nil"/>
              <w:left w:val="nil"/>
              <w:bottom w:val="single" w:sz="4" w:space="0" w:color="auto"/>
              <w:right w:val="single" w:sz="4" w:space="0" w:color="auto"/>
            </w:tcBorders>
            <w:shd w:val="clear" w:color="auto" w:fill="auto"/>
            <w:noWrap/>
            <w:vAlign w:val="center"/>
            <w:hideMark/>
          </w:tcPr>
          <w:p w14:paraId="4929E47A"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018</w:t>
            </w:r>
          </w:p>
        </w:tc>
        <w:tc>
          <w:tcPr>
            <w:tcW w:w="1710" w:type="dxa"/>
            <w:tcBorders>
              <w:top w:val="nil"/>
              <w:left w:val="nil"/>
              <w:bottom w:val="single" w:sz="4" w:space="0" w:color="auto"/>
              <w:right w:val="single" w:sz="4" w:space="0" w:color="auto"/>
            </w:tcBorders>
            <w:shd w:val="clear" w:color="auto" w:fill="auto"/>
            <w:noWrap/>
            <w:vAlign w:val="center"/>
            <w:hideMark/>
          </w:tcPr>
          <w:p w14:paraId="672F0525"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2 209</w:t>
            </w:r>
          </w:p>
        </w:tc>
      </w:tr>
      <w:tr w:rsidR="00661352" w:rsidRPr="003C7831" w14:paraId="06C68849"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09D233" w14:textId="000F992C" w:rsidR="00661352" w:rsidRPr="003C7831" w:rsidRDefault="00C95673" w:rsidP="00120F79">
            <w:pPr>
              <w:jc w:val="right"/>
              <w:rPr>
                <w:kern w:val="22"/>
                <w:szCs w:val="22"/>
                <w:lang w:val="fr-CA" w:eastAsia="en-CA"/>
              </w:rPr>
            </w:pPr>
            <w:r>
              <w:rPr>
                <w:kern w:val="22"/>
                <w:szCs w:val="22"/>
                <w:lang w:val="fr-CA" w:eastAsia="en-CA"/>
              </w:rPr>
              <w:t>27</w:t>
            </w:r>
          </w:p>
        </w:tc>
        <w:tc>
          <w:tcPr>
            <w:tcW w:w="3870" w:type="dxa"/>
            <w:tcBorders>
              <w:top w:val="nil"/>
              <w:left w:val="nil"/>
              <w:bottom w:val="single" w:sz="4" w:space="0" w:color="auto"/>
              <w:right w:val="single" w:sz="4" w:space="0" w:color="auto"/>
            </w:tcBorders>
            <w:shd w:val="clear" w:color="auto" w:fill="auto"/>
            <w:vAlign w:val="center"/>
            <w:hideMark/>
          </w:tcPr>
          <w:p w14:paraId="6DD1BAF4" w14:textId="77777777" w:rsidR="00661352" w:rsidRPr="003C7831" w:rsidRDefault="00661352" w:rsidP="00120F79">
            <w:pPr>
              <w:jc w:val="left"/>
              <w:rPr>
                <w:kern w:val="22"/>
                <w:szCs w:val="22"/>
                <w:lang w:val="fr-CA" w:eastAsia="en-CA"/>
              </w:rPr>
            </w:pPr>
            <w:r w:rsidRPr="003C7831">
              <w:rPr>
                <w:kern w:val="22"/>
                <w:szCs w:val="22"/>
                <w:lang w:val="fr-CA" w:eastAsia="en-CA"/>
              </w:rPr>
              <w:t>Brésil</w:t>
            </w:r>
          </w:p>
        </w:tc>
        <w:tc>
          <w:tcPr>
            <w:tcW w:w="1440" w:type="dxa"/>
            <w:tcBorders>
              <w:top w:val="nil"/>
              <w:left w:val="nil"/>
              <w:bottom w:val="single" w:sz="4" w:space="0" w:color="auto"/>
              <w:right w:val="single" w:sz="4" w:space="0" w:color="auto"/>
            </w:tcBorders>
            <w:shd w:val="clear" w:color="auto" w:fill="auto"/>
            <w:vAlign w:val="center"/>
            <w:hideMark/>
          </w:tcPr>
          <w:p w14:paraId="21FE06F9"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2</w:t>
            </w:r>
            <w:r>
              <w:rPr>
                <w:kern w:val="22"/>
                <w:szCs w:val="22"/>
                <w:lang w:val="fr-CA" w:eastAsia="en-CA"/>
              </w:rPr>
              <w:t>,</w:t>
            </w:r>
            <w:r w:rsidRPr="003C7831">
              <w:rPr>
                <w:kern w:val="22"/>
                <w:szCs w:val="22"/>
                <w:lang w:val="fr-CA" w:eastAsia="en-CA"/>
              </w:rPr>
              <w:t>948</w:t>
            </w:r>
          </w:p>
        </w:tc>
        <w:tc>
          <w:tcPr>
            <w:tcW w:w="1620" w:type="dxa"/>
            <w:tcBorders>
              <w:top w:val="nil"/>
              <w:left w:val="nil"/>
              <w:bottom w:val="single" w:sz="4" w:space="0" w:color="auto"/>
              <w:right w:val="single" w:sz="4" w:space="0" w:color="auto"/>
            </w:tcBorders>
            <w:shd w:val="clear" w:color="auto" w:fill="auto"/>
            <w:noWrap/>
            <w:vAlign w:val="center"/>
            <w:hideMark/>
          </w:tcPr>
          <w:p w14:paraId="295E3A54"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3</w:t>
            </w:r>
            <w:r>
              <w:rPr>
                <w:kern w:val="22"/>
                <w:szCs w:val="22"/>
                <w:lang w:val="fr-CA" w:eastAsia="en-CA"/>
              </w:rPr>
              <w:t>,</w:t>
            </w:r>
            <w:r w:rsidRPr="003C7831">
              <w:rPr>
                <w:kern w:val="22"/>
                <w:szCs w:val="22"/>
                <w:lang w:val="fr-CA" w:eastAsia="en-CA"/>
              </w:rPr>
              <w:t>686</w:t>
            </w:r>
          </w:p>
        </w:tc>
        <w:tc>
          <w:tcPr>
            <w:tcW w:w="1710" w:type="dxa"/>
            <w:tcBorders>
              <w:top w:val="nil"/>
              <w:left w:val="nil"/>
              <w:bottom w:val="single" w:sz="4" w:space="0" w:color="auto"/>
              <w:right w:val="single" w:sz="4" w:space="0" w:color="auto"/>
            </w:tcBorders>
            <w:shd w:val="clear" w:color="auto" w:fill="auto"/>
            <w:noWrap/>
            <w:vAlign w:val="center"/>
            <w:hideMark/>
          </w:tcPr>
          <w:p w14:paraId="1EF06104"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465 101</w:t>
            </w:r>
          </w:p>
        </w:tc>
      </w:tr>
      <w:tr w:rsidR="00661352" w:rsidRPr="003C7831" w14:paraId="62255D17"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6703FB" w14:textId="026BE398" w:rsidR="00661352" w:rsidRPr="003C7831" w:rsidRDefault="00C95673" w:rsidP="00120F79">
            <w:pPr>
              <w:jc w:val="right"/>
              <w:rPr>
                <w:kern w:val="22"/>
                <w:szCs w:val="22"/>
                <w:lang w:val="fr-CA" w:eastAsia="en-CA"/>
              </w:rPr>
            </w:pPr>
            <w:r>
              <w:rPr>
                <w:kern w:val="22"/>
                <w:szCs w:val="22"/>
                <w:lang w:val="fr-CA" w:eastAsia="en-CA"/>
              </w:rPr>
              <w:t>28</w:t>
            </w:r>
          </w:p>
        </w:tc>
        <w:tc>
          <w:tcPr>
            <w:tcW w:w="3870" w:type="dxa"/>
            <w:tcBorders>
              <w:top w:val="nil"/>
              <w:left w:val="nil"/>
              <w:bottom w:val="single" w:sz="4" w:space="0" w:color="auto"/>
              <w:right w:val="single" w:sz="4" w:space="0" w:color="auto"/>
            </w:tcBorders>
            <w:shd w:val="clear" w:color="auto" w:fill="auto"/>
            <w:vAlign w:val="center"/>
            <w:hideMark/>
          </w:tcPr>
          <w:p w14:paraId="50107525" w14:textId="77777777" w:rsidR="00661352" w:rsidRPr="003C7831" w:rsidRDefault="00661352" w:rsidP="00120F79">
            <w:pPr>
              <w:jc w:val="left"/>
              <w:rPr>
                <w:kern w:val="22"/>
                <w:szCs w:val="22"/>
                <w:lang w:val="fr-CA" w:eastAsia="en-CA"/>
              </w:rPr>
            </w:pPr>
            <w:r w:rsidRPr="003C7831">
              <w:rPr>
                <w:kern w:val="22"/>
                <w:szCs w:val="22"/>
                <w:lang w:val="fr-CA" w:eastAsia="en-CA"/>
              </w:rPr>
              <w:t>Brunei-Darussalam</w:t>
            </w:r>
          </w:p>
        </w:tc>
        <w:tc>
          <w:tcPr>
            <w:tcW w:w="1440" w:type="dxa"/>
            <w:tcBorders>
              <w:top w:val="nil"/>
              <w:left w:val="nil"/>
              <w:bottom w:val="single" w:sz="4" w:space="0" w:color="auto"/>
              <w:right w:val="single" w:sz="4" w:space="0" w:color="auto"/>
            </w:tcBorders>
            <w:shd w:val="clear" w:color="auto" w:fill="auto"/>
            <w:vAlign w:val="center"/>
            <w:hideMark/>
          </w:tcPr>
          <w:p w14:paraId="226AF8CA"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025</w:t>
            </w:r>
          </w:p>
        </w:tc>
        <w:tc>
          <w:tcPr>
            <w:tcW w:w="1620" w:type="dxa"/>
            <w:tcBorders>
              <w:top w:val="nil"/>
              <w:left w:val="nil"/>
              <w:bottom w:val="single" w:sz="4" w:space="0" w:color="auto"/>
              <w:right w:val="single" w:sz="4" w:space="0" w:color="auto"/>
            </w:tcBorders>
            <w:shd w:val="clear" w:color="auto" w:fill="auto"/>
            <w:noWrap/>
            <w:vAlign w:val="center"/>
            <w:hideMark/>
          </w:tcPr>
          <w:p w14:paraId="7CD729E2"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031</w:t>
            </w:r>
          </w:p>
        </w:tc>
        <w:tc>
          <w:tcPr>
            <w:tcW w:w="1710" w:type="dxa"/>
            <w:tcBorders>
              <w:top w:val="nil"/>
              <w:left w:val="nil"/>
              <w:bottom w:val="single" w:sz="4" w:space="0" w:color="auto"/>
              <w:right w:val="single" w:sz="4" w:space="0" w:color="auto"/>
            </w:tcBorders>
            <w:shd w:val="clear" w:color="auto" w:fill="auto"/>
            <w:noWrap/>
            <w:vAlign w:val="center"/>
            <w:hideMark/>
          </w:tcPr>
          <w:p w14:paraId="656EAE66"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3 944</w:t>
            </w:r>
          </w:p>
        </w:tc>
      </w:tr>
      <w:tr w:rsidR="00661352" w:rsidRPr="003C7831" w14:paraId="3135CF42"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71139F" w14:textId="2253EF4B" w:rsidR="00661352" w:rsidRPr="003C7831" w:rsidRDefault="00C95673" w:rsidP="00120F79">
            <w:pPr>
              <w:jc w:val="right"/>
              <w:rPr>
                <w:kern w:val="22"/>
                <w:szCs w:val="22"/>
                <w:lang w:val="fr-CA" w:eastAsia="en-CA"/>
              </w:rPr>
            </w:pPr>
            <w:r>
              <w:rPr>
                <w:kern w:val="22"/>
                <w:szCs w:val="22"/>
                <w:lang w:val="fr-CA" w:eastAsia="en-CA"/>
              </w:rPr>
              <w:t>29</w:t>
            </w:r>
          </w:p>
        </w:tc>
        <w:tc>
          <w:tcPr>
            <w:tcW w:w="3870" w:type="dxa"/>
            <w:tcBorders>
              <w:top w:val="nil"/>
              <w:left w:val="nil"/>
              <w:bottom w:val="single" w:sz="4" w:space="0" w:color="auto"/>
              <w:right w:val="single" w:sz="4" w:space="0" w:color="auto"/>
            </w:tcBorders>
            <w:shd w:val="clear" w:color="auto" w:fill="auto"/>
            <w:vAlign w:val="center"/>
            <w:hideMark/>
          </w:tcPr>
          <w:p w14:paraId="630A938D" w14:textId="77777777" w:rsidR="00661352" w:rsidRPr="003C7831" w:rsidRDefault="00661352" w:rsidP="00EB694E">
            <w:pPr>
              <w:jc w:val="left"/>
              <w:rPr>
                <w:kern w:val="22"/>
                <w:szCs w:val="22"/>
                <w:lang w:val="fr-CA" w:eastAsia="en-CA"/>
              </w:rPr>
            </w:pPr>
            <w:r w:rsidRPr="003C7831">
              <w:rPr>
                <w:kern w:val="22"/>
                <w:szCs w:val="22"/>
                <w:lang w:val="fr-CA" w:eastAsia="en-CA"/>
              </w:rPr>
              <w:t>Bulgarie</w:t>
            </w:r>
          </w:p>
        </w:tc>
        <w:tc>
          <w:tcPr>
            <w:tcW w:w="1440" w:type="dxa"/>
            <w:tcBorders>
              <w:top w:val="nil"/>
              <w:left w:val="nil"/>
              <w:bottom w:val="single" w:sz="4" w:space="0" w:color="auto"/>
              <w:right w:val="single" w:sz="4" w:space="0" w:color="auto"/>
            </w:tcBorders>
            <w:shd w:val="clear" w:color="auto" w:fill="auto"/>
            <w:vAlign w:val="center"/>
            <w:hideMark/>
          </w:tcPr>
          <w:p w14:paraId="27CB6B6E"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046</w:t>
            </w:r>
          </w:p>
        </w:tc>
        <w:tc>
          <w:tcPr>
            <w:tcW w:w="1620" w:type="dxa"/>
            <w:tcBorders>
              <w:top w:val="nil"/>
              <w:left w:val="nil"/>
              <w:bottom w:val="single" w:sz="4" w:space="0" w:color="auto"/>
              <w:right w:val="single" w:sz="4" w:space="0" w:color="auto"/>
            </w:tcBorders>
            <w:shd w:val="clear" w:color="auto" w:fill="auto"/>
            <w:noWrap/>
            <w:vAlign w:val="center"/>
            <w:hideMark/>
          </w:tcPr>
          <w:p w14:paraId="41E52152"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058</w:t>
            </w:r>
          </w:p>
        </w:tc>
        <w:tc>
          <w:tcPr>
            <w:tcW w:w="1710" w:type="dxa"/>
            <w:tcBorders>
              <w:top w:val="nil"/>
              <w:left w:val="nil"/>
              <w:bottom w:val="single" w:sz="4" w:space="0" w:color="auto"/>
              <w:right w:val="single" w:sz="4" w:space="0" w:color="auto"/>
            </w:tcBorders>
            <w:shd w:val="clear" w:color="auto" w:fill="auto"/>
            <w:noWrap/>
            <w:vAlign w:val="center"/>
            <w:hideMark/>
          </w:tcPr>
          <w:p w14:paraId="0E3C0FC6"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7 257</w:t>
            </w:r>
          </w:p>
        </w:tc>
      </w:tr>
      <w:tr w:rsidR="00661352" w:rsidRPr="003C7831" w14:paraId="36F5DE1E"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5CF6E2" w14:textId="3F6C2CAC" w:rsidR="00661352" w:rsidRPr="003C7831" w:rsidRDefault="00C95673" w:rsidP="00120F79">
            <w:pPr>
              <w:jc w:val="right"/>
              <w:rPr>
                <w:kern w:val="22"/>
                <w:szCs w:val="22"/>
                <w:lang w:val="fr-CA" w:eastAsia="en-CA"/>
              </w:rPr>
            </w:pPr>
            <w:r>
              <w:rPr>
                <w:kern w:val="22"/>
                <w:szCs w:val="22"/>
                <w:lang w:val="fr-CA" w:eastAsia="en-CA"/>
              </w:rPr>
              <w:t>30</w:t>
            </w:r>
          </w:p>
        </w:tc>
        <w:tc>
          <w:tcPr>
            <w:tcW w:w="3870" w:type="dxa"/>
            <w:tcBorders>
              <w:top w:val="nil"/>
              <w:left w:val="nil"/>
              <w:bottom w:val="single" w:sz="4" w:space="0" w:color="auto"/>
              <w:right w:val="single" w:sz="4" w:space="0" w:color="auto"/>
            </w:tcBorders>
            <w:shd w:val="clear" w:color="auto" w:fill="auto"/>
            <w:vAlign w:val="center"/>
            <w:hideMark/>
          </w:tcPr>
          <w:p w14:paraId="21782920" w14:textId="77777777" w:rsidR="00661352" w:rsidRPr="003C7831" w:rsidRDefault="00661352" w:rsidP="00120F79">
            <w:pPr>
              <w:jc w:val="left"/>
              <w:rPr>
                <w:kern w:val="22"/>
                <w:szCs w:val="22"/>
                <w:lang w:val="fr-CA" w:eastAsia="en-CA"/>
              </w:rPr>
            </w:pPr>
            <w:r w:rsidRPr="003C7831">
              <w:rPr>
                <w:kern w:val="22"/>
                <w:szCs w:val="22"/>
                <w:lang w:val="fr-CA" w:eastAsia="en-CA"/>
              </w:rPr>
              <w:t>Burkina Faso</w:t>
            </w:r>
          </w:p>
        </w:tc>
        <w:tc>
          <w:tcPr>
            <w:tcW w:w="1440" w:type="dxa"/>
            <w:tcBorders>
              <w:top w:val="nil"/>
              <w:left w:val="nil"/>
              <w:bottom w:val="single" w:sz="4" w:space="0" w:color="auto"/>
              <w:right w:val="single" w:sz="4" w:space="0" w:color="auto"/>
            </w:tcBorders>
            <w:shd w:val="clear" w:color="auto" w:fill="auto"/>
            <w:vAlign w:val="center"/>
            <w:hideMark/>
          </w:tcPr>
          <w:p w14:paraId="19CE6F31"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003</w:t>
            </w:r>
          </w:p>
        </w:tc>
        <w:tc>
          <w:tcPr>
            <w:tcW w:w="1620" w:type="dxa"/>
            <w:tcBorders>
              <w:top w:val="nil"/>
              <w:left w:val="nil"/>
              <w:bottom w:val="single" w:sz="4" w:space="0" w:color="auto"/>
              <w:right w:val="single" w:sz="4" w:space="0" w:color="auto"/>
            </w:tcBorders>
            <w:shd w:val="clear" w:color="auto" w:fill="auto"/>
            <w:noWrap/>
            <w:vAlign w:val="center"/>
            <w:hideMark/>
          </w:tcPr>
          <w:p w14:paraId="1F8C77FB"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004</w:t>
            </w:r>
          </w:p>
        </w:tc>
        <w:tc>
          <w:tcPr>
            <w:tcW w:w="1710" w:type="dxa"/>
            <w:tcBorders>
              <w:top w:val="nil"/>
              <w:left w:val="nil"/>
              <w:bottom w:val="single" w:sz="4" w:space="0" w:color="auto"/>
              <w:right w:val="single" w:sz="4" w:space="0" w:color="auto"/>
            </w:tcBorders>
            <w:shd w:val="clear" w:color="auto" w:fill="auto"/>
            <w:noWrap/>
            <w:vAlign w:val="center"/>
            <w:hideMark/>
          </w:tcPr>
          <w:p w14:paraId="6AE38F1B"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473</w:t>
            </w:r>
          </w:p>
        </w:tc>
      </w:tr>
      <w:tr w:rsidR="00661352" w:rsidRPr="003C7831" w14:paraId="3904DBBC"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57008A" w14:textId="2D9B7CC3" w:rsidR="00661352" w:rsidRPr="003C7831" w:rsidRDefault="00C95673" w:rsidP="00120F79">
            <w:pPr>
              <w:jc w:val="right"/>
              <w:rPr>
                <w:kern w:val="22"/>
                <w:szCs w:val="22"/>
                <w:lang w:val="fr-CA" w:eastAsia="en-CA"/>
              </w:rPr>
            </w:pPr>
            <w:r>
              <w:rPr>
                <w:kern w:val="22"/>
                <w:szCs w:val="22"/>
                <w:lang w:val="fr-CA" w:eastAsia="en-CA"/>
              </w:rPr>
              <w:t>31</w:t>
            </w:r>
          </w:p>
        </w:tc>
        <w:tc>
          <w:tcPr>
            <w:tcW w:w="3870" w:type="dxa"/>
            <w:tcBorders>
              <w:top w:val="nil"/>
              <w:left w:val="nil"/>
              <w:bottom w:val="single" w:sz="4" w:space="0" w:color="auto"/>
              <w:right w:val="single" w:sz="4" w:space="0" w:color="auto"/>
            </w:tcBorders>
            <w:shd w:val="clear" w:color="auto" w:fill="auto"/>
            <w:vAlign w:val="center"/>
            <w:hideMark/>
          </w:tcPr>
          <w:p w14:paraId="51BC673A" w14:textId="77777777" w:rsidR="00661352" w:rsidRPr="003C7831" w:rsidRDefault="00661352" w:rsidP="00120F79">
            <w:pPr>
              <w:jc w:val="left"/>
              <w:rPr>
                <w:kern w:val="22"/>
                <w:szCs w:val="22"/>
                <w:lang w:val="fr-CA" w:eastAsia="en-CA"/>
              </w:rPr>
            </w:pPr>
            <w:r w:rsidRPr="003C7831">
              <w:rPr>
                <w:kern w:val="22"/>
                <w:szCs w:val="22"/>
                <w:lang w:val="fr-CA" w:eastAsia="en-CA"/>
              </w:rPr>
              <w:t>Burundi</w:t>
            </w:r>
          </w:p>
        </w:tc>
        <w:tc>
          <w:tcPr>
            <w:tcW w:w="1440" w:type="dxa"/>
            <w:tcBorders>
              <w:top w:val="nil"/>
              <w:left w:val="nil"/>
              <w:bottom w:val="single" w:sz="4" w:space="0" w:color="auto"/>
              <w:right w:val="single" w:sz="4" w:space="0" w:color="auto"/>
            </w:tcBorders>
            <w:shd w:val="clear" w:color="auto" w:fill="auto"/>
            <w:vAlign w:val="center"/>
            <w:hideMark/>
          </w:tcPr>
          <w:p w14:paraId="43D105A5"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001</w:t>
            </w:r>
          </w:p>
        </w:tc>
        <w:tc>
          <w:tcPr>
            <w:tcW w:w="1620" w:type="dxa"/>
            <w:tcBorders>
              <w:top w:val="nil"/>
              <w:left w:val="nil"/>
              <w:bottom w:val="single" w:sz="4" w:space="0" w:color="auto"/>
              <w:right w:val="single" w:sz="4" w:space="0" w:color="auto"/>
            </w:tcBorders>
            <w:shd w:val="clear" w:color="auto" w:fill="auto"/>
            <w:noWrap/>
            <w:vAlign w:val="center"/>
            <w:hideMark/>
          </w:tcPr>
          <w:p w14:paraId="44D26228"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001</w:t>
            </w:r>
          </w:p>
        </w:tc>
        <w:tc>
          <w:tcPr>
            <w:tcW w:w="1710" w:type="dxa"/>
            <w:tcBorders>
              <w:top w:val="nil"/>
              <w:left w:val="nil"/>
              <w:bottom w:val="single" w:sz="4" w:space="0" w:color="auto"/>
              <w:right w:val="single" w:sz="4" w:space="0" w:color="auto"/>
            </w:tcBorders>
            <w:shd w:val="clear" w:color="auto" w:fill="auto"/>
            <w:noWrap/>
            <w:vAlign w:val="center"/>
            <w:hideMark/>
          </w:tcPr>
          <w:p w14:paraId="560C82DA"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158</w:t>
            </w:r>
          </w:p>
        </w:tc>
      </w:tr>
      <w:tr w:rsidR="00661352" w:rsidRPr="003C7831" w14:paraId="283F3B06"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6E7C6A" w14:textId="5393E3B6" w:rsidR="00661352" w:rsidRPr="003C7831" w:rsidRDefault="00C95673" w:rsidP="00120F79">
            <w:pPr>
              <w:jc w:val="right"/>
              <w:rPr>
                <w:kern w:val="22"/>
                <w:szCs w:val="22"/>
                <w:lang w:val="fr-CA" w:eastAsia="en-CA"/>
              </w:rPr>
            </w:pPr>
            <w:r>
              <w:rPr>
                <w:kern w:val="22"/>
                <w:szCs w:val="22"/>
                <w:lang w:val="fr-CA" w:eastAsia="en-CA"/>
              </w:rPr>
              <w:t>32</w:t>
            </w:r>
          </w:p>
        </w:tc>
        <w:tc>
          <w:tcPr>
            <w:tcW w:w="3870" w:type="dxa"/>
            <w:tcBorders>
              <w:top w:val="nil"/>
              <w:left w:val="nil"/>
              <w:bottom w:val="single" w:sz="4" w:space="0" w:color="auto"/>
              <w:right w:val="single" w:sz="4" w:space="0" w:color="auto"/>
            </w:tcBorders>
            <w:shd w:val="clear" w:color="auto" w:fill="auto"/>
            <w:vAlign w:val="center"/>
            <w:hideMark/>
          </w:tcPr>
          <w:p w14:paraId="4BA79C10" w14:textId="77777777" w:rsidR="00661352" w:rsidRPr="003C7831" w:rsidRDefault="00661352" w:rsidP="00120F79">
            <w:pPr>
              <w:jc w:val="left"/>
              <w:rPr>
                <w:kern w:val="22"/>
                <w:szCs w:val="22"/>
                <w:lang w:val="fr-CA" w:eastAsia="en-CA"/>
              </w:rPr>
            </w:pPr>
            <w:r w:rsidRPr="003C7831">
              <w:rPr>
                <w:kern w:val="22"/>
                <w:szCs w:val="22"/>
                <w:lang w:val="fr-CA" w:eastAsia="en-CA"/>
              </w:rPr>
              <w:t>Cabo Verde</w:t>
            </w:r>
          </w:p>
        </w:tc>
        <w:tc>
          <w:tcPr>
            <w:tcW w:w="1440" w:type="dxa"/>
            <w:tcBorders>
              <w:top w:val="nil"/>
              <w:left w:val="nil"/>
              <w:bottom w:val="single" w:sz="4" w:space="0" w:color="auto"/>
              <w:right w:val="single" w:sz="4" w:space="0" w:color="auto"/>
            </w:tcBorders>
            <w:shd w:val="clear" w:color="auto" w:fill="auto"/>
            <w:vAlign w:val="center"/>
            <w:hideMark/>
          </w:tcPr>
          <w:p w14:paraId="781AFC6F"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001</w:t>
            </w:r>
          </w:p>
        </w:tc>
        <w:tc>
          <w:tcPr>
            <w:tcW w:w="1620" w:type="dxa"/>
            <w:tcBorders>
              <w:top w:val="nil"/>
              <w:left w:val="nil"/>
              <w:bottom w:val="single" w:sz="4" w:space="0" w:color="auto"/>
              <w:right w:val="single" w:sz="4" w:space="0" w:color="auto"/>
            </w:tcBorders>
            <w:shd w:val="clear" w:color="auto" w:fill="auto"/>
            <w:noWrap/>
            <w:vAlign w:val="center"/>
            <w:hideMark/>
          </w:tcPr>
          <w:p w14:paraId="3E531A5F"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001</w:t>
            </w:r>
          </w:p>
        </w:tc>
        <w:tc>
          <w:tcPr>
            <w:tcW w:w="1710" w:type="dxa"/>
            <w:tcBorders>
              <w:top w:val="nil"/>
              <w:left w:val="nil"/>
              <w:bottom w:val="single" w:sz="4" w:space="0" w:color="auto"/>
              <w:right w:val="single" w:sz="4" w:space="0" w:color="auto"/>
            </w:tcBorders>
            <w:shd w:val="clear" w:color="auto" w:fill="auto"/>
            <w:noWrap/>
            <w:vAlign w:val="center"/>
            <w:hideMark/>
          </w:tcPr>
          <w:p w14:paraId="152785A8"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158</w:t>
            </w:r>
          </w:p>
        </w:tc>
      </w:tr>
      <w:tr w:rsidR="00661352" w:rsidRPr="003C7831" w14:paraId="520DD18E"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C8297A" w14:textId="1B999E12" w:rsidR="00661352" w:rsidRPr="003C7831" w:rsidRDefault="00C95673" w:rsidP="00120F79">
            <w:pPr>
              <w:jc w:val="right"/>
              <w:rPr>
                <w:kern w:val="22"/>
                <w:szCs w:val="22"/>
                <w:lang w:val="fr-CA" w:eastAsia="en-CA"/>
              </w:rPr>
            </w:pPr>
            <w:r>
              <w:rPr>
                <w:kern w:val="22"/>
                <w:szCs w:val="22"/>
                <w:lang w:val="fr-CA" w:eastAsia="en-CA"/>
              </w:rPr>
              <w:t>33</w:t>
            </w:r>
          </w:p>
        </w:tc>
        <w:tc>
          <w:tcPr>
            <w:tcW w:w="3870" w:type="dxa"/>
            <w:tcBorders>
              <w:top w:val="nil"/>
              <w:left w:val="nil"/>
              <w:bottom w:val="single" w:sz="4" w:space="0" w:color="auto"/>
              <w:right w:val="single" w:sz="4" w:space="0" w:color="auto"/>
            </w:tcBorders>
            <w:shd w:val="clear" w:color="auto" w:fill="auto"/>
            <w:vAlign w:val="center"/>
            <w:hideMark/>
          </w:tcPr>
          <w:p w14:paraId="45EBEE0F" w14:textId="77777777" w:rsidR="00661352" w:rsidRPr="003C7831" w:rsidRDefault="00661352" w:rsidP="00120F79">
            <w:pPr>
              <w:jc w:val="left"/>
              <w:rPr>
                <w:kern w:val="22"/>
                <w:szCs w:val="22"/>
                <w:lang w:val="fr-CA" w:eastAsia="en-CA"/>
              </w:rPr>
            </w:pPr>
            <w:r w:rsidRPr="003C7831">
              <w:rPr>
                <w:kern w:val="22"/>
                <w:szCs w:val="22"/>
                <w:lang w:val="fr-CA" w:eastAsia="en-CA"/>
              </w:rPr>
              <w:t>Cambodge</w:t>
            </w:r>
          </w:p>
        </w:tc>
        <w:tc>
          <w:tcPr>
            <w:tcW w:w="1440" w:type="dxa"/>
            <w:tcBorders>
              <w:top w:val="nil"/>
              <w:left w:val="nil"/>
              <w:bottom w:val="single" w:sz="4" w:space="0" w:color="auto"/>
              <w:right w:val="single" w:sz="4" w:space="0" w:color="auto"/>
            </w:tcBorders>
            <w:shd w:val="clear" w:color="auto" w:fill="auto"/>
            <w:vAlign w:val="center"/>
            <w:hideMark/>
          </w:tcPr>
          <w:p w14:paraId="07188CE5"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006</w:t>
            </w:r>
          </w:p>
        </w:tc>
        <w:tc>
          <w:tcPr>
            <w:tcW w:w="1620" w:type="dxa"/>
            <w:tcBorders>
              <w:top w:val="nil"/>
              <w:left w:val="nil"/>
              <w:bottom w:val="single" w:sz="4" w:space="0" w:color="auto"/>
              <w:right w:val="single" w:sz="4" w:space="0" w:color="auto"/>
            </w:tcBorders>
            <w:shd w:val="clear" w:color="auto" w:fill="auto"/>
            <w:noWrap/>
            <w:vAlign w:val="center"/>
            <w:hideMark/>
          </w:tcPr>
          <w:p w14:paraId="53E1DFB1"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008</w:t>
            </w:r>
          </w:p>
        </w:tc>
        <w:tc>
          <w:tcPr>
            <w:tcW w:w="1710" w:type="dxa"/>
            <w:tcBorders>
              <w:top w:val="nil"/>
              <w:left w:val="nil"/>
              <w:bottom w:val="single" w:sz="4" w:space="0" w:color="auto"/>
              <w:right w:val="single" w:sz="4" w:space="0" w:color="auto"/>
            </w:tcBorders>
            <w:shd w:val="clear" w:color="auto" w:fill="auto"/>
            <w:noWrap/>
            <w:vAlign w:val="center"/>
            <w:hideMark/>
          </w:tcPr>
          <w:p w14:paraId="1B4F737A"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947</w:t>
            </w:r>
          </w:p>
        </w:tc>
      </w:tr>
      <w:tr w:rsidR="00661352" w:rsidRPr="003C7831" w14:paraId="5EFD4D00"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2D244D" w14:textId="3187F60E" w:rsidR="00661352" w:rsidRPr="003C7831" w:rsidRDefault="00C95673" w:rsidP="00120F79">
            <w:pPr>
              <w:jc w:val="right"/>
              <w:rPr>
                <w:kern w:val="22"/>
                <w:szCs w:val="22"/>
                <w:lang w:val="fr-CA" w:eastAsia="en-CA"/>
              </w:rPr>
            </w:pPr>
            <w:r>
              <w:rPr>
                <w:kern w:val="22"/>
                <w:szCs w:val="22"/>
                <w:lang w:val="fr-CA" w:eastAsia="en-CA"/>
              </w:rPr>
              <w:t>34</w:t>
            </w:r>
          </w:p>
        </w:tc>
        <w:tc>
          <w:tcPr>
            <w:tcW w:w="3870" w:type="dxa"/>
            <w:tcBorders>
              <w:top w:val="nil"/>
              <w:left w:val="nil"/>
              <w:bottom w:val="single" w:sz="4" w:space="0" w:color="auto"/>
              <w:right w:val="single" w:sz="4" w:space="0" w:color="auto"/>
            </w:tcBorders>
            <w:shd w:val="clear" w:color="auto" w:fill="auto"/>
            <w:vAlign w:val="center"/>
            <w:hideMark/>
          </w:tcPr>
          <w:p w14:paraId="19D69782" w14:textId="77777777" w:rsidR="00661352" w:rsidRPr="003C7831" w:rsidRDefault="00661352" w:rsidP="00120F79">
            <w:pPr>
              <w:jc w:val="left"/>
              <w:rPr>
                <w:kern w:val="22"/>
                <w:szCs w:val="22"/>
                <w:lang w:val="fr-CA" w:eastAsia="en-CA"/>
              </w:rPr>
            </w:pPr>
            <w:r w:rsidRPr="003C7831">
              <w:rPr>
                <w:kern w:val="22"/>
                <w:szCs w:val="22"/>
                <w:lang w:val="fr-CA" w:eastAsia="en-CA"/>
              </w:rPr>
              <w:t>Cameroun</w:t>
            </w:r>
          </w:p>
        </w:tc>
        <w:tc>
          <w:tcPr>
            <w:tcW w:w="1440" w:type="dxa"/>
            <w:tcBorders>
              <w:top w:val="nil"/>
              <w:left w:val="nil"/>
              <w:bottom w:val="single" w:sz="4" w:space="0" w:color="auto"/>
              <w:right w:val="single" w:sz="4" w:space="0" w:color="auto"/>
            </w:tcBorders>
            <w:shd w:val="clear" w:color="auto" w:fill="auto"/>
            <w:vAlign w:val="center"/>
            <w:hideMark/>
          </w:tcPr>
          <w:p w14:paraId="587F21AE"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013</w:t>
            </w:r>
          </w:p>
        </w:tc>
        <w:tc>
          <w:tcPr>
            <w:tcW w:w="1620" w:type="dxa"/>
            <w:tcBorders>
              <w:top w:val="nil"/>
              <w:left w:val="nil"/>
              <w:bottom w:val="single" w:sz="4" w:space="0" w:color="auto"/>
              <w:right w:val="single" w:sz="4" w:space="0" w:color="auto"/>
            </w:tcBorders>
            <w:shd w:val="clear" w:color="auto" w:fill="auto"/>
            <w:noWrap/>
            <w:vAlign w:val="center"/>
            <w:hideMark/>
          </w:tcPr>
          <w:p w14:paraId="203BE6AE"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016</w:t>
            </w:r>
          </w:p>
        </w:tc>
        <w:tc>
          <w:tcPr>
            <w:tcW w:w="1710" w:type="dxa"/>
            <w:tcBorders>
              <w:top w:val="nil"/>
              <w:left w:val="nil"/>
              <w:bottom w:val="single" w:sz="4" w:space="0" w:color="auto"/>
              <w:right w:val="single" w:sz="4" w:space="0" w:color="auto"/>
            </w:tcBorders>
            <w:shd w:val="clear" w:color="auto" w:fill="auto"/>
            <w:noWrap/>
            <w:vAlign w:val="center"/>
            <w:hideMark/>
          </w:tcPr>
          <w:p w14:paraId="350D6C37"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2 051</w:t>
            </w:r>
          </w:p>
        </w:tc>
      </w:tr>
      <w:tr w:rsidR="00661352" w:rsidRPr="003C7831" w14:paraId="6A6489B2"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7FDCBB" w14:textId="74D4722F" w:rsidR="00661352" w:rsidRPr="003C7831" w:rsidRDefault="00C95673" w:rsidP="00120F79">
            <w:pPr>
              <w:jc w:val="right"/>
              <w:rPr>
                <w:kern w:val="22"/>
                <w:szCs w:val="22"/>
                <w:lang w:val="fr-CA" w:eastAsia="en-CA"/>
              </w:rPr>
            </w:pPr>
            <w:r>
              <w:rPr>
                <w:kern w:val="22"/>
                <w:szCs w:val="22"/>
                <w:lang w:val="fr-CA" w:eastAsia="en-CA"/>
              </w:rPr>
              <w:t>35</w:t>
            </w:r>
          </w:p>
        </w:tc>
        <w:tc>
          <w:tcPr>
            <w:tcW w:w="3870" w:type="dxa"/>
            <w:tcBorders>
              <w:top w:val="nil"/>
              <w:left w:val="nil"/>
              <w:bottom w:val="single" w:sz="4" w:space="0" w:color="auto"/>
              <w:right w:val="single" w:sz="4" w:space="0" w:color="auto"/>
            </w:tcBorders>
            <w:shd w:val="clear" w:color="auto" w:fill="auto"/>
            <w:vAlign w:val="center"/>
            <w:hideMark/>
          </w:tcPr>
          <w:p w14:paraId="6243C2B4" w14:textId="77777777" w:rsidR="00661352" w:rsidRPr="003C7831" w:rsidRDefault="00661352" w:rsidP="00120F79">
            <w:pPr>
              <w:jc w:val="left"/>
              <w:rPr>
                <w:kern w:val="22"/>
                <w:szCs w:val="22"/>
                <w:lang w:val="fr-CA" w:eastAsia="en-CA"/>
              </w:rPr>
            </w:pPr>
            <w:r w:rsidRPr="003C7831">
              <w:rPr>
                <w:kern w:val="22"/>
                <w:szCs w:val="22"/>
                <w:lang w:val="fr-CA" w:eastAsia="en-CA"/>
              </w:rPr>
              <w:t>Canada</w:t>
            </w:r>
          </w:p>
        </w:tc>
        <w:tc>
          <w:tcPr>
            <w:tcW w:w="1440" w:type="dxa"/>
            <w:tcBorders>
              <w:top w:val="nil"/>
              <w:left w:val="nil"/>
              <w:bottom w:val="single" w:sz="4" w:space="0" w:color="auto"/>
              <w:right w:val="single" w:sz="4" w:space="0" w:color="auto"/>
            </w:tcBorders>
            <w:shd w:val="clear" w:color="auto" w:fill="auto"/>
            <w:vAlign w:val="center"/>
            <w:hideMark/>
          </w:tcPr>
          <w:p w14:paraId="5C916C40"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2</w:t>
            </w:r>
            <w:r>
              <w:rPr>
                <w:kern w:val="22"/>
                <w:szCs w:val="22"/>
                <w:lang w:val="fr-CA" w:eastAsia="en-CA"/>
              </w:rPr>
              <w:t>,</w:t>
            </w:r>
            <w:r w:rsidRPr="003C7831">
              <w:rPr>
                <w:kern w:val="22"/>
                <w:szCs w:val="22"/>
                <w:lang w:val="fr-CA" w:eastAsia="en-CA"/>
              </w:rPr>
              <w:t>734</w:t>
            </w:r>
          </w:p>
        </w:tc>
        <w:tc>
          <w:tcPr>
            <w:tcW w:w="1620" w:type="dxa"/>
            <w:tcBorders>
              <w:top w:val="nil"/>
              <w:left w:val="nil"/>
              <w:bottom w:val="single" w:sz="4" w:space="0" w:color="auto"/>
              <w:right w:val="single" w:sz="4" w:space="0" w:color="auto"/>
            </w:tcBorders>
            <w:shd w:val="clear" w:color="auto" w:fill="auto"/>
            <w:noWrap/>
            <w:vAlign w:val="center"/>
            <w:hideMark/>
          </w:tcPr>
          <w:p w14:paraId="51F2AC90"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3</w:t>
            </w:r>
            <w:r>
              <w:rPr>
                <w:kern w:val="22"/>
                <w:szCs w:val="22"/>
                <w:lang w:val="fr-CA" w:eastAsia="en-CA"/>
              </w:rPr>
              <w:t>,</w:t>
            </w:r>
            <w:r w:rsidRPr="003C7831">
              <w:rPr>
                <w:kern w:val="22"/>
                <w:szCs w:val="22"/>
                <w:lang w:val="fr-CA" w:eastAsia="en-CA"/>
              </w:rPr>
              <w:t>418</w:t>
            </w:r>
          </w:p>
        </w:tc>
        <w:tc>
          <w:tcPr>
            <w:tcW w:w="1710" w:type="dxa"/>
            <w:tcBorders>
              <w:top w:val="nil"/>
              <w:left w:val="nil"/>
              <w:bottom w:val="single" w:sz="4" w:space="0" w:color="auto"/>
              <w:right w:val="single" w:sz="4" w:space="0" w:color="auto"/>
            </w:tcBorders>
            <w:shd w:val="clear" w:color="auto" w:fill="auto"/>
            <w:noWrap/>
            <w:vAlign w:val="center"/>
            <w:hideMark/>
          </w:tcPr>
          <w:p w14:paraId="65D2FDEE"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431 338</w:t>
            </w:r>
          </w:p>
        </w:tc>
      </w:tr>
      <w:tr w:rsidR="00661352" w:rsidRPr="003C7831" w14:paraId="052F7F0D"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0363A2" w14:textId="07F3E4D8" w:rsidR="00661352" w:rsidRPr="003C7831" w:rsidRDefault="00C95673" w:rsidP="00120F79">
            <w:pPr>
              <w:jc w:val="right"/>
              <w:rPr>
                <w:kern w:val="22"/>
                <w:szCs w:val="22"/>
                <w:lang w:val="fr-CA" w:eastAsia="en-CA"/>
              </w:rPr>
            </w:pPr>
            <w:r>
              <w:rPr>
                <w:kern w:val="22"/>
                <w:szCs w:val="22"/>
                <w:lang w:val="fr-CA" w:eastAsia="en-CA"/>
              </w:rPr>
              <w:t>36</w:t>
            </w:r>
          </w:p>
        </w:tc>
        <w:tc>
          <w:tcPr>
            <w:tcW w:w="3870" w:type="dxa"/>
            <w:tcBorders>
              <w:top w:val="nil"/>
              <w:left w:val="nil"/>
              <w:bottom w:val="single" w:sz="4" w:space="0" w:color="auto"/>
              <w:right w:val="single" w:sz="4" w:space="0" w:color="auto"/>
            </w:tcBorders>
            <w:shd w:val="clear" w:color="auto" w:fill="auto"/>
            <w:vAlign w:val="center"/>
            <w:hideMark/>
          </w:tcPr>
          <w:p w14:paraId="5311FBE4" w14:textId="77777777" w:rsidR="00661352" w:rsidRPr="003C7831" w:rsidRDefault="00661352" w:rsidP="00120F79">
            <w:pPr>
              <w:jc w:val="left"/>
              <w:rPr>
                <w:kern w:val="22"/>
                <w:szCs w:val="22"/>
                <w:lang w:val="fr-CA" w:eastAsia="en-CA"/>
              </w:rPr>
            </w:pPr>
            <w:r w:rsidRPr="003C7831">
              <w:rPr>
                <w:kern w:val="22"/>
                <w:szCs w:val="22"/>
                <w:lang w:val="fr-CA" w:eastAsia="en-CA"/>
              </w:rPr>
              <w:t>Chili</w:t>
            </w:r>
          </w:p>
        </w:tc>
        <w:tc>
          <w:tcPr>
            <w:tcW w:w="1440" w:type="dxa"/>
            <w:tcBorders>
              <w:top w:val="nil"/>
              <w:left w:val="nil"/>
              <w:bottom w:val="single" w:sz="4" w:space="0" w:color="auto"/>
              <w:right w:val="single" w:sz="4" w:space="0" w:color="auto"/>
            </w:tcBorders>
            <w:shd w:val="clear" w:color="auto" w:fill="auto"/>
            <w:vAlign w:val="center"/>
            <w:hideMark/>
          </w:tcPr>
          <w:p w14:paraId="73F942F3"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407</w:t>
            </w:r>
          </w:p>
        </w:tc>
        <w:tc>
          <w:tcPr>
            <w:tcW w:w="1620" w:type="dxa"/>
            <w:tcBorders>
              <w:top w:val="nil"/>
              <w:left w:val="nil"/>
              <w:bottom w:val="single" w:sz="4" w:space="0" w:color="auto"/>
              <w:right w:val="single" w:sz="4" w:space="0" w:color="auto"/>
            </w:tcBorders>
            <w:shd w:val="clear" w:color="auto" w:fill="auto"/>
            <w:noWrap/>
            <w:vAlign w:val="center"/>
            <w:hideMark/>
          </w:tcPr>
          <w:p w14:paraId="3C8A5E69"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509</w:t>
            </w:r>
          </w:p>
        </w:tc>
        <w:tc>
          <w:tcPr>
            <w:tcW w:w="1710" w:type="dxa"/>
            <w:tcBorders>
              <w:top w:val="nil"/>
              <w:left w:val="nil"/>
              <w:bottom w:val="single" w:sz="4" w:space="0" w:color="auto"/>
              <w:right w:val="single" w:sz="4" w:space="0" w:color="auto"/>
            </w:tcBorders>
            <w:shd w:val="clear" w:color="auto" w:fill="auto"/>
            <w:noWrap/>
            <w:vAlign w:val="center"/>
            <w:hideMark/>
          </w:tcPr>
          <w:p w14:paraId="2354BEFC"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64 212</w:t>
            </w:r>
          </w:p>
        </w:tc>
      </w:tr>
      <w:tr w:rsidR="00661352" w:rsidRPr="003C7831" w14:paraId="689FCBE4" w14:textId="77777777" w:rsidTr="00661352">
        <w:trPr>
          <w:trHeight w:val="260"/>
          <w:jc w:val="center"/>
        </w:trPr>
        <w:tc>
          <w:tcPr>
            <w:tcW w:w="6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29BD5D" w14:textId="12C33F4A" w:rsidR="00661352" w:rsidRPr="003C7831" w:rsidRDefault="00C95673" w:rsidP="0092137A">
            <w:pPr>
              <w:jc w:val="right"/>
              <w:rPr>
                <w:kern w:val="22"/>
                <w:szCs w:val="22"/>
                <w:lang w:val="fr-CA" w:eastAsia="en-CA"/>
              </w:rPr>
            </w:pPr>
            <w:r>
              <w:rPr>
                <w:kern w:val="22"/>
                <w:szCs w:val="22"/>
                <w:lang w:val="fr-CA" w:eastAsia="en-CA"/>
              </w:rPr>
              <w:t>37</w:t>
            </w:r>
          </w:p>
        </w:tc>
        <w:tc>
          <w:tcPr>
            <w:tcW w:w="3870" w:type="dxa"/>
            <w:tcBorders>
              <w:top w:val="single" w:sz="4" w:space="0" w:color="auto"/>
              <w:left w:val="nil"/>
              <w:bottom w:val="single" w:sz="4" w:space="0" w:color="auto"/>
              <w:right w:val="single" w:sz="4" w:space="0" w:color="auto"/>
            </w:tcBorders>
            <w:shd w:val="clear" w:color="auto" w:fill="auto"/>
            <w:vAlign w:val="center"/>
          </w:tcPr>
          <w:p w14:paraId="7E524FA1" w14:textId="77777777" w:rsidR="00661352" w:rsidRPr="003C7831" w:rsidRDefault="00661352" w:rsidP="0092137A">
            <w:pPr>
              <w:jc w:val="left"/>
              <w:rPr>
                <w:kern w:val="22"/>
                <w:szCs w:val="22"/>
                <w:lang w:val="fr-CA" w:eastAsia="en-CA"/>
              </w:rPr>
            </w:pPr>
            <w:r w:rsidRPr="003C7831">
              <w:rPr>
                <w:kern w:val="22"/>
                <w:szCs w:val="22"/>
                <w:lang w:val="fr-CA" w:eastAsia="en-CA"/>
              </w:rPr>
              <w:t>Chine</w:t>
            </w:r>
          </w:p>
        </w:tc>
        <w:tc>
          <w:tcPr>
            <w:tcW w:w="1440" w:type="dxa"/>
            <w:tcBorders>
              <w:top w:val="single" w:sz="4" w:space="0" w:color="auto"/>
              <w:left w:val="nil"/>
              <w:bottom w:val="single" w:sz="4" w:space="0" w:color="auto"/>
              <w:right w:val="single" w:sz="4" w:space="0" w:color="auto"/>
            </w:tcBorders>
            <w:shd w:val="clear" w:color="auto" w:fill="auto"/>
            <w:vAlign w:val="center"/>
          </w:tcPr>
          <w:p w14:paraId="36C5D231" w14:textId="77777777" w:rsidR="00661352" w:rsidRPr="003C7831" w:rsidRDefault="00661352" w:rsidP="0092137A">
            <w:pPr>
              <w:adjustRightInd w:val="0"/>
              <w:snapToGrid w:val="0"/>
              <w:ind w:right="144"/>
              <w:jc w:val="right"/>
              <w:rPr>
                <w:kern w:val="22"/>
                <w:szCs w:val="22"/>
                <w:lang w:val="fr-CA" w:eastAsia="en-CA"/>
              </w:rPr>
            </w:pPr>
            <w:r w:rsidRPr="003C7831">
              <w:rPr>
                <w:kern w:val="22"/>
                <w:szCs w:val="22"/>
                <w:lang w:val="fr-CA" w:eastAsia="en-CA"/>
              </w:rPr>
              <w:t>12</w:t>
            </w:r>
            <w:r>
              <w:rPr>
                <w:kern w:val="22"/>
                <w:szCs w:val="22"/>
                <w:lang w:val="fr-CA" w:eastAsia="en-CA"/>
              </w:rPr>
              <w:t>,</w:t>
            </w:r>
            <w:r w:rsidRPr="003C7831">
              <w:rPr>
                <w:kern w:val="22"/>
                <w:szCs w:val="22"/>
                <w:lang w:val="fr-CA" w:eastAsia="en-CA"/>
              </w:rPr>
              <w:t>005</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5E1D81A2" w14:textId="77777777" w:rsidR="00661352" w:rsidRPr="003C7831" w:rsidRDefault="00661352" w:rsidP="0092137A">
            <w:pPr>
              <w:adjustRightInd w:val="0"/>
              <w:snapToGrid w:val="0"/>
              <w:ind w:right="144"/>
              <w:jc w:val="right"/>
              <w:rPr>
                <w:kern w:val="22"/>
                <w:szCs w:val="22"/>
                <w:lang w:val="fr-CA" w:eastAsia="en-CA"/>
              </w:rPr>
            </w:pPr>
            <w:r w:rsidRPr="003C7831">
              <w:rPr>
                <w:kern w:val="22"/>
                <w:szCs w:val="22"/>
                <w:lang w:val="fr-CA" w:eastAsia="en-CA"/>
              </w:rPr>
              <w:t>15</w:t>
            </w:r>
            <w:r>
              <w:rPr>
                <w:kern w:val="22"/>
                <w:szCs w:val="22"/>
                <w:lang w:val="fr-CA" w:eastAsia="en-CA"/>
              </w:rPr>
              <w:t>,</w:t>
            </w:r>
            <w:r w:rsidRPr="003C7831">
              <w:rPr>
                <w:kern w:val="22"/>
                <w:szCs w:val="22"/>
                <w:lang w:val="fr-CA" w:eastAsia="en-CA"/>
              </w:rPr>
              <w:t>009</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2D0309E8" w14:textId="77777777" w:rsidR="00661352" w:rsidRPr="003C7831" w:rsidRDefault="00661352" w:rsidP="0092137A">
            <w:pPr>
              <w:adjustRightInd w:val="0"/>
              <w:snapToGrid w:val="0"/>
              <w:ind w:right="144"/>
              <w:jc w:val="right"/>
              <w:rPr>
                <w:kern w:val="22"/>
                <w:szCs w:val="22"/>
                <w:lang w:val="fr-CA" w:eastAsia="en-CA"/>
              </w:rPr>
            </w:pPr>
            <w:r w:rsidRPr="003C7831">
              <w:rPr>
                <w:kern w:val="22"/>
                <w:szCs w:val="22"/>
                <w:lang w:val="fr-CA" w:eastAsia="en-CA"/>
              </w:rPr>
              <w:t>1 894 007</w:t>
            </w:r>
          </w:p>
        </w:tc>
      </w:tr>
      <w:tr w:rsidR="00661352" w:rsidRPr="003C7831" w14:paraId="73F69642"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5DD606" w14:textId="5F72F299" w:rsidR="00661352" w:rsidRPr="003C7831" w:rsidRDefault="00C95673" w:rsidP="00120F79">
            <w:pPr>
              <w:jc w:val="right"/>
              <w:rPr>
                <w:kern w:val="22"/>
                <w:szCs w:val="22"/>
                <w:lang w:val="fr-CA" w:eastAsia="en-CA"/>
              </w:rPr>
            </w:pPr>
            <w:r>
              <w:rPr>
                <w:kern w:val="22"/>
                <w:szCs w:val="22"/>
                <w:lang w:val="fr-CA" w:eastAsia="en-CA"/>
              </w:rPr>
              <w:t>38</w:t>
            </w:r>
          </w:p>
        </w:tc>
        <w:tc>
          <w:tcPr>
            <w:tcW w:w="3870" w:type="dxa"/>
            <w:tcBorders>
              <w:top w:val="nil"/>
              <w:left w:val="nil"/>
              <w:bottom w:val="single" w:sz="4" w:space="0" w:color="auto"/>
              <w:right w:val="single" w:sz="4" w:space="0" w:color="auto"/>
            </w:tcBorders>
            <w:shd w:val="clear" w:color="auto" w:fill="auto"/>
            <w:vAlign w:val="center"/>
            <w:hideMark/>
          </w:tcPr>
          <w:p w14:paraId="0BE8891D" w14:textId="77777777" w:rsidR="00661352" w:rsidRPr="003C7831" w:rsidRDefault="00661352" w:rsidP="00120F79">
            <w:pPr>
              <w:jc w:val="left"/>
              <w:rPr>
                <w:kern w:val="22"/>
                <w:szCs w:val="22"/>
                <w:lang w:val="fr-CA" w:eastAsia="en-CA"/>
              </w:rPr>
            </w:pPr>
            <w:r w:rsidRPr="003C7831">
              <w:rPr>
                <w:kern w:val="22"/>
                <w:szCs w:val="22"/>
                <w:lang w:val="fr-CA" w:eastAsia="en-CA"/>
              </w:rPr>
              <w:t>Chypre</w:t>
            </w:r>
          </w:p>
        </w:tc>
        <w:tc>
          <w:tcPr>
            <w:tcW w:w="1440" w:type="dxa"/>
            <w:tcBorders>
              <w:top w:val="nil"/>
              <w:left w:val="nil"/>
              <w:bottom w:val="single" w:sz="4" w:space="0" w:color="auto"/>
              <w:right w:val="single" w:sz="4" w:space="0" w:color="auto"/>
            </w:tcBorders>
            <w:shd w:val="clear" w:color="auto" w:fill="auto"/>
            <w:vAlign w:val="center"/>
            <w:hideMark/>
          </w:tcPr>
          <w:p w14:paraId="72E0C458"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036</w:t>
            </w:r>
          </w:p>
        </w:tc>
        <w:tc>
          <w:tcPr>
            <w:tcW w:w="1620" w:type="dxa"/>
            <w:tcBorders>
              <w:top w:val="nil"/>
              <w:left w:val="nil"/>
              <w:bottom w:val="single" w:sz="4" w:space="0" w:color="auto"/>
              <w:right w:val="single" w:sz="4" w:space="0" w:color="auto"/>
            </w:tcBorders>
            <w:shd w:val="clear" w:color="auto" w:fill="auto"/>
            <w:noWrap/>
            <w:vAlign w:val="center"/>
            <w:hideMark/>
          </w:tcPr>
          <w:p w14:paraId="33D9679E"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045</w:t>
            </w:r>
          </w:p>
        </w:tc>
        <w:tc>
          <w:tcPr>
            <w:tcW w:w="1710" w:type="dxa"/>
            <w:tcBorders>
              <w:top w:val="nil"/>
              <w:left w:val="nil"/>
              <w:bottom w:val="single" w:sz="4" w:space="0" w:color="auto"/>
              <w:right w:val="single" w:sz="4" w:space="0" w:color="auto"/>
            </w:tcBorders>
            <w:shd w:val="clear" w:color="auto" w:fill="auto"/>
            <w:noWrap/>
            <w:vAlign w:val="center"/>
            <w:hideMark/>
          </w:tcPr>
          <w:p w14:paraId="3668F7C8" w14:textId="77777777" w:rsidR="00661352" w:rsidRPr="003C7831" w:rsidRDefault="00661352" w:rsidP="00282AF6">
            <w:pPr>
              <w:ind w:right="144"/>
              <w:jc w:val="right"/>
              <w:rPr>
                <w:kern w:val="22"/>
                <w:szCs w:val="22"/>
                <w:lang w:val="fr-CA" w:eastAsia="en-CA"/>
              </w:rPr>
            </w:pPr>
            <w:r w:rsidRPr="003C7831">
              <w:rPr>
                <w:kern w:val="22"/>
                <w:szCs w:val="22"/>
                <w:lang w:val="fr-CA" w:eastAsia="en-CA"/>
              </w:rPr>
              <w:t>5 680</w:t>
            </w:r>
          </w:p>
        </w:tc>
      </w:tr>
      <w:tr w:rsidR="00661352" w:rsidRPr="003C7831" w14:paraId="4FF5B316"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tcPr>
          <w:p w14:paraId="55EF63AD" w14:textId="2384A2EA" w:rsidR="00661352" w:rsidRPr="003C7831" w:rsidRDefault="00C95673" w:rsidP="0092137A">
            <w:pPr>
              <w:jc w:val="right"/>
              <w:rPr>
                <w:kern w:val="22"/>
                <w:szCs w:val="22"/>
                <w:lang w:val="fr-CA" w:eastAsia="en-CA"/>
              </w:rPr>
            </w:pPr>
            <w:r>
              <w:rPr>
                <w:kern w:val="22"/>
                <w:szCs w:val="22"/>
                <w:lang w:val="fr-CA" w:eastAsia="en-CA"/>
              </w:rPr>
              <w:t>39</w:t>
            </w:r>
          </w:p>
        </w:tc>
        <w:tc>
          <w:tcPr>
            <w:tcW w:w="3870" w:type="dxa"/>
            <w:tcBorders>
              <w:top w:val="nil"/>
              <w:left w:val="nil"/>
              <w:bottom w:val="single" w:sz="4" w:space="0" w:color="auto"/>
              <w:right w:val="single" w:sz="4" w:space="0" w:color="auto"/>
            </w:tcBorders>
            <w:shd w:val="clear" w:color="auto" w:fill="auto"/>
            <w:vAlign w:val="center"/>
          </w:tcPr>
          <w:p w14:paraId="5BCFCDDF" w14:textId="77777777" w:rsidR="00661352" w:rsidRPr="003C7831" w:rsidRDefault="00661352" w:rsidP="0092137A">
            <w:pPr>
              <w:jc w:val="left"/>
              <w:rPr>
                <w:kern w:val="22"/>
                <w:szCs w:val="22"/>
                <w:lang w:val="fr-CA" w:eastAsia="en-CA"/>
              </w:rPr>
            </w:pPr>
            <w:r w:rsidRPr="003C7831">
              <w:rPr>
                <w:kern w:val="22"/>
                <w:szCs w:val="22"/>
                <w:lang w:val="fr-CA" w:eastAsia="en-CA"/>
              </w:rPr>
              <w:t>Colombie</w:t>
            </w:r>
          </w:p>
        </w:tc>
        <w:tc>
          <w:tcPr>
            <w:tcW w:w="1440" w:type="dxa"/>
            <w:tcBorders>
              <w:top w:val="nil"/>
              <w:left w:val="nil"/>
              <w:bottom w:val="single" w:sz="4" w:space="0" w:color="auto"/>
              <w:right w:val="single" w:sz="4" w:space="0" w:color="auto"/>
            </w:tcBorders>
            <w:shd w:val="clear" w:color="auto" w:fill="auto"/>
            <w:vAlign w:val="center"/>
          </w:tcPr>
          <w:p w14:paraId="4E19BEAD" w14:textId="77777777" w:rsidR="00661352" w:rsidRPr="003C7831" w:rsidRDefault="00661352" w:rsidP="0092137A">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288</w:t>
            </w:r>
          </w:p>
        </w:tc>
        <w:tc>
          <w:tcPr>
            <w:tcW w:w="1620" w:type="dxa"/>
            <w:tcBorders>
              <w:top w:val="nil"/>
              <w:left w:val="nil"/>
              <w:bottom w:val="single" w:sz="4" w:space="0" w:color="auto"/>
              <w:right w:val="single" w:sz="4" w:space="0" w:color="auto"/>
            </w:tcBorders>
            <w:shd w:val="clear" w:color="auto" w:fill="auto"/>
            <w:noWrap/>
            <w:vAlign w:val="center"/>
          </w:tcPr>
          <w:p w14:paraId="4CB4C472" w14:textId="77777777" w:rsidR="00661352" w:rsidRPr="003C7831" w:rsidRDefault="00661352" w:rsidP="0092137A">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360</w:t>
            </w:r>
          </w:p>
        </w:tc>
        <w:tc>
          <w:tcPr>
            <w:tcW w:w="1710" w:type="dxa"/>
            <w:tcBorders>
              <w:top w:val="nil"/>
              <w:left w:val="nil"/>
              <w:bottom w:val="single" w:sz="4" w:space="0" w:color="auto"/>
              <w:right w:val="single" w:sz="4" w:space="0" w:color="auto"/>
            </w:tcBorders>
            <w:shd w:val="clear" w:color="auto" w:fill="auto"/>
            <w:noWrap/>
            <w:vAlign w:val="center"/>
          </w:tcPr>
          <w:p w14:paraId="4DE11BD6" w14:textId="77777777" w:rsidR="00661352" w:rsidRPr="003C7831" w:rsidRDefault="00661352" w:rsidP="0092137A">
            <w:pPr>
              <w:adjustRightInd w:val="0"/>
              <w:snapToGrid w:val="0"/>
              <w:ind w:right="144"/>
              <w:jc w:val="right"/>
              <w:rPr>
                <w:kern w:val="22"/>
                <w:szCs w:val="22"/>
                <w:lang w:val="fr-CA" w:eastAsia="en-CA"/>
              </w:rPr>
            </w:pPr>
            <w:r w:rsidRPr="003C7831">
              <w:rPr>
                <w:kern w:val="22"/>
                <w:szCs w:val="22"/>
                <w:lang w:val="fr-CA" w:eastAsia="en-CA"/>
              </w:rPr>
              <w:t>45 437</w:t>
            </w:r>
          </w:p>
        </w:tc>
      </w:tr>
      <w:tr w:rsidR="00661352" w:rsidRPr="003C7831" w14:paraId="39B9415A"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E444BC" w14:textId="443CB3F2" w:rsidR="00661352" w:rsidRPr="003C7831" w:rsidRDefault="00C95673" w:rsidP="00120F79">
            <w:pPr>
              <w:jc w:val="right"/>
              <w:rPr>
                <w:kern w:val="22"/>
                <w:szCs w:val="22"/>
                <w:lang w:val="fr-CA" w:eastAsia="en-CA"/>
              </w:rPr>
            </w:pPr>
            <w:r>
              <w:rPr>
                <w:kern w:val="22"/>
                <w:szCs w:val="22"/>
                <w:lang w:val="fr-CA" w:eastAsia="en-CA"/>
              </w:rPr>
              <w:t>40</w:t>
            </w:r>
          </w:p>
        </w:tc>
        <w:tc>
          <w:tcPr>
            <w:tcW w:w="3870" w:type="dxa"/>
            <w:tcBorders>
              <w:top w:val="nil"/>
              <w:left w:val="nil"/>
              <w:bottom w:val="single" w:sz="4" w:space="0" w:color="auto"/>
              <w:right w:val="single" w:sz="4" w:space="0" w:color="auto"/>
            </w:tcBorders>
            <w:shd w:val="clear" w:color="auto" w:fill="auto"/>
            <w:vAlign w:val="center"/>
            <w:hideMark/>
          </w:tcPr>
          <w:p w14:paraId="132DAFCD" w14:textId="77777777" w:rsidR="00661352" w:rsidRPr="003C7831" w:rsidRDefault="00661352" w:rsidP="00120F79">
            <w:pPr>
              <w:jc w:val="left"/>
              <w:rPr>
                <w:kern w:val="22"/>
                <w:szCs w:val="22"/>
                <w:lang w:val="fr-CA" w:eastAsia="en-CA"/>
              </w:rPr>
            </w:pPr>
            <w:r w:rsidRPr="003C7831">
              <w:rPr>
                <w:kern w:val="22"/>
                <w:szCs w:val="22"/>
                <w:lang w:val="fr-CA" w:eastAsia="en-CA"/>
              </w:rPr>
              <w:t>Comores</w:t>
            </w:r>
          </w:p>
        </w:tc>
        <w:tc>
          <w:tcPr>
            <w:tcW w:w="1440" w:type="dxa"/>
            <w:tcBorders>
              <w:top w:val="nil"/>
              <w:left w:val="nil"/>
              <w:bottom w:val="single" w:sz="4" w:space="0" w:color="auto"/>
              <w:right w:val="single" w:sz="4" w:space="0" w:color="auto"/>
            </w:tcBorders>
            <w:shd w:val="clear" w:color="auto" w:fill="auto"/>
            <w:vAlign w:val="center"/>
            <w:hideMark/>
          </w:tcPr>
          <w:p w14:paraId="5ABDF43B"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001</w:t>
            </w:r>
          </w:p>
        </w:tc>
        <w:tc>
          <w:tcPr>
            <w:tcW w:w="1620" w:type="dxa"/>
            <w:tcBorders>
              <w:top w:val="nil"/>
              <w:left w:val="nil"/>
              <w:bottom w:val="single" w:sz="4" w:space="0" w:color="auto"/>
              <w:right w:val="single" w:sz="4" w:space="0" w:color="auto"/>
            </w:tcBorders>
            <w:shd w:val="clear" w:color="auto" w:fill="auto"/>
            <w:noWrap/>
            <w:vAlign w:val="center"/>
            <w:hideMark/>
          </w:tcPr>
          <w:p w14:paraId="444F7471"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001</w:t>
            </w:r>
          </w:p>
        </w:tc>
        <w:tc>
          <w:tcPr>
            <w:tcW w:w="1710" w:type="dxa"/>
            <w:tcBorders>
              <w:top w:val="nil"/>
              <w:left w:val="nil"/>
              <w:bottom w:val="single" w:sz="4" w:space="0" w:color="auto"/>
              <w:right w:val="single" w:sz="4" w:space="0" w:color="auto"/>
            </w:tcBorders>
            <w:shd w:val="clear" w:color="auto" w:fill="auto"/>
            <w:noWrap/>
            <w:vAlign w:val="center"/>
            <w:hideMark/>
          </w:tcPr>
          <w:p w14:paraId="3732FA4E" w14:textId="77777777" w:rsidR="00661352" w:rsidRPr="003C7831" w:rsidRDefault="00661352" w:rsidP="00282AF6">
            <w:pPr>
              <w:ind w:right="144"/>
              <w:jc w:val="right"/>
              <w:rPr>
                <w:kern w:val="22"/>
                <w:szCs w:val="22"/>
                <w:lang w:val="fr-CA" w:eastAsia="en-CA"/>
              </w:rPr>
            </w:pPr>
            <w:r w:rsidRPr="003C7831">
              <w:rPr>
                <w:kern w:val="22"/>
                <w:szCs w:val="22"/>
                <w:lang w:val="fr-CA" w:eastAsia="en-CA"/>
              </w:rPr>
              <w:t>158</w:t>
            </w:r>
          </w:p>
        </w:tc>
      </w:tr>
      <w:tr w:rsidR="00661352" w:rsidRPr="003C7831" w14:paraId="66BAB520"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0CEA52" w14:textId="3624BD0A" w:rsidR="00661352" w:rsidRPr="003C7831" w:rsidRDefault="00C95673" w:rsidP="00120F79">
            <w:pPr>
              <w:jc w:val="right"/>
              <w:rPr>
                <w:kern w:val="22"/>
                <w:szCs w:val="22"/>
                <w:lang w:val="fr-CA" w:eastAsia="en-CA"/>
              </w:rPr>
            </w:pPr>
            <w:r>
              <w:rPr>
                <w:kern w:val="22"/>
                <w:szCs w:val="22"/>
                <w:lang w:val="fr-CA" w:eastAsia="en-CA"/>
              </w:rPr>
              <w:t>41</w:t>
            </w:r>
          </w:p>
        </w:tc>
        <w:tc>
          <w:tcPr>
            <w:tcW w:w="3870" w:type="dxa"/>
            <w:tcBorders>
              <w:top w:val="nil"/>
              <w:left w:val="nil"/>
              <w:bottom w:val="single" w:sz="4" w:space="0" w:color="auto"/>
              <w:right w:val="single" w:sz="4" w:space="0" w:color="auto"/>
            </w:tcBorders>
            <w:shd w:val="clear" w:color="auto" w:fill="auto"/>
            <w:vAlign w:val="center"/>
            <w:hideMark/>
          </w:tcPr>
          <w:p w14:paraId="71861059" w14:textId="77777777" w:rsidR="00661352" w:rsidRPr="003C7831" w:rsidRDefault="00661352" w:rsidP="00120F79">
            <w:pPr>
              <w:jc w:val="left"/>
              <w:rPr>
                <w:kern w:val="22"/>
                <w:szCs w:val="22"/>
                <w:lang w:val="fr-CA" w:eastAsia="en-CA"/>
              </w:rPr>
            </w:pPr>
            <w:r w:rsidRPr="003C7831">
              <w:rPr>
                <w:kern w:val="22"/>
                <w:szCs w:val="22"/>
                <w:lang w:val="fr-CA" w:eastAsia="en-CA"/>
              </w:rPr>
              <w:t>Congo</w:t>
            </w:r>
          </w:p>
        </w:tc>
        <w:tc>
          <w:tcPr>
            <w:tcW w:w="1440" w:type="dxa"/>
            <w:tcBorders>
              <w:top w:val="nil"/>
              <w:left w:val="nil"/>
              <w:bottom w:val="single" w:sz="4" w:space="0" w:color="auto"/>
              <w:right w:val="single" w:sz="4" w:space="0" w:color="auto"/>
            </w:tcBorders>
            <w:shd w:val="clear" w:color="auto" w:fill="auto"/>
            <w:vAlign w:val="center"/>
            <w:hideMark/>
          </w:tcPr>
          <w:p w14:paraId="3F2E07E4"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006</w:t>
            </w:r>
          </w:p>
        </w:tc>
        <w:tc>
          <w:tcPr>
            <w:tcW w:w="1620" w:type="dxa"/>
            <w:tcBorders>
              <w:top w:val="nil"/>
              <w:left w:val="nil"/>
              <w:bottom w:val="single" w:sz="4" w:space="0" w:color="auto"/>
              <w:right w:val="single" w:sz="4" w:space="0" w:color="auto"/>
            </w:tcBorders>
            <w:shd w:val="clear" w:color="auto" w:fill="auto"/>
            <w:noWrap/>
            <w:vAlign w:val="center"/>
            <w:hideMark/>
          </w:tcPr>
          <w:p w14:paraId="63F17C7C"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008</w:t>
            </w:r>
          </w:p>
        </w:tc>
        <w:tc>
          <w:tcPr>
            <w:tcW w:w="1710" w:type="dxa"/>
            <w:tcBorders>
              <w:top w:val="nil"/>
              <w:left w:val="nil"/>
              <w:bottom w:val="single" w:sz="4" w:space="0" w:color="auto"/>
              <w:right w:val="single" w:sz="4" w:space="0" w:color="auto"/>
            </w:tcBorders>
            <w:shd w:val="clear" w:color="auto" w:fill="auto"/>
            <w:noWrap/>
            <w:vAlign w:val="center"/>
            <w:hideMark/>
          </w:tcPr>
          <w:p w14:paraId="424185E7" w14:textId="77777777" w:rsidR="00661352" w:rsidRPr="003C7831" w:rsidRDefault="00661352" w:rsidP="00282AF6">
            <w:pPr>
              <w:ind w:right="144"/>
              <w:jc w:val="right"/>
              <w:rPr>
                <w:kern w:val="22"/>
                <w:szCs w:val="22"/>
                <w:lang w:val="fr-CA" w:eastAsia="en-CA"/>
              </w:rPr>
            </w:pPr>
            <w:r w:rsidRPr="003C7831">
              <w:rPr>
                <w:kern w:val="22"/>
                <w:szCs w:val="22"/>
                <w:lang w:val="fr-CA" w:eastAsia="en-CA"/>
              </w:rPr>
              <w:t>947</w:t>
            </w:r>
          </w:p>
        </w:tc>
      </w:tr>
      <w:tr w:rsidR="00661352" w:rsidRPr="003C7831" w14:paraId="64BE7A98"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C36E09" w14:textId="321879BB" w:rsidR="00661352" w:rsidRPr="003C7831" w:rsidRDefault="00C95673" w:rsidP="00120F79">
            <w:pPr>
              <w:jc w:val="right"/>
              <w:rPr>
                <w:kern w:val="22"/>
                <w:szCs w:val="22"/>
                <w:lang w:val="fr-CA" w:eastAsia="en-CA"/>
              </w:rPr>
            </w:pPr>
            <w:r>
              <w:rPr>
                <w:kern w:val="22"/>
                <w:szCs w:val="22"/>
                <w:lang w:val="fr-CA" w:eastAsia="en-CA"/>
              </w:rPr>
              <w:t>42</w:t>
            </w:r>
          </w:p>
        </w:tc>
        <w:tc>
          <w:tcPr>
            <w:tcW w:w="3870" w:type="dxa"/>
            <w:tcBorders>
              <w:top w:val="nil"/>
              <w:left w:val="nil"/>
              <w:bottom w:val="single" w:sz="4" w:space="0" w:color="auto"/>
              <w:right w:val="single" w:sz="4" w:space="0" w:color="auto"/>
            </w:tcBorders>
            <w:shd w:val="clear" w:color="auto" w:fill="auto"/>
            <w:vAlign w:val="center"/>
            <w:hideMark/>
          </w:tcPr>
          <w:p w14:paraId="1B6107D8" w14:textId="77777777" w:rsidR="00661352" w:rsidRPr="003C7831" w:rsidRDefault="00661352" w:rsidP="00120F79">
            <w:pPr>
              <w:jc w:val="left"/>
              <w:rPr>
                <w:kern w:val="22"/>
                <w:szCs w:val="22"/>
                <w:lang w:val="fr-CA" w:eastAsia="en-CA"/>
              </w:rPr>
            </w:pPr>
            <w:r w:rsidRPr="003C7831">
              <w:rPr>
                <w:kern w:val="22"/>
                <w:szCs w:val="22"/>
                <w:lang w:val="fr-CA" w:eastAsia="en-CA"/>
              </w:rPr>
              <w:t>Costa Rica</w:t>
            </w:r>
          </w:p>
        </w:tc>
        <w:tc>
          <w:tcPr>
            <w:tcW w:w="1440" w:type="dxa"/>
            <w:tcBorders>
              <w:top w:val="nil"/>
              <w:left w:val="nil"/>
              <w:bottom w:val="single" w:sz="4" w:space="0" w:color="auto"/>
              <w:right w:val="single" w:sz="4" w:space="0" w:color="auto"/>
            </w:tcBorders>
            <w:shd w:val="clear" w:color="auto" w:fill="auto"/>
            <w:vAlign w:val="center"/>
            <w:hideMark/>
          </w:tcPr>
          <w:p w14:paraId="7476A243"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062</w:t>
            </w:r>
          </w:p>
        </w:tc>
        <w:tc>
          <w:tcPr>
            <w:tcW w:w="1620" w:type="dxa"/>
            <w:tcBorders>
              <w:top w:val="nil"/>
              <w:left w:val="nil"/>
              <w:bottom w:val="single" w:sz="4" w:space="0" w:color="auto"/>
              <w:right w:val="single" w:sz="4" w:space="0" w:color="auto"/>
            </w:tcBorders>
            <w:shd w:val="clear" w:color="auto" w:fill="auto"/>
            <w:noWrap/>
            <w:vAlign w:val="center"/>
            <w:hideMark/>
          </w:tcPr>
          <w:p w14:paraId="063BD868"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078</w:t>
            </w:r>
          </w:p>
        </w:tc>
        <w:tc>
          <w:tcPr>
            <w:tcW w:w="1710" w:type="dxa"/>
            <w:tcBorders>
              <w:top w:val="nil"/>
              <w:left w:val="nil"/>
              <w:bottom w:val="single" w:sz="4" w:space="0" w:color="auto"/>
              <w:right w:val="single" w:sz="4" w:space="0" w:color="auto"/>
            </w:tcBorders>
            <w:shd w:val="clear" w:color="auto" w:fill="auto"/>
            <w:noWrap/>
            <w:vAlign w:val="center"/>
            <w:hideMark/>
          </w:tcPr>
          <w:p w14:paraId="40E9CF32" w14:textId="77777777" w:rsidR="00661352" w:rsidRPr="003C7831" w:rsidRDefault="00661352" w:rsidP="00282AF6">
            <w:pPr>
              <w:ind w:right="144"/>
              <w:jc w:val="right"/>
              <w:rPr>
                <w:kern w:val="22"/>
                <w:szCs w:val="22"/>
                <w:lang w:val="fr-CA" w:eastAsia="en-CA"/>
              </w:rPr>
            </w:pPr>
            <w:r w:rsidRPr="003C7831">
              <w:rPr>
                <w:kern w:val="22"/>
                <w:szCs w:val="22"/>
                <w:lang w:val="fr-CA" w:eastAsia="en-CA"/>
              </w:rPr>
              <w:t>9 782</w:t>
            </w:r>
          </w:p>
        </w:tc>
      </w:tr>
      <w:tr w:rsidR="00661352" w:rsidRPr="003C7831" w14:paraId="14775602"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71F35B" w14:textId="3578FAD2" w:rsidR="00661352" w:rsidRPr="003C7831" w:rsidRDefault="00C95673" w:rsidP="00120F79">
            <w:pPr>
              <w:jc w:val="right"/>
              <w:rPr>
                <w:kern w:val="22"/>
                <w:szCs w:val="22"/>
                <w:lang w:val="fr-CA" w:eastAsia="en-CA"/>
              </w:rPr>
            </w:pPr>
            <w:r>
              <w:rPr>
                <w:kern w:val="22"/>
                <w:szCs w:val="22"/>
                <w:lang w:val="fr-CA" w:eastAsia="en-CA"/>
              </w:rPr>
              <w:t>43</w:t>
            </w:r>
          </w:p>
        </w:tc>
        <w:tc>
          <w:tcPr>
            <w:tcW w:w="3870" w:type="dxa"/>
            <w:tcBorders>
              <w:top w:val="nil"/>
              <w:left w:val="nil"/>
              <w:bottom w:val="single" w:sz="4" w:space="0" w:color="auto"/>
              <w:right w:val="single" w:sz="4" w:space="0" w:color="auto"/>
            </w:tcBorders>
            <w:shd w:val="clear" w:color="auto" w:fill="auto"/>
            <w:vAlign w:val="center"/>
            <w:hideMark/>
          </w:tcPr>
          <w:p w14:paraId="0091D79C" w14:textId="77777777" w:rsidR="00661352" w:rsidRPr="003C7831" w:rsidRDefault="00661352" w:rsidP="00120F79">
            <w:pPr>
              <w:jc w:val="left"/>
              <w:rPr>
                <w:kern w:val="22"/>
                <w:szCs w:val="22"/>
                <w:lang w:val="fr-CA" w:eastAsia="en-CA"/>
              </w:rPr>
            </w:pPr>
            <w:r w:rsidRPr="003C7831">
              <w:rPr>
                <w:kern w:val="22"/>
                <w:szCs w:val="22"/>
                <w:lang w:val="fr-CA" w:eastAsia="en-CA"/>
              </w:rPr>
              <w:t>Côte d’Ivoire</w:t>
            </w:r>
          </w:p>
        </w:tc>
        <w:tc>
          <w:tcPr>
            <w:tcW w:w="1440" w:type="dxa"/>
            <w:tcBorders>
              <w:top w:val="nil"/>
              <w:left w:val="nil"/>
              <w:bottom w:val="single" w:sz="4" w:space="0" w:color="auto"/>
              <w:right w:val="single" w:sz="4" w:space="0" w:color="auto"/>
            </w:tcBorders>
            <w:shd w:val="clear" w:color="auto" w:fill="auto"/>
            <w:vAlign w:val="center"/>
            <w:hideMark/>
          </w:tcPr>
          <w:p w14:paraId="76091E5C"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013</w:t>
            </w:r>
          </w:p>
        </w:tc>
        <w:tc>
          <w:tcPr>
            <w:tcW w:w="1620" w:type="dxa"/>
            <w:tcBorders>
              <w:top w:val="nil"/>
              <w:left w:val="nil"/>
              <w:bottom w:val="single" w:sz="4" w:space="0" w:color="auto"/>
              <w:right w:val="single" w:sz="4" w:space="0" w:color="auto"/>
            </w:tcBorders>
            <w:shd w:val="clear" w:color="auto" w:fill="auto"/>
            <w:noWrap/>
            <w:vAlign w:val="center"/>
            <w:hideMark/>
          </w:tcPr>
          <w:p w14:paraId="56DEB372"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016</w:t>
            </w:r>
          </w:p>
        </w:tc>
        <w:tc>
          <w:tcPr>
            <w:tcW w:w="1710" w:type="dxa"/>
            <w:tcBorders>
              <w:top w:val="nil"/>
              <w:left w:val="nil"/>
              <w:bottom w:val="single" w:sz="4" w:space="0" w:color="auto"/>
              <w:right w:val="single" w:sz="4" w:space="0" w:color="auto"/>
            </w:tcBorders>
            <w:shd w:val="clear" w:color="auto" w:fill="auto"/>
            <w:noWrap/>
            <w:vAlign w:val="center"/>
            <w:hideMark/>
          </w:tcPr>
          <w:p w14:paraId="389703BE" w14:textId="77777777" w:rsidR="00661352" w:rsidRPr="003C7831" w:rsidRDefault="00661352" w:rsidP="00282AF6">
            <w:pPr>
              <w:ind w:right="144"/>
              <w:jc w:val="right"/>
              <w:rPr>
                <w:kern w:val="22"/>
                <w:szCs w:val="22"/>
                <w:lang w:val="fr-CA" w:eastAsia="en-CA"/>
              </w:rPr>
            </w:pPr>
            <w:r w:rsidRPr="003C7831">
              <w:rPr>
                <w:kern w:val="22"/>
                <w:szCs w:val="22"/>
                <w:lang w:val="fr-CA" w:eastAsia="en-CA"/>
              </w:rPr>
              <w:t>2 051</w:t>
            </w:r>
          </w:p>
        </w:tc>
      </w:tr>
      <w:tr w:rsidR="00661352" w:rsidRPr="003C7831" w14:paraId="64D605E5"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2B573B" w14:textId="6089DBCC" w:rsidR="00661352" w:rsidRPr="003C7831" w:rsidRDefault="00C95673" w:rsidP="00120F79">
            <w:pPr>
              <w:jc w:val="right"/>
              <w:rPr>
                <w:kern w:val="22"/>
                <w:szCs w:val="22"/>
                <w:lang w:val="fr-CA" w:eastAsia="en-CA"/>
              </w:rPr>
            </w:pPr>
            <w:r>
              <w:rPr>
                <w:kern w:val="22"/>
                <w:szCs w:val="22"/>
                <w:lang w:val="fr-CA" w:eastAsia="en-CA"/>
              </w:rPr>
              <w:t>44</w:t>
            </w:r>
          </w:p>
        </w:tc>
        <w:tc>
          <w:tcPr>
            <w:tcW w:w="3870" w:type="dxa"/>
            <w:tcBorders>
              <w:top w:val="nil"/>
              <w:left w:val="nil"/>
              <w:bottom w:val="single" w:sz="4" w:space="0" w:color="auto"/>
              <w:right w:val="single" w:sz="4" w:space="0" w:color="auto"/>
            </w:tcBorders>
            <w:shd w:val="clear" w:color="auto" w:fill="auto"/>
            <w:vAlign w:val="center"/>
            <w:hideMark/>
          </w:tcPr>
          <w:p w14:paraId="36BE375E" w14:textId="77777777" w:rsidR="00661352" w:rsidRPr="003C7831" w:rsidRDefault="00661352" w:rsidP="00120F79">
            <w:pPr>
              <w:jc w:val="left"/>
              <w:rPr>
                <w:kern w:val="22"/>
                <w:szCs w:val="22"/>
                <w:lang w:val="fr-CA" w:eastAsia="en-CA"/>
              </w:rPr>
            </w:pPr>
            <w:r w:rsidRPr="003C7831">
              <w:rPr>
                <w:kern w:val="22"/>
                <w:szCs w:val="22"/>
                <w:lang w:val="fr-CA" w:eastAsia="en-CA"/>
              </w:rPr>
              <w:t>Croatie</w:t>
            </w:r>
          </w:p>
        </w:tc>
        <w:tc>
          <w:tcPr>
            <w:tcW w:w="1440" w:type="dxa"/>
            <w:tcBorders>
              <w:top w:val="nil"/>
              <w:left w:val="nil"/>
              <w:bottom w:val="single" w:sz="4" w:space="0" w:color="auto"/>
              <w:right w:val="single" w:sz="4" w:space="0" w:color="auto"/>
            </w:tcBorders>
            <w:shd w:val="clear" w:color="auto" w:fill="auto"/>
            <w:vAlign w:val="center"/>
            <w:hideMark/>
          </w:tcPr>
          <w:p w14:paraId="3A5EEF2F"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077</w:t>
            </w:r>
          </w:p>
        </w:tc>
        <w:tc>
          <w:tcPr>
            <w:tcW w:w="1620" w:type="dxa"/>
            <w:tcBorders>
              <w:top w:val="nil"/>
              <w:left w:val="nil"/>
              <w:bottom w:val="single" w:sz="4" w:space="0" w:color="auto"/>
              <w:right w:val="single" w:sz="4" w:space="0" w:color="auto"/>
            </w:tcBorders>
            <w:shd w:val="clear" w:color="auto" w:fill="auto"/>
            <w:noWrap/>
            <w:vAlign w:val="center"/>
            <w:hideMark/>
          </w:tcPr>
          <w:p w14:paraId="670AB656"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096</w:t>
            </w:r>
          </w:p>
        </w:tc>
        <w:tc>
          <w:tcPr>
            <w:tcW w:w="1710" w:type="dxa"/>
            <w:tcBorders>
              <w:top w:val="nil"/>
              <w:left w:val="nil"/>
              <w:bottom w:val="single" w:sz="4" w:space="0" w:color="auto"/>
              <w:right w:val="single" w:sz="4" w:space="0" w:color="auto"/>
            </w:tcBorders>
            <w:shd w:val="clear" w:color="auto" w:fill="auto"/>
            <w:noWrap/>
            <w:vAlign w:val="center"/>
            <w:hideMark/>
          </w:tcPr>
          <w:p w14:paraId="21020066" w14:textId="77777777" w:rsidR="00661352" w:rsidRPr="003C7831" w:rsidRDefault="00661352" w:rsidP="00282AF6">
            <w:pPr>
              <w:ind w:right="144"/>
              <w:jc w:val="right"/>
              <w:rPr>
                <w:kern w:val="22"/>
                <w:szCs w:val="22"/>
                <w:lang w:val="fr-CA" w:eastAsia="en-CA"/>
              </w:rPr>
            </w:pPr>
            <w:r w:rsidRPr="003C7831">
              <w:rPr>
                <w:kern w:val="22"/>
                <w:szCs w:val="22"/>
                <w:lang w:val="fr-CA" w:eastAsia="en-CA"/>
              </w:rPr>
              <w:t>12 148</w:t>
            </w:r>
          </w:p>
        </w:tc>
      </w:tr>
      <w:tr w:rsidR="00661352" w:rsidRPr="003C7831" w14:paraId="4C220144"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AD0EEB" w14:textId="663D717F" w:rsidR="00661352" w:rsidRPr="003C7831" w:rsidRDefault="00C95673" w:rsidP="00120F79">
            <w:pPr>
              <w:jc w:val="right"/>
              <w:rPr>
                <w:kern w:val="22"/>
                <w:szCs w:val="22"/>
                <w:lang w:val="fr-CA" w:eastAsia="en-CA"/>
              </w:rPr>
            </w:pPr>
            <w:r>
              <w:rPr>
                <w:kern w:val="22"/>
                <w:szCs w:val="22"/>
                <w:lang w:val="fr-CA" w:eastAsia="en-CA"/>
              </w:rPr>
              <w:t>45</w:t>
            </w:r>
          </w:p>
        </w:tc>
        <w:tc>
          <w:tcPr>
            <w:tcW w:w="3870" w:type="dxa"/>
            <w:tcBorders>
              <w:top w:val="nil"/>
              <w:left w:val="nil"/>
              <w:bottom w:val="single" w:sz="4" w:space="0" w:color="auto"/>
              <w:right w:val="single" w:sz="4" w:space="0" w:color="auto"/>
            </w:tcBorders>
            <w:shd w:val="clear" w:color="auto" w:fill="auto"/>
            <w:vAlign w:val="center"/>
            <w:hideMark/>
          </w:tcPr>
          <w:p w14:paraId="6721EFFC" w14:textId="77777777" w:rsidR="00661352" w:rsidRPr="003C7831" w:rsidRDefault="00661352" w:rsidP="00120F79">
            <w:pPr>
              <w:jc w:val="left"/>
              <w:rPr>
                <w:kern w:val="22"/>
                <w:szCs w:val="22"/>
                <w:lang w:val="fr-CA" w:eastAsia="en-CA"/>
              </w:rPr>
            </w:pPr>
            <w:r w:rsidRPr="003C7831">
              <w:rPr>
                <w:kern w:val="22"/>
                <w:szCs w:val="22"/>
                <w:lang w:val="fr-CA" w:eastAsia="en-CA"/>
              </w:rPr>
              <w:t>Cuba</w:t>
            </w:r>
          </w:p>
        </w:tc>
        <w:tc>
          <w:tcPr>
            <w:tcW w:w="1440" w:type="dxa"/>
            <w:tcBorders>
              <w:top w:val="nil"/>
              <w:left w:val="nil"/>
              <w:bottom w:val="single" w:sz="4" w:space="0" w:color="auto"/>
              <w:right w:val="single" w:sz="4" w:space="0" w:color="auto"/>
            </w:tcBorders>
            <w:shd w:val="clear" w:color="auto" w:fill="auto"/>
            <w:vAlign w:val="center"/>
            <w:hideMark/>
          </w:tcPr>
          <w:p w14:paraId="1C00939B"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080</w:t>
            </w:r>
          </w:p>
        </w:tc>
        <w:tc>
          <w:tcPr>
            <w:tcW w:w="1620" w:type="dxa"/>
            <w:tcBorders>
              <w:top w:val="nil"/>
              <w:left w:val="nil"/>
              <w:bottom w:val="single" w:sz="4" w:space="0" w:color="auto"/>
              <w:right w:val="single" w:sz="4" w:space="0" w:color="auto"/>
            </w:tcBorders>
            <w:shd w:val="clear" w:color="auto" w:fill="auto"/>
            <w:noWrap/>
            <w:vAlign w:val="center"/>
            <w:hideMark/>
          </w:tcPr>
          <w:p w14:paraId="5D2B71DB"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100</w:t>
            </w:r>
          </w:p>
        </w:tc>
        <w:tc>
          <w:tcPr>
            <w:tcW w:w="1710" w:type="dxa"/>
            <w:tcBorders>
              <w:top w:val="nil"/>
              <w:left w:val="nil"/>
              <w:bottom w:val="single" w:sz="4" w:space="0" w:color="auto"/>
              <w:right w:val="single" w:sz="4" w:space="0" w:color="auto"/>
            </w:tcBorders>
            <w:shd w:val="clear" w:color="auto" w:fill="auto"/>
            <w:noWrap/>
            <w:vAlign w:val="center"/>
            <w:hideMark/>
          </w:tcPr>
          <w:p w14:paraId="66BBC283" w14:textId="77777777" w:rsidR="00661352" w:rsidRPr="003C7831" w:rsidRDefault="00661352" w:rsidP="00282AF6">
            <w:pPr>
              <w:ind w:right="144"/>
              <w:jc w:val="right"/>
              <w:rPr>
                <w:kern w:val="22"/>
                <w:szCs w:val="22"/>
                <w:lang w:val="fr-CA" w:eastAsia="en-CA"/>
              </w:rPr>
            </w:pPr>
            <w:r w:rsidRPr="003C7831">
              <w:rPr>
                <w:kern w:val="22"/>
                <w:szCs w:val="22"/>
                <w:lang w:val="fr-CA" w:eastAsia="en-CA"/>
              </w:rPr>
              <w:t>12 621</w:t>
            </w:r>
          </w:p>
        </w:tc>
      </w:tr>
      <w:tr w:rsidR="00661352" w:rsidRPr="003C7831" w14:paraId="5539C49B"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977A33" w14:textId="24E2E6F5" w:rsidR="00661352" w:rsidRPr="003C7831" w:rsidRDefault="00C95673" w:rsidP="00120F79">
            <w:pPr>
              <w:jc w:val="right"/>
              <w:rPr>
                <w:kern w:val="22"/>
                <w:szCs w:val="22"/>
                <w:lang w:val="fr-CA" w:eastAsia="en-CA"/>
              </w:rPr>
            </w:pPr>
            <w:r>
              <w:rPr>
                <w:kern w:val="22"/>
                <w:szCs w:val="22"/>
                <w:lang w:val="fr-CA" w:eastAsia="en-CA"/>
              </w:rPr>
              <w:t>46</w:t>
            </w:r>
          </w:p>
        </w:tc>
        <w:tc>
          <w:tcPr>
            <w:tcW w:w="3870" w:type="dxa"/>
            <w:tcBorders>
              <w:top w:val="nil"/>
              <w:left w:val="nil"/>
              <w:bottom w:val="single" w:sz="4" w:space="0" w:color="auto"/>
              <w:right w:val="single" w:sz="4" w:space="0" w:color="auto"/>
            </w:tcBorders>
            <w:shd w:val="clear" w:color="auto" w:fill="auto"/>
            <w:vAlign w:val="center"/>
            <w:hideMark/>
          </w:tcPr>
          <w:p w14:paraId="0137D0F8" w14:textId="77777777" w:rsidR="00661352" w:rsidRPr="003C7831" w:rsidRDefault="00661352" w:rsidP="00120F79">
            <w:pPr>
              <w:jc w:val="left"/>
              <w:rPr>
                <w:kern w:val="22"/>
                <w:szCs w:val="22"/>
                <w:lang w:val="fr-CA" w:eastAsia="en-CA"/>
              </w:rPr>
            </w:pPr>
            <w:r w:rsidRPr="003C7831">
              <w:rPr>
                <w:kern w:val="22"/>
                <w:szCs w:val="22"/>
                <w:lang w:val="fr-CA" w:eastAsia="en-CA"/>
              </w:rPr>
              <w:t>Danemark</w:t>
            </w:r>
          </w:p>
        </w:tc>
        <w:tc>
          <w:tcPr>
            <w:tcW w:w="1440" w:type="dxa"/>
            <w:tcBorders>
              <w:top w:val="nil"/>
              <w:left w:val="nil"/>
              <w:bottom w:val="single" w:sz="4" w:space="0" w:color="auto"/>
              <w:right w:val="single" w:sz="4" w:space="0" w:color="auto"/>
            </w:tcBorders>
            <w:shd w:val="clear" w:color="auto" w:fill="auto"/>
            <w:vAlign w:val="center"/>
            <w:hideMark/>
          </w:tcPr>
          <w:p w14:paraId="555876C9"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554</w:t>
            </w:r>
          </w:p>
        </w:tc>
        <w:tc>
          <w:tcPr>
            <w:tcW w:w="1620" w:type="dxa"/>
            <w:tcBorders>
              <w:top w:val="nil"/>
              <w:left w:val="nil"/>
              <w:bottom w:val="single" w:sz="4" w:space="0" w:color="auto"/>
              <w:right w:val="single" w:sz="4" w:space="0" w:color="auto"/>
            </w:tcBorders>
            <w:shd w:val="clear" w:color="auto" w:fill="auto"/>
            <w:noWrap/>
            <w:vAlign w:val="center"/>
            <w:hideMark/>
          </w:tcPr>
          <w:p w14:paraId="3DD1DBCE"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693</w:t>
            </w:r>
          </w:p>
        </w:tc>
        <w:tc>
          <w:tcPr>
            <w:tcW w:w="1710" w:type="dxa"/>
            <w:tcBorders>
              <w:top w:val="nil"/>
              <w:left w:val="nil"/>
              <w:bottom w:val="single" w:sz="4" w:space="0" w:color="auto"/>
              <w:right w:val="single" w:sz="4" w:space="0" w:color="auto"/>
            </w:tcBorders>
            <w:shd w:val="clear" w:color="auto" w:fill="auto"/>
            <w:noWrap/>
            <w:vAlign w:val="center"/>
            <w:hideMark/>
          </w:tcPr>
          <w:p w14:paraId="36EA4A86" w14:textId="77777777" w:rsidR="00661352" w:rsidRPr="003C7831" w:rsidRDefault="00661352" w:rsidP="00282AF6">
            <w:pPr>
              <w:ind w:right="144"/>
              <w:jc w:val="right"/>
              <w:rPr>
                <w:kern w:val="22"/>
                <w:szCs w:val="22"/>
                <w:lang w:val="fr-CA" w:eastAsia="en-CA"/>
              </w:rPr>
            </w:pPr>
            <w:r w:rsidRPr="003C7831">
              <w:rPr>
                <w:kern w:val="22"/>
                <w:szCs w:val="22"/>
                <w:lang w:val="fr-CA" w:eastAsia="en-CA"/>
              </w:rPr>
              <w:t>87 404</w:t>
            </w:r>
          </w:p>
        </w:tc>
      </w:tr>
      <w:tr w:rsidR="00661352" w:rsidRPr="003C7831" w14:paraId="571A1CAD"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38448E" w14:textId="68473B62" w:rsidR="00661352" w:rsidRPr="003C7831" w:rsidRDefault="00C95673" w:rsidP="00120F79">
            <w:pPr>
              <w:jc w:val="right"/>
              <w:rPr>
                <w:kern w:val="22"/>
                <w:szCs w:val="22"/>
                <w:lang w:val="fr-CA" w:eastAsia="en-CA"/>
              </w:rPr>
            </w:pPr>
            <w:r>
              <w:rPr>
                <w:kern w:val="22"/>
                <w:szCs w:val="22"/>
                <w:lang w:val="fr-CA" w:eastAsia="en-CA"/>
              </w:rPr>
              <w:t>47</w:t>
            </w:r>
          </w:p>
        </w:tc>
        <w:tc>
          <w:tcPr>
            <w:tcW w:w="3870" w:type="dxa"/>
            <w:tcBorders>
              <w:top w:val="nil"/>
              <w:left w:val="nil"/>
              <w:bottom w:val="single" w:sz="4" w:space="0" w:color="auto"/>
              <w:right w:val="single" w:sz="4" w:space="0" w:color="auto"/>
            </w:tcBorders>
            <w:shd w:val="clear" w:color="auto" w:fill="auto"/>
            <w:vAlign w:val="center"/>
            <w:hideMark/>
          </w:tcPr>
          <w:p w14:paraId="1DAAB1B0" w14:textId="77777777" w:rsidR="00661352" w:rsidRPr="003C7831" w:rsidRDefault="00661352" w:rsidP="00120F79">
            <w:pPr>
              <w:jc w:val="left"/>
              <w:rPr>
                <w:kern w:val="22"/>
                <w:szCs w:val="22"/>
                <w:lang w:val="fr-CA" w:eastAsia="en-CA"/>
              </w:rPr>
            </w:pPr>
            <w:r w:rsidRPr="003C7831">
              <w:rPr>
                <w:kern w:val="22"/>
                <w:szCs w:val="22"/>
                <w:lang w:val="fr-CA" w:eastAsia="en-CA"/>
              </w:rPr>
              <w:t>Djibouti</w:t>
            </w:r>
          </w:p>
        </w:tc>
        <w:tc>
          <w:tcPr>
            <w:tcW w:w="1440" w:type="dxa"/>
            <w:tcBorders>
              <w:top w:val="nil"/>
              <w:left w:val="nil"/>
              <w:bottom w:val="single" w:sz="4" w:space="0" w:color="auto"/>
              <w:right w:val="single" w:sz="4" w:space="0" w:color="auto"/>
            </w:tcBorders>
            <w:shd w:val="clear" w:color="auto" w:fill="auto"/>
            <w:vAlign w:val="center"/>
            <w:hideMark/>
          </w:tcPr>
          <w:p w14:paraId="386F65F5"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001</w:t>
            </w:r>
          </w:p>
        </w:tc>
        <w:tc>
          <w:tcPr>
            <w:tcW w:w="1620" w:type="dxa"/>
            <w:tcBorders>
              <w:top w:val="nil"/>
              <w:left w:val="nil"/>
              <w:bottom w:val="single" w:sz="4" w:space="0" w:color="auto"/>
              <w:right w:val="single" w:sz="4" w:space="0" w:color="auto"/>
            </w:tcBorders>
            <w:shd w:val="clear" w:color="auto" w:fill="auto"/>
            <w:noWrap/>
            <w:vAlign w:val="center"/>
            <w:hideMark/>
          </w:tcPr>
          <w:p w14:paraId="24A74A9D"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001</w:t>
            </w:r>
          </w:p>
        </w:tc>
        <w:tc>
          <w:tcPr>
            <w:tcW w:w="1710" w:type="dxa"/>
            <w:tcBorders>
              <w:top w:val="nil"/>
              <w:left w:val="nil"/>
              <w:bottom w:val="single" w:sz="4" w:space="0" w:color="auto"/>
              <w:right w:val="single" w:sz="4" w:space="0" w:color="auto"/>
            </w:tcBorders>
            <w:shd w:val="clear" w:color="auto" w:fill="auto"/>
            <w:noWrap/>
            <w:vAlign w:val="center"/>
            <w:hideMark/>
          </w:tcPr>
          <w:p w14:paraId="40E61E02" w14:textId="77777777" w:rsidR="00661352" w:rsidRPr="003C7831" w:rsidRDefault="00661352" w:rsidP="00282AF6">
            <w:pPr>
              <w:ind w:right="144"/>
              <w:jc w:val="right"/>
              <w:rPr>
                <w:kern w:val="22"/>
                <w:szCs w:val="22"/>
                <w:lang w:val="fr-CA" w:eastAsia="en-CA"/>
              </w:rPr>
            </w:pPr>
            <w:r w:rsidRPr="003C7831">
              <w:rPr>
                <w:kern w:val="22"/>
                <w:szCs w:val="22"/>
                <w:lang w:val="fr-CA" w:eastAsia="en-CA"/>
              </w:rPr>
              <w:t>158</w:t>
            </w:r>
          </w:p>
        </w:tc>
      </w:tr>
      <w:tr w:rsidR="00661352" w:rsidRPr="003C7831" w14:paraId="4956739D"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CAEC8B" w14:textId="0B435B6D" w:rsidR="00661352" w:rsidRPr="003C7831" w:rsidRDefault="00C95673" w:rsidP="00120F79">
            <w:pPr>
              <w:jc w:val="right"/>
              <w:rPr>
                <w:kern w:val="22"/>
                <w:szCs w:val="22"/>
                <w:lang w:val="fr-CA" w:eastAsia="en-CA"/>
              </w:rPr>
            </w:pPr>
            <w:r>
              <w:rPr>
                <w:kern w:val="22"/>
                <w:szCs w:val="22"/>
                <w:lang w:val="fr-CA" w:eastAsia="en-CA"/>
              </w:rPr>
              <w:t>48</w:t>
            </w:r>
          </w:p>
        </w:tc>
        <w:tc>
          <w:tcPr>
            <w:tcW w:w="3870" w:type="dxa"/>
            <w:tcBorders>
              <w:top w:val="nil"/>
              <w:left w:val="nil"/>
              <w:bottom w:val="single" w:sz="4" w:space="0" w:color="auto"/>
              <w:right w:val="single" w:sz="4" w:space="0" w:color="auto"/>
            </w:tcBorders>
            <w:shd w:val="clear" w:color="auto" w:fill="auto"/>
            <w:vAlign w:val="center"/>
            <w:hideMark/>
          </w:tcPr>
          <w:p w14:paraId="46E16637" w14:textId="77777777" w:rsidR="00661352" w:rsidRPr="003C7831" w:rsidRDefault="00661352" w:rsidP="00120F79">
            <w:pPr>
              <w:jc w:val="left"/>
              <w:rPr>
                <w:kern w:val="22"/>
                <w:szCs w:val="22"/>
                <w:lang w:val="fr-CA" w:eastAsia="en-CA"/>
              </w:rPr>
            </w:pPr>
            <w:r w:rsidRPr="003C7831">
              <w:rPr>
                <w:kern w:val="22"/>
                <w:szCs w:val="22"/>
                <w:lang w:val="fr-CA" w:eastAsia="en-CA"/>
              </w:rPr>
              <w:t>Dominique</w:t>
            </w:r>
          </w:p>
        </w:tc>
        <w:tc>
          <w:tcPr>
            <w:tcW w:w="1440" w:type="dxa"/>
            <w:tcBorders>
              <w:top w:val="nil"/>
              <w:left w:val="nil"/>
              <w:bottom w:val="single" w:sz="4" w:space="0" w:color="auto"/>
              <w:right w:val="single" w:sz="4" w:space="0" w:color="auto"/>
            </w:tcBorders>
            <w:shd w:val="clear" w:color="auto" w:fill="auto"/>
            <w:vAlign w:val="center"/>
            <w:hideMark/>
          </w:tcPr>
          <w:p w14:paraId="501B1E07"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001</w:t>
            </w:r>
          </w:p>
        </w:tc>
        <w:tc>
          <w:tcPr>
            <w:tcW w:w="1620" w:type="dxa"/>
            <w:tcBorders>
              <w:top w:val="nil"/>
              <w:left w:val="nil"/>
              <w:bottom w:val="single" w:sz="4" w:space="0" w:color="auto"/>
              <w:right w:val="single" w:sz="4" w:space="0" w:color="auto"/>
            </w:tcBorders>
            <w:shd w:val="clear" w:color="auto" w:fill="auto"/>
            <w:noWrap/>
            <w:vAlign w:val="center"/>
            <w:hideMark/>
          </w:tcPr>
          <w:p w14:paraId="3B5BC869"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001</w:t>
            </w:r>
          </w:p>
        </w:tc>
        <w:tc>
          <w:tcPr>
            <w:tcW w:w="1710" w:type="dxa"/>
            <w:tcBorders>
              <w:top w:val="nil"/>
              <w:left w:val="nil"/>
              <w:bottom w:val="single" w:sz="4" w:space="0" w:color="auto"/>
              <w:right w:val="single" w:sz="4" w:space="0" w:color="auto"/>
            </w:tcBorders>
            <w:shd w:val="clear" w:color="auto" w:fill="auto"/>
            <w:noWrap/>
            <w:vAlign w:val="center"/>
            <w:hideMark/>
          </w:tcPr>
          <w:p w14:paraId="4B244421" w14:textId="77777777" w:rsidR="00661352" w:rsidRPr="003C7831" w:rsidRDefault="00661352" w:rsidP="00282AF6">
            <w:pPr>
              <w:ind w:right="144"/>
              <w:jc w:val="right"/>
              <w:rPr>
                <w:kern w:val="22"/>
                <w:szCs w:val="22"/>
                <w:lang w:val="fr-CA" w:eastAsia="en-CA"/>
              </w:rPr>
            </w:pPr>
            <w:r w:rsidRPr="003C7831">
              <w:rPr>
                <w:kern w:val="22"/>
                <w:szCs w:val="22"/>
                <w:lang w:val="fr-CA" w:eastAsia="en-CA"/>
              </w:rPr>
              <w:t>158</w:t>
            </w:r>
          </w:p>
        </w:tc>
      </w:tr>
      <w:tr w:rsidR="00661352" w:rsidRPr="003C7831" w14:paraId="180F6AC6"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9E2EC5" w14:textId="3B6ADDEB" w:rsidR="00661352" w:rsidRPr="003C7831" w:rsidRDefault="00C95673" w:rsidP="00120F79">
            <w:pPr>
              <w:jc w:val="right"/>
              <w:rPr>
                <w:kern w:val="22"/>
                <w:szCs w:val="22"/>
                <w:lang w:val="fr-CA" w:eastAsia="en-CA"/>
              </w:rPr>
            </w:pPr>
            <w:r>
              <w:rPr>
                <w:kern w:val="22"/>
                <w:szCs w:val="22"/>
                <w:lang w:val="fr-CA" w:eastAsia="en-CA"/>
              </w:rPr>
              <w:t>49</w:t>
            </w:r>
          </w:p>
        </w:tc>
        <w:tc>
          <w:tcPr>
            <w:tcW w:w="3870" w:type="dxa"/>
            <w:tcBorders>
              <w:top w:val="nil"/>
              <w:left w:val="nil"/>
              <w:bottom w:val="single" w:sz="4" w:space="0" w:color="auto"/>
              <w:right w:val="single" w:sz="4" w:space="0" w:color="auto"/>
            </w:tcBorders>
            <w:shd w:val="clear" w:color="auto" w:fill="auto"/>
            <w:vAlign w:val="center"/>
            <w:hideMark/>
          </w:tcPr>
          <w:p w14:paraId="13750227" w14:textId="77777777" w:rsidR="00661352" w:rsidRPr="003C7831" w:rsidRDefault="00661352" w:rsidP="00120F79">
            <w:pPr>
              <w:jc w:val="left"/>
              <w:rPr>
                <w:kern w:val="22"/>
                <w:szCs w:val="22"/>
                <w:lang w:val="fr-CA" w:eastAsia="en-CA"/>
              </w:rPr>
            </w:pPr>
            <w:r w:rsidRPr="003C7831">
              <w:rPr>
                <w:kern w:val="22"/>
                <w:szCs w:val="22"/>
                <w:lang w:val="fr-CA" w:eastAsia="en-CA"/>
              </w:rPr>
              <w:t>Égypte</w:t>
            </w:r>
          </w:p>
        </w:tc>
        <w:tc>
          <w:tcPr>
            <w:tcW w:w="1440" w:type="dxa"/>
            <w:tcBorders>
              <w:top w:val="nil"/>
              <w:left w:val="nil"/>
              <w:bottom w:val="single" w:sz="4" w:space="0" w:color="auto"/>
              <w:right w:val="single" w:sz="4" w:space="0" w:color="auto"/>
            </w:tcBorders>
            <w:shd w:val="clear" w:color="auto" w:fill="auto"/>
            <w:vAlign w:val="center"/>
            <w:hideMark/>
          </w:tcPr>
          <w:p w14:paraId="0AE049B2"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186</w:t>
            </w:r>
          </w:p>
        </w:tc>
        <w:tc>
          <w:tcPr>
            <w:tcW w:w="1620" w:type="dxa"/>
            <w:tcBorders>
              <w:top w:val="nil"/>
              <w:left w:val="nil"/>
              <w:bottom w:val="single" w:sz="4" w:space="0" w:color="auto"/>
              <w:right w:val="single" w:sz="4" w:space="0" w:color="auto"/>
            </w:tcBorders>
            <w:shd w:val="clear" w:color="auto" w:fill="auto"/>
            <w:noWrap/>
            <w:vAlign w:val="center"/>
            <w:hideMark/>
          </w:tcPr>
          <w:p w14:paraId="5977D5A1"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233</w:t>
            </w:r>
          </w:p>
        </w:tc>
        <w:tc>
          <w:tcPr>
            <w:tcW w:w="1710" w:type="dxa"/>
            <w:tcBorders>
              <w:top w:val="nil"/>
              <w:left w:val="nil"/>
              <w:bottom w:val="single" w:sz="4" w:space="0" w:color="auto"/>
              <w:right w:val="single" w:sz="4" w:space="0" w:color="auto"/>
            </w:tcBorders>
            <w:shd w:val="clear" w:color="auto" w:fill="auto"/>
            <w:noWrap/>
            <w:vAlign w:val="center"/>
            <w:hideMark/>
          </w:tcPr>
          <w:p w14:paraId="654B6285" w14:textId="77777777" w:rsidR="00661352" w:rsidRPr="003C7831" w:rsidRDefault="00661352" w:rsidP="00282AF6">
            <w:pPr>
              <w:ind w:right="144"/>
              <w:jc w:val="right"/>
              <w:rPr>
                <w:kern w:val="22"/>
                <w:szCs w:val="22"/>
                <w:lang w:val="fr-CA" w:eastAsia="en-CA"/>
              </w:rPr>
            </w:pPr>
            <w:r w:rsidRPr="003C7831">
              <w:rPr>
                <w:kern w:val="22"/>
                <w:szCs w:val="22"/>
                <w:lang w:val="fr-CA" w:eastAsia="en-CA"/>
              </w:rPr>
              <w:t>29 345</w:t>
            </w:r>
          </w:p>
        </w:tc>
      </w:tr>
      <w:tr w:rsidR="00661352" w:rsidRPr="003C7831" w14:paraId="2E2E6FEA"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7FFB55" w14:textId="0DD3D346" w:rsidR="00661352" w:rsidRPr="003C7831" w:rsidRDefault="00C95673" w:rsidP="00120F79">
            <w:pPr>
              <w:jc w:val="right"/>
              <w:rPr>
                <w:kern w:val="22"/>
                <w:szCs w:val="22"/>
                <w:lang w:val="fr-CA" w:eastAsia="en-CA"/>
              </w:rPr>
            </w:pPr>
            <w:r>
              <w:rPr>
                <w:kern w:val="22"/>
                <w:szCs w:val="22"/>
                <w:lang w:val="fr-CA" w:eastAsia="en-CA"/>
              </w:rPr>
              <w:t>50</w:t>
            </w:r>
          </w:p>
        </w:tc>
        <w:tc>
          <w:tcPr>
            <w:tcW w:w="3870" w:type="dxa"/>
            <w:tcBorders>
              <w:top w:val="nil"/>
              <w:left w:val="nil"/>
              <w:bottom w:val="single" w:sz="4" w:space="0" w:color="auto"/>
              <w:right w:val="single" w:sz="4" w:space="0" w:color="auto"/>
            </w:tcBorders>
            <w:shd w:val="clear" w:color="auto" w:fill="auto"/>
            <w:vAlign w:val="center"/>
            <w:hideMark/>
          </w:tcPr>
          <w:p w14:paraId="22D9B7B5" w14:textId="77777777" w:rsidR="00661352" w:rsidRPr="003C7831" w:rsidRDefault="00661352" w:rsidP="00120F79">
            <w:pPr>
              <w:jc w:val="left"/>
              <w:rPr>
                <w:kern w:val="22"/>
                <w:szCs w:val="22"/>
                <w:lang w:val="fr-CA" w:eastAsia="en-CA"/>
              </w:rPr>
            </w:pPr>
            <w:r w:rsidRPr="003C7831">
              <w:rPr>
                <w:kern w:val="22"/>
                <w:szCs w:val="22"/>
                <w:lang w:val="fr-CA" w:eastAsia="en-CA"/>
              </w:rPr>
              <w:t>El Salvador</w:t>
            </w:r>
          </w:p>
        </w:tc>
        <w:tc>
          <w:tcPr>
            <w:tcW w:w="1440" w:type="dxa"/>
            <w:tcBorders>
              <w:top w:val="nil"/>
              <w:left w:val="nil"/>
              <w:bottom w:val="single" w:sz="4" w:space="0" w:color="auto"/>
              <w:right w:val="single" w:sz="4" w:space="0" w:color="auto"/>
            </w:tcBorders>
            <w:shd w:val="clear" w:color="auto" w:fill="auto"/>
            <w:vAlign w:val="center"/>
            <w:hideMark/>
          </w:tcPr>
          <w:p w14:paraId="15696DB4"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012</w:t>
            </w:r>
          </w:p>
        </w:tc>
        <w:tc>
          <w:tcPr>
            <w:tcW w:w="1620" w:type="dxa"/>
            <w:tcBorders>
              <w:top w:val="nil"/>
              <w:left w:val="nil"/>
              <w:bottom w:val="single" w:sz="4" w:space="0" w:color="auto"/>
              <w:right w:val="single" w:sz="4" w:space="0" w:color="auto"/>
            </w:tcBorders>
            <w:shd w:val="clear" w:color="auto" w:fill="auto"/>
            <w:noWrap/>
            <w:vAlign w:val="center"/>
            <w:hideMark/>
          </w:tcPr>
          <w:p w14:paraId="08A248CB"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015</w:t>
            </w:r>
          </w:p>
        </w:tc>
        <w:tc>
          <w:tcPr>
            <w:tcW w:w="1710" w:type="dxa"/>
            <w:tcBorders>
              <w:top w:val="nil"/>
              <w:left w:val="nil"/>
              <w:bottom w:val="single" w:sz="4" w:space="0" w:color="auto"/>
              <w:right w:val="single" w:sz="4" w:space="0" w:color="auto"/>
            </w:tcBorders>
            <w:shd w:val="clear" w:color="auto" w:fill="auto"/>
            <w:noWrap/>
            <w:vAlign w:val="center"/>
            <w:hideMark/>
          </w:tcPr>
          <w:p w14:paraId="54CF4247" w14:textId="77777777" w:rsidR="00661352" w:rsidRPr="003C7831" w:rsidRDefault="00661352" w:rsidP="00282AF6">
            <w:pPr>
              <w:ind w:right="144"/>
              <w:jc w:val="right"/>
              <w:rPr>
                <w:kern w:val="22"/>
                <w:szCs w:val="22"/>
                <w:lang w:val="fr-CA" w:eastAsia="en-CA"/>
              </w:rPr>
            </w:pPr>
            <w:r w:rsidRPr="003C7831">
              <w:rPr>
                <w:kern w:val="22"/>
                <w:szCs w:val="22"/>
                <w:lang w:val="fr-CA" w:eastAsia="en-CA"/>
              </w:rPr>
              <w:t>1 893</w:t>
            </w:r>
          </w:p>
        </w:tc>
      </w:tr>
      <w:tr w:rsidR="00661352" w:rsidRPr="00B123B8" w14:paraId="17A7710D" w14:textId="77777777" w:rsidTr="00661352">
        <w:trPr>
          <w:trHeight w:val="260"/>
          <w:jc w:val="center"/>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468840D8" w14:textId="10B69B3B" w:rsidR="00661352" w:rsidRPr="00B123B8" w:rsidRDefault="00C95673" w:rsidP="00120F79">
            <w:pPr>
              <w:jc w:val="right"/>
              <w:rPr>
                <w:kern w:val="22"/>
                <w:szCs w:val="22"/>
                <w:lang w:val="fr-CA" w:eastAsia="en-CA"/>
              </w:rPr>
            </w:pPr>
            <w:r>
              <w:rPr>
                <w:kern w:val="22"/>
                <w:szCs w:val="22"/>
                <w:lang w:val="fr-CA" w:eastAsia="en-CA"/>
              </w:rPr>
              <w:t>51</w:t>
            </w:r>
          </w:p>
        </w:tc>
        <w:tc>
          <w:tcPr>
            <w:tcW w:w="3885" w:type="dxa"/>
            <w:gridSpan w:val="2"/>
            <w:tcBorders>
              <w:top w:val="nil"/>
              <w:left w:val="nil"/>
              <w:bottom w:val="single" w:sz="4" w:space="0" w:color="auto"/>
              <w:right w:val="single" w:sz="4" w:space="0" w:color="auto"/>
            </w:tcBorders>
            <w:shd w:val="clear" w:color="auto" w:fill="auto"/>
            <w:vAlign w:val="center"/>
            <w:hideMark/>
          </w:tcPr>
          <w:p w14:paraId="742C7A54" w14:textId="77777777" w:rsidR="00661352" w:rsidRPr="00B123B8" w:rsidRDefault="00661352" w:rsidP="00120F79">
            <w:pPr>
              <w:jc w:val="left"/>
              <w:rPr>
                <w:kern w:val="22"/>
                <w:szCs w:val="22"/>
                <w:lang w:val="fr-CA" w:eastAsia="en-CA"/>
              </w:rPr>
            </w:pPr>
            <w:r>
              <w:rPr>
                <w:kern w:val="22"/>
                <w:szCs w:val="22"/>
                <w:lang w:val="fr-CA" w:eastAsia="en-CA"/>
              </w:rPr>
              <w:t>Émirats arabes unis</w:t>
            </w:r>
          </w:p>
        </w:tc>
        <w:tc>
          <w:tcPr>
            <w:tcW w:w="1440" w:type="dxa"/>
            <w:tcBorders>
              <w:top w:val="nil"/>
              <w:left w:val="nil"/>
              <w:bottom w:val="single" w:sz="4" w:space="0" w:color="auto"/>
              <w:right w:val="single" w:sz="4" w:space="0" w:color="auto"/>
            </w:tcBorders>
            <w:shd w:val="clear" w:color="auto" w:fill="auto"/>
            <w:vAlign w:val="center"/>
            <w:hideMark/>
          </w:tcPr>
          <w:p w14:paraId="695DDCE1" w14:textId="77777777" w:rsidR="00661352" w:rsidRPr="00B123B8" w:rsidRDefault="00661352" w:rsidP="00282AF6">
            <w:pPr>
              <w:ind w:right="144"/>
              <w:jc w:val="right"/>
              <w:rPr>
                <w:kern w:val="22"/>
                <w:szCs w:val="22"/>
                <w:lang w:val="fr-CA" w:eastAsia="en-CA"/>
              </w:rPr>
            </w:pPr>
            <w:r w:rsidRPr="00B123B8">
              <w:rPr>
                <w:kern w:val="22"/>
                <w:szCs w:val="22"/>
                <w:lang w:val="fr-CA" w:eastAsia="en-CA"/>
              </w:rPr>
              <w:t>0</w:t>
            </w:r>
            <w:r>
              <w:rPr>
                <w:kern w:val="22"/>
                <w:szCs w:val="22"/>
                <w:lang w:val="fr-CA" w:eastAsia="en-CA"/>
              </w:rPr>
              <w:t>,</w:t>
            </w:r>
            <w:r w:rsidRPr="00B123B8">
              <w:rPr>
                <w:kern w:val="22"/>
                <w:szCs w:val="22"/>
                <w:lang w:val="fr-CA" w:eastAsia="en-CA"/>
              </w:rPr>
              <w:t>616</w:t>
            </w:r>
          </w:p>
        </w:tc>
        <w:tc>
          <w:tcPr>
            <w:tcW w:w="1620" w:type="dxa"/>
            <w:tcBorders>
              <w:top w:val="nil"/>
              <w:left w:val="nil"/>
              <w:bottom w:val="single" w:sz="4" w:space="0" w:color="auto"/>
              <w:right w:val="single" w:sz="4" w:space="0" w:color="auto"/>
            </w:tcBorders>
            <w:shd w:val="clear" w:color="auto" w:fill="auto"/>
            <w:noWrap/>
            <w:vAlign w:val="center"/>
            <w:hideMark/>
          </w:tcPr>
          <w:p w14:paraId="50EF8106" w14:textId="77777777" w:rsidR="00661352" w:rsidRPr="00B123B8" w:rsidRDefault="00661352" w:rsidP="00282AF6">
            <w:pPr>
              <w:ind w:right="144"/>
              <w:jc w:val="right"/>
              <w:rPr>
                <w:kern w:val="22"/>
                <w:szCs w:val="22"/>
                <w:lang w:val="fr-CA" w:eastAsia="en-CA"/>
              </w:rPr>
            </w:pPr>
            <w:r w:rsidRPr="00B123B8">
              <w:rPr>
                <w:kern w:val="22"/>
                <w:szCs w:val="22"/>
                <w:lang w:val="fr-CA" w:eastAsia="en-CA"/>
              </w:rPr>
              <w:t>0</w:t>
            </w:r>
            <w:r>
              <w:rPr>
                <w:kern w:val="22"/>
                <w:szCs w:val="22"/>
                <w:lang w:val="fr-CA" w:eastAsia="en-CA"/>
              </w:rPr>
              <w:t>,</w:t>
            </w:r>
            <w:r w:rsidRPr="00B123B8">
              <w:rPr>
                <w:kern w:val="22"/>
                <w:szCs w:val="22"/>
                <w:lang w:val="fr-CA" w:eastAsia="en-CA"/>
              </w:rPr>
              <w:t>770</w:t>
            </w:r>
          </w:p>
        </w:tc>
        <w:tc>
          <w:tcPr>
            <w:tcW w:w="1710" w:type="dxa"/>
            <w:tcBorders>
              <w:top w:val="nil"/>
              <w:left w:val="nil"/>
              <w:bottom w:val="single" w:sz="4" w:space="0" w:color="auto"/>
              <w:right w:val="single" w:sz="4" w:space="0" w:color="auto"/>
            </w:tcBorders>
            <w:shd w:val="clear" w:color="auto" w:fill="auto"/>
            <w:noWrap/>
            <w:vAlign w:val="center"/>
            <w:hideMark/>
          </w:tcPr>
          <w:p w14:paraId="0F35A27E" w14:textId="77777777" w:rsidR="00661352" w:rsidRPr="00B123B8" w:rsidRDefault="00661352" w:rsidP="00282AF6">
            <w:pPr>
              <w:ind w:right="144"/>
              <w:jc w:val="right"/>
              <w:rPr>
                <w:kern w:val="22"/>
                <w:szCs w:val="22"/>
                <w:lang w:val="fr-CA" w:eastAsia="en-CA"/>
              </w:rPr>
            </w:pPr>
            <w:r w:rsidRPr="00B123B8">
              <w:rPr>
                <w:kern w:val="22"/>
                <w:szCs w:val="22"/>
                <w:lang w:val="fr-CA" w:eastAsia="en-CA"/>
              </w:rPr>
              <w:t>97 185</w:t>
            </w:r>
          </w:p>
        </w:tc>
      </w:tr>
      <w:tr w:rsidR="00661352" w:rsidRPr="003C7831" w14:paraId="5BC2E95A"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A8B8D2" w14:textId="38F75532" w:rsidR="00661352" w:rsidRPr="003C7831" w:rsidRDefault="00C95673" w:rsidP="00120F79">
            <w:pPr>
              <w:jc w:val="right"/>
              <w:rPr>
                <w:kern w:val="22"/>
                <w:szCs w:val="22"/>
                <w:lang w:val="fr-CA" w:eastAsia="en-CA"/>
              </w:rPr>
            </w:pPr>
            <w:r>
              <w:rPr>
                <w:kern w:val="22"/>
                <w:szCs w:val="22"/>
                <w:lang w:val="fr-CA" w:eastAsia="en-CA"/>
              </w:rPr>
              <w:t>52</w:t>
            </w:r>
          </w:p>
        </w:tc>
        <w:tc>
          <w:tcPr>
            <w:tcW w:w="3870" w:type="dxa"/>
            <w:tcBorders>
              <w:top w:val="nil"/>
              <w:left w:val="nil"/>
              <w:bottom w:val="single" w:sz="4" w:space="0" w:color="auto"/>
              <w:right w:val="single" w:sz="4" w:space="0" w:color="auto"/>
            </w:tcBorders>
            <w:shd w:val="clear" w:color="auto" w:fill="auto"/>
            <w:vAlign w:val="center"/>
            <w:hideMark/>
          </w:tcPr>
          <w:p w14:paraId="1CC71381" w14:textId="77777777" w:rsidR="00661352" w:rsidRPr="003C7831" w:rsidRDefault="00661352" w:rsidP="00120F79">
            <w:pPr>
              <w:jc w:val="left"/>
              <w:rPr>
                <w:kern w:val="22"/>
                <w:szCs w:val="22"/>
                <w:lang w:val="fr-CA" w:eastAsia="en-CA"/>
              </w:rPr>
            </w:pPr>
            <w:r w:rsidRPr="003C7831">
              <w:rPr>
                <w:kern w:val="22"/>
                <w:szCs w:val="22"/>
                <w:lang w:val="fr-CA" w:eastAsia="en-CA"/>
              </w:rPr>
              <w:t>Équateur</w:t>
            </w:r>
          </w:p>
        </w:tc>
        <w:tc>
          <w:tcPr>
            <w:tcW w:w="1440" w:type="dxa"/>
            <w:tcBorders>
              <w:top w:val="nil"/>
              <w:left w:val="nil"/>
              <w:bottom w:val="single" w:sz="4" w:space="0" w:color="auto"/>
              <w:right w:val="single" w:sz="4" w:space="0" w:color="auto"/>
            </w:tcBorders>
            <w:shd w:val="clear" w:color="auto" w:fill="auto"/>
            <w:vAlign w:val="center"/>
            <w:hideMark/>
          </w:tcPr>
          <w:p w14:paraId="1C43ECB8"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080</w:t>
            </w:r>
          </w:p>
        </w:tc>
        <w:tc>
          <w:tcPr>
            <w:tcW w:w="1620" w:type="dxa"/>
            <w:tcBorders>
              <w:top w:val="nil"/>
              <w:left w:val="nil"/>
              <w:bottom w:val="single" w:sz="4" w:space="0" w:color="auto"/>
              <w:right w:val="single" w:sz="4" w:space="0" w:color="auto"/>
            </w:tcBorders>
            <w:shd w:val="clear" w:color="auto" w:fill="auto"/>
            <w:noWrap/>
            <w:vAlign w:val="center"/>
            <w:hideMark/>
          </w:tcPr>
          <w:p w14:paraId="74DD12CD"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100</w:t>
            </w:r>
          </w:p>
        </w:tc>
        <w:tc>
          <w:tcPr>
            <w:tcW w:w="1710" w:type="dxa"/>
            <w:tcBorders>
              <w:top w:val="nil"/>
              <w:left w:val="nil"/>
              <w:bottom w:val="single" w:sz="4" w:space="0" w:color="auto"/>
              <w:right w:val="single" w:sz="4" w:space="0" w:color="auto"/>
            </w:tcBorders>
            <w:shd w:val="clear" w:color="auto" w:fill="auto"/>
            <w:noWrap/>
            <w:vAlign w:val="center"/>
            <w:hideMark/>
          </w:tcPr>
          <w:p w14:paraId="60273902" w14:textId="77777777" w:rsidR="00661352" w:rsidRPr="003C7831" w:rsidRDefault="00661352" w:rsidP="00282AF6">
            <w:pPr>
              <w:ind w:right="144"/>
              <w:jc w:val="right"/>
              <w:rPr>
                <w:kern w:val="22"/>
                <w:szCs w:val="22"/>
                <w:lang w:val="fr-CA" w:eastAsia="en-CA"/>
              </w:rPr>
            </w:pPr>
            <w:r w:rsidRPr="003C7831">
              <w:rPr>
                <w:kern w:val="22"/>
                <w:szCs w:val="22"/>
                <w:lang w:val="fr-CA" w:eastAsia="en-CA"/>
              </w:rPr>
              <w:t>12 621</w:t>
            </w:r>
          </w:p>
        </w:tc>
      </w:tr>
      <w:tr w:rsidR="00661352" w:rsidRPr="003C7831" w14:paraId="098245B3"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7F038D" w14:textId="36AA1F12" w:rsidR="00661352" w:rsidRPr="003C7831" w:rsidRDefault="00C95673" w:rsidP="00120F79">
            <w:pPr>
              <w:jc w:val="right"/>
              <w:rPr>
                <w:kern w:val="22"/>
                <w:szCs w:val="22"/>
                <w:lang w:val="fr-CA" w:eastAsia="en-CA"/>
              </w:rPr>
            </w:pPr>
            <w:r>
              <w:rPr>
                <w:kern w:val="22"/>
                <w:szCs w:val="22"/>
                <w:lang w:val="fr-CA" w:eastAsia="en-CA"/>
              </w:rPr>
              <w:t>53</w:t>
            </w:r>
          </w:p>
        </w:tc>
        <w:tc>
          <w:tcPr>
            <w:tcW w:w="3870" w:type="dxa"/>
            <w:tcBorders>
              <w:top w:val="nil"/>
              <w:left w:val="nil"/>
              <w:bottom w:val="single" w:sz="4" w:space="0" w:color="auto"/>
              <w:right w:val="single" w:sz="4" w:space="0" w:color="auto"/>
            </w:tcBorders>
            <w:shd w:val="clear" w:color="auto" w:fill="auto"/>
            <w:vAlign w:val="center"/>
            <w:hideMark/>
          </w:tcPr>
          <w:p w14:paraId="26B81A9B" w14:textId="77777777" w:rsidR="00661352" w:rsidRPr="003C7831" w:rsidRDefault="00661352" w:rsidP="00120F79">
            <w:pPr>
              <w:jc w:val="left"/>
              <w:rPr>
                <w:kern w:val="22"/>
                <w:szCs w:val="22"/>
                <w:lang w:val="fr-CA" w:eastAsia="en-CA"/>
              </w:rPr>
            </w:pPr>
            <w:r w:rsidRPr="003C7831">
              <w:rPr>
                <w:kern w:val="22"/>
                <w:szCs w:val="22"/>
                <w:lang w:val="fr-CA" w:eastAsia="en-CA"/>
              </w:rPr>
              <w:t>Érythrée</w:t>
            </w:r>
          </w:p>
        </w:tc>
        <w:tc>
          <w:tcPr>
            <w:tcW w:w="1440" w:type="dxa"/>
            <w:tcBorders>
              <w:top w:val="nil"/>
              <w:left w:val="nil"/>
              <w:bottom w:val="single" w:sz="4" w:space="0" w:color="auto"/>
              <w:right w:val="single" w:sz="4" w:space="0" w:color="auto"/>
            </w:tcBorders>
            <w:shd w:val="clear" w:color="auto" w:fill="auto"/>
            <w:vAlign w:val="center"/>
            <w:hideMark/>
          </w:tcPr>
          <w:p w14:paraId="7FE172BD"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001</w:t>
            </w:r>
          </w:p>
        </w:tc>
        <w:tc>
          <w:tcPr>
            <w:tcW w:w="1620" w:type="dxa"/>
            <w:tcBorders>
              <w:top w:val="nil"/>
              <w:left w:val="nil"/>
              <w:bottom w:val="single" w:sz="4" w:space="0" w:color="auto"/>
              <w:right w:val="single" w:sz="4" w:space="0" w:color="auto"/>
            </w:tcBorders>
            <w:shd w:val="clear" w:color="auto" w:fill="auto"/>
            <w:noWrap/>
            <w:vAlign w:val="center"/>
            <w:hideMark/>
          </w:tcPr>
          <w:p w14:paraId="06FBB2FA"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001</w:t>
            </w:r>
          </w:p>
        </w:tc>
        <w:tc>
          <w:tcPr>
            <w:tcW w:w="1710" w:type="dxa"/>
            <w:tcBorders>
              <w:top w:val="nil"/>
              <w:left w:val="nil"/>
              <w:bottom w:val="single" w:sz="4" w:space="0" w:color="auto"/>
              <w:right w:val="single" w:sz="4" w:space="0" w:color="auto"/>
            </w:tcBorders>
            <w:shd w:val="clear" w:color="auto" w:fill="auto"/>
            <w:noWrap/>
            <w:vAlign w:val="center"/>
            <w:hideMark/>
          </w:tcPr>
          <w:p w14:paraId="010DCD1B" w14:textId="77777777" w:rsidR="00661352" w:rsidRPr="003C7831" w:rsidRDefault="00661352" w:rsidP="00282AF6">
            <w:pPr>
              <w:ind w:right="144"/>
              <w:jc w:val="right"/>
              <w:rPr>
                <w:kern w:val="22"/>
                <w:szCs w:val="22"/>
                <w:lang w:val="fr-CA" w:eastAsia="en-CA"/>
              </w:rPr>
            </w:pPr>
            <w:r w:rsidRPr="003C7831">
              <w:rPr>
                <w:kern w:val="22"/>
                <w:szCs w:val="22"/>
                <w:lang w:val="fr-CA" w:eastAsia="en-CA"/>
              </w:rPr>
              <w:t>158</w:t>
            </w:r>
          </w:p>
        </w:tc>
      </w:tr>
      <w:tr w:rsidR="00661352" w:rsidRPr="00E470BA" w14:paraId="750D01D7"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tcPr>
          <w:p w14:paraId="65B8A30B" w14:textId="6077F684" w:rsidR="00661352" w:rsidRPr="00E470BA" w:rsidRDefault="00C95673" w:rsidP="004266BB">
            <w:pPr>
              <w:jc w:val="right"/>
              <w:rPr>
                <w:kern w:val="22"/>
                <w:szCs w:val="22"/>
                <w:lang w:val="fr-CA" w:eastAsia="en-CA"/>
              </w:rPr>
            </w:pPr>
            <w:r>
              <w:rPr>
                <w:kern w:val="22"/>
                <w:szCs w:val="22"/>
                <w:lang w:val="fr-CA" w:eastAsia="en-CA"/>
              </w:rPr>
              <w:t>54</w:t>
            </w:r>
          </w:p>
        </w:tc>
        <w:tc>
          <w:tcPr>
            <w:tcW w:w="3870" w:type="dxa"/>
            <w:tcBorders>
              <w:top w:val="nil"/>
              <w:left w:val="nil"/>
              <w:bottom w:val="single" w:sz="4" w:space="0" w:color="auto"/>
              <w:right w:val="single" w:sz="4" w:space="0" w:color="auto"/>
            </w:tcBorders>
            <w:shd w:val="clear" w:color="auto" w:fill="auto"/>
            <w:vAlign w:val="center"/>
            <w:hideMark/>
          </w:tcPr>
          <w:p w14:paraId="7753B91E" w14:textId="77777777" w:rsidR="00661352" w:rsidRPr="00E470BA" w:rsidRDefault="00661352" w:rsidP="004266BB">
            <w:pPr>
              <w:jc w:val="left"/>
              <w:rPr>
                <w:kern w:val="22"/>
                <w:szCs w:val="22"/>
                <w:lang w:val="fr-CA" w:eastAsia="en-CA"/>
              </w:rPr>
            </w:pPr>
            <w:r>
              <w:rPr>
                <w:kern w:val="22"/>
                <w:szCs w:val="22"/>
                <w:lang w:val="fr-CA" w:eastAsia="en-CA"/>
              </w:rPr>
              <w:t>Espagne</w:t>
            </w:r>
          </w:p>
        </w:tc>
        <w:tc>
          <w:tcPr>
            <w:tcW w:w="1440" w:type="dxa"/>
            <w:tcBorders>
              <w:top w:val="nil"/>
              <w:left w:val="nil"/>
              <w:bottom w:val="single" w:sz="4" w:space="0" w:color="auto"/>
              <w:right w:val="single" w:sz="4" w:space="0" w:color="auto"/>
            </w:tcBorders>
            <w:shd w:val="clear" w:color="auto" w:fill="auto"/>
            <w:vAlign w:val="center"/>
            <w:hideMark/>
          </w:tcPr>
          <w:p w14:paraId="61F1AD6E" w14:textId="77777777" w:rsidR="00661352" w:rsidRPr="00E470BA" w:rsidRDefault="00661352" w:rsidP="00282AF6">
            <w:pPr>
              <w:ind w:right="144"/>
              <w:jc w:val="right"/>
              <w:rPr>
                <w:kern w:val="22"/>
                <w:szCs w:val="22"/>
                <w:lang w:val="fr-CA" w:eastAsia="en-CA"/>
              </w:rPr>
            </w:pPr>
            <w:r w:rsidRPr="00E470BA">
              <w:rPr>
                <w:kern w:val="22"/>
                <w:szCs w:val="22"/>
                <w:lang w:val="fr-CA" w:eastAsia="en-CA"/>
              </w:rPr>
              <w:t>2</w:t>
            </w:r>
            <w:r>
              <w:rPr>
                <w:kern w:val="22"/>
                <w:szCs w:val="22"/>
                <w:lang w:val="fr-CA" w:eastAsia="en-CA"/>
              </w:rPr>
              <w:t>,</w:t>
            </w:r>
            <w:r w:rsidRPr="00E470BA">
              <w:rPr>
                <w:kern w:val="22"/>
                <w:szCs w:val="22"/>
                <w:lang w:val="fr-CA" w:eastAsia="en-CA"/>
              </w:rPr>
              <w:t>146</w:t>
            </w:r>
          </w:p>
        </w:tc>
        <w:tc>
          <w:tcPr>
            <w:tcW w:w="1620" w:type="dxa"/>
            <w:tcBorders>
              <w:top w:val="nil"/>
              <w:left w:val="nil"/>
              <w:bottom w:val="single" w:sz="4" w:space="0" w:color="auto"/>
              <w:right w:val="single" w:sz="4" w:space="0" w:color="auto"/>
            </w:tcBorders>
            <w:shd w:val="clear" w:color="auto" w:fill="auto"/>
            <w:noWrap/>
            <w:vAlign w:val="center"/>
            <w:hideMark/>
          </w:tcPr>
          <w:p w14:paraId="0F9746C8" w14:textId="77777777" w:rsidR="00661352" w:rsidRPr="00E470BA" w:rsidRDefault="00661352" w:rsidP="00282AF6">
            <w:pPr>
              <w:ind w:right="144"/>
              <w:jc w:val="right"/>
              <w:rPr>
                <w:kern w:val="22"/>
                <w:szCs w:val="22"/>
                <w:lang w:val="fr-CA" w:eastAsia="en-CA"/>
              </w:rPr>
            </w:pPr>
            <w:r w:rsidRPr="00E470BA">
              <w:rPr>
                <w:kern w:val="22"/>
                <w:szCs w:val="22"/>
                <w:lang w:val="fr-CA" w:eastAsia="en-CA"/>
              </w:rPr>
              <w:t>2</w:t>
            </w:r>
            <w:r>
              <w:rPr>
                <w:kern w:val="22"/>
                <w:szCs w:val="22"/>
                <w:lang w:val="fr-CA" w:eastAsia="en-CA"/>
              </w:rPr>
              <w:t>,</w:t>
            </w:r>
            <w:r w:rsidRPr="00E470BA">
              <w:rPr>
                <w:kern w:val="22"/>
                <w:szCs w:val="22"/>
                <w:lang w:val="fr-CA" w:eastAsia="en-CA"/>
              </w:rPr>
              <w:t>683</w:t>
            </w:r>
          </w:p>
        </w:tc>
        <w:tc>
          <w:tcPr>
            <w:tcW w:w="1710" w:type="dxa"/>
            <w:tcBorders>
              <w:top w:val="nil"/>
              <w:left w:val="nil"/>
              <w:bottom w:val="single" w:sz="4" w:space="0" w:color="auto"/>
              <w:right w:val="single" w:sz="4" w:space="0" w:color="auto"/>
            </w:tcBorders>
            <w:shd w:val="clear" w:color="auto" w:fill="auto"/>
            <w:noWrap/>
            <w:vAlign w:val="center"/>
            <w:hideMark/>
          </w:tcPr>
          <w:p w14:paraId="398316C3" w14:textId="77777777" w:rsidR="00661352" w:rsidRPr="00E470BA" w:rsidRDefault="00661352" w:rsidP="00282AF6">
            <w:pPr>
              <w:ind w:right="144"/>
              <w:jc w:val="right"/>
              <w:rPr>
                <w:kern w:val="22"/>
                <w:szCs w:val="22"/>
                <w:lang w:val="fr-CA" w:eastAsia="en-CA"/>
              </w:rPr>
            </w:pPr>
            <w:r w:rsidRPr="00E470BA">
              <w:rPr>
                <w:kern w:val="22"/>
                <w:szCs w:val="22"/>
                <w:lang w:val="fr-CA" w:eastAsia="en-CA"/>
              </w:rPr>
              <w:t>338 570</w:t>
            </w:r>
          </w:p>
        </w:tc>
      </w:tr>
      <w:tr w:rsidR="00661352" w:rsidRPr="003C7831" w14:paraId="348D3E70"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0C8E7E" w14:textId="2ADBB0D4" w:rsidR="00661352" w:rsidRPr="003C7831" w:rsidRDefault="00C95673" w:rsidP="00120F79">
            <w:pPr>
              <w:jc w:val="right"/>
              <w:rPr>
                <w:kern w:val="22"/>
                <w:szCs w:val="22"/>
                <w:lang w:val="fr-CA" w:eastAsia="en-CA"/>
              </w:rPr>
            </w:pPr>
            <w:r>
              <w:rPr>
                <w:kern w:val="22"/>
                <w:szCs w:val="22"/>
                <w:lang w:val="fr-CA" w:eastAsia="en-CA"/>
              </w:rPr>
              <w:t>55</w:t>
            </w:r>
          </w:p>
        </w:tc>
        <w:tc>
          <w:tcPr>
            <w:tcW w:w="3870" w:type="dxa"/>
            <w:tcBorders>
              <w:top w:val="nil"/>
              <w:left w:val="nil"/>
              <w:bottom w:val="single" w:sz="4" w:space="0" w:color="auto"/>
              <w:right w:val="single" w:sz="4" w:space="0" w:color="auto"/>
            </w:tcBorders>
            <w:shd w:val="clear" w:color="auto" w:fill="auto"/>
            <w:vAlign w:val="center"/>
            <w:hideMark/>
          </w:tcPr>
          <w:p w14:paraId="6FC33523" w14:textId="77777777" w:rsidR="00661352" w:rsidRPr="003C7831" w:rsidRDefault="00661352" w:rsidP="00120F79">
            <w:pPr>
              <w:jc w:val="left"/>
              <w:rPr>
                <w:kern w:val="22"/>
                <w:szCs w:val="22"/>
                <w:lang w:val="fr-CA" w:eastAsia="en-CA"/>
              </w:rPr>
            </w:pPr>
            <w:r w:rsidRPr="003C7831">
              <w:rPr>
                <w:kern w:val="22"/>
                <w:szCs w:val="22"/>
                <w:lang w:val="fr-CA" w:eastAsia="en-CA"/>
              </w:rPr>
              <w:t>Estonie</w:t>
            </w:r>
          </w:p>
        </w:tc>
        <w:tc>
          <w:tcPr>
            <w:tcW w:w="1440" w:type="dxa"/>
            <w:tcBorders>
              <w:top w:val="nil"/>
              <w:left w:val="nil"/>
              <w:bottom w:val="single" w:sz="4" w:space="0" w:color="auto"/>
              <w:right w:val="single" w:sz="4" w:space="0" w:color="auto"/>
            </w:tcBorders>
            <w:shd w:val="clear" w:color="auto" w:fill="auto"/>
            <w:vAlign w:val="center"/>
            <w:hideMark/>
          </w:tcPr>
          <w:p w14:paraId="2EDA76DA"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039</w:t>
            </w:r>
          </w:p>
        </w:tc>
        <w:tc>
          <w:tcPr>
            <w:tcW w:w="1620" w:type="dxa"/>
            <w:tcBorders>
              <w:top w:val="nil"/>
              <w:left w:val="nil"/>
              <w:bottom w:val="single" w:sz="4" w:space="0" w:color="auto"/>
              <w:right w:val="single" w:sz="4" w:space="0" w:color="auto"/>
            </w:tcBorders>
            <w:shd w:val="clear" w:color="auto" w:fill="auto"/>
            <w:noWrap/>
            <w:vAlign w:val="center"/>
            <w:hideMark/>
          </w:tcPr>
          <w:p w14:paraId="0E0E5BD8"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049</w:t>
            </w:r>
          </w:p>
        </w:tc>
        <w:tc>
          <w:tcPr>
            <w:tcW w:w="1710" w:type="dxa"/>
            <w:tcBorders>
              <w:top w:val="nil"/>
              <w:left w:val="nil"/>
              <w:bottom w:val="single" w:sz="4" w:space="0" w:color="auto"/>
              <w:right w:val="single" w:sz="4" w:space="0" w:color="auto"/>
            </w:tcBorders>
            <w:shd w:val="clear" w:color="auto" w:fill="auto"/>
            <w:noWrap/>
            <w:vAlign w:val="center"/>
            <w:hideMark/>
          </w:tcPr>
          <w:p w14:paraId="57E62E5B" w14:textId="77777777" w:rsidR="00661352" w:rsidRPr="003C7831" w:rsidRDefault="00661352" w:rsidP="00282AF6">
            <w:pPr>
              <w:ind w:right="144"/>
              <w:jc w:val="right"/>
              <w:rPr>
                <w:kern w:val="22"/>
                <w:szCs w:val="22"/>
                <w:lang w:val="fr-CA" w:eastAsia="en-CA"/>
              </w:rPr>
            </w:pPr>
            <w:r w:rsidRPr="003C7831">
              <w:rPr>
                <w:kern w:val="22"/>
                <w:szCs w:val="22"/>
                <w:lang w:val="fr-CA" w:eastAsia="en-CA"/>
              </w:rPr>
              <w:t>6 153</w:t>
            </w:r>
          </w:p>
        </w:tc>
      </w:tr>
      <w:tr w:rsidR="00661352" w:rsidRPr="003C7831" w14:paraId="4AF1787E"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A11F50" w14:textId="3E2ADCED" w:rsidR="00661352" w:rsidRPr="003C7831" w:rsidRDefault="00C95673" w:rsidP="00120F79">
            <w:pPr>
              <w:jc w:val="right"/>
              <w:rPr>
                <w:kern w:val="22"/>
                <w:szCs w:val="22"/>
                <w:lang w:val="fr-CA" w:eastAsia="en-CA"/>
              </w:rPr>
            </w:pPr>
            <w:r>
              <w:rPr>
                <w:kern w:val="22"/>
                <w:szCs w:val="22"/>
                <w:lang w:val="fr-CA" w:eastAsia="en-CA"/>
              </w:rPr>
              <w:t>56</w:t>
            </w:r>
          </w:p>
        </w:tc>
        <w:tc>
          <w:tcPr>
            <w:tcW w:w="3870" w:type="dxa"/>
            <w:tcBorders>
              <w:top w:val="nil"/>
              <w:left w:val="nil"/>
              <w:bottom w:val="single" w:sz="4" w:space="0" w:color="auto"/>
              <w:right w:val="single" w:sz="4" w:space="0" w:color="auto"/>
            </w:tcBorders>
            <w:shd w:val="clear" w:color="auto" w:fill="auto"/>
            <w:vAlign w:val="center"/>
            <w:hideMark/>
          </w:tcPr>
          <w:p w14:paraId="253B04A0" w14:textId="77777777" w:rsidR="00661352" w:rsidRPr="003C7831" w:rsidRDefault="00661352" w:rsidP="00120F79">
            <w:pPr>
              <w:jc w:val="left"/>
              <w:rPr>
                <w:kern w:val="22"/>
                <w:szCs w:val="22"/>
                <w:lang w:val="fr-CA" w:eastAsia="en-CA"/>
              </w:rPr>
            </w:pPr>
            <w:r w:rsidRPr="003C7831">
              <w:rPr>
                <w:kern w:val="22"/>
                <w:szCs w:val="22"/>
                <w:lang w:val="fr-CA" w:eastAsia="en-CA"/>
              </w:rPr>
              <w:t>Eswatini</w:t>
            </w:r>
          </w:p>
        </w:tc>
        <w:tc>
          <w:tcPr>
            <w:tcW w:w="1440" w:type="dxa"/>
            <w:tcBorders>
              <w:top w:val="nil"/>
              <w:left w:val="nil"/>
              <w:bottom w:val="single" w:sz="4" w:space="0" w:color="auto"/>
              <w:right w:val="single" w:sz="4" w:space="0" w:color="auto"/>
            </w:tcBorders>
            <w:shd w:val="clear" w:color="auto" w:fill="auto"/>
            <w:vAlign w:val="center"/>
            <w:hideMark/>
          </w:tcPr>
          <w:p w14:paraId="642D2951"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002</w:t>
            </w:r>
          </w:p>
        </w:tc>
        <w:tc>
          <w:tcPr>
            <w:tcW w:w="1620" w:type="dxa"/>
            <w:tcBorders>
              <w:top w:val="nil"/>
              <w:left w:val="nil"/>
              <w:bottom w:val="single" w:sz="4" w:space="0" w:color="auto"/>
              <w:right w:val="single" w:sz="4" w:space="0" w:color="auto"/>
            </w:tcBorders>
            <w:shd w:val="clear" w:color="auto" w:fill="auto"/>
            <w:noWrap/>
            <w:vAlign w:val="center"/>
            <w:hideMark/>
          </w:tcPr>
          <w:p w14:paraId="3396F54C"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003</w:t>
            </w:r>
          </w:p>
        </w:tc>
        <w:tc>
          <w:tcPr>
            <w:tcW w:w="1710" w:type="dxa"/>
            <w:tcBorders>
              <w:top w:val="nil"/>
              <w:left w:val="nil"/>
              <w:bottom w:val="single" w:sz="4" w:space="0" w:color="auto"/>
              <w:right w:val="single" w:sz="4" w:space="0" w:color="auto"/>
            </w:tcBorders>
            <w:shd w:val="clear" w:color="auto" w:fill="auto"/>
            <w:noWrap/>
            <w:vAlign w:val="center"/>
            <w:hideMark/>
          </w:tcPr>
          <w:p w14:paraId="414D3B87" w14:textId="77777777" w:rsidR="00661352" w:rsidRPr="003C7831" w:rsidRDefault="00661352" w:rsidP="00282AF6">
            <w:pPr>
              <w:ind w:right="144"/>
              <w:jc w:val="right"/>
              <w:rPr>
                <w:kern w:val="22"/>
                <w:szCs w:val="22"/>
                <w:lang w:val="fr-CA" w:eastAsia="en-CA"/>
              </w:rPr>
            </w:pPr>
            <w:r w:rsidRPr="003C7831">
              <w:rPr>
                <w:kern w:val="22"/>
                <w:szCs w:val="22"/>
                <w:lang w:val="fr-CA" w:eastAsia="en-CA"/>
              </w:rPr>
              <w:t>316</w:t>
            </w:r>
          </w:p>
        </w:tc>
      </w:tr>
      <w:tr w:rsidR="00661352" w:rsidRPr="00E470BA" w14:paraId="40A871D7"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tcPr>
          <w:p w14:paraId="2CA85A6F" w14:textId="3F8CA5EA" w:rsidR="00661352" w:rsidRPr="00E470BA" w:rsidRDefault="00C95673" w:rsidP="004266BB">
            <w:pPr>
              <w:jc w:val="right"/>
              <w:rPr>
                <w:kern w:val="22"/>
                <w:szCs w:val="22"/>
                <w:lang w:val="fr-CA" w:eastAsia="en-CA"/>
              </w:rPr>
            </w:pPr>
            <w:r>
              <w:rPr>
                <w:kern w:val="22"/>
                <w:szCs w:val="22"/>
                <w:lang w:val="fr-CA" w:eastAsia="en-CA"/>
              </w:rPr>
              <w:t>57</w:t>
            </w:r>
          </w:p>
        </w:tc>
        <w:tc>
          <w:tcPr>
            <w:tcW w:w="3870" w:type="dxa"/>
            <w:tcBorders>
              <w:top w:val="nil"/>
              <w:left w:val="nil"/>
              <w:bottom w:val="single" w:sz="4" w:space="0" w:color="auto"/>
              <w:right w:val="single" w:sz="4" w:space="0" w:color="auto"/>
            </w:tcBorders>
            <w:shd w:val="clear" w:color="auto" w:fill="auto"/>
            <w:vAlign w:val="center"/>
            <w:hideMark/>
          </w:tcPr>
          <w:p w14:paraId="51A213F0" w14:textId="77777777" w:rsidR="00661352" w:rsidRPr="00E470BA" w:rsidRDefault="00661352" w:rsidP="004266BB">
            <w:pPr>
              <w:jc w:val="left"/>
              <w:rPr>
                <w:kern w:val="22"/>
                <w:szCs w:val="22"/>
                <w:lang w:val="fr-CA" w:eastAsia="en-CA"/>
              </w:rPr>
            </w:pPr>
            <w:r>
              <w:rPr>
                <w:kern w:val="22"/>
                <w:szCs w:val="22"/>
                <w:lang w:val="fr-CA" w:eastAsia="en-CA"/>
              </w:rPr>
              <w:t>État de Palestine</w:t>
            </w:r>
          </w:p>
        </w:tc>
        <w:tc>
          <w:tcPr>
            <w:tcW w:w="1440" w:type="dxa"/>
            <w:tcBorders>
              <w:top w:val="nil"/>
              <w:left w:val="nil"/>
              <w:bottom w:val="single" w:sz="4" w:space="0" w:color="auto"/>
              <w:right w:val="single" w:sz="4" w:space="0" w:color="auto"/>
            </w:tcBorders>
            <w:shd w:val="clear" w:color="auto" w:fill="auto"/>
            <w:vAlign w:val="center"/>
            <w:hideMark/>
          </w:tcPr>
          <w:p w14:paraId="51E3C031"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008</w:t>
            </w:r>
          </w:p>
        </w:tc>
        <w:tc>
          <w:tcPr>
            <w:tcW w:w="1620" w:type="dxa"/>
            <w:tcBorders>
              <w:top w:val="nil"/>
              <w:left w:val="nil"/>
              <w:bottom w:val="single" w:sz="4" w:space="0" w:color="auto"/>
              <w:right w:val="single" w:sz="4" w:space="0" w:color="auto"/>
            </w:tcBorders>
            <w:shd w:val="clear" w:color="auto" w:fill="auto"/>
            <w:noWrap/>
            <w:vAlign w:val="center"/>
            <w:hideMark/>
          </w:tcPr>
          <w:p w14:paraId="2951081F"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010</w:t>
            </w:r>
          </w:p>
        </w:tc>
        <w:tc>
          <w:tcPr>
            <w:tcW w:w="1710" w:type="dxa"/>
            <w:tcBorders>
              <w:top w:val="nil"/>
              <w:left w:val="nil"/>
              <w:bottom w:val="single" w:sz="4" w:space="0" w:color="auto"/>
              <w:right w:val="single" w:sz="4" w:space="0" w:color="auto"/>
            </w:tcBorders>
            <w:shd w:val="clear" w:color="auto" w:fill="auto"/>
            <w:noWrap/>
            <w:vAlign w:val="center"/>
            <w:hideMark/>
          </w:tcPr>
          <w:p w14:paraId="24B14B74" w14:textId="77777777" w:rsidR="00661352" w:rsidRPr="00E470BA" w:rsidRDefault="00661352" w:rsidP="00282AF6">
            <w:pPr>
              <w:ind w:right="144"/>
              <w:jc w:val="right"/>
              <w:rPr>
                <w:kern w:val="22"/>
                <w:szCs w:val="22"/>
                <w:lang w:val="fr-CA" w:eastAsia="en-CA"/>
              </w:rPr>
            </w:pPr>
            <w:r w:rsidRPr="00E470BA">
              <w:rPr>
                <w:kern w:val="22"/>
                <w:szCs w:val="22"/>
                <w:lang w:val="fr-CA" w:eastAsia="en-CA"/>
              </w:rPr>
              <w:t>1 262</w:t>
            </w:r>
          </w:p>
        </w:tc>
      </w:tr>
      <w:tr w:rsidR="00661352" w:rsidRPr="003C7831" w14:paraId="20B667EA"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2410A3" w14:textId="6E61E792" w:rsidR="00661352" w:rsidRPr="003C7831" w:rsidRDefault="00C95673" w:rsidP="00120F79">
            <w:pPr>
              <w:jc w:val="right"/>
              <w:rPr>
                <w:kern w:val="22"/>
                <w:szCs w:val="22"/>
                <w:lang w:val="fr-CA" w:eastAsia="en-CA"/>
              </w:rPr>
            </w:pPr>
            <w:r>
              <w:rPr>
                <w:kern w:val="22"/>
                <w:szCs w:val="22"/>
                <w:lang w:val="fr-CA" w:eastAsia="en-CA"/>
              </w:rPr>
              <w:t>58</w:t>
            </w:r>
          </w:p>
        </w:tc>
        <w:tc>
          <w:tcPr>
            <w:tcW w:w="3870" w:type="dxa"/>
            <w:tcBorders>
              <w:top w:val="nil"/>
              <w:left w:val="nil"/>
              <w:bottom w:val="single" w:sz="4" w:space="0" w:color="auto"/>
              <w:right w:val="single" w:sz="4" w:space="0" w:color="auto"/>
            </w:tcBorders>
            <w:shd w:val="clear" w:color="auto" w:fill="auto"/>
            <w:vAlign w:val="center"/>
            <w:hideMark/>
          </w:tcPr>
          <w:p w14:paraId="179EF44A" w14:textId="77777777" w:rsidR="00661352" w:rsidRPr="003C7831" w:rsidRDefault="00661352" w:rsidP="00120F79">
            <w:pPr>
              <w:jc w:val="left"/>
              <w:rPr>
                <w:kern w:val="22"/>
                <w:szCs w:val="22"/>
                <w:lang w:val="fr-CA" w:eastAsia="en-CA"/>
              </w:rPr>
            </w:pPr>
            <w:r w:rsidRPr="003C7831">
              <w:rPr>
                <w:kern w:val="22"/>
                <w:szCs w:val="22"/>
                <w:lang w:val="fr-CA" w:eastAsia="en-CA"/>
              </w:rPr>
              <w:t>Éthiopie</w:t>
            </w:r>
          </w:p>
        </w:tc>
        <w:tc>
          <w:tcPr>
            <w:tcW w:w="1440" w:type="dxa"/>
            <w:tcBorders>
              <w:top w:val="nil"/>
              <w:left w:val="nil"/>
              <w:bottom w:val="single" w:sz="4" w:space="0" w:color="auto"/>
              <w:right w:val="single" w:sz="4" w:space="0" w:color="auto"/>
            </w:tcBorders>
            <w:shd w:val="clear" w:color="auto" w:fill="auto"/>
            <w:vAlign w:val="center"/>
            <w:hideMark/>
          </w:tcPr>
          <w:p w14:paraId="480E81C4"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010</w:t>
            </w:r>
          </w:p>
        </w:tc>
        <w:tc>
          <w:tcPr>
            <w:tcW w:w="1620" w:type="dxa"/>
            <w:tcBorders>
              <w:top w:val="nil"/>
              <w:left w:val="nil"/>
              <w:bottom w:val="single" w:sz="4" w:space="0" w:color="auto"/>
              <w:right w:val="single" w:sz="4" w:space="0" w:color="auto"/>
            </w:tcBorders>
            <w:shd w:val="clear" w:color="auto" w:fill="auto"/>
            <w:noWrap/>
            <w:vAlign w:val="center"/>
            <w:hideMark/>
          </w:tcPr>
          <w:p w14:paraId="6F950F99"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010</w:t>
            </w:r>
          </w:p>
        </w:tc>
        <w:tc>
          <w:tcPr>
            <w:tcW w:w="1710" w:type="dxa"/>
            <w:tcBorders>
              <w:top w:val="nil"/>
              <w:left w:val="nil"/>
              <w:bottom w:val="single" w:sz="4" w:space="0" w:color="auto"/>
              <w:right w:val="single" w:sz="4" w:space="0" w:color="auto"/>
            </w:tcBorders>
            <w:shd w:val="clear" w:color="auto" w:fill="auto"/>
            <w:noWrap/>
            <w:vAlign w:val="center"/>
            <w:hideMark/>
          </w:tcPr>
          <w:p w14:paraId="448440CA" w14:textId="77777777" w:rsidR="00661352" w:rsidRPr="003C7831" w:rsidRDefault="00661352" w:rsidP="00282AF6">
            <w:pPr>
              <w:ind w:right="144"/>
              <w:jc w:val="right"/>
              <w:rPr>
                <w:kern w:val="22"/>
                <w:szCs w:val="22"/>
                <w:lang w:val="fr-CA" w:eastAsia="en-CA"/>
              </w:rPr>
            </w:pPr>
            <w:r w:rsidRPr="003C7831">
              <w:rPr>
                <w:kern w:val="22"/>
                <w:szCs w:val="22"/>
                <w:lang w:val="fr-CA" w:eastAsia="en-CA"/>
              </w:rPr>
              <w:t>1 262</w:t>
            </w:r>
          </w:p>
        </w:tc>
      </w:tr>
      <w:tr w:rsidR="00661352" w:rsidRPr="00E470BA" w14:paraId="3504B6BB"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tcPr>
          <w:p w14:paraId="10BD5061" w14:textId="6DE20BAB" w:rsidR="00661352" w:rsidRPr="00E470BA" w:rsidRDefault="00C95673" w:rsidP="004266BB">
            <w:pPr>
              <w:jc w:val="right"/>
              <w:rPr>
                <w:kern w:val="22"/>
                <w:szCs w:val="22"/>
                <w:lang w:val="fr-CA" w:eastAsia="en-CA"/>
              </w:rPr>
            </w:pPr>
            <w:r>
              <w:rPr>
                <w:kern w:val="22"/>
                <w:szCs w:val="22"/>
                <w:lang w:val="fr-CA" w:eastAsia="en-CA"/>
              </w:rPr>
              <w:t>59</w:t>
            </w:r>
          </w:p>
        </w:tc>
        <w:tc>
          <w:tcPr>
            <w:tcW w:w="3870" w:type="dxa"/>
            <w:tcBorders>
              <w:top w:val="nil"/>
              <w:left w:val="nil"/>
              <w:bottom w:val="single" w:sz="4" w:space="0" w:color="auto"/>
              <w:right w:val="single" w:sz="4" w:space="0" w:color="auto"/>
            </w:tcBorders>
            <w:shd w:val="clear" w:color="auto" w:fill="auto"/>
            <w:vAlign w:val="center"/>
            <w:hideMark/>
          </w:tcPr>
          <w:p w14:paraId="49C160F2" w14:textId="77777777" w:rsidR="00661352" w:rsidRPr="00E470BA" w:rsidRDefault="00661352" w:rsidP="004266BB">
            <w:pPr>
              <w:jc w:val="left"/>
              <w:rPr>
                <w:kern w:val="22"/>
                <w:szCs w:val="22"/>
                <w:lang w:val="fr-CA" w:eastAsia="en-CA"/>
              </w:rPr>
            </w:pPr>
            <w:r>
              <w:rPr>
                <w:kern w:val="22"/>
                <w:szCs w:val="22"/>
                <w:lang w:val="fr-CA" w:eastAsia="en-CA"/>
              </w:rPr>
              <w:t>Fédération de Russie</w:t>
            </w:r>
          </w:p>
        </w:tc>
        <w:tc>
          <w:tcPr>
            <w:tcW w:w="1440" w:type="dxa"/>
            <w:tcBorders>
              <w:top w:val="nil"/>
              <w:left w:val="nil"/>
              <w:bottom w:val="single" w:sz="4" w:space="0" w:color="auto"/>
              <w:right w:val="single" w:sz="4" w:space="0" w:color="auto"/>
            </w:tcBorders>
            <w:shd w:val="clear" w:color="auto" w:fill="auto"/>
            <w:vAlign w:val="center"/>
            <w:hideMark/>
          </w:tcPr>
          <w:p w14:paraId="1AB0F73D" w14:textId="77777777" w:rsidR="00661352" w:rsidRPr="00E470BA" w:rsidRDefault="00661352" w:rsidP="00282AF6">
            <w:pPr>
              <w:ind w:right="144"/>
              <w:jc w:val="right"/>
              <w:rPr>
                <w:kern w:val="22"/>
                <w:szCs w:val="22"/>
                <w:lang w:val="fr-CA" w:eastAsia="en-CA"/>
              </w:rPr>
            </w:pPr>
            <w:r w:rsidRPr="00E470BA">
              <w:rPr>
                <w:kern w:val="22"/>
                <w:szCs w:val="22"/>
                <w:lang w:val="fr-CA" w:eastAsia="en-CA"/>
              </w:rPr>
              <w:t>2</w:t>
            </w:r>
            <w:r>
              <w:rPr>
                <w:kern w:val="22"/>
                <w:szCs w:val="22"/>
                <w:lang w:val="fr-CA" w:eastAsia="en-CA"/>
              </w:rPr>
              <w:t>,</w:t>
            </w:r>
            <w:r w:rsidRPr="00E470BA">
              <w:rPr>
                <w:kern w:val="22"/>
                <w:szCs w:val="22"/>
                <w:lang w:val="fr-CA" w:eastAsia="en-CA"/>
              </w:rPr>
              <w:t>405</w:t>
            </w:r>
          </w:p>
        </w:tc>
        <w:tc>
          <w:tcPr>
            <w:tcW w:w="1620" w:type="dxa"/>
            <w:tcBorders>
              <w:top w:val="nil"/>
              <w:left w:val="nil"/>
              <w:bottom w:val="single" w:sz="4" w:space="0" w:color="auto"/>
              <w:right w:val="single" w:sz="4" w:space="0" w:color="auto"/>
            </w:tcBorders>
            <w:shd w:val="clear" w:color="auto" w:fill="auto"/>
            <w:noWrap/>
            <w:vAlign w:val="center"/>
            <w:hideMark/>
          </w:tcPr>
          <w:p w14:paraId="1209920A" w14:textId="77777777" w:rsidR="00661352" w:rsidRPr="00E470BA" w:rsidRDefault="00661352" w:rsidP="00282AF6">
            <w:pPr>
              <w:ind w:right="144"/>
              <w:jc w:val="right"/>
              <w:rPr>
                <w:kern w:val="22"/>
                <w:szCs w:val="22"/>
                <w:lang w:val="fr-CA" w:eastAsia="en-CA"/>
              </w:rPr>
            </w:pPr>
            <w:r w:rsidRPr="00E470BA">
              <w:rPr>
                <w:kern w:val="22"/>
                <w:szCs w:val="22"/>
                <w:lang w:val="fr-CA" w:eastAsia="en-CA"/>
              </w:rPr>
              <w:t>3</w:t>
            </w:r>
            <w:r>
              <w:rPr>
                <w:kern w:val="22"/>
                <w:szCs w:val="22"/>
                <w:lang w:val="fr-CA" w:eastAsia="en-CA"/>
              </w:rPr>
              <w:t>,</w:t>
            </w:r>
            <w:r w:rsidRPr="00E470BA">
              <w:rPr>
                <w:kern w:val="22"/>
                <w:szCs w:val="22"/>
                <w:lang w:val="fr-CA" w:eastAsia="en-CA"/>
              </w:rPr>
              <w:t>007</w:t>
            </w:r>
          </w:p>
        </w:tc>
        <w:tc>
          <w:tcPr>
            <w:tcW w:w="1710" w:type="dxa"/>
            <w:tcBorders>
              <w:top w:val="nil"/>
              <w:left w:val="nil"/>
              <w:bottom w:val="single" w:sz="4" w:space="0" w:color="auto"/>
              <w:right w:val="single" w:sz="4" w:space="0" w:color="auto"/>
            </w:tcBorders>
            <w:shd w:val="clear" w:color="auto" w:fill="auto"/>
            <w:noWrap/>
            <w:vAlign w:val="center"/>
            <w:hideMark/>
          </w:tcPr>
          <w:p w14:paraId="143449ED" w14:textId="77777777" w:rsidR="00661352" w:rsidRPr="00E470BA" w:rsidRDefault="00661352" w:rsidP="00282AF6">
            <w:pPr>
              <w:ind w:right="144"/>
              <w:jc w:val="right"/>
              <w:rPr>
                <w:kern w:val="22"/>
                <w:szCs w:val="22"/>
                <w:lang w:val="fr-CA" w:eastAsia="en-CA"/>
              </w:rPr>
            </w:pPr>
            <w:r w:rsidRPr="00E470BA">
              <w:rPr>
                <w:kern w:val="22"/>
                <w:szCs w:val="22"/>
                <w:lang w:val="fr-CA" w:eastAsia="en-CA"/>
              </w:rPr>
              <w:t>379 432</w:t>
            </w:r>
          </w:p>
        </w:tc>
      </w:tr>
      <w:tr w:rsidR="00661352" w:rsidRPr="003C7831" w14:paraId="2B1A2A7C"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E2EF2A" w14:textId="0D5C144A" w:rsidR="00661352" w:rsidRPr="003C7831" w:rsidRDefault="00C95673" w:rsidP="00120F79">
            <w:pPr>
              <w:jc w:val="right"/>
              <w:rPr>
                <w:kern w:val="22"/>
                <w:szCs w:val="22"/>
                <w:lang w:val="fr-CA" w:eastAsia="en-CA"/>
              </w:rPr>
            </w:pPr>
            <w:r>
              <w:rPr>
                <w:kern w:val="22"/>
                <w:szCs w:val="22"/>
                <w:lang w:val="fr-CA" w:eastAsia="en-CA"/>
              </w:rPr>
              <w:t>60</w:t>
            </w:r>
          </w:p>
        </w:tc>
        <w:tc>
          <w:tcPr>
            <w:tcW w:w="3870" w:type="dxa"/>
            <w:tcBorders>
              <w:top w:val="nil"/>
              <w:left w:val="nil"/>
              <w:bottom w:val="single" w:sz="4" w:space="0" w:color="auto"/>
              <w:right w:val="single" w:sz="4" w:space="0" w:color="auto"/>
            </w:tcBorders>
            <w:shd w:val="clear" w:color="auto" w:fill="auto"/>
            <w:vAlign w:val="center"/>
            <w:hideMark/>
          </w:tcPr>
          <w:p w14:paraId="6CFDDFD1" w14:textId="77777777" w:rsidR="00661352" w:rsidRPr="003C7831" w:rsidRDefault="00661352" w:rsidP="00120F79">
            <w:pPr>
              <w:jc w:val="left"/>
              <w:rPr>
                <w:kern w:val="22"/>
                <w:szCs w:val="22"/>
                <w:lang w:val="fr-CA" w:eastAsia="en-CA"/>
              </w:rPr>
            </w:pPr>
            <w:r w:rsidRPr="003C7831">
              <w:rPr>
                <w:kern w:val="22"/>
                <w:szCs w:val="22"/>
                <w:lang w:val="fr-CA" w:eastAsia="en-CA"/>
              </w:rPr>
              <w:t>Fidji</w:t>
            </w:r>
          </w:p>
        </w:tc>
        <w:tc>
          <w:tcPr>
            <w:tcW w:w="1440" w:type="dxa"/>
            <w:tcBorders>
              <w:top w:val="nil"/>
              <w:left w:val="nil"/>
              <w:bottom w:val="single" w:sz="4" w:space="0" w:color="auto"/>
              <w:right w:val="single" w:sz="4" w:space="0" w:color="auto"/>
            </w:tcBorders>
            <w:shd w:val="clear" w:color="auto" w:fill="auto"/>
            <w:vAlign w:val="center"/>
            <w:hideMark/>
          </w:tcPr>
          <w:p w14:paraId="628052A7"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003</w:t>
            </w:r>
          </w:p>
        </w:tc>
        <w:tc>
          <w:tcPr>
            <w:tcW w:w="1620" w:type="dxa"/>
            <w:tcBorders>
              <w:top w:val="nil"/>
              <w:left w:val="nil"/>
              <w:bottom w:val="single" w:sz="4" w:space="0" w:color="auto"/>
              <w:right w:val="single" w:sz="4" w:space="0" w:color="auto"/>
            </w:tcBorders>
            <w:shd w:val="clear" w:color="auto" w:fill="auto"/>
            <w:noWrap/>
            <w:vAlign w:val="center"/>
            <w:hideMark/>
          </w:tcPr>
          <w:p w14:paraId="6FEFC913"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004</w:t>
            </w:r>
          </w:p>
        </w:tc>
        <w:tc>
          <w:tcPr>
            <w:tcW w:w="1710" w:type="dxa"/>
            <w:tcBorders>
              <w:top w:val="nil"/>
              <w:left w:val="nil"/>
              <w:bottom w:val="single" w:sz="4" w:space="0" w:color="auto"/>
              <w:right w:val="single" w:sz="4" w:space="0" w:color="auto"/>
            </w:tcBorders>
            <w:shd w:val="clear" w:color="auto" w:fill="auto"/>
            <w:noWrap/>
            <w:vAlign w:val="center"/>
            <w:hideMark/>
          </w:tcPr>
          <w:p w14:paraId="5D01DA22" w14:textId="77777777" w:rsidR="00661352" w:rsidRPr="003C7831" w:rsidRDefault="00661352" w:rsidP="00282AF6">
            <w:pPr>
              <w:ind w:right="144"/>
              <w:jc w:val="right"/>
              <w:rPr>
                <w:kern w:val="22"/>
                <w:szCs w:val="22"/>
                <w:lang w:val="fr-CA" w:eastAsia="en-CA"/>
              </w:rPr>
            </w:pPr>
            <w:r w:rsidRPr="003C7831">
              <w:rPr>
                <w:kern w:val="22"/>
                <w:szCs w:val="22"/>
                <w:lang w:val="fr-CA" w:eastAsia="en-CA"/>
              </w:rPr>
              <w:t>473</w:t>
            </w:r>
          </w:p>
        </w:tc>
      </w:tr>
      <w:tr w:rsidR="00661352" w:rsidRPr="003C7831" w14:paraId="5B0C6E01"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DCB29C" w14:textId="612935CE" w:rsidR="00661352" w:rsidRPr="003C7831" w:rsidRDefault="00C95673" w:rsidP="00120F79">
            <w:pPr>
              <w:jc w:val="right"/>
              <w:rPr>
                <w:kern w:val="22"/>
                <w:szCs w:val="22"/>
                <w:lang w:val="fr-CA" w:eastAsia="en-CA"/>
              </w:rPr>
            </w:pPr>
            <w:r>
              <w:rPr>
                <w:kern w:val="22"/>
                <w:szCs w:val="22"/>
                <w:lang w:val="fr-CA" w:eastAsia="en-CA"/>
              </w:rPr>
              <w:t>61</w:t>
            </w:r>
          </w:p>
        </w:tc>
        <w:tc>
          <w:tcPr>
            <w:tcW w:w="3870" w:type="dxa"/>
            <w:tcBorders>
              <w:top w:val="nil"/>
              <w:left w:val="nil"/>
              <w:bottom w:val="single" w:sz="4" w:space="0" w:color="auto"/>
              <w:right w:val="single" w:sz="4" w:space="0" w:color="auto"/>
            </w:tcBorders>
            <w:shd w:val="clear" w:color="auto" w:fill="auto"/>
            <w:vAlign w:val="center"/>
            <w:hideMark/>
          </w:tcPr>
          <w:p w14:paraId="1EBCE32A" w14:textId="77777777" w:rsidR="00661352" w:rsidRPr="003C7831" w:rsidRDefault="00661352" w:rsidP="00120F79">
            <w:pPr>
              <w:jc w:val="left"/>
              <w:rPr>
                <w:kern w:val="22"/>
                <w:szCs w:val="22"/>
                <w:lang w:val="fr-CA" w:eastAsia="en-CA"/>
              </w:rPr>
            </w:pPr>
            <w:r w:rsidRPr="003C7831">
              <w:rPr>
                <w:kern w:val="22"/>
                <w:szCs w:val="22"/>
                <w:lang w:val="fr-CA" w:eastAsia="en-CA"/>
              </w:rPr>
              <w:t>Finlande</w:t>
            </w:r>
          </w:p>
        </w:tc>
        <w:tc>
          <w:tcPr>
            <w:tcW w:w="1440" w:type="dxa"/>
            <w:tcBorders>
              <w:top w:val="nil"/>
              <w:left w:val="nil"/>
              <w:bottom w:val="single" w:sz="4" w:space="0" w:color="auto"/>
              <w:right w:val="single" w:sz="4" w:space="0" w:color="auto"/>
            </w:tcBorders>
            <w:shd w:val="clear" w:color="auto" w:fill="auto"/>
            <w:vAlign w:val="center"/>
            <w:hideMark/>
          </w:tcPr>
          <w:p w14:paraId="4F638997"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421</w:t>
            </w:r>
          </w:p>
        </w:tc>
        <w:tc>
          <w:tcPr>
            <w:tcW w:w="1620" w:type="dxa"/>
            <w:tcBorders>
              <w:top w:val="nil"/>
              <w:left w:val="nil"/>
              <w:bottom w:val="single" w:sz="4" w:space="0" w:color="auto"/>
              <w:right w:val="single" w:sz="4" w:space="0" w:color="auto"/>
            </w:tcBorders>
            <w:shd w:val="clear" w:color="auto" w:fill="auto"/>
            <w:noWrap/>
            <w:vAlign w:val="center"/>
            <w:hideMark/>
          </w:tcPr>
          <w:p w14:paraId="38A23CB3"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526</w:t>
            </w:r>
          </w:p>
        </w:tc>
        <w:tc>
          <w:tcPr>
            <w:tcW w:w="1710" w:type="dxa"/>
            <w:tcBorders>
              <w:top w:val="nil"/>
              <w:left w:val="nil"/>
              <w:bottom w:val="single" w:sz="4" w:space="0" w:color="auto"/>
              <w:right w:val="single" w:sz="4" w:space="0" w:color="auto"/>
            </w:tcBorders>
            <w:shd w:val="clear" w:color="auto" w:fill="auto"/>
            <w:noWrap/>
            <w:vAlign w:val="center"/>
            <w:hideMark/>
          </w:tcPr>
          <w:p w14:paraId="42FF6682" w14:textId="77777777" w:rsidR="00661352" w:rsidRPr="003C7831" w:rsidRDefault="00661352" w:rsidP="00282AF6">
            <w:pPr>
              <w:ind w:right="144"/>
              <w:jc w:val="right"/>
              <w:rPr>
                <w:kern w:val="22"/>
                <w:szCs w:val="22"/>
                <w:lang w:val="fr-CA" w:eastAsia="en-CA"/>
              </w:rPr>
            </w:pPr>
            <w:r w:rsidRPr="003C7831">
              <w:rPr>
                <w:kern w:val="22"/>
                <w:szCs w:val="22"/>
                <w:lang w:val="fr-CA" w:eastAsia="en-CA"/>
              </w:rPr>
              <w:t>66 420</w:t>
            </w:r>
          </w:p>
        </w:tc>
      </w:tr>
      <w:tr w:rsidR="00661352" w:rsidRPr="003C7831" w14:paraId="56311B75"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E501F8" w14:textId="39AE7E2E" w:rsidR="00661352" w:rsidRPr="003C7831" w:rsidRDefault="00C95673" w:rsidP="00120F79">
            <w:pPr>
              <w:jc w:val="right"/>
              <w:rPr>
                <w:kern w:val="22"/>
                <w:szCs w:val="22"/>
                <w:lang w:val="fr-CA" w:eastAsia="en-CA"/>
              </w:rPr>
            </w:pPr>
            <w:r>
              <w:rPr>
                <w:kern w:val="22"/>
                <w:szCs w:val="22"/>
                <w:lang w:val="fr-CA" w:eastAsia="en-CA"/>
              </w:rPr>
              <w:t>62</w:t>
            </w:r>
          </w:p>
        </w:tc>
        <w:tc>
          <w:tcPr>
            <w:tcW w:w="3870" w:type="dxa"/>
            <w:tcBorders>
              <w:top w:val="nil"/>
              <w:left w:val="nil"/>
              <w:bottom w:val="single" w:sz="4" w:space="0" w:color="auto"/>
              <w:right w:val="single" w:sz="4" w:space="0" w:color="auto"/>
            </w:tcBorders>
            <w:shd w:val="clear" w:color="auto" w:fill="auto"/>
            <w:vAlign w:val="center"/>
            <w:hideMark/>
          </w:tcPr>
          <w:p w14:paraId="1A894643" w14:textId="77777777" w:rsidR="00661352" w:rsidRPr="003C7831" w:rsidRDefault="00661352" w:rsidP="00120F79">
            <w:pPr>
              <w:jc w:val="left"/>
              <w:rPr>
                <w:kern w:val="22"/>
                <w:szCs w:val="22"/>
                <w:lang w:val="fr-CA" w:eastAsia="en-CA"/>
              </w:rPr>
            </w:pPr>
            <w:r w:rsidRPr="003C7831">
              <w:rPr>
                <w:kern w:val="22"/>
                <w:szCs w:val="22"/>
                <w:lang w:val="fr-CA" w:eastAsia="en-CA"/>
              </w:rPr>
              <w:t>France</w:t>
            </w:r>
          </w:p>
        </w:tc>
        <w:tc>
          <w:tcPr>
            <w:tcW w:w="1440" w:type="dxa"/>
            <w:tcBorders>
              <w:top w:val="nil"/>
              <w:left w:val="nil"/>
              <w:bottom w:val="single" w:sz="4" w:space="0" w:color="auto"/>
              <w:right w:val="single" w:sz="4" w:space="0" w:color="auto"/>
            </w:tcBorders>
            <w:shd w:val="clear" w:color="auto" w:fill="auto"/>
            <w:vAlign w:val="center"/>
            <w:hideMark/>
          </w:tcPr>
          <w:p w14:paraId="1F59308A" w14:textId="77777777" w:rsidR="00661352" w:rsidRPr="003C7831" w:rsidRDefault="00661352" w:rsidP="00282AF6">
            <w:pPr>
              <w:ind w:right="144"/>
              <w:jc w:val="right"/>
              <w:rPr>
                <w:kern w:val="22"/>
                <w:szCs w:val="22"/>
                <w:lang w:val="fr-CA" w:eastAsia="en-CA"/>
              </w:rPr>
            </w:pPr>
            <w:r w:rsidRPr="003C7831">
              <w:rPr>
                <w:kern w:val="22"/>
                <w:szCs w:val="22"/>
                <w:lang w:val="fr-CA" w:eastAsia="en-CA"/>
              </w:rPr>
              <w:t>4</w:t>
            </w:r>
            <w:r>
              <w:rPr>
                <w:kern w:val="22"/>
                <w:szCs w:val="22"/>
                <w:lang w:val="fr-CA" w:eastAsia="en-CA"/>
              </w:rPr>
              <w:t>,</w:t>
            </w:r>
            <w:r w:rsidRPr="003C7831">
              <w:rPr>
                <w:kern w:val="22"/>
                <w:szCs w:val="22"/>
                <w:lang w:val="fr-CA" w:eastAsia="en-CA"/>
              </w:rPr>
              <w:t>427</w:t>
            </w:r>
          </w:p>
        </w:tc>
        <w:tc>
          <w:tcPr>
            <w:tcW w:w="1620" w:type="dxa"/>
            <w:tcBorders>
              <w:top w:val="nil"/>
              <w:left w:val="nil"/>
              <w:bottom w:val="single" w:sz="4" w:space="0" w:color="auto"/>
              <w:right w:val="single" w:sz="4" w:space="0" w:color="auto"/>
            </w:tcBorders>
            <w:shd w:val="clear" w:color="auto" w:fill="auto"/>
            <w:noWrap/>
            <w:vAlign w:val="center"/>
            <w:hideMark/>
          </w:tcPr>
          <w:p w14:paraId="3BA7DA73" w14:textId="77777777" w:rsidR="00661352" w:rsidRPr="003C7831" w:rsidRDefault="00661352" w:rsidP="00282AF6">
            <w:pPr>
              <w:ind w:right="144"/>
              <w:jc w:val="right"/>
              <w:rPr>
                <w:kern w:val="22"/>
                <w:szCs w:val="22"/>
                <w:lang w:val="fr-CA" w:eastAsia="en-CA"/>
              </w:rPr>
            </w:pPr>
            <w:r w:rsidRPr="003C7831">
              <w:rPr>
                <w:kern w:val="22"/>
                <w:szCs w:val="22"/>
                <w:lang w:val="fr-CA" w:eastAsia="en-CA"/>
              </w:rPr>
              <w:t>5</w:t>
            </w:r>
            <w:r>
              <w:rPr>
                <w:kern w:val="22"/>
                <w:szCs w:val="22"/>
                <w:lang w:val="fr-CA" w:eastAsia="en-CA"/>
              </w:rPr>
              <w:t>,</w:t>
            </w:r>
            <w:r w:rsidRPr="003C7831">
              <w:rPr>
                <w:kern w:val="22"/>
                <w:szCs w:val="22"/>
                <w:lang w:val="fr-CA" w:eastAsia="en-CA"/>
              </w:rPr>
              <w:t>535</w:t>
            </w:r>
          </w:p>
        </w:tc>
        <w:tc>
          <w:tcPr>
            <w:tcW w:w="1710" w:type="dxa"/>
            <w:tcBorders>
              <w:top w:val="nil"/>
              <w:left w:val="nil"/>
              <w:bottom w:val="single" w:sz="4" w:space="0" w:color="auto"/>
              <w:right w:val="single" w:sz="4" w:space="0" w:color="auto"/>
            </w:tcBorders>
            <w:shd w:val="clear" w:color="auto" w:fill="auto"/>
            <w:noWrap/>
            <w:vAlign w:val="center"/>
            <w:hideMark/>
          </w:tcPr>
          <w:p w14:paraId="31745016" w14:textId="77777777" w:rsidR="00661352" w:rsidRPr="003C7831" w:rsidRDefault="00661352" w:rsidP="00282AF6">
            <w:pPr>
              <w:ind w:right="144"/>
              <w:jc w:val="right"/>
              <w:rPr>
                <w:kern w:val="22"/>
                <w:szCs w:val="22"/>
                <w:lang w:val="fr-CA" w:eastAsia="en-CA"/>
              </w:rPr>
            </w:pPr>
            <w:r w:rsidRPr="003C7831">
              <w:rPr>
                <w:kern w:val="22"/>
                <w:szCs w:val="22"/>
                <w:lang w:val="fr-CA" w:eastAsia="en-CA"/>
              </w:rPr>
              <w:t>698 440</w:t>
            </w:r>
          </w:p>
        </w:tc>
      </w:tr>
      <w:tr w:rsidR="00661352" w:rsidRPr="003C7831" w14:paraId="097F23AE"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F72B93" w14:textId="000CF571" w:rsidR="00661352" w:rsidRPr="003C7831" w:rsidRDefault="00C95673" w:rsidP="00120F79">
            <w:pPr>
              <w:jc w:val="right"/>
              <w:rPr>
                <w:kern w:val="22"/>
                <w:szCs w:val="22"/>
                <w:lang w:val="fr-CA" w:eastAsia="en-CA"/>
              </w:rPr>
            </w:pPr>
            <w:r>
              <w:rPr>
                <w:kern w:val="22"/>
                <w:szCs w:val="22"/>
                <w:lang w:val="fr-CA" w:eastAsia="en-CA"/>
              </w:rPr>
              <w:t>63</w:t>
            </w:r>
          </w:p>
        </w:tc>
        <w:tc>
          <w:tcPr>
            <w:tcW w:w="3870" w:type="dxa"/>
            <w:tcBorders>
              <w:top w:val="nil"/>
              <w:left w:val="nil"/>
              <w:bottom w:val="single" w:sz="4" w:space="0" w:color="auto"/>
              <w:right w:val="single" w:sz="4" w:space="0" w:color="auto"/>
            </w:tcBorders>
            <w:shd w:val="clear" w:color="auto" w:fill="auto"/>
            <w:vAlign w:val="center"/>
            <w:hideMark/>
          </w:tcPr>
          <w:p w14:paraId="094F789A" w14:textId="77777777" w:rsidR="00661352" w:rsidRPr="003C7831" w:rsidRDefault="00661352" w:rsidP="00120F79">
            <w:pPr>
              <w:jc w:val="left"/>
              <w:rPr>
                <w:kern w:val="22"/>
                <w:szCs w:val="22"/>
                <w:lang w:val="fr-CA" w:eastAsia="en-CA"/>
              </w:rPr>
            </w:pPr>
            <w:r w:rsidRPr="003C7831">
              <w:rPr>
                <w:kern w:val="22"/>
                <w:szCs w:val="22"/>
                <w:lang w:val="fr-CA" w:eastAsia="en-CA"/>
              </w:rPr>
              <w:t>Gabon</w:t>
            </w:r>
          </w:p>
        </w:tc>
        <w:tc>
          <w:tcPr>
            <w:tcW w:w="1440" w:type="dxa"/>
            <w:tcBorders>
              <w:top w:val="nil"/>
              <w:left w:val="nil"/>
              <w:bottom w:val="single" w:sz="4" w:space="0" w:color="auto"/>
              <w:right w:val="single" w:sz="4" w:space="0" w:color="auto"/>
            </w:tcBorders>
            <w:shd w:val="clear" w:color="auto" w:fill="auto"/>
            <w:vAlign w:val="center"/>
            <w:hideMark/>
          </w:tcPr>
          <w:p w14:paraId="48D26963"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015</w:t>
            </w:r>
          </w:p>
        </w:tc>
        <w:tc>
          <w:tcPr>
            <w:tcW w:w="1620" w:type="dxa"/>
            <w:tcBorders>
              <w:top w:val="nil"/>
              <w:left w:val="nil"/>
              <w:bottom w:val="single" w:sz="4" w:space="0" w:color="auto"/>
              <w:right w:val="single" w:sz="4" w:space="0" w:color="auto"/>
            </w:tcBorders>
            <w:shd w:val="clear" w:color="auto" w:fill="auto"/>
            <w:noWrap/>
            <w:vAlign w:val="center"/>
            <w:hideMark/>
          </w:tcPr>
          <w:p w14:paraId="4B21D2B5"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019</w:t>
            </w:r>
          </w:p>
        </w:tc>
        <w:tc>
          <w:tcPr>
            <w:tcW w:w="1710" w:type="dxa"/>
            <w:tcBorders>
              <w:top w:val="nil"/>
              <w:left w:val="nil"/>
              <w:bottom w:val="single" w:sz="4" w:space="0" w:color="auto"/>
              <w:right w:val="single" w:sz="4" w:space="0" w:color="auto"/>
            </w:tcBorders>
            <w:shd w:val="clear" w:color="auto" w:fill="auto"/>
            <w:noWrap/>
            <w:vAlign w:val="center"/>
            <w:hideMark/>
          </w:tcPr>
          <w:p w14:paraId="6B9D3820" w14:textId="77777777" w:rsidR="00661352" w:rsidRPr="003C7831" w:rsidRDefault="00661352" w:rsidP="00282AF6">
            <w:pPr>
              <w:ind w:right="144"/>
              <w:jc w:val="right"/>
              <w:rPr>
                <w:kern w:val="22"/>
                <w:szCs w:val="22"/>
                <w:lang w:val="fr-CA" w:eastAsia="en-CA"/>
              </w:rPr>
            </w:pPr>
            <w:r w:rsidRPr="003C7831">
              <w:rPr>
                <w:kern w:val="22"/>
                <w:szCs w:val="22"/>
                <w:lang w:val="fr-CA" w:eastAsia="en-CA"/>
              </w:rPr>
              <w:t>2 367</w:t>
            </w:r>
          </w:p>
        </w:tc>
      </w:tr>
      <w:tr w:rsidR="00661352" w:rsidRPr="003C7831" w14:paraId="45BA8A8C"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888E05" w14:textId="3E0D259A" w:rsidR="00661352" w:rsidRPr="003C7831" w:rsidRDefault="00C95673" w:rsidP="00120F79">
            <w:pPr>
              <w:jc w:val="right"/>
              <w:rPr>
                <w:kern w:val="22"/>
                <w:szCs w:val="22"/>
                <w:lang w:val="fr-CA" w:eastAsia="en-CA"/>
              </w:rPr>
            </w:pPr>
            <w:r>
              <w:rPr>
                <w:kern w:val="22"/>
                <w:szCs w:val="22"/>
                <w:lang w:val="fr-CA" w:eastAsia="en-CA"/>
              </w:rPr>
              <w:t>64</w:t>
            </w:r>
          </w:p>
        </w:tc>
        <w:tc>
          <w:tcPr>
            <w:tcW w:w="3870" w:type="dxa"/>
            <w:tcBorders>
              <w:top w:val="nil"/>
              <w:left w:val="nil"/>
              <w:bottom w:val="single" w:sz="4" w:space="0" w:color="auto"/>
              <w:right w:val="single" w:sz="4" w:space="0" w:color="auto"/>
            </w:tcBorders>
            <w:shd w:val="clear" w:color="auto" w:fill="auto"/>
            <w:vAlign w:val="center"/>
            <w:hideMark/>
          </w:tcPr>
          <w:p w14:paraId="2ABD3E6B" w14:textId="77777777" w:rsidR="00661352" w:rsidRPr="003C7831" w:rsidRDefault="00661352" w:rsidP="00120F79">
            <w:pPr>
              <w:jc w:val="left"/>
              <w:rPr>
                <w:kern w:val="22"/>
                <w:szCs w:val="22"/>
                <w:lang w:val="fr-CA" w:eastAsia="en-CA"/>
              </w:rPr>
            </w:pPr>
            <w:r w:rsidRPr="003C7831">
              <w:rPr>
                <w:kern w:val="22"/>
                <w:szCs w:val="22"/>
                <w:lang w:val="fr-CA" w:eastAsia="en-CA"/>
              </w:rPr>
              <w:t>Gambie</w:t>
            </w:r>
          </w:p>
        </w:tc>
        <w:tc>
          <w:tcPr>
            <w:tcW w:w="1440" w:type="dxa"/>
            <w:tcBorders>
              <w:top w:val="nil"/>
              <w:left w:val="nil"/>
              <w:bottom w:val="single" w:sz="4" w:space="0" w:color="auto"/>
              <w:right w:val="single" w:sz="4" w:space="0" w:color="auto"/>
            </w:tcBorders>
            <w:shd w:val="clear" w:color="auto" w:fill="auto"/>
            <w:vAlign w:val="center"/>
            <w:hideMark/>
          </w:tcPr>
          <w:p w14:paraId="3910583A"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001</w:t>
            </w:r>
          </w:p>
        </w:tc>
        <w:tc>
          <w:tcPr>
            <w:tcW w:w="1620" w:type="dxa"/>
            <w:tcBorders>
              <w:top w:val="nil"/>
              <w:left w:val="nil"/>
              <w:bottom w:val="single" w:sz="4" w:space="0" w:color="auto"/>
              <w:right w:val="single" w:sz="4" w:space="0" w:color="auto"/>
            </w:tcBorders>
            <w:shd w:val="clear" w:color="auto" w:fill="auto"/>
            <w:noWrap/>
            <w:vAlign w:val="center"/>
            <w:hideMark/>
          </w:tcPr>
          <w:p w14:paraId="43157C3E"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001</w:t>
            </w:r>
          </w:p>
        </w:tc>
        <w:tc>
          <w:tcPr>
            <w:tcW w:w="1710" w:type="dxa"/>
            <w:tcBorders>
              <w:top w:val="nil"/>
              <w:left w:val="nil"/>
              <w:bottom w:val="single" w:sz="4" w:space="0" w:color="auto"/>
              <w:right w:val="single" w:sz="4" w:space="0" w:color="auto"/>
            </w:tcBorders>
            <w:shd w:val="clear" w:color="auto" w:fill="auto"/>
            <w:noWrap/>
            <w:vAlign w:val="center"/>
            <w:hideMark/>
          </w:tcPr>
          <w:p w14:paraId="2A4C21D4" w14:textId="77777777" w:rsidR="00661352" w:rsidRPr="003C7831" w:rsidRDefault="00661352" w:rsidP="00282AF6">
            <w:pPr>
              <w:ind w:right="144"/>
              <w:jc w:val="right"/>
              <w:rPr>
                <w:kern w:val="22"/>
                <w:szCs w:val="22"/>
                <w:lang w:val="fr-CA" w:eastAsia="en-CA"/>
              </w:rPr>
            </w:pPr>
            <w:r w:rsidRPr="003C7831">
              <w:rPr>
                <w:kern w:val="22"/>
                <w:szCs w:val="22"/>
                <w:lang w:val="fr-CA" w:eastAsia="en-CA"/>
              </w:rPr>
              <w:t>158</w:t>
            </w:r>
          </w:p>
        </w:tc>
      </w:tr>
      <w:tr w:rsidR="00661352" w:rsidRPr="003C7831" w14:paraId="06BBCCF5"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61F01B" w14:textId="5118B086" w:rsidR="00661352" w:rsidRPr="003C7831" w:rsidRDefault="00C95673" w:rsidP="00120F79">
            <w:pPr>
              <w:jc w:val="right"/>
              <w:rPr>
                <w:kern w:val="22"/>
                <w:szCs w:val="22"/>
                <w:lang w:val="fr-CA" w:eastAsia="en-CA"/>
              </w:rPr>
            </w:pPr>
            <w:r>
              <w:rPr>
                <w:kern w:val="22"/>
                <w:szCs w:val="22"/>
                <w:lang w:val="fr-CA" w:eastAsia="en-CA"/>
              </w:rPr>
              <w:t>65</w:t>
            </w:r>
          </w:p>
        </w:tc>
        <w:tc>
          <w:tcPr>
            <w:tcW w:w="3870" w:type="dxa"/>
            <w:tcBorders>
              <w:top w:val="nil"/>
              <w:left w:val="nil"/>
              <w:bottom w:val="single" w:sz="4" w:space="0" w:color="auto"/>
              <w:right w:val="single" w:sz="4" w:space="0" w:color="auto"/>
            </w:tcBorders>
            <w:shd w:val="clear" w:color="auto" w:fill="auto"/>
            <w:vAlign w:val="center"/>
            <w:hideMark/>
          </w:tcPr>
          <w:p w14:paraId="68450E14" w14:textId="77777777" w:rsidR="00661352" w:rsidRPr="003C7831" w:rsidRDefault="00661352" w:rsidP="00120F79">
            <w:pPr>
              <w:jc w:val="left"/>
              <w:rPr>
                <w:kern w:val="22"/>
                <w:szCs w:val="22"/>
                <w:lang w:val="fr-CA" w:eastAsia="en-CA"/>
              </w:rPr>
            </w:pPr>
            <w:r w:rsidRPr="003C7831">
              <w:rPr>
                <w:kern w:val="22"/>
                <w:szCs w:val="22"/>
                <w:lang w:val="fr-CA" w:eastAsia="en-CA"/>
              </w:rPr>
              <w:t>Géorgie</w:t>
            </w:r>
          </w:p>
        </w:tc>
        <w:tc>
          <w:tcPr>
            <w:tcW w:w="1440" w:type="dxa"/>
            <w:tcBorders>
              <w:top w:val="nil"/>
              <w:left w:val="nil"/>
              <w:bottom w:val="single" w:sz="4" w:space="0" w:color="auto"/>
              <w:right w:val="single" w:sz="4" w:space="0" w:color="auto"/>
            </w:tcBorders>
            <w:shd w:val="clear" w:color="auto" w:fill="auto"/>
            <w:vAlign w:val="center"/>
            <w:hideMark/>
          </w:tcPr>
          <w:p w14:paraId="3C3A000A"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008</w:t>
            </w:r>
          </w:p>
        </w:tc>
        <w:tc>
          <w:tcPr>
            <w:tcW w:w="1620" w:type="dxa"/>
            <w:tcBorders>
              <w:top w:val="nil"/>
              <w:left w:val="nil"/>
              <w:bottom w:val="single" w:sz="4" w:space="0" w:color="auto"/>
              <w:right w:val="single" w:sz="4" w:space="0" w:color="auto"/>
            </w:tcBorders>
            <w:shd w:val="clear" w:color="auto" w:fill="auto"/>
            <w:noWrap/>
            <w:vAlign w:val="center"/>
            <w:hideMark/>
          </w:tcPr>
          <w:p w14:paraId="18205341"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010</w:t>
            </w:r>
          </w:p>
        </w:tc>
        <w:tc>
          <w:tcPr>
            <w:tcW w:w="1710" w:type="dxa"/>
            <w:tcBorders>
              <w:top w:val="nil"/>
              <w:left w:val="nil"/>
              <w:bottom w:val="single" w:sz="4" w:space="0" w:color="auto"/>
              <w:right w:val="single" w:sz="4" w:space="0" w:color="auto"/>
            </w:tcBorders>
            <w:shd w:val="clear" w:color="auto" w:fill="auto"/>
            <w:noWrap/>
            <w:vAlign w:val="center"/>
            <w:hideMark/>
          </w:tcPr>
          <w:p w14:paraId="2B26B35D" w14:textId="77777777" w:rsidR="00661352" w:rsidRPr="003C7831" w:rsidRDefault="00661352" w:rsidP="00282AF6">
            <w:pPr>
              <w:ind w:right="144"/>
              <w:jc w:val="right"/>
              <w:rPr>
                <w:kern w:val="22"/>
                <w:szCs w:val="22"/>
                <w:lang w:val="fr-CA" w:eastAsia="en-CA"/>
              </w:rPr>
            </w:pPr>
            <w:r w:rsidRPr="003C7831">
              <w:rPr>
                <w:kern w:val="22"/>
                <w:szCs w:val="22"/>
                <w:lang w:val="fr-CA" w:eastAsia="en-CA"/>
              </w:rPr>
              <w:t>1 262</w:t>
            </w:r>
          </w:p>
        </w:tc>
      </w:tr>
      <w:tr w:rsidR="00661352" w:rsidRPr="003C7831" w14:paraId="301A0A32"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B28222" w14:textId="4A8546E9" w:rsidR="00661352" w:rsidRPr="003C7831" w:rsidRDefault="00C95673" w:rsidP="00120F79">
            <w:pPr>
              <w:jc w:val="right"/>
              <w:rPr>
                <w:kern w:val="22"/>
                <w:szCs w:val="22"/>
                <w:lang w:val="fr-CA" w:eastAsia="en-CA"/>
              </w:rPr>
            </w:pPr>
            <w:r>
              <w:rPr>
                <w:kern w:val="22"/>
                <w:szCs w:val="22"/>
                <w:lang w:val="fr-CA" w:eastAsia="en-CA"/>
              </w:rPr>
              <w:t>66</w:t>
            </w:r>
          </w:p>
        </w:tc>
        <w:tc>
          <w:tcPr>
            <w:tcW w:w="3870" w:type="dxa"/>
            <w:tcBorders>
              <w:top w:val="nil"/>
              <w:left w:val="nil"/>
              <w:bottom w:val="single" w:sz="4" w:space="0" w:color="auto"/>
              <w:right w:val="single" w:sz="4" w:space="0" w:color="auto"/>
            </w:tcBorders>
            <w:shd w:val="clear" w:color="auto" w:fill="auto"/>
            <w:vAlign w:val="center"/>
            <w:hideMark/>
          </w:tcPr>
          <w:p w14:paraId="743735DA" w14:textId="77777777" w:rsidR="00661352" w:rsidRPr="003C7831" w:rsidRDefault="00661352" w:rsidP="00120F79">
            <w:pPr>
              <w:jc w:val="left"/>
              <w:rPr>
                <w:kern w:val="22"/>
                <w:szCs w:val="22"/>
                <w:lang w:val="fr-CA" w:eastAsia="en-CA"/>
              </w:rPr>
            </w:pPr>
            <w:r w:rsidRPr="003C7831">
              <w:rPr>
                <w:kern w:val="22"/>
                <w:szCs w:val="22"/>
                <w:lang w:val="fr-CA" w:eastAsia="en-CA"/>
              </w:rPr>
              <w:t>Ghana</w:t>
            </w:r>
          </w:p>
        </w:tc>
        <w:tc>
          <w:tcPr>
            <w:tcW w:w="1440" w:type="dxa"/>
            <w:tcBorders>
              <w:top w:val="nil"/>
              <w:left w:val="nil"/>
              <w:bottom w:val="single" w:sz="4" w:space="0" w:color="auto"/>
              <w:right w:val="single" w:sz="4" w:space="0" w:color="auto"/>
            </w:tcBorders>
            <w:shd w:val="clear" w:color="auto" w:fill="auto"/>
            <w:vAlign w:val="center"/>
            <w:hideMark/>
          </w:tcPr>
          <w:p w14:paraId="0519F4CB"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015</w:t>
            </w:r>
          </w:p>
        </w:tc>
        <w:tc>
          <w:tcPr>
            <w:tcW w:w="1620" w:type="dxa"/>
            <w:tcBorders>
              <w:top w:val="nil"/>
              <w:left w:val="nil"/>
              <w:bottom w:val="single" w:sz="4" w:space="0" w:color="auto"/>
              <w:right w:val="single" w:sz="4" w:space="0" w:color="auto"/>
            </w:tcBorders>
            <w:shd w:val="clear" w:color="auto" w:fill="auto"/>
            <w:noWrap/>
            <w:vAlign w:val="center"/>
            <w:hideMark/>
          </w:tcPr>
          <w:p w14:paraId="4FD0C851"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019</w:t>
            </w:r>
          </w:p>
        </w:tc>
        <w:tc>
          <w:tcPr>
            <w:tcW w:w="1710" w:type="dxa"/>
            <w:tcBorders>
              <w:top w:val="nil"/>
              <w:left w:val="nil"/>
              <w:bottom w:val="single" w:sz="4" w:space="0" w:color="auto"/>
              <w:right w:val="single" w:sz="4" w:space="0" w:color="auto"/>
            </w:tcBorders>
            <w:shd w:val="clear" w:color="auto" w:fill="auto"/>
            <w:noWrap/>
            <w:vAlign w:val="center"/>
            <w:hideMark/>
          </w:tcPr>
          <w:p w14:paraId="17A1AA96" w14:textId="77777777" w:rsidR="00661352" w:rsidRPr="003C7831" w:rsidRDefault="00661352" w:rsidP="00282AF6">
            <w:pPr>
              <w:ind w:right="144"/>
              <w:jc w:val="right"/>
              <w:rPr>
                <w:kern w:val="22"/>
                <w:szCs w:val="22"/>
                <w:lang w:val="fr-CA" w:eastAsia="en-CA"/>
              </w:rPr>
            </w:pPr>
            <w:r w:rsidRPr="003C7831">
              <w:rPr>
                <w:kern w:val="22"/>
                <w:szCs w:val="22"/>
                <w:lang w:val="fr-CA" w:eastAsia="en-CA"/>
              </w:rPr>
              <w:t>2 367</w:t>
            </w:r>
          </w:p>
        </w:tc>
      </w:tr>
      <w:tr w:rsidR="00661352" w:rsidRPr="003C7831" w14:paraId="06DDBD79"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05E180" w14:textId="33E390B8" w:rsidR="00661352" w:rsidRPr="003C7831" w:rsidRDefault="00C95673" w:rsidP="00120F79">
            <w:pPr>
              <w:jc w:val="right"/>
              <w:rPr>
                <w:kern w:val="22"/>
                <w:szCs w:val="22"/>
                <w:lang w:val="fr-CA" w:eastAsia="en-CA"/>
              </w:rPr>
            </w:pPr>
            <w:r>
              <w:rPr>
                <w:kern w:val="22"/>
                <w:szCs w:val="22"/>
                <w:lang w:val="fr-CA" w:eastAsia="en-CA"/>
              </w:rPr>
              <w:t>67</w:t>
            </w:r>
          </w:p>
        </w:tc>
        <w:tc>
          <w:tcPr>
            <w:tcW w:w="3870" w:type="dxa"/>
            <w:tcBorders>
              <w:top w:val="nil"/>
              <w:left w:val="nil"/>
              <w:bottom w:val="single" w:sz="4" w:space="0" w:color="auto"/>
              <w:right w:val="single" w:sz="4" w:space="0" w:color="auto"/>
            </w:tcBorders>
            <w:shd w:val="clear" w:color="auto" w:fill="auto"/>
            <w:vAlign w:val="center"/>
            <w:hideMark/>
          </w:tcPr>
          <w:p w14:paraId="66A8D453" w14:textId="77777777" w:rsidR="00661352" w:rsidRPr="003C7831" w:rsidRDefault="00661352" w:rsidP="00120F79">
            <w:pPr>
              <w:jc w:val="left"/>
              <w:rPr>
                <w:kern w:val="22"/>
                <w:szCs w:val="22"/>
                <w:lang w:val="fr-CA" w:eastAsia="en-CA"/>
              </w:rPr>
            </w:pPr>
            <w:r w:rsidRPr="003C7831">
              <w:rPr>
                <w:kern w:val="22"/>
                <w:szCs w:val="22"/>
                <w:lang w:val="fr-CA" w:eastAsia="en-CA"/>
              </w:rPr>
              <w:t>Grèce</w:t>
            </w:r>
          </w:p>
        </w:tc>
        <w:tc>
          <w:tcPr>
            <w:tcW w:w="1440" w:type="dxa"/>
            <w:tcBorders>
              <w:top w:val="nil"/>
              <w:left w:val="nil"/>
              <w:bottom w:val="single" w:sz="4" w:space="0" w:color="auto"/>
              <w:right w:val="single" w:sz="4" w:space="0" w:color="auto"/>
            </w:tcBorders>
            <w:shd w:val="clear" w:color="auto" w:fill="auto"/>
            <w:vAlign w:val="center"/>
            <w:hideMark/>
          </w:tcPr>
          <w:p w14:paraId="75E6527C"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366</w:t>
            </w:r>
          </w:p>
        </w:tc>
        <w:tc>
          <w:tcPr>
            <w:tcW w:w="1620" w:type="dxa"/>
            <w:tcBorders>
              <w:top w:val="nil"/>
              <w:left w:val="nil"/>
              <w:bottom w:val="single" w:sz="4" w:space="0" w:color="auto"/>
              <w:right w:val="single" w:sz="4" w:space="0" w:color="auto"/>
            </w:tcBorders>
            <w:shd w:val="clear" w:color="auto" w:fill="auto"/>
            <w:noWrap/>
            <w:vAlign w:val="center"/>
            <w:hideMark/>
          </w:tcPr>
          <w:p w14:paraId="1FF75330"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458</w:t>
            </w:r>
          </w:p>
        </w:tc>
        <w:tc>
          <w:tcPr>
            <w:tcW w:w="1710" w:type="dxa"/>
            <w:tcBorders>
              <w:top w:val="nil"/>
              <w:left w:val="nil"/>
              <w:bottom w:val="single" w:sz="4" w:space="0" w:color="auto"/>
              <w:right w:val="single" w:sz="4" w:space="0" w:color="auto"/>
            </w:tcBorders>
            <w:shd w:val="clear" w:color="auto" w:fill="auto"/>
            <w:noWrap/>
            <w:vAlign w:val="center"/>
            <w:hideMark/>
          </w:tcPr>
          <w:p w14:paraId="6E3F20E4" w14:textId="77777777" w:rsidR="00661352" w:rsidRPr="003C7831" w:rsidRDefault="00661352" w:rsidP="00282AF6">
            <w:pPr>
              <w:ind w:right="144"/>
              <w:jc w:val="right"/>
              <w:rPr>
                <w:kern w:val="22"/>
                <w:szCs w:val="22"/>
                <w:lang w:val="fr-CA" w:eastAsia="en-CA"/>
              </w:rPr>
            </w:pPr>
            <w:r w:rsidRPr="003C7831">
              <w:rPr>
                <w:kern w:val="22"/>
                <w:szCs w:val="22"/>
                <w:lang w:val="fr-CA" w:eastAsia="en-CA"/>
              </w:rPr>
              <w:t>57 743</w:t>
            </w:r>
          </w:p>
        </w:tc>
      </w:tr>
      <w:tr w:rsidR="00661352" w:rsidRPr="003C7831" w14:paraId="72BB05F5"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BA7B24" w14:textId="27CED7C4" w:rsidR="00661352" w:rsidRPr="003C7831" w:rsidRDefault="00C95673" w:rsidP="00120F79">
            <w:pPr>
              <w:jc w:val="right"/>
              <w:rPr>
                <w:kern w:val="22"/>
                <w:szCs w:val="22"/>
                <w:lang w:val="fr-CA" w:eastAsia="en-CA"/>
              </w:rPr>
            </w:pPr>
            <w:r>
              <w:rPr>
                <w:kern w:val="22"/>
                <w:szCs w:val="22"/>
                <w:lang w:val="fr-CA" w:eastAsia="en-CA"/>
              </w:rPr>
              <w:t>68</w:t>
            </w:r>
          </w:p>
        </w:tc>
        <w:tc>
          <w:tcPr>
            <w:tcW w:w="3870" w:type="dxa"/>
            <w:tcBorders>
              <w:top w:val="nil"/>
              <w:left w:val="nil"/>
              <w:bottom w:val="single" w:sz="4" w:space="0" w:color="auto"/>
              <w:right w:val="single" w:sz="4" w:space="0" w:color="auto"/>
            </w:tcBorders>
            <w:shd w:val="clear" w:color="auto" w:fill="auto"/>
            <w:vAlign w:val="center"/>
            <w:hideMark/>
          </w:tcPr>
          <w:p w14:paraId="2412BFB0" w14:textId="77777777" w:rsidR="00661352" w:rsidRPr="003C7831" w:rsidRDefault="00661352" w:rsidP="00120F79">
            <w:pPr>
              <w:jc w:val="left"/>
              <w:rPr>
                <w:kern w:val="22"/>
                <w:szCs w:val="22"/>
                <w:lang w:val="fr-CA" w:eastAsia="en-CA"/>
              </w:rPr>
            </w:pPr>
            <w:r w:rsidRPr="003C7831">
              <w:rPr>
                <w:kern w:val="22"/>
                <w:szCs w:val="22"/>
                <w:lang w:val="fr-CA" w:eastAsia="en-CA"/>
              </w:rPr>
              <w:t>Grenade</w:t>
            </w:r>
          </w:p>
        </w:tc>
        <w:tc>
          <w:tcPr>
            <w:tcW w:w="1440" w:type="dxa"/>
            <w:tcBorders>
              <w:top w:val="nil"/>
              <w:left w:val="nil"/>
              <w:bottom w:val="single" w:sz="4" w:space="0" w:color="auto"/>
              <w:right w:val="single" w:sz="4" w:space="0" w:color="auto"/>
            </w:tcBorders>
            <w:shd w:val="clear" w:color="auto" w:fill="auto"/>
            <w:vAlign w:val="center"/>
            <w:hideMark/>
          </w:tcPr>
          <w:p w14:paraId="7E5091D5"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001</w:t>
            </w:r>
          </w:p>
        </w:tc>
        <w:tc>
          <w:tcPr>
            <w:tcW w:w="1620" w:type="dxa"/>
            <w:tcBorders>
              <w:top w:val="nil"/>
              <w:left w:val="nil"/>
              <w:bottom w:val="single" w:sz="4" w:space="0" w:color="auto"/>
              <w:right w:val="single" w:sz="4" w:space="0" w:color="auto"/>
            </w:tcBorders>
            <w:shd w:val="clear" w:color="auto" w:fill="auto"/>
            <w:noWrap/>
            <w:vAlign w:val="center"/>
            <w:hideMark/>
          </w:tcPr>
          <w:p w14:paraId="73F7A2D8"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001</w:t>
            </w:r>
          </w:p>
        </w:tc>
        <w:tc>
          <w:tcPr>
            <w:tcW w:w="1710" w:type="dxa"/>
            <w:tcBorders>
              <w:top w:val="nil"/>
              <w:left w:val="nil"/>
              <w:bottom w:val="single" w:sz="4" w:space="0" w:color="auto"/>
              <w:right w:val="single" w:sz="4" w:space="0" w:color="auto"/>
            </w:tcBorders>
            <w:shd w:val="clear" w:color="auto" w:fill="auto"/>
            <w:noWrap/>
            <w:vAlign w:val="center"/>
            <w:hideMark/>
          </w:tcPr>
          <w:p w14:paraId="7E2F2C14" w14:textId="77777777" w:rsidR="00661352" w:rsidRPr="003C7831" w:rsidRDefault="00661352" w:rsidP="00282AF6">
            <w:pPr>
              <w:ind w:right="144"/>
              <w:jc w:val="right"/>
              <w:rPr>
                <w:kern w:val="22"/>
                <w:szCs w:val="22"/>
                <w:lang w:val="fr-CA" w:eastAsia="en-CA"/>
              </w:rPr>
            </w:pPr>
            <w:r w:rsidRPr="003C7831">
              <w:rPr>
                <w:kern w:val="22"/>
                <w:szCs w:val="22"/>
                <w:lang w:val="fr-CA" w:eastAsia="en-CA"/>
              </w:rPr>
              <w:t>158</w:t>
            </w:r>
          </w:p>
        </w:tc>
      </w:tr>
      <w:tr w:rsidR="00661352" w:rsidRPr="003C7831" w14:paraId="301F46DE"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E06A3D" w14:textId="19A46236" w:rsidR="00661352" w:rsidRPr="003C7831" w:rsidRDefault="00C95673" w:rsidP="00120F79">
            <w:pPr>
              <w:jc w:val="right"/>
              <w:rPr>
                <w:kern w:val="22"/>
                <w:szCs w:val="22"/>
                <w:lang w:val="fr-CA" w:eastAsia="en-CA"/>
              </w:rPr>
            </w:pPr>
            <w:r>
              <w:rPr>
                <w:kern w:val="22"/>
                <w:szCs w:val="22"/>
                <w:lang w:val="fr-CA" w:eastAsia="en-CA"/>
              </w:rPr>
              <w:t>69</w:t>
            </w:r>
          </w:p>
        </w:tc>
        <w:tc>
          <w:tcPr>
            <w:tcW w:w="3870" w:type="dxa"/>
            <w:tcBorders>
              <w:top w:val="nil"/>
              <w:left w:val="nil"/>
              <w:bottom w:val="single" w:sz="4" w:space="0" w:color="auto"/>
              <w:right w:val="single" w:sz="4" w:space="0" w:color="auto"/>
            </w:tcBorders>
            <w:shd w:val="clear" w:color="auto" w:fill="auto"/>
            <w:vAlign w:val="center"/>
            <w:hideMark/>
          </w:tcPr>
          <w:p w14:paraId="3B585EBB" w14:textId="77777777" w:rsidR="00661352" w:rsidRPr="003C7831" w:rsidRDefault="00661352" w:rsidP="00120F79">
            <w:pPr>
              <w:jc w:val="left"/>
              <w:rPr>
                <w:kern w:val="22"/>
                <w:szCs w:val="22"/>
                <w:lang w:val="fr-CA" w:eastAsia="en-CA"/>
              </w:rPr>
            </w:pPr>
            <w:r w:rsidRPr="003C7831">
              <w:rPr>
                <w:kern w:val="22"/>
                <w:szCs w:val="22"/>
                <w:lang w:val="fr-CA" w:eastAsia="en-CA"/>
              </w:rPr>
              <w:t>Guatemala</w:t>
            </w:r>
          </w:p>
        </w:tc>
        <w:tc>
          <w:tcPr>
            <w:tcW w:w="1440" w:type="dxa"/>
            <w:tcBorders>
              <w:top w:val="nil"/>
              <w:left w:val="nil"/>
              <w:bottom w:val="single" w:sz="4" w:space="0" w:color="auto"/>
              <w:right w:val="single" w:sz="4" w:space="0" w:color="auto"/>
            </w:tcBorders>
            <w:shd w:val="clear" w:color="auto" w:fill="auto"/>
            <w:vAlign w:val="center"/>
            <w:hideMark/>
          </w:tcPr>
          <w:p w14:paraId="48370B18"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036</w:t>
            </w:r>
          </w:p>
        </w:tc>
        <w:tc>
          <w:tcPr>
            <w:tcW w:w="1620" w:type="dxa"/>
            <w:tcBorders>
              <w:top w:val="nil"/>
              <w:left w:val="nil"/>
              <w:bottom w:val="single" w:sz="4" w:space="0" w:color="auto"/>
              <w:right w:val="single" w:sz="4" w:space="0" w:color="auto"/>
            </w:tcBorders>
            <w:shd w:val="clear" w:color="auto" w:fill="auto"/>
            <w:noWrap/>
            <w:vAlign w:val="center"/>
            <w:hideMark/>
          </w:tcPr>
          <w:p w14:paraId="02B1656C"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045</w:t>
            </w:r>
          </w:p>
        </w:tc>
        <w:tc>
          <w:tcPr>
            <w:tcW w:w="1710" w:type="dxa"/>
            <w:tcBorders>
              <w:top w:val="nil"/>
              <w:left w:val="nil"/>
              <w:bottom w:val="single" w:sz="4" w:space="0" w:color="auto"/>
              <w:right w:val="single" w:sz="4" w:space="0" w:color="auto"/>
            </w:tcBorders>
            <w:shd w:val="clear" w:color="auto" w:fill="auto"/>
            <w:noWrap/>
            <w:vAlign w:val="center"/>
            <w:hideMark/>
          </w:tcPr>
          <w:p w14:paraId="6A8CA192" w14:textId="77777777" w:rsidR="00661352" w:rsidRPr="003C7831" w:rsidRDefault="00661352" w:rsidP="00282AF6">
            <w:pPr>
              <w:ind w:right="144"/>
              <w:jc w:val="right"/>
              <w:rPr>
                <w:kern w:val="22"/>
                <w:szCs w:val="22"/>
                <w:lang w:val="fr-CA" w:eastAsia="en-CA"/>
              </w:rPr>
            </w:pPr>
            <w:r w:rsidRPr="003C7831">
              <w:rPr>
                <w:kern w:val="22"/>
                <w:szCs w:val="22"/>
                <w:lang w:val="fr-CA" w:eastAsia="en-CA"/>
              </w:rPr>
              <w:t>5 680</w:t>
            </w:r>
          </w:p>
        </w:tc>
      </w:tr>
      <w:tr w:rsidR="00661352" w:rsidRPr="003C7831" w14:paraId="794A1246"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EE818C" w14:textId="242B1B65" w:rsidR="00661352" w:rsidRPr="003C7831" w:rsidRDefault="00661352" w:rsidP="00120F79">
            <w:pPr>
              <w:jc w:val="right"/>
              <w:rPr>
                <w:kern w:val="22"/>
                <w:szCs w:val="22"/>
                <w:lang w:val="fr-CA" w:eastAsia="en-CA"/>
              </w:rPr>
            </w:pPr>
            <w:r w:rsidRPr="003C7831">
              <w:rPr>
                <w:kern w:val="22"/>
                <w:szCs w:val="22"/>
                <w:lang w:val="fr-CA" w:eastAsia="en-CA"/>
              </w:rPr>
              <w:t>7</w:t>
            </w:r>
            <w:r w:rsidR="00C95673">
              <w:rPr>
                <w:kern w:val="22"/>
                <w:szCs w:val="22"/>
                <w:lang w:val="fr-CA" w:eastAsia="en-CA"/>
              </w:rPr>
              <w:t>0</w:t>
            </w:r>
          </w:p>
        </w:tc>
        <w:tc>
          <w:tcPr>
            <w:tcW w:w="3870" w:type="dxa"/>
            <w:tcBorders>
              <w:top w:val="nil"/>
              <w:left w:val="nil"/>
              <w:bottom w:val="single" w:sz="4" w:space="0" w:color="auto"/>
              <w:right w:val="single" w:sz="4" w:space="0" w:color="auto"/>
            </w:tcBorders>
            <w:shd w:val="clear" w:color="auto" w:fill="auto"/>
            <w:vAlign w:val="center"/>
            <w:hideMark/>
          </w:tcPr>
          <w:p w14:paraId="6AECBBF6" w14:textId="77777777" w:rsidR="00661352" w:rsidRPr="003C7831" w:rsidRDefault="00661352" w:rsidP="00120F79">
            <w:pPr>
              <w:jc w:val="left"/>
              <w:rPr>
                <w:kern w:val="22"/>
                <w:szCs w:val="22"/>
                <w:lang w:val="fr-CA" w:eastAsia="en-CA"/>
              </w:rPr>
            </w:pPr>
            <w:r w:rsidRPr="003C7831">
              <w:rPr>
                <w:kern w:val="22"/>
                <w:szCs w:val="22"/>
                <w:lang w:val="fr-CA" w:eastAsia="en-CA"/>
              </w:rPr>
              <w:t>Guinée</w:t>
            </w:r>
          </w:p>
        </w:tc>
        <w:tc>
          <w:tcPr>
            <w:tcW w:w="1440" w:type="dxa"/>
            <w:tcBorders>
              <w:top w:val="nil"/>
              <w:left w:val="nil"/>
              <w:bottom w:val="single" w:sz="4" w:space="0" w:color="auto"/>
              <w:right w:val="single" w:sz="4" w:space="0" w:color="auto"/>
            </w:tcBorders>
            <w:shd w:val="clear" w:color="auto" w:fill="auto"/>
            <w:vAlign w:val="center"/>
            <w:hideMark/>
          </w:tcPr>
          <w:p w14:paraId="16F3BFFC"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003</w:t>
            </w:r>
          </w:p>
        </w:tc>
        <w:tc>
          <w:tcPr>
            <w:tcW w:w="1620" w:type="dxa"/>
            <w:tcBorders>
              <w:top w:val="nil"/>
              <w:left w:val="nil"/>
              <w:bottom w:val="single" w:sz="4" w:space="0" w:color="auto"/>
              <w:right w:val="single" w:sz="4" w:space="0" w:color="auto"/>
            </w:tcBorders>
            <w:shd w:val="clear" w:color="auto" w:fill="auto"/>
            <w:noWrap/>
            <w:vAlign w:val="center"/>
            <w:hideMark/>
          </w:tcPr>
          <w:p w14:paraId="2018E484"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004</w:t>
            </w:r>
          </w:p>
        </w:tc>
        <w:tc>
          <w:tcPr>
            <w:tcW w:w="1710" w:type="dxa"/>
            <w:tcBorders>
              <w:top w:val="nil"/>
              <w:left w:val="nil"/>
              <w:bottom w:val="single" w:sz="4" w:space="0" w:color="auto"/>
              <w:right w:val="single" w:sz="4" w:space="0" w:color="auto"/>
            </w:tcBorders>
            <w:shd w:val="clear" w:color="auto" w:fill="auto"/>
            <w:noWrap/>
            <w:vAlign w:val="center"/>
            <w:hideMark/>
          </w:tcPr>
          <w:p w14:paraId="760357BE" w14:textId="77777777" w:rsidR="00661352" w:rsidRPr="003C7831" w:rsidRDefault="00661352" w:rsidP="00282AF6">
            <w:pPr>
              <w:ind w:right="144"/>
              <w:jc w:val="right"/>
              <w:rPr>
                <w:kern w:val="22"/>
                <w:szCs w:val="22"/>
                <w:lang w:val="fr-CA" w:eastAsia="en-CA"/>
              </w:rPr>
            </w:pPr>
            <w:r w:rsidRPr="003C7831">
              <w:rPr>
                <w:kern w:val="22"/>
                <w:szCs w:val="22"/>
                <w:lang w:val="fr-CA" w:eastAsia="en-CA"/>
              </w:rPr>
              <w:t>473</w:t>
            </w:r>
          </w:p>
        </w:tc>
      </w:tr>
      <w:tr w:rsidR="00661352" w:rsidRPr="003C7831" w14:paraId="3D8BB82B"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AC0A2E" w14:textId="73A9F511" w:rsidR="00661352" w:rsidRPr="003C7831" w:rsidRDefault="00C95673" w:rsidP="00120F79">
            <w:pPr>
              <w:jc w:val="right"/>
              <w:rPr>
                <w:kern w:val="22"/>
                <w:szCs w:val="22"/>
                <w:lang w:val="fr-CA" w:eastAsia="en-CA"/>
              </w:rPr>
            </w:pPr>
            <w:r>
              <w:rPr>
                <w:kern w:val="22"/>
                <w:szCs w:val="22"/>
                <w:lang w:val="fr-CA" w:eastAsia="en-CA"/>
              </w:rPr>
              <w:t>71</w:t>
            </w:r>
          </w:p>
        </w:tc>
        <w:tc>
          <w:tcPr>
            <w:tcW w:w="3870" w:type="dxa"/>
            <w:tcBorders>
              <w:top w:val="nil"/>
              <w:left w:val="nil"/>
              <w:bottom w:val="single" w:sz="4" w:space="0" w:color="auto"/>
              <w:right w:val="single" w:sz="4" w:space="0" w:color="auto"/>
            </w:tcBorders>
            <w:shd w:val="clear" w:color="auto" w:fill="auto"/>
            <w:vAlign w:val="center"/>
            <w:hideMark/>
          </w:tcPr>
          <w:p w14:paraId="480F5F33" w14:textId="77777777" w:rsidR="00661352" w:rsidRPr="003C7831" w:rsidRDefault="00661352" w:rsidP="00120F79">
            <w:pPr>
              <w:jc w:val="left"/>
              <w:rPr>
                <w:kern w:val="22"/>
                <w:szCs w:val="22"/>
                <w:lang w:val="fr-CA" w:eastAsia="en-CA"/>
              </w:rPr>
            </w:pPr>
            <w:r w:rsidRPr="003C7831">
              <w:rPr>
                <w:kern w:val="22"/>
                <w:szCs w:val="22"/>
                <w:lang w:val="fr-CA" w:eastAsia="en-CA"/>
              </w:rPr>
              <w:t>Guinée équatoriale</w:t>
            </w:r>
          </w:p>
        </w:tc>
        <w:tc>
          <w:tcPr>
            <w:tcW w:w="1440" w:type="dxa"/>
            <w:tcBorders>
              <w:top w:val="nil"/>
              <w:left w:val="nil"/>
              <w:bottom w:val="single" w:sz="4" w:space="0" w:color="auto"/>
              <w:right w:val="single" w:sz="4" w:space="0" w:color="auto"/>
            </w:tcBorders>
            <w:shd w:val="clear" w:color="auto" w:fill="auto"/>
            <w:vAlign w:val="center"/>
            <w:hideMark/>
          </w:tcPr>
          <w:p w14:paraId="10C4153A"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016</w:t>
            </w:r>
          </w:p>
        </w:tc>
        <w:tc>
          <w:tcPr>
            <w:tcW w:w="1620" w:type="dxa"/>
            <w:tcBorders>
              <w:top w:val="nil"/>
              <w:left w:val="nil"/>
              <w:bottom w:val="single" w:sz="4" w:space="0" w:color="auto"/>
              <w:right w:val="single" w:sz="4" w:space="0" w:color="auto"/>
            </w:tcBorders>
            <w:shd w:val="clear" w:color="auto" w:fill="auto"/>
            <w:noWrap/>
            <w:vAlign w:val="center"/>
            <w:hideMark/>
          </w:tcPr>
          <w:p w14:paraId="4D6F028C"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010</w:t>
            </w:r>
          </w:p>
        </w:tc>
        <w:tc>
          <w:tcPr>
            <w:tcW w:w="1710" w:type="dxa"/>
            <w:tcBorders>
              <w:top w:val="nil"/>
              <w:left w:val="nil"/>
              <w:bottom w:val="single" w:sz="4" w:space="0" w:color="auto"/>
              <w:right w:val="single" w:sz="4" w:space="0" w:color="auto"/>
            </w:tcBorders>
            <w:shd w:val="clear" w:color="auto" w:fill="auto"/>
            <w:noWrap/>
            <w:vAlign w:val="center"/>
            <w:hideMark/>
          </w:tcPr>
          <w:p w14:paraId="36C1A2B5" w14:textId="77777777" w:rsidR="00661352" w:rsidRPr="003C7831" w:rsidRDefault="00661352" w:rsidP="00282AF6">
            <w:pPr>
              <w:ind w:right="144"/>
              <w:jc w:val="right"/>
              <w:rPr>
                <w:kern w:val="22"/>
                <w:szCs w:val="22"/>
                <w:lang w:val="fr-CA" w:eastAsia="en-CA"/>
              </w:rPr>
            </w:pPr>
            <w:r w:rsidRPr="003C7831">
              <w:rPr>
                <w:kern w:val="22"/>
                <w:szCs w:val="22"/>
                <w:lang w:val="fr-CA" w:eastAsia="en-CA"/>
              </w:rPr>
              <w:t>1 262</w:t>
            </w:r>
          </w:p>
        </w:tc>
      </w:tr>
      <w:tr w:rsidR="00661352" w:rsidRPr="003C7831" w14:paraId="60B3798E"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252F3A" w14:textId="51BF2C4C" w:rsidR="00661352" w:rsidRPr="003C7831" w:rsidRDefault="00C95673" w:rsidP="00120F79">
            <w:pPr>
              <w:jc w:val="right"/>
              <w:rPr>
                <w:kern w:val="22"/>
                <w:szCs w:val="22"/>
                <w:lang w:val="fr-CA" w:eastAsia="en-CA"/>
              </w:rPr>
            </w:pPr>
            <w:r>
              <w:rPr>
                <w:kern w:val="22"/>
                <w:szCs w:val="22"/>
                <w:lang w:val="fr-CA" w:eastAsia="en-CA"/>
              </w:rPr>
              <w:t>72</w:t>
            </w:r>
          </w:p>
        </w:tc>
        <w:tc>
          <w:tcPr>
            <w:tcW w:w="3870" w:type="dxa"/>
            <w:tcBorders>
              <w:top w:val="nil"/>
              <w:left w:val="nil"/>
              <w:bottom w:val="single" w:sz="4" w:space="0" w:color="auto"/>
              <w:right w:val="single" w:sz="4" w:space="0" w:color="auto"/>
            </w:tcBorders>
            <w:shd w:val="clear" w:color="auto" w:fill="auto"/>
            <w:vAlign w:val="center"/>
            <w:hideMark/>
          </w:tcPr>
          <w:p w14:paraId="1191833D" w14:textId="77777777" w:rsidR="00661352" w:rsidRPr="003C7831" w:rsidRDefault="00661352" w:rsidP="00120F79">
            <w:pPr>
              <w:jc w:val="left"/>
              <w:rPr>
                <w:kern w:val="22"/>
                <w:szCs w:val="22"/>
                <w:lang w:val="fr-CA" w:eastAsia="en-CA"/>
              </w:rPr>
            </w:pPr>
            <w:r w:rsidRPr="003C7831">
              <w:rPr>
                <w:kern w:val="22"/>
                <w:szCs w:val="22"/>
                <w:lang w:val="fr-CA" w:eastAsia="en-CA"/>
              </w:rPr>
              <w:t>Guinée-Bissau</w:t>
            </w:r>
          </w:p>
        </w:tc>
        <w:tc>
          <w:tcPr>
            <w:tcW w:w="1440" w:type="dxa"/>
            <w:tcBorders>
              <w:top w:val="nil"/>
              <w:left w:val="nil"/>
              <w:bottom w:val="single" w:sz="4" w:space="0" w:color="auto"/>
              <w:right w:val="single" w:sz="4" w:space="0" w:color="auto"/>
            </w:tcBorders>
            <w:shd w:val="clear" w:color="auto" w:fill="auto"/>
            <w:vAlign w:val="center"/>
            <w:hideMark/>
          </w:tcPr>
          <w:p w14:paraId="1664735C"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001</w:t>
            </w:r>
          </w:p>
        </w:tc>
        <w:tc>
          <w:tcPr>
            <w:tcW w:w="1620" w:type="dxa"/>
            <w:tcBorders>
              <w:top w:val="nil"/>
              <w:left w:val="nil"/>
              <w:bottom w:val="single" w:sz="4" w:space="0" w:color="auto"/>
              <w:right w:val="single" w:sz="4" w:space="0" w:color="auto"/>
            </w:tcBorders>
            <w:shd w:val="clear" w:color="auto" w:fill="auto"/>
            <w:noWrap/>
            <w:vAlign w:val="center"/>
            <w:hideMark/>
          </w:tcPr>
          <w:p w14:paraId="26AA4CBE"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001</w:t>
            </w:r>
          </w:p>
        </w:tc>
        <w:tc>
          <w:tcPr>
            <w:tcW w:w="1710" w:type="dxa"/>
            <w:tcBorders>
              <w:top w:val="nil"/>
              <w:left w:val="nil"/>
              <w:bottom w:val="single" w:sz="4" w:space="0" w:color="auto"/>
              <w:right w:val="single" w:sz="4" w:space="0" w:color="auto"/>
            </w:tcBorders>
            <w:shd w:val="clear" w:color="auto" w:fill="auto"/>
            <w:noWrap/>
            <w:vAlign w:val="center"/>
            <w:hideMark/>
          </w:tcPr>
          <w:p w14:paraId="6E4ED0F7" w14:textId="77777777" w:rsidR="00661352" w:rsidRPr="003C7831" w:rsidRDefault="00661352" w:rsidP="00282AF6">
            <w:pPr>
              <w:ind w:right="144"/>
              <w:jc w:val="right"/>
              <w:rPr>
                <w:kern w:val="22"/>
                <w:szCs w:val="22"/>
                <w:lang w:val="fr-CA" w:eastAsia="en-CA"/>
              </w:rPr>
            </w:pPr>
            <w:r w:rsidRPr="003C7831">
              <w:rPr>
                <w:kern w:val="22"/>
                <w:szCs w:val="22"/>
                <w:lang w:val="fr-CA" w:eastAsia="en-CA"/>
              </w:rPr>
              <w:t>158</w:t>
            </w:r>
          </w:p>
        </w:tc>
      </w:tr>
      <w:tr w:rsidR="00661352" w:rsidRPr="003C7831" w14:paraId="6097B71F"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4B3718" w14:textId="34A94A44" w:rsidR="00661352" w:rsidRPr="003C7831" w:rsidRDefault="00C95673" w:rsidP="00120F79">
            <w:pPr>
              <w:jc w:val="right"/>
              <w:rPr>
                <w:kern w:val="22"/>
                <w:szCs w:val="22"/>
                <w:lang w:val="fr-CA" w:eastAsia="en-CA"/>
              </w:rPr>
            </w:pPr>
            <w:r>
              <w:rPr>
                <w:kern w:val="22"/>
                <w:szCs w:val="22"/>
                <w:lang w:val="fr-CA" w:eastAsia="en-CA"/>
              </w:rPr>
              <w:t>73</w:t>
            </w:r>
          </w:p>
        </w:tc>
        <w:tc>
          <w:tcPr>
            <w:tcW w:w="3870" w:type="dxa"/>
            <w:tcBorders>
              <w:top w:val="nil"/>
              <w:left w:val="nil"/>
              <w:bottom w:val="single" w:sz="4" w:space="0" w:color="auto"/>
              <w:right w:val="single" w:sz="4" w:space="0" w:color="auto"/>
            </w:tcBorders>
            <w:shd w:val="clear" w:color="auto" w:fill="auto"/>
            <w:vAlign w:val="center"/>
            <w:hideMark/>
          </w:tcPr>
          <w:p w14:paraId="408D6CE2" w14:textId="77777777" w:rsidR="00661352" w:rsidRPr="003C7831" w:rsidRDefault="00661352" w:rsidP="00120F79">
            <w:pPr>
              <w:jc w:val="left"/>
              <w:rPr>
                <w:kern w:val="22"/>
                <w:szCs w:val="22"/>
                <w:lang w:val="fr-CA" w:eastAsia="en-CA"/>
              </w:rPr>
            </w:pPr>
            <w:r w:rsidRPr="003C7831">
              <w:rPr>
                <w:kern w:val="22"/>
                <w:szCs w:val="22"/>
                <w:lang w:val="fr-CA" w:eastAsia="en-CA"/>
              </w:rPr>
              <w:t>Guyana</w:t>
            </w:r>
          </w:p>
        </w:tc>
        <w:tc>
          <w:tcPr>
            <w:tcW w:w="1440" w:type="dxa"/>
            <w:tcBorders>
              <w:top w:val="nil"/>
              <w:left w:val="nil"/>
              <w:bottom w:val="single" w:sz="4" w:space="0" w:color="auto"/>
              <w:right w:val="single" w:sz="4" w:space="0" w:color="auto"/>
            </w:tcBorders>
            <w:shd w:val="clear" w:color="auto" w:fill="auto"/>
            <w:vAlign w:val="center"/>
            <w:hideMark/>
          </w:tcPr>
          <w:p w14:paraId="0C96F9CA"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002</w:t>
            </w:r>
          </w:p>
        </w:tc>
        <w:tc>
          <w:tcPr>
            <w:tcW w:w="1620" w:type="dxa"/>
            <w:tcBorders>
              <w:top w:val="nil"/>
              <w:left w:val="nil"/>
              <w:bottom w:val="single" w:sz="4" w:space="0" w:color="auto"/>
              <w:right w:val="single" w:sz="4" w:space="0" w:color="auto"/>
            </w:tcBorders>
            <w:shd w:val="clear" w:color="auto" w:fill="auto"/>
            <w:noWrap/>
            <w:vAlign w:val="center"/>
            <w:hideMark/>
          </w:tcPr>
          <w:p w14:paraId="16F96C23"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003</w:t>
            </w:r>
          </w:p>
        </w:tc>
        <w:tc>
          <w:tcPr>
            <w:tcW w:w="1710" w:type="dxa"/>
            <w:tcBorders>
              <w:top w:val="nil"/>
              <w:left w:val="nil"/>
              <w:bottom w:val="single" w:sz="4" w:space="0" w:color="auto"/>
              <w:right w:val="single" w:sz="4" w:space="0" w:color="auto"/>
            </w:tcBorders>
            <w:shd w:val="clear" w:color="auto" w:fill="auto"/>
            <w:noWrap/>
            <w:vAlign w:val="center"/>
            <w:hideMark/>
          </w:tcPr>
          <w:p w14:paraId="79B64591" w14:textId="77777777" w:rsidR="00661352" w:rsidRPr="003C7831" w:rsidRDefault="00661352" w:rsidP="00282AF6">
            <w:pPr>
              <w:ind w:right="144"/>
              <w:jc w:val="right"/>
              <w:rPr>
                <w:kern w:val="22"/>
                <w:szCs w:val="22"/>
                <w:lang w:val="fr-CA" w:eastAsia="en-CA"/>
              </w:rPr>
            </w:pPr>
            <w:r w:rsidRPr="003C7831">
              <w:rPr>
                <w:kern w:val="22"/>
                <w:szCs w:val="22"/>
                <w:lang w:val="fr-CA" w:eastAsia="en-CA"/>
              </w:rPr>
              <w:t>316</w:t>
            </w:r>
          </w:p>
        </w:tc>
      </w:tr>
      <w:tr w:rsidR="00661352" w:rsidRPr="003C7831" w14:paraId="79D0C622"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590C62" w14:textId="67F6C8C3" w:rsidR="00661352" w:rsidRPr="003C7831" w:rsidRDefault="00C95673" w:rsidP="00120F79">
            <w:pPr>
              <w:jc w:val="right"/>
              <w:rPr>
                <w:kern w:val="22"/>
                <w:szCs w:val="22"/>
                <w:lang w:val="fr-CA" w:eastAsia="en-CA"/>
              </w:rPr>
            </w:pPr>
            <w:r>
              <w:rPr>
                <w:kern w:val="22"/>
                <w:szCs w:val="22"/>
                <w:lang w:val="fr-CA" w:eastAsia="en-CA"/>
              </w:rPr>
              <w:t>74</w:t>
            </w:r>
          </w:p>
        </w:tc>
        <w:tc>
          <w:tcPr>
            <w:tcW w:w="3870" w:type="dxa"/>
            <w:tcBorders>
              <w:top w:val="nil"/>
              <w:left w:val="nil"/>
              <w:bottom w:val="single" w:sz="4" w:space="0" w:color="auto"/>
              <w:right w:val="single" w:sz="4" w:space="0" w:color="auto"/>
            </w:tcBorders>
            <w:shd w:val="clear" w:color="auto" w:fill="auto"/>
            <w:vAlign w:val="center"/>
            <w:hideMark/>
          </w:tcPr>
          <w:p w14:paraId="6E3CE98F" w14:textId="77777777" w:rsidR="00661352" w:rsidRPr="003C7831" w:rsidRDefault="00661352" w:rsidP="00120F79">
            <w:pPr>
              <w:jc w:val="left"/>
              <w:rPr>
                <w:kern w:val="22"/>
                <w:szCs w:val="22"/>
                <w:lang w:val="fr-CA" w:eastAsia="en-CA"/>
              </w:rPr>
            </w:pPr>
            <w:r w:rsidRPr="003C7831">
              <w:rPr>
                <w:kern w:val="22"/>
                <w:szCs w:val="22"/>
                <w:lang w:val="fr-CA" w:eastAsia="en-CA"/>
              </w:rPr>
              <w:t>Haïti</w:t>
            </w:r>
          </w:p>
        </w:tc>
        <w:tc>
          <w:tcPr>
            <w:tcW w:w="1440" w:type="dxa"/>
            <w:tcBorders>
              <w:top w:val="nil"/>
              <w:left w:val="nil"/>
              <w:bottom w:val="single" w:sz="4" w:space="0" w:color="auto"/>
              <w:right w:val="single" w:sz="4" w:space="0" w:color="auto"/>
            </w:tcBorders>
            <w:shd w:val="clear" w:color="auto" w:fill="auto"/>
            <w:vAlign w:val="center"/>
            <w:hideMark/>
          </w:tcPr>
          <w:p w14:paraId="31D90A9C"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003</w:t>
            </w:r>
          </w:p>
        </w:tc>
        <w:tc>
          <w:tcPr>
            <w:tcW w:w="1620" w:type="dxa"/>
            <w:tcBorders>
              <w:top w:val="nil"/>
              <w:left w:val="nil"/>
              <w:bottom w:val="single" w:sz="4" w:space="0" w:color="auto"/>
              <w:right w:val="single" w:sz="4" w:space="0" w:color="auto"/>
            </w:tcBorders>
            <w:shd w:val="clear" w:color="auto" w:fill="auto"/>
            <w:noWrap/>
            <w:vAlign w:val="center"/>
            <w:hideMark/>
          </w:tcPr>
          <w:p w14:paraId="6E78DFA8"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004</w:t>
            </w:r>
          </w:p>
        </w:tc>
        <w:tc>
          <w:tcPr>
            <w:tcW w:w="1710" w:type="dxa"/>
            <w:tcBorders>
              <w:top w:val="nil"/>
              <w:left w:val="nil"/>
              <w:bottom w:val="single" w:sz="4" w:space="0" w:color="auto"/>
              <w:right w:val="single" w:sz="4" w:space="0" w:color="auto"/>
            </w:tcBorders>
            <w:shd w:val="clear" w:color="auto" w:fill="auto"/>
            <w:noWrap/>
            <w:vAlign w:val="center"/>
            <w:hideMark/>
          </w:tcPr>
          <w:p w14:paraId="2E2919D5" w14:textId="77777777" w:rsidR="00661352" w:rsidRPr="003C7831" w:rsidRDefault="00661352" w:rsidP="00282AF6">
            <w:pPr>
              <w:ind w:right="144"/>
              <w:jc w:val="right"/>
              <w:rPr>
                <w:kern w:val="22"/>
                <w:szCs w:val="22"/>
                <w:lang w:val="fr-CA" w:eastAsia="en-CA"/>
              </w:rPr>
            </w:pPr>
            <w:r w:rsidRPr="003C7831">
              <w:rPr>
                <w:kern w:val="22"/>
                <w:szCs w:val="22"/>
                <w:lang w:val="fr-CA" w:eastAsia="en-CA"/>
              </w:rPr>
              <w:t>473</w:t>
            </w:r>
          </w:p>
        </w:tc>
      </w:tr>
      <w:tr w:rsidR="00661352" w:rsidRPr="003C7831" w14:paraId="75265D0E"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4E0AAC" w14:textId="453577F9" w:rsidR="00661352" w:rsidRPr="003C7831" w:rsidRDefault="00C95673" w:rsidP="00120F79">
            <w:pPr>
              <w:jc w:val="right"/>
              <w:rPr>
                <w:kern w:val="22"/>
                <w:szCs w:val="22"/>
                <w:lang w:val="fr-CA" w:eastAsia="en-CA"/>
              </w:rPr>
            </w:pPr>
            <w:r>
              <w:rPr>
                <w:kern w:val="22"/>
                <w:szCs w:val="22"/>
                <w:lang w:val="fr-CA" w:eastAsia="en-CA"/>
              </w:rPr>
              <w:t>75</w:t>
            </w:r>
          </w:p>
        </w:tc>
        <w:tc>
          <w:tcPr>
            <w:tcW w:w="3870" w:type="dxa"/>
            <w:tcBorders>
              <w:top w:val="nil"/>
              <w:left w:val="nil"/>
              <w:bottom w:val="single" w:sz="4" w:space="0" w:color="auto"/>
              <w:right w:val="single" w:sz="4" w:space="0" w:color="auto"/>
            </w:tcBorders>
            <w:shd w:val="clear" w:color="auto" w:fill="auto"/>
            <w:vAlign w:val="center"/>
            <w:hideMark/>
          </w:tcPr>
          <w:p w14:paraId="21FC604C" w14:textId="77777777" w:rsidR="00661352" w:rsidRPr="003C7831" w:rsidRDefault="00661352" w:rsidP="00120F79">
            <w:pPr>
              <w:jc w:val="left"/>
              <w:rPr>
                <w:kern w:val="22"/>
                <w:szCs w:val="22"/>
                <w:lang w:val="fr-CA" w:eastAsia="en-CA"/>
              </w:rPr>
            </w:pPr>
            <w:r w:rsidRPr="003C7831">
              <w:rPr>
                <w:kern w:val="22"/>
                <w:szCs w:val="22"/>
                <w:lang w:val="fr-CA" w:eastAsia="en-CA"/>
              </w:rPr>
              <w:t>Honduras</w:t>
            </w:r>
          </w:p>
        </w:tc>
        <w:tc>
          <w:tcPr>
            <w:tcW w:w="1440" w:type="dxa"/>
            <w:tcBorders>
              <w:top w:val="nil"/>
              <w:left w:val="nil"/>
              <w:bottom w:val="single" w:sz="4" w:space="0" w:color="auto"/>
              <w:right w:val="single" w:sz="4" w:space="0" w:color="auto"/>
            </w:tcBorders>
            <w:shd w:val="clear" w:color="auto" w:fill="auto"/>
            <w:vAlign w:val="center"/>
            <w:hideMark/>
          </w:tcPr>
          <w:p w14:paraId="6A070817"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009</w:t>
            </w:r>
          </w:p>
        </w:tc>
        <w:tc>
          <w:tcPr>
            <w:tcW w:w="1620" w:type="dxa"/>
            <w:tcBorders>
              <w:top w:val="nil"/>
              <w:left w:val="nil"/>
              <w:bottom w:val="single" w:sz="4" w:space="0" w:color="auto"/>
              <w:right w:val="single" w:sz="4" w:space="0" w:color="auto"/>
            </w:tcBorders>
            <w:shd w:val="clear" w:color="auto" w:fill="auto"/>
            <w:noWrap/>
            <w:vAlign w:val="center"/>
            <w:hideMark/>
          </w:tcPr>
          <w:p w14:paraId="2ACE5B4F"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011</w:t>
            </w:r>
          </w:p>
        </w:tc>
        <w:tc>
          <w:tcPr>
            <w:tcW w:w="1710" w:type="dxa"/>
            <w:tcBorders>
              <w:top w:val="nil"/>
              <w:left w:val="nil"/>
              <w:bottom w:val="single" w:sz="4" w:space="0" w:color="auto"/>
              <w:right w:val="single" w:sz="4" w:space="0" w:color="auto"/>
            </w:tcBorders>
            <w:shd w:val="clear" w:color="auto" w:fill="auto"/>
            <w:noWrap/>
            <w:vAlign w:val="center"/>
            <w:hideMark/>
          </w:tcPr>
          <w:p w14:paraId="4991B054" w14:textId="77777777" w:rsidR="00661352" w:rsidRPr="003C7831" w:rsidRDefault="00661352" w:rsidP="00282AF6">
            <w:pPr>
              <w:ind w:right="144"/>
              <w:jc w:val="right"/>
              <w:rPr>
                <w:kern w:val="22"/>
                <w:szCs w:val="22"/>
                <w:lang w:val="fr-CA" w:eastAsia="en-CA"/>
              </w:rPr>
            </w:pPr>
            <w:r w:rsidRPr="003C7831">
              <w:rPr>
                <w:kern w:val="22"/>
                <w:szCs w:val="22"/>
                <w:lang w:val="fr-CA" w:eastAsia="en-CA"/>
              </w:rPr>
              <w:t>1 420</w:t>
            </w:r>
          </w:p>
        </w:tc>
      </w:tr>
      <w:tr w:rsidR="00661352" w:rsidRPr="003C7831" w14:paraId="43D40913"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CCDA6B" w14:textId="0931BCED" w:rsidR="00661352" w:rsidRPr="003C7831" w:rsidRDefault="00C95673" w:rsidP="00120F79">
            <w:pPr>
              <w:jc w:val="right"/>
              <w:rPr>
                <w:kern w:val="22"/>
                <w:szCs w:val="22"/>
                <w:lang w:val="fr-CA" w:eastAsia="en-CA"/>
              </w:rPr>
            </w:pPr>
            <w:r>
              <w:rPr>
                <w:kern w:val="22"/>
                <w:szCs w:val="22"/>
                <w:lang w:val="fr-CA" w:eastAsia="en-CA"/>
              </w:rPr>
              <w:t>76</w:t>
            </w:r>
          </w:p>
        </w:tc>
        <w:tc>
          <w:tcPr>
            <w:tcW w:w="3870" w:type="dxa"/>
            <w:tcBorders>
              <w:top w:val="nil"/>
              <w:left w:val="nil"/>
              <w:bottom w:val="single" w:sz="4" w:space="0" w:color="auto"/>
              <w:right w:val="single" w:sz="4" w:space="0" w:color="auto"/>
            </w:tcBorders>
            <w:shd w:val="clear" w:color="auto" w:fill="auto"/>
            <w:vAlign w:val="center"/>
            <w:hideMark/>
          </w:tcPr>
          <w:p w14:paraId="5CE43048" w14:textId="77777777" w:rsidR="00661352" w:rsidRPr="003C7831" w:rsidRDefault="00661352" w:rsidP="00120F79">
            <w:pPr>
              <w:jc w:val="left"/>
              <w:rPr>
                <w:kern w:val="22"/>
                <w:szCs w:val="22"/>
                <w:lang w:val="fr-CA" w:eastAsia="en-CA"/>
              </w:rPr>
            </w:pPr>
            <w:r w:rsidRPr="003C7831">
              <w:rPr>
                <w:kern w:val="22"/>
                <w:szCs w:val="22"/>
                <w:lang w:val="fr-CA" w:eastAsia="en-CA"/>
              </w:rPr>
              <w:t>Hongrie</w:t>
            </w:r>
          </w:p>
        </w:tc>
        <w:tc>
          <w:tcPr>
            <w:tcW w:w="1440" w:type="dxa"/>
            <w:tcBorders>
              <w:top w:val="nil"/>
              <w:left w:val="nil"/>
              <w:bottom w:val="single" w:sz="4" w:space="0" w:color="auto"/>
              <w:right w:val="single" w:sz="4" w:space="0" w:color="auto"/>
            </w:tcBorders>
            <w:shd w:val="clear" w:color="auto" w:fill="auto"/>
            <w:vAlign w:val="center"/>
            <w:hideMark/>
          </w:tcPr>
          <w:p w14:paraId="391D2C33"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206</w:t>
            </w:r>
          </w:p>
        </w:tc>
        <w:tc>
          <w:tcPr>
            <w:tcW w:w="1620" w:type="dxa"/>
            <w:tcBorders>
              <w:top w:val="nil"/>
              <w:left w:val="nil"/>
              <w:bottom w:val="single" w:sz="4" w:space="0" w:color="auto"/>
              <w:right w:val="single" w:sz="4" w:space="0" w:color="auto"/>
            </w:tcBorders>
            <w:shd w:val="clear" w:color="auto" w:fill="auto"/>
            <w:noWrap/>
            <w:vAlign w:val="center"/>
            <w:hideMark/>
          </w:tcPr>
          <w:p w14:paraId="2F35658A"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258</w:t>
            </w:r>
          </w:p>
        </w:tc>
        <w:tc>
          <w:tcPr>
            <w:tcW w:w="1710" w:type="dxa"/>
            <w:tcBorders>
              <w:top w:val="nil"/>
              <w:left w:val="nil"/>
              <w:bottom w:val="single" w:sz="4" w:space="0" w:color="auto"/>
              <w:right w:val="single" w:sz="4" w:space="0" w:color="auto"/>
            </w:tcBorders>
            <w:shd w:val="clear" w:color="auto" w:fill="auto"/>
            <w:noWrap/>
            <w:vAlign w:val="center"/>
            <w:hideMark/>
          </w:tcPr>
          <w:p w14:paraId="2E851DC6" w14:textId="77777777" w:rsidR="00661352" w:rsidRPr="003C7831" w:rsidRDefault="00661352" w:rsidP="00282AF6">
            <w:pPr>
              <w:ind w:right="144"/>
              <w:jc w:val="right"/>
              <w:rPr>
                <w:kern w:val="22"/>
                <w:szCs w:val="22"/>
                <w:lang w:val="fr-CA" w:eastAsia="en-CA"/>
              </w:rPr>
            </w:pPr>
            <w:r w:rsidRPr="003C7831">
              <w:rPr>
                <w:kern w:val="22"/>
                <w:szCs w:val="22"/>
                <w:lang w:val="fr-CA" w:eastAsia="en-CA"/>
              </w:rPr>
              <w:t>32 500</w:t>
            </w:r>
          </w:p>
        </w:tc>
      </w:tr>
      <w:tr w:rsidR="00661352" w:rsidRPr="003C7831" w14:paraId="35B87DBF"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6CF711" w14:textId="5A725000" w:rsidR="00661352" w:rsidRPr="003C7831" w:rsidRDefault="00C95673" w:rsidP="00120F79">
            <w:pPr>
              <w:jc w:val="right"/>
              <w:rPr>
                <w:kern w:val="22"/>
                <w:szCs w:val="22"/>
                <w:lang w:val="fr-CA" w:eastAsia="en-CA"/>
              </w:rPr>
            </w:pPr>
            <w:r>
              <w:rPr>
                <w:kern w:val="22"/>
                <w:szCs w:val="22"/>
                <w:lang w:val="fr-CA" w:eastAsia="en-CA"/>
              </w:rPr>
              <w:t>77</w:t>
            </w:r>
          </w:p>
        </w:tc>
        <w:tc>
          <w:tcPr>
            <w:tcW w:w="3870" w:type="dxa"/>
            <w:tcBorders>
              <w:top w:val="nil"/>
              <w:left w:val="nil"/>
              <w:bottom w:val="single" w:sz="4" w:space="0" w:color="auto"/>
              <w:right w:val="single" w:sz="4" w:space="0" w:color="auto"/>
            </w:tcBorders>
            <w:shd w:val="clear" w:color="auto" w:fill="auto"/>
            <w:vAlign w:val="center"/>
            <w:hideMark/>
          </w:tcPr>
          <w:p w14:paraId="474F26DC" w14:textId="77777777" w:rsidR="00661352" w:rsidRPr="003C7831" w:rsidRDefault="00661352" w:rsidP="00120F79">
            <w:pPr>
              <w:jc w:val="left"/>
              <w:rPr>
                <w:kern w:val="22"/>
                <w:szCs w:val="22"/>
                <w:lang w:val="fr-CA" w:eastAsia="en-CA"/>
              </w:rPr>
            </w:pPr>
            <w:r w:rsidRPr="003C7831">
              <w:rPr>
                <w:kern w:val="22"/>
                <w:szCs w:val="22"/>
                <w:lang w:val="fr-CA" w:eastAsia="en-CA"/>
              </w:rPr>
              <w:t>Îles Cook</w:t>
            </w:r>
          </w:p>
        </w:tc>
        <w:tc>
          <w:tcPr>
            <w:tcW w:w="1440" w:type="dxa"/>
            <w:tcBorders>
              <w:top w:val="nil"/>
              <w:left w:val="nil"/>
              <w:bottom w:val="single" w:sz="4" w:space="0" w:color="auto"/>
              <w:right w:val="single" w:sz="4" w:space="0" w:color="auto"/>
            </w:tcBorders>
            <w:shd w:val="clear" w:color="auto" w:fill="auto"/>
            <w:vAlign w:val="center"/>
            <w:hideMark/>
          </w:tcPr>
          <w:p w14:paraId="42929E0A"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001</w:t>
            </w:r>
          </w:p>
        </w:tc>
        <w:tc>
          <w:tcPr>
            <w:tcW w:w="1620" w:type="dxa"/>
            <w:tcBorders>
              <w:top w:val="nil"/>
              <w:left w:val="nil"/>
              <w:bottom w:val="single" w:sz="4" w:space="0" w:color="auto"/>
              <w:right w:val="single" w:sz="4" w:space="0" w:color="auto"/>
            </w:tcBorders>
            <w:shd w:val="clear" w:color="auto" w:fill="auto"/>
            <w:noWrap/>
            <w:vAlign w:val="center"/>
            <w:hideMark/>
          </w:tcPr>
          <w:p w14:paraId="0DC5B07D"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001</w:t>
            </w:r>
          </w:p>
        </w:tc>
        <w:tc>
          <w:tcPr>
            <w:tcW w:w="1710" w:type="dxa"/>
            <w:tcBorders>
              <w:top w:val="nil"/>
              <w:left w:val="nil"/>
              <w:bottom w:val="single" w:sz="4" w:space="0" w:color="auto"/>
              <w:right w:val="single" w:sz="4" w:space="0" w:color="auto"/>
            </w:tcBorders>
            <w:shd w:val="clear" w:color="auto" w:fill="auto"/>
            <w:noWrap/>
            <w:vAlign w:val="center"/>
            <w:hideMark/>
          </w:tcPr>
          <w:p w14:paraId="7410707E" w14:textId="77777777" w:rsidR="00661352" w:rsidRPr="003C7831" w:rsidRDefault="00661352" w:rsidP="00282AF6">
            <w:pPr>
              <w:ind w:right="144"/>
              <w:jc w:val="right"/>
              <w:rPr>
                <w:kern w:val="22"/>
                <w:szCs w:val="22"/>
                <w:lang w:val="fr-CA" w:eastAsia="en-CA"/>
              </w:rPr>
            </w:pPr>
            <w:r w:rsidRPr="003C7831">
              <w:rPr>
                <w:kern w:val="22"/>
                <w:szCs w:val="22"/>
                <w:lang w:val="fr-CA" w:eastAsia="en-CA"/>
              </w:rPr>
              <w:t>158</w:t>
            </w:r>
          </w:p>
        </w:tc>
      </w:tr>
      <w:tr w:rsidR="00661352" w:rsidRPr="00E02087" w14:paraId="274AFF4C" w14:textId="77777777" w:rsidTr="00661352">
        <w:trPr>
          <w:trHeight w:val="260"/>
          <w:jc w:val="center"/>
        </w:trPr>
        <w:tc>
          <w:tcPr>
            <w:tcW w:w="625" w:type="dxa"/>
            <w:gridSpan w:val="2"/>
            <w:tcBorders>
              <w:top w:val="single" w:sz="4" w:space="0" w:color="auto"/>
              <w:left w:val="single" w:sz="4" w:space="0" w:color="auto"/>
              <w:bottom w:val="single" w:sz="4" w:space="0" w:color="auto"/>
              <w:right w:val="nil"/>
            </w:tcBorders>
            <w:shd w:val="clear" w:color="auto" w:fill="auto"/>
            <w:noWrap/>
            <w:vAlign w:val="center"/>
            <w:hideMark/>
          </w:tcPr>
          <w:p w14:paraId="01BCD87D" w14:textId="71DE57C1" w:rsidR="00661352" w:rsidRPr="00E02087" w:rsidRDefault="00C95673" w:rsidP="00120F79">
            <w:pPr>
              <w:jc w:val="right"/>
              <w:rPr>
                <w:kern w:val="22"/>
                <w:szCs w:val="22"/>
                <w:lang w:val="fr-CA" w:eastAsia="en-CA"/>
              </w:rPr>
            </w:pPr>
            <w:r>
              <w:rPr>
                <w:kern w:val="22"/>
                <w:szCs w:val="22"/>
                <w:lang w:val="fr-CA" w:eastAsia="en-CA"/>
              </w:rPr>
              <w:t>78</w:t>
            </w:r>
          </w:p>
        </w:tc>
        <w:tc>
          <w:tcPr>
            <w:tcW w:w="3870" w:type="dxa"/>
            <w:tcBorders>
              <w:top w:val="nil"/>
              <w:left w:val="single" w:sz="4" w:space="0" w:color="auto"/>
              <w:bottom w:val="single" w:sz="4" w:space="0" w:color="auto"/>
              <w:right w:val="single" w:sz="4" w:space="0" w:color="auto"/>
            </w:tcBorders>
            <w:shd w:val="clear" w:color="auto" w:fill="auto"/>
            <w:vAlign w:val="center"/>
            <w:hideMark/>
          </w:tcPr>
          <w:p w14:paraId="44C9ED8E" w14:textId="77777777" w:rsidR="00661352" w:rsidRPr="00E02087" w:rsidRDefault="00661352" w:rsidP="00120F79">
            <w:pPr>
              <w:jc w:val="left"/>
              <w:rPr>
                <w:kern w:val="22"/>
                <w:szCs w:val="22"/>
                <w:lang w:val="fr-CA" w:eastAsia="en-CA"/>
              </w:rPr>
            </w:pPr>
            <w:r>
              <w:rPr>
                <w:kern w:val="22"/>
                <w:szCs w:val="22"/>
                <w:lang w:val="fr-CA" w:eastAsia="en-CA"/>
              </w:rPr>
              <w:t>Îles Marshall</w:t>
            </w:r>
          </w:p>
        </w:tc>
        <w:tc>
          <w:tcPr>
            <w:tcW w:w="1440" w:type="dxa"/>
            <w:tcBorders>
              <w:top w:val="nil"/>
              <w:left w:val="nil"/>
              <w:bottom w:val="single" w:sz="4" w:space="0" w:color="auto"/>
              <w:right w:val="single" w:sz="4" w:space="0" w:color="auto"/>
            </w:tcBorders>
            <w:shd w:val="clear" w:color="auto" w:fill="auto"/>
            <w:vAlign w:val="center"/>
            <w:hideMark/>
          </w:tcPr>
          <w:p w14:paraId="11AB38A2"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001</w:t>
            </w:r>
          </w:p>
        </w:tc>
        <w:tc>
          <w:tcPr>
            <w:tcW w:w="1620" w:type="dxa"/>
            <w:tcBorders>
              <w:top w:val="nil"/>
              <w:left w:val="nil"/>
              <w:bottom w:val="single" w:sz="4" w:space="0" w:color="auto"/>
              <w:right w:val="single" w:sz="4" w:space="0" w:color="auto"/>
            </w:tcBorders>
            <w:shd w:val="clear" w:color="auto" w:fill="auto"/>
            <w:noWrap/>
            <w:vAlign w:val="center"/>
            <w:hideMark/>
          </w:tcPr>
          <w:p w14:paraId="70A85360"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001</w:t>
            </w:r>
          </w:p>
        </w:tc>
        <w:tc>
          <w:tcPr>
            <w:tcW w:w="1710" w:type="dxa"/>
            <w:tcBorders>
              <w:top w:val="nil"/>
              <w:left w:val="nil"/>
              <w:bottom w:val="single" w:sz="4" w:space="0" w:color="auto"/>
              <w:right w:val="single" w:sz="4" w:space="0" w:color="auto"/>
            </w:tcBorders>
            <w:shd w:val="clear" w:color="auto" w:fill="auto"/>
            <w:noWrap/>
            <w:vAlign w:val="center"/>
            <w:hideMark/>
          </w:tcPr>
          <w:p w14:paraId="04937061" w14:textId="77777777" w:rsidR="00661352" w:rsidRPr="00E02087" w:rsidRDefault="00661352" w:rsidP="00282AF6">
            <w:pPr>
              <w:ind w:right="144"/>
              <w:jc w:val="right"/>
              <w:rPr>
                <w:kern w:val="22"/>
                <w:szCs w:val="22"/>
                <w:lang w:val="fr-CA" w:eastAsia="en-CA"/>
              </w:rPr>
            </w:pPr>
            <w:r w:rsidRPr="00E02087">
              <w:rPr>
                <w:kern w:val="22"/>
                <w:szCs w:val="22"/>
                <w:lang w:val="fr-CA" w:eastAsia="en-CA"/>
              </w:rPr>
              <w:t>158</w:t>
            </w:r>
          </w:p>
        </w:tc>
      </w:tr>
      <w:tr w:rsidR="00661352" w:rsidRPr="00E470BA" w14:paraId="1E4E2BA2"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tcPr>
          <w:p w14:paraId="0330DA15" w14:textId="286588F8" w:rsidR="00661352" w:rsidRPr="00E470BA" w:rsidRDefault="00C95673" w:rsidP="004266BB">
            <w:pPr>
              <w:jc w:val="right"/>
              <w:rPr>
                <w:kern w:val="22"/>
                <w:szCs w:val="22"/>
                <w:lang w:val="fr-CA" w:eastAsia="en-CA"/>
              </w:rPr>
            </w:pPr>
            <w:r>
              <w:rPr>
                <w:kern w:val="22"/>
                <w:szCs w:val="22"/>
                <w:lang w:val="fr-CA" w:eastAsia="en-CA"/>
              </w:rPr>
              <w:t>79</w:t>
            </w:r>
          </w:p>
        </w:tc>
        <w:tc>
          <w:tcPr>
            <w:tcW w:w="3870" w:type="dxa"/>
            <w:tcBorders>
              <w:top w:val="nil"/>
              <w:left w:val="nil"/>
              <w:bottom w:val="single" w:sz="4" w:space="0" w:color="auto"/>
              <w:right w:val="single" w:sz="4" w:space="0" w:color="auto"/>
            </w:tcBorders>
            <w:shd w:val="clear" w:color="auto" w:fill="auto"/>
            <w:vAlign w:val="center"/>
            <w:hideMark/>
          </w:tcPr>
          <w:p w14:paraId="042B1872" w14:textId="77777777" w:rsidR="00661352" w:rsidRPr="00E470BA" w:rsidRDefault="00661352" w:rsidP="004266BB">
            <w:pPr>
              <w:jc w:val="left"/>
              <w:rPr>
                <w:kern w:val="22"/>
                <w:szCs w:val="22"/>
                <w:lang w:val="fr-CA" w:eastAsia="en-CA"/>
              </w:rPr>
            </w:pPr>
            <w:r>
              <w:rPr>
                <w:kern w:val="22"/>
                <w:szCs w:val="22"/>
                <w:lang w:val="fr-CA" w:eastAsia="en-CA"/>
              </w:rPr>
              <w:t>Îles Salomon</w:t>
            </w:r>
          </w:p>
        </w:tc>
        <w:tc>
          <w:tcPr>
            <w:tcW w:w="1440" w:type="dxa"/>
            <w:tcBorders>
              <w:top w:val="nil"/>
              <w:left w:val="nil"/>
              <w:bottom w:val="single" w:sz="4" w:space="0" w:color="auto"/>
              <w:right w:val="single" w:sz="4" w:space="0" w:color="auto"/>
            </w:tcBorders>
            <w:shd w:val="clear" w:color="auto" w:fill="auto"/>
            <w:vAlign w:val="center"/>
            <w:hideMark/>
          </w:tcPr>
          <w:p w14:paraId="04558577"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001</w:t>
            </w:r>
          </w:p>
        </w:tc>
        <w:tc>
          <w:tcPr>
            <w:tcW w:w="1620" w:type="dxa"/>
            <w:tcBorders>
              <w:top w:val="nil"/>
              <w:left w:val="nil"/>
              <w:bottom w:val="single" w:sz="4" w:space="0" w:color="auto"/>
              <w:right w:val="single" w:sz="4" w:space="0" w:color="auto"/>
            </w:tcBorders>
            <w:shd w:val="clear" w:color="auto" w:fill="auto"/>
            <w:noWrap/>
            <w:vAlign w:val="center"/>
            <w:hideMark/>
          </w:tcPr>
          <w:p w14:paraId="5FEDEB9A"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001</w:t>
            </w:r>
          </w:p>
        </w:tc>
        <w:tc>
          <w:tcPr>
            <w:tcW w:w="1710" w:type="dxa"/>
            <w:tcBorders>
              <w:top w:val="nil"/>
              <w:left w:val="nil"/>
              <w:bottom w:val="single" w:sz="4" w:space="0" w:color="auto"/>
              <w:right w:val="single" w:sz="4" w:space="0" w:color="auto"/>
            </w:tcBorders>
            <w:shd w:val="clear" w:color="auto" w:fill="auto"/>
            <w:noWrap/>
            <w:vAlign w:val="center"/>
            <w:hideMark/>
          </w:tcPr>
          <w:p w14:paraId="45746B88" w14:textId="77777777" w:rsidR="00661352" w:rsidRPr="00E470BA" w:rsidRDefault="00661352" w:rsidP="00282AF6">
            <w:pPr>
              <w:ind w:right="144"/>
              <w:jc w:val="right"/>
              <w:rPr>
                <w:kern w:val="22"/>
                <w:szCs w:val="22"/>
                <w:lang w:val="fr-CA" w:eastAsia="en-CA"/>
              </w:rPr>
            </w:pPr>
            <w:r w:rsidRPr="00E470BA">
              <w:rPr>
                <w:kern w:val="22"/>
                <w:szCs w:val="22"/>
                <w:lang w:val="fr-CA" w:eastAsia="en-CA"/>
              </w:rPr>
              <w:t>158</w:t>
            </w:r>
          </w:p>
        </w:tc>
      </w:tr>
      <w:tr w:rsidR="00661352" w:rsidRPr="003C7831" w14:paraId="784FEC3B"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EC968E" w14:textId="77777777" w:rsidR="00661352" w:rsidRPr="003C7831" w:rsidRDefault="00661352" w:rsidP="00120F79">
            <w:pPr>
              <w:jc w:val="right"/>
              <w:rPr>
                <w:kern w:val="22"/>
                <w:szCs w:val="22"/>
                <w:lang w:val="fr-CA" w:eastAsia="en-CA"/>
              </w:rPr>
            </w:pPr>
            <w:r w:rsidRPr="003C7831">
              <w:rPr>
                <w:kern w:val="22"/>
                <w:szCs w:val="22"/>
                <w:lang w:val="fr-CA" w:eastAsia="en-CA"/>
              </w:rPr>
              <w:t>80</w:t>
            </w:r>
          </w:p>
        </w:tc>
        <w:tc>
          <w:tcPr>
            <w:tcW w:w="3870" w:type="dxa"/>
            <w:tcBorders>
              <w:top w:val="nil"/>
              <w:left w:val="nil"/>
              <w:bottom w:val="single" w:sz="4" w:space="0" w:color="auto"/>
              <w:right w:val="single" w:sz="4" w:space="0" w:color="auto"/>
            </w:tcBorders>
            <w:shd w:val="clear" w:color="auto" w:fill="auto"/>
            <w:vAlign w:val="center"/>
            <w:hideMark/>
          </w:tcPr>
          <w:p w14:paraId="0A58A1FA" w14:textId="77777777" w:rsidR="00661352" w:rsidRPr="003C7831" w:rsidRDefault="00661352" w:rsidP="00D75367">
            <w:pPr>
              <w:jc w:val="left"/>
              <w:rPr>
                <w:kern w:val="22"/>
                <w:szCs w:val="22"/>
                <w:lang w:val="fr-CA" w:eastAsia="en-CA"/>
              </w:rPr>
            </w:pPr>
            <w:r w:rsidRPr="003C7831">
              <w:rPr>
                <w:kern w:val="22"/>
                <w:szCs w:val="22"/>
                <w:lang w:val="fr-CA" w:eastAsia="en-CA"/>
              </w:rPr>
              <w:t>Inde</w:t>
            </w:r>
          </w:p>
        </w:tc>
        <w:tc>
          <w:tcPr>
            <w:tcW w:w="1440" w:type="dxa"/>
            <w:tcBorders>
              <w:top w:val="nil"/>
              <w:left w:val="nil"/>
              <w:bottom w:val="single" w:sz="4" w:space="0" w:color="auto"/>
              <w:right w:val="single" w:sz="4" w:space="0" w:color="auto"/>
            </w:tcBorders>
            <w:shd w:val="clear" w:color="auto" w:fill="auto"/>
            <w:vAlign w:val="center"/>
            <w:hideMark/>
          </w:tcPr>
          <w:p w14:paraId="054AA5E0"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834</w:t>
            </w:r>
          </w:p>
        </w:tc>
        <w:tc>
          <w:tcPr>
            <w:tcW w:w="1620" w:type="dxa"/>
            <w:tcBorders>
              <w:top w:val="nil"/>
              <w:left w:val="nil"/>
              <w:bottom w:val="single" w:sz="4" w:space="0" w:color="auto"/>
              <w:right w:val="single" w:sz="4" w:space="0" w:color="auto"/>
            </w:tcBorders>
            <w:shd w:val="clear" w:color="auto" w:fill="auto"/>
            <w:noWrap/>
            <w:vAlign w:val="center"/>
            <w:hideMark/>
          </w:tcPr>
          <w:p w14:paraId="1BCA42BE" w14:textId="77777777" w:rsidR="00661352" w:rsidRPr="003C7831" w:rsidRDefault="00661352" w:rsidP="00282AF6">
            <w:pPr>
              <w:ind w:right="144"/>
              <w:jc w:val="right"/>
              <w:rPr>
                <w:kern w:val="22"/>
                <w:szCs w:val="22"/>
                <w:lang w:val="fr-CA" w:eastAsia="en-CA"/>
              </w:rPr>
            </w:pPr>
            <w:r w:rsidRPr="003C7831">
              <w:rPr>
                <w:kern w:val="22"/>
                <w:szCs w:val="22"/>
                <w:lang w:val="fr-CA" w:eastAsia="en-CA"/>
              </w:rPr>
              <w:t>1</w:t>
            </w:r>
            <w:r>
              <w:rPr>
                <w:kern w:val="22"/>
                <w:szCs w:val="22"/>
                <w:lang w:val="fr-CA" w:eastAsia="en-CA"/>
              </w:rPr>
              <w:t>,</w:t>
            </w:r>
            <w:r w:rsidRPr="003C7831">
              <w:rPr>
                <w:kern w:val="22"/>
                <w:szCs w:val="22"/>
                <w:lang w:val="fr-CA" w:eastAsia="en-CA"/>
              </w:rPr>
              <w:t>043</w:t>
            </w:r>
          </w:p>
        </w:tc>
        <w:tc>
          <w:tcPr>
            <w:tcW w:w="1710" w:type="dxa"/>
            <w:tcBorders>
              <w:top w:val="nil"/>
              <w:left w:val="nil"/>
              <w:bottom w:val="single" w:sz="4" w:space="0" w:color="auto"/>
              <w:right w:val="single" w:sz="4" w:space="0" w:color="auto"/>
            </w:tcBorders>
            <w:shd w:val="clear" w:color="auto" w:fill="auto"/>
            <w:noWrap/>
            <w:vAlign w:val="center"/>
            <w:hideMark/>
          </w:tcPr>
          <w:p w14:paraId="396F27A0" w14:textId="77777777" w:rsidR="00661352" w:rsidRPr="003C7831" w:rsidRDefault="00661352" w:rsidP="00282AF6">
            <w:pPr>
              <w:ind w:right="144"/>
              <w:jc w:val="right"/>
              <w:rPr>
                <w:kern w:val="22"/>
                <w:szCs w:val="22"/>
                <w:lang w:val="fr-CA" w:eastAsia="en-CA"/>
              </w:rPr>
            </w:pPr>
            <w:r w:rsidRPr="003C7831">
              <w:rPr>
                <w:kern w:val="22"/>
                <w:szCs w:val="22"/>
                <w:lang w:val="fr-CA" w:eastAsia="en-CA"/>
              </w:rPr>
              <w:t>131 579</w:t>
            </w:r>
          </w:p>
        </w:tc>
      </w:tr>
      <w:tr w:rsidR="00661352" w:rsidRPr="003C7831" w14:paraId="02DAF7C2"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267BBC" w14:textId="77777777" w:rsidR="00661352" w:rsidRPr="003C7831" w:rsidRDefault="00661352" w:rsidP="00120F79">
            <w:pPr>
              <w:jc w:val="right"/>
              <w:rPr>
                <w:kern w:val="22"/>
                <w:szCs w:val="22"/>
                <w:lang w:val="fr-CA" w:eastAsia="en-CA"/>
              </w:rPr>
            </w:pPr>
            <w:r w:rsidRPr="003C7831">
              <w:rPr>
                <w:kern w:val="22"/>
                <w:szCs w:val="22"/>
                <w:lang w:val="fr-CA" w:eastAsia="en-CA"/>
              </w:rPr>
              <w:t>81</w:t>
            </w:r>
          </w:p>
        </w:tc>
        <w:tc>
          <w:tcPr>
            <w:tcW w:w="3870" w:type="dxa"/>
            <w:tcBorders>
              <w:top w:val="nil"/>
              <w:left w:val="nil"/>
              <w:bottom w:val="single" w:sz="4" w:space="0" w:color="auto"/>
              <w:right w:val="single" w:sz="4" w:space="0" w:color="auto"/>
            </w:tcBorders>
            <w:shd w:val="clear" w:color="auto" w:fill="auto"/>
            <w:vAlign w:val="center"/>
            <w:hideMark/>
          </w:tcPr>
          <w:p w14:paraId="3865AF24" w14:textId="77777777" w:rsidR="00661352" w:rsidRPr="003C7831" w:rsidRDefault="00661352" w:rsidP="00120F79">
            <w:pPr>
              <w:jc w:val="left"/>
              <w:rPr>
                <w:kern w:val="22"/>
                <w:szCs w:val="22"/>
                <w:lang w:val="fr-CA" w:eastAsia="en-CA"/>
              </w:rPr>
            </w:pPr>
            <w:r w:rsidRPr="003C7831">
              <w:rPr>
                <w:kern w:val="22"/>
                <w:szCs w:val="22"/>
                <w:lang w:val="fr-CA" w:eastAsia="en-CA"/>
              </w:rPr>
              <w:t>Indonésie</w:t>
            </w:r>
          </w:p>
        </w:tc>
        <w:tc>
          <w:tcPr>
            <w:tcW w:w="1440" w:type="dxa"/>
            <w:tcBorders>
              <w:top w:val="nil"/>
              <w:left w:val="nil"/>
              <w:bottom w:val="single" w:sz="4" w:space="0" w:color="auto"/>
              <w:right w:val="single" w:sz="4" w:space="0" w:color="auto"/>
            </w:tcBorders>
            <w:shd w:val="clear" w:color="auto" w:fill="auto"/>
            <w:vAlign w:val="center"/>
            <w:hideMark/>
          </w:tcPr>
          <w:p w14:paraId="2FFCDBBC"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543</w:t>
            </w:r>
          </w:p>
        </w:tc>
        <w:tc>
          <w:tcPr>
            <w:tcW w:w="1620" w:type="dxa"/>
            <w:tcBorders>
              <w:top w:val="nil"/>
              <w:left w:val="nil"/>
              <w:bottom w:val="single" w:sz="4" w:space="0" w:color="auto"/>
              <w:right w:val="single" w:sz="4" w:space="0" w:color="auto"/>
            </w:tcBorders>
            <w:shd w:val="clear" w:color="auto" w:fill="auto"/>
            <w:noWrap/>
            <w:vAlign w:val="center"/>
            <w:hideMark/>
          </w:tcPr>
          <w:p w14:paraId="1286851B"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679</w:t>
            </w:r>
          </w:p>
        </w:tc>
        <w:tc>
          <w:tcPr>
            <w:tcW w:w="1710" w:type="dxa"/>
            <w:tcBorders>
              <w:top w:val="nil"/>
              <w:left w:val="nil"/>
              <w:bottom w:val="single" w:sz="4" w:space="0" w:color="auto"/>
              <w:right w:val="single" w:sz="4" w:space="0" w:color="auto"/>
            </w:tcBorders>
            <w:shd w:val="clear" w:color="auto" w:fill="auto"/>
            <w:noWrap/>
            <w:vAlign w:val="center"/>
            <w:hideMark/>
          </w:tcPr>
          <w:p w14:paraId="4DAD0D10" w14:textId="77777777" w:rsidR="00661352" w:rsidRPr="003C7831" w:rsidRDefault="00661352" w:rsidP="00282AF6">
            <w:pPr>
              <w:ind w:right="144"/>
              <w:jc w:val="right"/>
              <w:rPr>
                <w:kern w:val="22"/>
                <w:szCs w:val="22"/>
                <w:lang w:val="fr-CA" w:eastAsia="en-CA"/>
              </w:rPr>
            </w:pPr>
            <w:r w:rsidRPr="003C7831">
              <w:rPr>
                <w:kern w:val="22"/>
                <w:szCs w:val="22"/>
                <w:lang w:val="fr-CA" w:eastAsia="en-CA"/>
              </w:rPr>
              <w:t>85 668</w:t>
            </w:r>
          </w:p>
        </w:tc>
      </w:tr>
      <w:tr w:rsidR="00661352" w:rsidRPr="003C7831" w14:paraId="4F8B2CF3"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5F71E5" w14:textId="0AEB2429" w:rsidR="00661352" w:rsidRPr="003C7831" w:rsidRDefault="00661352" w:rsidP="00C95673">
            <w:pPr>
              <w:jc w:val="right"/>
              <w:rPr>
                <w:kern w:val="22"/>
                <w:szCs w:val="22"/>
                <w:lang w:val="fr-CA" w:eastAsia="en-CA"/>
              </w:rPr>
            </w:pPr>
            <w:r w:rsidRPr="003C7831">
              <w:rPr>
                <w:kern w:val="22"/>
                <w:szCs w:val="22"/>
                <w:lang w:val="fr-CA" w:eastAsia="en-CA"/>
              </w:rPr>
              <w:t>8</w:t>
            </w:r>
            <w:r w:rsidR="00C95673">
              <w:rPr>
                <w:kern w:val="22"/>
                <w:szCs w:val="22"/>
                <w:lang w:val="fr-CA" w:eastAsia="en-CA"/>
              </w:rPr>
              <w:t>2</w:t>
            </w:r>
          </w:p>
        </w:tc>
        <w:tc>
          <w:tcPr>
            <w:tcW w:w="3870" w:type="dxa"/>
            <w:tcBorders>
              <w:top w:val="nil"/>
              <w:left w:val="nil"/>
              <w:bottom w:val="single" w:sz="4" w:space="0" w:color="auto"/>
              <w:right w:val="single" w:sz="4" w:space="0" w:color="auto"/>
            </w:tcBorders>
            <w:shd w:val="clear" w:color="auto" w:fill="auto"/>
            <w:vAlign w:val="center"/>
            <w:hideMark/>
          </w:tcPr>
          <w:p w14:paraId="59A11C4F" w14:textId="77777777" w:rsidR="00661352" w:rsidRPr="003C7831" w:rsidRDefault="00661352" w:rsidP="00120F79">
            <w:pPr>
              <w:jc w:val="left"/>
              <w:rPr>
                <w:kern w:val="22"/>
                <w:szCs w:val="22"/>
                <w:lang w:val="fr-CA" w:eastAsia="en-CA"/>
              </w:rPr>
            </w:pPr>
            <w:r w:rsidRPr="003C7831">
              <w:rPr>
                <w:kern w:val="22"/>
                <w:szCs w:val="22"/>
                <w:lang w:val="fr-CA" w:eastAsia="en-CA"/>
              </w:rPr>
              <w:t>Iraq</w:t>
            </w:r>
          </w:p>
        </w:tc>
        <w:tc>
          <w:tcPr>
            <w:tcW w:w="1440" w:type="dxa"/>
            <w:tcBorders>
              <w:top w:val="nil"/>
              <w:left w:val="nil"/>
              <w:bottom w:val="single" w:sz="4" w:space="0" w:color="auto"/>
              <w:right w:val="single" w:sz="4" w:space="0" w:color="auto"/>
            </w:tcBorders>
            <w:shd w:val="clear" w:color="auto" w:fill="auto"/>
            <w:vAlign w:val="center"/>
            <w:hideMark/>
          </w:tcPr>
          <w:p w14:paraId="14C7E36F"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129</w:t>
            </w:r>
          </w:p>
        </w:tc>
        <w:tc>
          <w:tcPr>
            <w:tcW w:w="1620" w:type="dxa"/>
            <w:tcBorders>
              <w:top w:val="nil"/>
              <w:left w:val="nil"/>
              <w:bottom w:val="single" w:sz="4" w:space="0" w:color="auto"/>
              <w:right w:val="single" w:sz="4" w:space="0" w:color="auto"/>
            </w:tcBorders>
            <w:shd w:val="clear" w:color="auto" w:fill="auto"/>
            <w:noWrap/>
            <w:vAlign w:val="center"/>
            <w:hideMark/>
          </w:tcPr>
          <w:p w14:paraId="536CDFE8"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161</w:t>
            </w:r>
          </w:p>
        </w:tc>
        <w:tc>
          <w:tcPr>
            <w:tcW w:w="1710" w:type="dxa"/>
            <w:tcBorders>
              <w:top w:val="nil"/>
              <w:left w:val="nil"/>
              <w:bottom w:val="single" w:sz="4" w:space="0" w:color="auto"/>
              <w:right w:val="single" w:sz="4" w:space="0" w:color="auto"/>
            </w:tcBorders>
            <w:shd w:val="clear" w:color="auto" w:fill="auto"/>
            <w:noWrap/>
            <w:vAlign w:val="center"/>
            <w:hideMark/>
          </w:tcPr>
          <w:p w14:paraId="12D6A52B" w14:textId="77777777" w:rsidR="00661352" w:rsidRPr="003C7831" w:rsidRDefault="00661352" w:rsidP="00282AF6">
            <w:pPr>
              <w:ind w:right="144"/>
              <w:jc w:val="right"/>
              <w:rPr>
                <w:kern w:val="22"/>
                <w:szCs w:val="22"/>
                <w:lang w:val="fr-CA" w:eastAsia="en-CA"/>
              </w:rPr>
            </w:pPr>
            <w:r w:rsidRPr="003C7831">
              <w:rPr>
                <w:kern w:val="22"/>
                <w:szCs w:val="22"/>
                <w:lang w:val="fr-CA" w:eastAsia="en-CA"/>
              </w:rPr>
              <w:t>20 352</w:t>
            </w:r>
          </w:p>
        </w:tc>
      </w:tr>
      <w:tr w:rsidR="00661352" w:rsidRPr="003C7831" w14:paraId="7D126FCB"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484750" w14:textId="43EF18ED" w:rsidR="00661352" w:rsidRPr="003C7831" w:rsidRDefault="00C95673" w:rsidP="00120F79">
            <w:pPr>
              <w:jc w:val="right"/>
              <w:rPr>
                <w:kern w:val="22"/>
                <w:szCs w:val="22"/>
                <w:lang w:val="fr-CA" w:eastAsia="en-CA"/>
              </w:rPr>
            </w:pPr>
            <w:r>
              <w:rPr>
                <w:kern w:val="22"/>
                <w:szCs w:val="22"/>
                <w:lang w:val="fr-CA" w:eastAsia="en-CA"/>
              </w:rPr>
              <w:t>83</w:t>
            </w:r>
          </w:p>
        </w:tc>
        <w:tc>
          <w:tcPr>
            <w:tcW w:w="3870" w:type="dxa"/>
            <w:tcBorders>
              <w:top w:val="nil"/>
              <w:left w:val="nil"/>
              <w:bottom w:val="single" w:sz="4" w:space="0" w:color="auto"/>
              <w:right w:val="single" w:sz="4" w:space="0" w:color="auto"/>
            </w:tcBorders>
            <w:shd w:val="clear" w:color="auto" w:fill="auto"/>
            <w:vAlign w:val="center"/>
            <w:hideMark/>
          </w:tcPr>
          <w:p w14:paraId="54E48427" w14:textId="77777777" w:rsidR="00661352" w:rsidRPr="003C7831" w:rsidRDefault="00661352" w:rsidP="00120F79">
            <w:pPr>
              <w:jc w:val="left"/>
              <w:rPr>
                <w:kern w:val="22"/>
                <w:szCs w:val="22"/>
                <w:lang w:val="fr-CA" w:eastAsia="en-CA"/>
              </w:rPr>
            </w:pPr>
            <w:r w:rsidRPr="003C7831">
              <w:rPr>
                <w:kern w:val="22"/>
                <w:szCs w:val="22"/>
                <w:lang w:val="fr-CA" w:eastAsia="en-CA"/>
              </w:rPr>
              <w:t>Irlande</w:t>
            </w:r>
          </w:p>
        </w:tc>
        <w:tc>
          <w:tcPr>
            <w:tcW w:w="1440" w:type="dxa"/>
            <w:tcBorders>
              <w:top w:val="nil"/>
              <w:left w:val="nil"/>
              <w:bottom w:val="single" w:sz="4" w:space="0" w:color="auto"/>
              <w:right w:val="single" w:sz="4" w:space="0" w:color="auto"/>
            </w:tcBorders>
            <w:shd w:val="clear" w:color="auto" w:fill="auto"/>
            <w:vAlign w:val="center"/>
            <w:hideMark/>
          </w:tcPr>
          <w:p w14:paraId="5DAEBFEE"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371</w:t>
            </w:r>
          </w:p>
        </w:tc>
        <w:tc>
          <w:tcPr>
            <w:tcW w:w="1620" w:type="dxa"/>
            <w:tcBorders>
              <w:top w:val="nil"/>
              <w:left w:val="nil"/>
              <w:bottom w:val="single" w:sz="4" w:space="0" w:color="auto"/>
              <w:right w:val="single" w:sz="4" w:space="0" w:color="auto"/>
            </w:tcBorders>
            <w:shd w:val="clear" w:color="auto" w:fill="auto"/>
            <w:noWrap/>
            <w:vAlign w:val="center"/>
            <w:hideMark/>
          </w:tcPr>
          <w:p w14:paraId="1405FFA8"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464</w:t>
            </w:r>
          </w:p>
        </w:tc>
        <w:tc>
          <w:tcPr>
            <w:tcW w:w="1710" w:type="dxa"/>
            <w:tcBorders>
              <w:top w:val="nil"/>
              <w:left w:val="nil"/>
              <w:bottom w:val="single" w:sz="4" w:space="0" w:color="auto"/>
              <w:right w:val="single" w:sz="4" w:space="0" w:color="auto"/>
            </w:tcBorders>
            <w:shd w:val="clear" w:color="auto" w:fill="auto"/>
            <w:noWrap/>
            <w:vAlign w:val="center"/>
            <w:hideMark/>
          </w:tcPr>
          <w:p w14:paraId="452D7C9D" w14:textId="77777777" w:rsidR="00661352" w:rsidRPr="003C7831" w:rsidRDefault="00661352" w:rsidP="00282AF6">
            <w:pPr>
              <w:ind w:right="144"/>
              <w:jc w:val="right"/>
              <w:rPr>
                <w:kern w:val="22"/>
                <w:szCs w:val="22"/>
                <w:lang w:val="fr-CA" w:eastAsia="en-CA"/>
              </w:rPr>
            </w:pPr>
            <w:r w:rsidRPr="003C7831">
              <w:rPr>
                <w:kern w:val="22"/>
                <w:szCs w:val="22"/>
                <w:lang w:val="fr-CA" w:eastAsia="en-CA"/>
              </w:rPr>
              <w:t>58 532</w:t>
            </w:r>
          </w:p>
        </w:tc>
      </w:tr>
      <w:tr w:rsidR="00661352" w:rsidRPr="003C7831" w14:paraId="323FC784"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57BA01" w14:textId="6E5B5A56" w:rsidR="00661352" w:rsidRPr="003C7831" w:rsidRDefault="00C95673" w:rsidP="00120F79">
            <w:pPr>
              <w:jc w:val="right"/>
              <w:rPr>
                <w:kern w:val="22"/>
                <w:szCs w:val="22"/>
                <w:lang w:val="fr-CA" w:eastAsia="en-CA"/>
              </w:rPr>
            </w:pPr>
            <w:r>
              <w:rPr>
                <w:kern w:val="22"/>
                <w:szCs w:val="22"/>
                <w:lang w:val="fr-CA" w:eastAsia="en-CA"/>
              </w:rPr>
              <w:t>84</w:t>
            </w:r>
          </w:p>
        </w:tc>
        <w:tc>
          <w:tcPr>
            <w:tcW w:w="3870" w:type="dxa"/>
            <w:tcBorders>
              <w:top w:val="nil"/>
              <w:left w:val="nil"/>
              <w:bottom w:val="single" w:sz="4" w:space="0" w:color="auto"/>
              <w:right w:val="single" w:sz="4" w:space="0" w:color="auto"/>
            </w:tcBorders>
            <w:shd w:val="clear" w:color="auto" w:fill="auto"/>
            <w:vAlign w:val="center"/>
            <w:hideMark/>
          </w:tcPr>
          <w:p w14:paraId="0B878A90" w14:textId="77777777" w:rsidR="00661352" w:rsidRPr="003C7831" w:rsidRDefault="00661352" w:rsidP="00120F79">
            <w:pPr>
              <w:jc w:val="left"/>
              <w:rPr>
                <w:kern w:val="22"/>
                <w:szCs w:val="22"/>
                <w:lang w:val="fr-CA" w:eastAsia="en-CA"/>
              </w:rPr>
            </w:pPr>
            <w:r w:rsidRPr="003C7831">
              <w:rPr>
                <w:kern w:val="22"/>
                <w:szCs w:val="22"/>
                <w:lang w:val="fr-CA" w:eastAsia="en-CA"/>
              </w:rPr>
              <w:t>Islande</w:t>
            </w:r>
          </w:p>
        </w:tc>
        <w:tc>
          <w:tcPr>
            <w:tcW w:w="1440" w:type="dxa"/>
            <w:tcBorders>
              <w:top w:val="nil"/>
              <w:left w:val="nil"/>
              <w:bottom w:val="single" w:sz="4" w:space="0" w:color="auto"/>
              <w:right w:val="single" w:sz="4" w:space="0" w:color="auto"/>
            </w:tcBorders>
            <w:shd w:val="clear" w:color="auto" w:fill="auto"/>
            <w:vAlign w:val="center"/>
            <w:hideMark/>
          </w:tcPr>
          <w:p w14:paraId="69DB73C0"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028</w:t>
            </w:r>
          </w:p>
        </w:tc>
        <w:tc>
          <w:tcPr>
            <w:tcW w:w="1620" w:type="dxa"/>
            <w:tcBorders>
              <w:top w:val="nil"/>
              <w:left w:val="nil"/>
              <w:bottom w:val="single" w:sz="4" w:space="0" w:color="auto"/>
              <w:right w:val="single" w:sz="4" w:space="0" w:color="auto"/>
            </w:tcBorders>
            <w:shd w:val="clear" w:color="auto" w:fill="auto"/>
            <w:noWrap/>
            <w:vAlign w:val="center"/>
            <w:hideMark/>
          </w:tcPr>
          <w:p w14:paraId="22F48ADB"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035</w:t>
            </w:r>
          </w:p>
        </w:tc>
        <w:tc>
          <w:tcPr>
            <w:tcW w:w="1710" w:type="dxa"/>
            <w:tcBorders>
              <w:top w:val="nil"/>
              <w:left w:val="nil"/>
              <w:bottom w:val="single" w:sz="4" w:space="0" w:color="auto"/>
              <w:right w:val="single" w:sz="4" w:space="0" w:color="auto"/>
            </w:tcBorders>
            <w:shd w:val="clear" w:color="auto" w:fill="auto"/>
            <w:noWrap/>
            <w:vAlign w:val="center"/>
            <w:hideMark/>
          </w:tcPr>
          <w:p w14:paraId="1A7FC1F0" w14:textId="77777777" w:rsidR="00661352" w:rsidRPr="003C7831" w:rsidRDefault="00661352" w:rsidP="00282AF6">
            <w:pPr>
              <w:ind w:right="144"/>
              <w:jc w:val="right"/>
              <w:rPr>
                <w:kern w:val="22"/>
                <w:szCs w:val="22"/>
                <w:lang w:val="fr-CA" w:eastAsia="en-CA"/>
              </w:rPr>
            </w:pPr>
            <w:r w:rsidRPr="003C7831">
              <w:rPr>
                <w:kern w:val="22"/>
                <w:szCs w:val="22"/>
                <w:lang w:val="fr-CA" w:eastAsia="en-CA"/>
              </w:rPr>
              <w:t>4 418</w:t>
            </w:r>
          </w:p>
        </w:tc>
      </w:tr>
      <w:tr w:rsidR="00661352" w:rsidRPr="003C7831" w14:paraId="2370278A"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D5D6B0" w14:textId="77777777" w:rsidR="00661352" w:rsidRPr="003C7831" w:rsidRDefault="00661352" w:rsidP="00120F79">
            <w:pPr>
              <w:jc w:val="right"/>
              <w:rPr>
                <w:kern w:val="22"/>
                <w:szCs w:val="22"/>
                <w:lang w:val="fr-CA" w:eastAsia="en-CA"/>
              </w:rPr>
            </w:pPr>
            <w:r w:rsidRPr="003C7831">
              <w:rPr>
                <w:kern w:val="22"/>
                <w:szCs w:val="22"/>
                <w:lang w:val="fr-CA" w:eastAsia="en-CA"/>
              </w:rPr>
              <w:t>85</w:t>
            </w:r>
          </w:p>
        </w:tc>
        <w:tc>
          <w:tcPr>
            <w:tcW w:w="3870" w:type="dxa"/>
            <w:tcBorders>
              <w:top w:val="nil"/>
              <w:left w:val="nil"/>
              <w:bottom w:val="single" w:sz="4" w:space="0" w:color="auto"/>
              <w:right w:val="single" w:sz="4" w:space="0" w:color="auto"/>
            </w:tcBorders>
            <w:shd w:val="clear" w:color="auto" w:fill="auto"/>
            <w:vAlign w:val="center"/>
            <w:hideMark/>
          </w:tcPr>
          <w:p w14:paraId="4D99FF92" w14:textId="77777777" w:rsidR="00661352" w:rsidRPr="003C7831" w:rsidRDefault="00661352" w:rsidP="00120F79">
            <w:pPr>
              <w:jc w:val="left"/>
              <w:rPr>
                <w:kern w:val="22"/>
                <w:szCs w:val="22"/>
                <w:lang w:val="fr-CA" w:eastAsia="en-CA"/>
              </w:rPr>
            </w:pPr>
            <w:r w:rsidRPr="003C7831">
              <w:rPr>
                <w:kern w:val="22"/>
                <w:szCs w:val="22"/>
                <w:lang w:val="fr-CA" w:eastAsia="en-CA"/>
              </w:rPr>
              <w:t>Israël</w:t>
            </w:r>
          </w:p>
        </w:tc>
        <w:tc>
          <w:tcPr>
            <w:tcW w:w="1440" w:type="dxa"/>
            <w:tcBorders>
              <w:top w:val="nil"/>
              <w:left w:val="nil"/>
              <w:bottom w:val="single" w:sz="4" w:space="0" w:color="auto"/>
              <w:right w:val="single" w:sz="4" w:space="0" w:color="auto"/>
            </w:tcBorders>
            <w:shd w:val="clear" w:color="auto" w:fill="auto"/>
            <w:vAlign w:val="center"/>
            <w:hideMark/>
          </w:tcPr>
          <w:p w14:paraId="27EE5184"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490</w:t>
            </w:r>
          </w:p>
        </w:tc>
        <w:tc>
          <w:tcPr>
            <w:tcW w:w="1620" w:type="dxa"/>
            <w:tcBorders>
              <w:top w:val="nil"/>
              <w:left w:val="nil"/>
              <w:bottom w:val="single" w:sz="4" w:space="0" w:color="auto"/>
              <w:right w:val="single" w:sz="4" w:space="0" w:color="auto"/>
            </w:tcBorders>
            <w:shd w:val="clear" w:color="auto" w:fill="auto"/>
            <w:noWrap/>
            <w:vAlign w:val="center"/>
            <w:hideMark/>
          </w:tcPr>
          <w:p w14:paraId="7CBA07BF"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613</w:t>
            </w:r>
          </w:p>
        </w:tc>
        <w:tc>
          <w:tcPr>
            <w:tcW w:w="1710" w:type="dxa"/>
            <w:tcBorders>
              <w:top w:val="nil"/>
              <w:left w:val="nil"/>
              <w:bottom w:val="single" w:sz="4" w:space="0" w:color="auto"/>
              <w:right w:val="single" w:sz="4" w:space="0" w:color="auto"/>
            </w:tcBorders>
            <w:shd w:val="clear" w:color="auto" w:fill="auto"/>
            <w:noWrap/>
            <w:vAlign w:val="center"/>
            <w:hideMark/>
          </w:tcPr>
          <w:p w14:paraId="07C81F94" w14:textId="77777777" w:rsidR="00661352" w:rsidRPr="003C7831" w:rsidRDefault="00661352" w:rsidP="00282AF6">
            <w:pPr>
              <w:ind w:right="144"/>
              <w:jc w:val="right"/>
              <w:rPr>
                <w:kern w:val="22"/>
                <w:szCs w:val="22"/>
                <w:lang w:val="fr-CA" w:eastAsia="en-CA"/>
              </w:rPr>
            </w:pPr>
            <w:r w:rsidRPr="003C7831">
              <w:rPr>
                <w:kern w:val="22"/>
                <w:szCs w:val="22"/>
                <w:lang w:val="fr-CA" w:eastAsia="en-CA"/>
              </w:rPr>
              <w:t>77 306</w:t>
            </w:r>
          </w:p>
        </w:tc>
      </w:tr>
      <w:tr w:rsidR="00661352" w:rsidRPr="003C7831" w14:paraId="2302D8F8"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A9AA82" w14:textId="77777777" w:rsidR="00661352" w:rsidRPr="003C7831" w:rsidRDefault="00661352" w:rsidP="00120F79">
            <w:pPr>
              <w:jc w:val="right"/>
              <w:rPr>
                <w:kern w:val="22"/>
                <w:szCs w:val="22"/>
                <w:lang w:val="fr-CA" w:eastAsia="en-CA"/>
              </w:rPr>
            </w:pPr>
            <w:r w:rsidRPr="003C7831">
              <w:rPr>
                <w:kern w:val="22"/>
                <w:szCs w:val="22"/>
                <w:lang w:val="fr-CA" w:eastAsia="en-CA"/>
              </w:rPr>
              <w:t>86</w:t>
            </w:r>
          </w:p>
        </w:tc>
        <w:tc>
          <w:tcPr>
            <w:tcW w:w="3870" w:type="dxa"/>
            <w:tcBorders>
              <w:top w:val="nil"/>
              <w:left w:val="nil"/>
              <w:bottom w:val="single" w:sz="4" w:space="0" w:color="auto"/>
              <w:right w:val="single" w:sz="4" w:space="0" w:color="auto"/>
            </w:tcBorders>
            <w:shd w:val="clear" w:color="auto" w:fill="auto"/>
            <w:vAlign w:val="center"/>
            <w:hideMark/>
          </w:tcPr>
          <w:p w14:paraId="27FEFABF" w14:textId="77777777" w:rsidR="00661352" w:rsidRPr="003C7831" w:rsidRDefault="00661352" w:rsidP="00120F79">
            <w:pPr>
              <w:jc w:val="left"/>
              <w:rPr>
                <w:kern w:val="22"/>
                <w:szCs w:val="22"/>
                <w:lang w:val="fr-CA" w:eastAsia="en-CA"/>
              </w:rPr>
            </w:pPr>
            <w:r w:rsidRPr="003C7831">
              <w:rPr>
                <w:kern w:val="22"/>
                <w:szCs w:val="22"/>
                <w:lang w:val="fr-CA" w:eastAsia="en-CA"/>
              </w:rPr>
              <w:t>Italie</w:t>
            </w:r>
          </w:p>
        </w:tc>
        <w:tc>
          <w:tcPr>
            <w:tcW w:w="1440" w:type="dxa"/>
            <w:tcBorders>
              <w:top w:val="nil"/>
              <w:left w:val="nil"/>
              <w:bottom w:val="single" w:sz="4" w:space="0" w:color="auto"/>
              <w:right w:val="single" w:sz="4" w:space="0" w:color="auto"/>
            </w:tcBorders>
            <w:shd w:val="clear" w:color="auto" w:fill="auto"/>
            <w:vAlign w:val="center"/>
            <w:hideMark/>
          </w:tcPr>
          <w:p w14:paraId="7BE629BB" w14:textId="77777777" w:rsidR="00661352" w:rsidRPr="003C7831" w:rsidRDefault="00661352" w:rsidP="00282AF6">
            <w:pPr>
              <w:ind w:right="144"/>
              <w:jc w:val="right"/>
              <w:rPr>
                <w:kern w:val="22"/>
                <w:szCs w:val="22"/>
                <w:lang w:val="fr-CA" w:eastAsia="en-CA"/>
              </w:rPr>
            </w:pPr>
            <w:r w:rsidRPr="003C7831">
              <w:rPr>
                <w:kern w:val="22"/>
                <w:szCs w:val="22"/>
                <w:lang w:val="fr-CA" w:eastAsia="en-CA"/>
              </w:rPr>
              <w:t>3</w:t>
            </w:r>
            <w:r>
              <w:rPr>
                <w:kern w:val="22"/>
                <w:szCs w:val="22"/>
                <w:lang w:val="fr-CA" w:eastAsia="en-CA"/>
              </w:rPr>
              <w:t>,</w:t>
            </w:r>
            <w:r w:rsidRPr="003C7831">
              <w:rPr>
                <w:kern w:val="22"/>
                <w:szCs w:val="22"/>
                <w:lang w:val="fr-CA" w:eastAsia="en-CA"/>
              </w:rPr>
              <w:t>307</w:t>
            </w:r>
          </w:p>
        </w:tc>
        <w:tc>
          <w:tcPr>
            <w:tcW w:w="1620" w:type="dxa"/>
            <w:tcBorders>
              <w:top w:val="nil"/>
              <w:left w:val="nil"/>
              <w:bottom w:val="single" w:sz="4" w:space="0" w:color="auto"/>
              <w:right w:val="single" w:sz="4" w:space="0" w:color="auto"/>
            </w:tcBorders>
            <w:shd w:val="clear" w:color="auto" w:fill="auto"/>
            <w:noWrap/>
            <w:vAlign w:val="center"/>
            <w:hideMark/>
          </w:tcPr>
          <w:p w14:paraId="47DBDB8D" w14:textId="77777777" w:rsidR="00661352" w:rsidRPr="003C7831" w:rsidRDefault="00661352" w:rsidP="00282AF6">
            <w:pPr>
              <w:ind w:right="144"/>
              <w:jc w:val="right"/>
              <w:rPr>
                <w:kern w:val="22"/>
                <w:szCs w:val="22"/>
                <w:lang w:val="fr-CA" w:eastAsia="en-CA"/>
              </w:rPr>
            </w:pPr>
            <w:r w:rsidRPr="003C7831">
              <w:rPr>
                <w:kern w:val="22"/>
                <w:szCs w:val="22"/>
                <w:lang w:val="fr-CA" w:eastAsia="en-CA"/>
              </w:rPr>
              <w:t>4</w:t>
            </w:r>
            <w:r>
              <w:rPr>
                <w:kern w:val="22"/>
                <w:szCs w:val="22"/>
                <w:lang w:val="fr-CA" w:eastAsia="en-CA"/>
              </w:rPr>
              <w:t>,</w:t>
            </w:r>
            <w:r w:rsidRPr="003C7831">
              <w:rPr>
                <w:kern w:val="22"/>
                <w:szCs w:val="22"/>
                <w:lang w:val="fr-CA" w:eastAsia="en-CA"/>
              </w:rPr>
              <w:t>134</w:t>
            </w:r>
          </w:p>
        </w:tc>
        <w:tc>
          <w:tcPr>
            <w:tcW w:w="1710" w:type="dxa"/>
            <w:tcBorders>
              <w:top w:val="nil"/>
              <w:left w:val="nil"/>
              <w:bottom w:val="single" w:sz="4" w:space="0" w:color="auto"/>
              <w:right w:val="single" w:sz="4" w:space="0" w:color="auto"/>
            </w:tcBorders>
            <w:shd w:val="clear" w:color="auto" w:fill="auto"/>
            <w:noWrap/>
            <w:vAlign w:val="center"/>
            <w:hideMark/>
          </w:tcPr>
          <w:p w14:paraId="58828A5C" w14:textId="77777777" w:rsidR="00661352" w:rsidRPr="003C7831" w:rsidRDefault="00661352" w:rsidP="00282AF6">
            <w:pPr>
              <w:ind w:right="144"/>
              <w:jc w:val="right"/>
              <w:rPr>
                <w:kern w:val="22"/>
                <w:szCs w:val="22"/>
                <w:lang w:val="fr-CA" w:eastAsia="en-CA"/>
              </w:rPr>
            </w:pPr>
            <w:r w:rsidRPr="003C7831">
              <w:rPr>
                <w:kern w:val="22"/>
                <w:szCs w:val="22"/>
                <w:lang w:val="fr-CA" w:eastAsia="en-CA"/>
              </w:rPr>
              <w:t>521 739</w:t>
            </w:r>
          </w:p>
        </w:tc>
      </w:tr>
      <w:tr w:rsidR="00661352" w:rsidRPr="003C7831" w14:paraId="297F246A"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4A6B00" w14:textId="77777777" w:rsidR="00661352" w:rsidRPr="003C7831" w:rsidRDefault="00661352" w:rsidP="00120F79">
            <w:pPr>
              <w:jc w:val="right"/>
              <w:rPr>
                <w:kern w:val="22"/>
                <w:szCs w:val="22"/>
                <w:lang w:val="fr-CA" w:eastAsia="en-CA"/>
              </w:rPr>
            </w:pPr>
            <w:r w:rsidRPr="003C7831">
              <w:rPr>
                <w:kern w:val="22"/>
                <w:szCs w:val="22"/>
                <w:lang w:val="fr-CA" w:eastAsia="en-CA"/>
              </w:rPr>
              <w:t>87</w:t>
            </w:r>
          </w:p>
        </w:tc>
        <w:tc>
          <w:tcPr>
            <w:tcW w:w="3870" w:type="dxa"/>
            <w:tcBorders>
              <w:top w:val="nil"/>
              <w:left w:val="nil"/>
              <w:bottom w:val="single" w:sz="4" w:space="0" w:color="auto"/>
              <w:right w:val="single" w:sz="4" w:space="0" w:color="auto"/>
            </w:tcBorders>
            <w:shd w:val="clear" w:color="auto" w:fill="auto"/>
            <w:vAlign w:val="center"/>
            <w:hideMark/>
          </w:tcPr>
          <w:p w14:paraId="24F7AEBA" w14:textId="77777777" w:rsidR="00661352" w:rsidRPr="003C7831" w:rsidRDefault="00661352" w:rsidP="00120F79">
            <w:pPr>
              <w:jc w:val="left"/>
              <w:rPr>
                <w:kern w:val="22"/>
                <w:szCs w:val="22"/>
                <w:lang w:val="fr-CA" w:eastAsia="en-CA"/>
              </w:rPr>
            </w:pPr>
            <w:r w:rsidRPr="003C7831">
              <w:rPr>
                <w:kern w:val="22"/>
                <w:szCs w:val="22"/>
                <w:lang w:val="fr-CA" w:eastAsia="en-CA"/>
              </w:rPr>
              <w:t>Jamaïque</w:t>
            </w:r>
          </w:p>
        </w:tc>
        <w:tc>
          <w:tcPr>
            <w:tcW w:w="1440" w:type="dxa"/>
            <w:tcBorders>
              <w:top w:val="nil"/>
              <w:left w:val="nil"/>
              <w:bottom w:val="single" w:sz="4" w:space="0" w:color="auto"/>
              <w:right w:val="single" w:sz="4" w:space="0" w:color="auto"/>
            </w:tcBorders>
            <w:shd w:val="clear" w:color="auto" w:fill="auto"/>
            <w:vAlign w:val="center"/>
            <w:hideMark/>
          </w:tcPr>
          <w:p w14:paraId="4CF6D33C"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008</w:t>
            </w:r>
          </w:p>
        </w:tc>
        <w:tc>
          <w:tcPr>
            <w:tcW w:w="1620" w:type="dxa"/>
            <w:tcBorders>
              <w:top w:val="nil"/>
              <w:left w:val="nil"/>
              <w:bottom w:val="single" w:sz="4" w:space="0" w:color="auto"/>
              <w:right w:val="single" w:sz="4" w:space="0" w:color="auto"/>
            </w:tcBorders>
            <w:shd w:val="clear" w:color="auto" w:fill="auto"/>
            <w:noWrap/>
            <w:vAlign w:val="center"/>
            <w:hideMark/>
          </w:tcPr>
          <w:p w14:paraId="34129172"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010</w:t>
            </w:r>
          </w:p>
        </w:tc>
        <w:tc>
          <w:tcPr>
            <w:tcW w:w="1710" w:type="dxa"/>
            <w:tcBorders>
              <w:top w:val="nil"/>
              <w:left w:val="nil"/>
              <w:bottom w:val="single" w:sz="4" w:space="0" w:color="auto"/>
              <w:right w:val="single" w:sz="4" w:space="0" w:color="auto"/>
            </w:tcBorders>
            <w:shd w:val="clear" w:color="auto" w:fill="auto"/>
            <w:noWrap/>
            <w:vAlign w:val="center"/>
            <w:hideMark/>
          </w:tcPr>
          <w:p w14:paraId="4762846D" w14:textId="77777777" w:rsidR="00661352" w:rsidRPr="003C7831" w:rsidRDefault="00661352" w:rsidP="00282AF6">
            <w:pPr>
              <w:ind w:right="144"/>
              <w:jc w:val="right"/>
              <w:rPr>
                <w:kern w:val="22"/>
                <w:szCs w:val="22"/>
                <w:lang w:val="fr-CA" w:eastAsia="en-CA"/>
              </w:rPr>
            </w:pPr>
            <w:r w:rsidRPr="003C7831">
              <w:rPr>
                <w:kern w:val="22"/>
                <w:szCs w:val="22"/>
                <w:lang w:val="fr-CA" w:eastAsia="en-CA"/>
              </w:rPr>
              <w:t>1 262</w:t>
            </w:r>
          </w:p>
        </w:tc>
      </w:tr>
      <w:tr w:rsidR="00661352" w:rsidRPr="003C7831" w14:paraId="72B8B87C"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A4AFAE" w14:textId="77777777" w:rsidR="00661352" w:rsidRPr="003C7831" w:rsidRDefault="00661352" w:rsidP="00120F79">
            <w:pPr>
              <w:jc w:val="right"/>
              <w:rPr>
                <w:kern w:val="22"/>
                <w:szCs w:val="22"/>
                <w:lang w:val="fr-CA" w:eastAsia="en-CA"/>
              </w:rPr>
            </w:pPr>
            <w:r w:rsidRPr="003C7831">
              <w:rPr>
                <w:kern w:val="22"/>
                <w:szCs w:val="22"/>
                <w:lang w:val="fr-CA" w:eastAsia="en-CA"/>
              </w:rPr>
              <w:t>88</w:t>
            </w:r>
          </w:p>
        </w:tc>
        <w:tc>
          <w:tcPr>
            <w:tcW w:w="3870" w:type="dxa"/>
            <w:tcBorders>
              <w:top w:val="nil"/>
              <w:left w:val="nil"/>
              <w:bottom w:val="single" w:sz="4" w:space="0" w:color="auto"/>
              <w:right w:val="single" w:sz="4" w:space="0" w:color="auto"/>
            </w:tcBorders>
            <w:shd w:val="clear" w:color="auto" w:fill="auto"/>
            <w:vAlign w:val="center"/>
            <w:hideMark/>
          </w:tcPr>
          <w:p w14:paraId="01F47065" w14:textId="77777777" w:rsidR="00661352" w:rsidRPr="003C7831" w:rsidRDefault="00661352" w:rsidP="00120F79">
            <w:pPr>
              <w:jc w:val="left"/>
              <w:rPr>
                <w:kern w:val="22"/>
                <w:szCs w:val="22"/>
                <w:lang w:val="fr-CA" w:eastAsia="en-CA"/>
              </w:rPr>
            </w:pPr>
            <w:r w:rsidRPr="003C7831">
              <w:rPr>
                <w:kern w:val="22"/>
                <w:szCs w:val="22"/>
                <w:lang w:val="fr-CA" w:eastAsia="en-CA"/>
              </w:rPr>
              <w:t>Japon</w:t>
            </w:r>
          </w:p>
        </w:tc>
        <w:tc>
          <w:tcPr>
            <w:tcW w:w="1440" w:type="dxa"/>
            <w:tcBorders>
              <w:top w:val="nil"/>
              <w:left w:val="nil"/>
              <w:bottom w:val="single" w:sz="4" w:space="0" w:color="auto"/>
              <w:right w:val="single" w:sz="4" w:space="0" w:color="auto"/>
            </w:tcBorders>
            <w:shd w:val="clear" w:color="auto" w:fill="auto"/>
            <w:vAlign w:val="center"/>
            <w:hideMark/>
          </w:tcPr>
          <w:p w14:paraId="19887F6D" w14:textId="77777777" w:rsidR="00661352" w:rsidRPr="003C7831" w:rsidRDefault="00661352" w:rsidP="00282AF6">
            <w:pPr>
              <w:ind w:right="144"/>
              <w:jc w:val="right"/>
              <w:rPr>
                <w:kern w:val="22"/>
                <w:szCs w:val="22"/>
                <w:lang w:val="fr-CA" w:eastAsia="en-CA"/>
              </w:rPr>
            </w:pPr>
            <w:r w:rsidRPr="003C7831">
              <w:rPr>
                <w:kern w:val="22"/>
                <w:szCs w:val="22"/>
                <w:lang w:val="fr-CA" w:eastAsia="en-CA"/>
              </w:rPr>
              <w:t>8</w:t>
            </w:r>
            <w:r>
              <w:rPr>
                <w:kern w:val="22"/>
                <w:szCs w:val="22"/>
                <w:lang w:val="fr-CA" w:eastAsia="en-CA"/>
              </w:rPr>
              <w:t>,</w:t>
            </w:r>
            <w:r w:rsidRPr="003C7831">
              <w:rPr>
                <w:kern w:val="22"/>
                <w:szCs w:val="22"/>
                <w:lang w:val="fr-CA" w:eastAsia="en-CA"/>
              </w:rPr>
              <w:t>564</w:t>
            </w:r>
          </w:p>
        </w:tc>
        <w:tc>
          <w:tcPr>
            <w:tcW w:w="1620" w:type="dxa"/>
            <w:tcBorders>
              <w:top w:val="nil"/>
              <w:left w:val="nil"/>
              <w:bottom w:val="single" w:sz="4" w:space="0" w:color="auto"/>
              <w:right w:val="single" w:sz="4" w:space="0" w:color="auto"/>
            </w:tcBorders>
            <w:shd w:val="clear" w:color="auto" w:fill="auto"/>
            <w:noWrap/>
            <w:vAlign w:val="center"/>
            <w:hideMark/>
          </w:tcPr>
          <w:p w14:paraId="248D3CF0" w14:textId="77777777" w:rsidR="00661352" w:rsidRPr="003C7831" w:rsidRDefault="00661352" w:rsidP="00282AF6">
            <w:pPr>
              <w:ind w:right="144"/>
              <w:jc w:val="right"/>
              <w:rPr>
                <w:kern w:val="22"/>
                <w:szCs w:val="22"/>
                <w:lang w:val="fr-CA" w:eastAsia="en-CA"/>
              </w:rPr>
            </w:pPr>
            <w:r w:rsidRPr="003C7831">
              <w:rPr>
                <w:kern w:val="22"/>
                <w:szCs w:val="22"/>
                <w:lang w:val="fr-CA" w:eastAsia="en-CA"/>
              </w:rPr>
              <w:t>10</w:t>
            </w:r>
            <w:r>
              <w:rPr>
                <w:kern w:val="22"/>
                <w:szCs w:val="22"/>
                <w:lang w:val="fr-CA" w:eastAsia="en-CA"/>
              </w:rPr>
              <w:t>,</w:t>
            </w:r>
            <w:r w:rsidRPr="003C7831">
              <w:rPr>
                <w:kern w:val="22"/>
                <w:szCs w:val="22"/>
                <w:lang w:val="fr-CA" w:eastAsia="en-CA"/>
              </w:rPr>
              <w:t>707</w:t>
            </w:r>
          </w:p>
        </w:tc>
        <w:tc>
          <w:tcPr>
            <w:tcW w:w="1710" w:type="dxa"/>
            <w:tcBorders>
              <w:top w:val="nil"/>
              <w:left w:val="nil"/>
              <w:bottom w:val="single" w:sz="4" w:space="0" w:color="auto"/>
              <w:right w:val="single" w:sz="4" w:space="0" w:color="auto"/>
            </w:tcBorders>
            <w:shd w:val="clear" w:color="auto" w:fill="auto"/>
            <w:noWrap/>
            <w:vAlign w:val="center"/>
            <w:hideMark/>
          </w:tcPr>
          <w:p w14:paraId="5967807A" w14:textId="77777777" w:rsidR="00661352" w:rsidRPr="003C7831" w:rsidRDefault="00661352" w:rsidP="00282AF6">
            <w:pPr>
              <w:ind w:right="144"/>
              <w:jc w:val="right"/>
              <w:rPr>
                <w:kern w:val="22"/>
                <w:szCs w:val="22"/>
                <w:lang w:val="fr-CA" w:eastAsia="en-CA"/>
              </w:rPr>
            </w:pPr>
            <w:r w:rsidRPr="003C7831">
              <w:rPr>
                <w:kern w:val="22"/>
                <w:szCs w:val="22"/>
                <w:lang w:val="fr-CA" w:eastAsia="en-CA"/>
              </w:rPr>
              <w:t>1 351 127</w:t>
            </w:r>
          </w:p>
        </w:tc>
      </w:tr>
      <w:tr w:rsidR="00661352" w:rsidRPr="003C7831" w14:paraId="1510DC48"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8A6A07" w14:textId="77777777" w:rsidR="00661352" w:rsidRPr="003C7831" w:rsidRDefault="00661352" w:rsidP="00120F79">
            <w:pPr>
              <w:jc w:val="right"/>
              <w:rPr>
                <w:kern w:val="22"/>
                <w:szCs w:val="22"/>
                <w:lang w:val="fr-CA" w:eastAsia="en-CA"/>
              </w:rPr>
            </w:pPr>
            <w:r w:rsidRPr="003C7831">
              <w:rPr>
                <w:kern w:val="22"/>
                <w:szCs w:val="22"/>
                <w:lang w:val="fr-CA" w:eastAsia="en-CA"/>
              </w:rPr>
              <w:t>89</w:t>
            </w:r>
          </w:p>
        </w:tc>
        <w:tc>
          <w:tcPr>
            <w:tcW w:w="3870" w:type="dxa"/>
            <w:tcBorders>
              <w:top w:val="nil"/>
              <w:left w:val="nil"/>
              <w:bottom w:val="single" w:sz="4" w:space="0" w:color="auto"/>
              <w:right w:val="single" w:sz="4" w:space="0" w:color="auto"/>
            </w:tcBorders>
            <w:shd w:val="clear" w:color="auto" w:fill="auto"/>
            <w:vAlign w:val="center"/>
            <w:hideMark/>
          </w:tcPr>
          <w:p w14:paraId="6012677B" w14:textId="77777777" w:rsidR="00661352" w:rsidRPr="003C7831" w:rsidRDefault="00661352" w:rsidP="00120F79">
            <w:pPr>
              <w:jc w:val="left"/>
              <w:rPr>
                <w:kern w:val="22"/>
                <w:szCs w:val="22"/>
                <w:lang w:val="fr-CA" w:eastAsia="en-CA"/>
              </w:rPr>
            </w:pPr>
            <w:r w:rsidRPr="003C7831">
              <w:rPr>
                <w:kern w:val="22"/>
                <w:szCs w:val="22"/>
                <w:lang w:val="fr-CA" w:eastAsia="en-CA"/>
              </w:rPr>
              <w:t>Jordanie</w:t>
            </w:r>
          </w:p>
        </w:tc>
        <w:tc>
          <w:tcPr>
            <w:tcW w:w="1440" w:type="dxa"/>
            <w:tcBorders>
              <w:top w:val="nil"/>
              <w:left w:val="nil"/>
              <w:bottom w:val="single" w:sz="4" w:space="0" w:color="auto"/>
              <w:right w:val="single" w:sz="4" w:space="0" w:color="auto"/>
            </w:tcBorders>
            <w:shd w:val="clear" w:color="auto" w:fill="auto"/>
            <w:vAlign w:val="center"/>
            <w:hideMark/>
          </w:tcPr>
          <w:p w14:paraId="3D18CAD3"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021</w:t>
            </w:r>
          </w:p>
        </w:tc>
        <w:tc>
          <w:tcPr>
            <w:tcW w:w="1620" w:type="dxa"/>
            <w:tcBorders>
              <w:top w:val="nil"/>
              <w:left w:val="nil"/>
              <w:bottom w:val="single" w:sz="4" w:space="0" w:color="auto"/>
              <w:right w:val="single" w:sz="4" w:space="0" w:color="auto"/>
            </w:tcBorders>
            <w:shd w:val="clear" w:color="auto" w:fill="auto"/>
            <w:noWrap/>
            <w:vAlign w:val="center"/>
            <w:hideMark/>
          </w:tcPr>
          <w:p w14:paraId="7B29E521"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026</w:t>
            </w:r>
          </w:p>
        </w:tc>
        <w:tc>
          <w:tcPr>
            <w:tcW w:w="1710" w:type="dxa"/>
            <w:tcBorders>
              <w:top w:val="nil"/>
              <w:left w:val="nil"/>
              <w:bottom w:val="single" w:sz="4" w:space="0" w:color="auto"/>
              <w:right w:val="single" w:sz="4" w:space="0" w:color="auto"/>
            </w:tcBorders>
            <w:shd w:val="clear" w:color="auto" w:fill="auto"/>
            <w:noWrap/>
            <w:vAlign w:val="center"/>
            <w:hideMark/>
          </w:tcPr>
          <w:p w14:paraId="11481316" w14:textId="77777777" w:rsidR="00661352" w:rsidRPr="003C7831" w:rsidRDefault="00661352" w:rsidP="00282AF6">
            <w:pPr>
              <w:ind w:right="144"/>
              <w:jc w:val="right"/>
              <w:rPr>
                <w:kern w:val="22"/>
                <w:szCs w:val="22"/>
                <w:lang w:val="fr-CA" w:eastAsia="en-CA"/>
              </w:rPr>
            </w:pPr>
            <w:r w:rsidRPr="003C7831">
              <w:rPr>
                <w:kern w:val="22"/>
                <w:szCs w:val="22"/>
                <w:lang w:val="fr-CA" w:eastAsia="en-CA"/>
              </w:rPr>
              <w:t>3 313</w:t>
            </w:r>
          </w:p>
        </w:tc>
      </w:tr>
      <w:tr w:rsidR="00661352" w:rsidRPr="003C7831" w14:paraId="6F0CF4F5"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DF6CDB" w14:textId="77777777" w:rsidR="00661352" w:rsidRPr="003C7831" w:rsidRDefault="00661352" w:rsidP="00120F79">
            <w:pPr>
              <w:jc w:val="right"/>
              <w:rPr>
                <w:kern w:val="22"/>
                <w:szCs w:val="22"/>
                <w:lang w:val="fr-CA" w:eastAsia="en-CA"/>
              </w:rPr>
            </w:pPr>
            <w:r w:rsidRPr="003C7831">
              <w:rPr>
                <w:kern w:val="22"/>
                <w:szCs w:val="22"/>
                <w:lang w:val="fr-CA" w:eastAsia="en-CA"/>
              </w:rPr>
              <w:t>90</w:t>
            </w:r>
          </w:p>
        </w:tc>
        <w:tc>
          <w:tcPr>
            <w:tcW w:w="3870" w:type="dxa"/>
            <w:tcBorders>
              <w:top w:val="nil"/>
              <w:left w:val="nil"/>
              <w:bottom w:val="single" w:sz="4" w:space="0" w:color="auto"/>
              <w:right w:val="single" w:sz="4" w:space="0" w:color="auto"/>
            </w:tcBorders>
            <w:shd w:val="clear" w:color="auto" w:fill="auto"/>
            <w:vAlign w:val="center"/>
            <w:hideMark/>
          </w:tcPr>
          <w:p w14:paraId="105FD7F7" w14:textId="77777777" w:rsidR="00661352" w:rsidRPr="003C7831" w:rsidRDefault="00661352" w:rsidP="00120F79">
            <w:pPr>
              <w:jc w:val="left"/>
              <w:rPr>
                <w:kern w:val="22"/>
                <w:szCs w:val="22"/>
                <w:lang w:val="fr-CA" w:eastAsia="en-CA"/>
              </w:rPr>
            </w:pPr>
            <w:r w:rsidRPr="003C7831">
              <w:rPr>
                <w:kern w:val="22"/>
                <w:szCs w:val="22"/>
                <w:lang w:val="fr-CA" w:eastAsia="en-CA"/>
              </w:rPr>
              <w:t>Kazakhstan</w:t>
            </w:r>
          </w:p>
        </w:tc>
        <w:tc>
          <w:tcPr>
            <w:tcW w:w="1440" w:type="dxa"/>
            <w:tcBorders>
              <w:top w:val="nil"/>
              <w:left w:val="nil"/>
              <w:bottom w:val="single" w:sz="4" w:space="0" w:color="auto"/>
              <w:right w:val="single" w:sz="4" w:space="0" w:color="auto"/>
            </w:tcBorders>
            <w:shd w:val="clear" w:color="auto" w:fill="auto"/>
            <w:vAlign w:val="center"/>
            <w:hideMark/>
          </w:tcPr>
          <w:p w14:paraId="47ECE05E"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178</w:t>
            </w:r>
          </w:p>
        </w:tc>
        <w:tc>
          <w:tcPr>
            <w:tcW w:w="1620" w:type="dxa"/>
            <w:tcBorders>
              <w:top w:val="nil"/>
              <w:left w:val="nil"/>
              <w:bottom w:val="single" w:sz="4" w:space="0" w:color="auto"/>
              <w:right w:val="single" w:sz="4" w:space="0" w:color="auto"/>
            </w:tcBorders>
            <w:shd w:val="clear" w:color="auto" w:fill="auto"/>
            <w:noWrap/>
            <w:vAlign w:val="center"/>
            <w:hideMark/>
          </w:tcPr>
          <w:p w14:paraId="6568547B"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223</w:t>
            </w:r>
          </w:p>
        </w:tc>
        <w:tc>
          <w:tcPr>
            <w:tcW w:w="1710" w:type="dxa"/>
            <w:tcBorders>
              <w:top w:val="nil"/>
              <w:left w:val="nil"/>
              <w:bottom w:val="single" w:sz="4" w:space="0" w:color="auto"/>
              <w:right w:val="single" w:sz="4" w:space="0" w:color="auto"/>
            </w:tcBorders>
            <w:shd w:val="clear" w:color="auto" w:fill="auto"/>
            <w:noWrap/>
            <w:vAlign w:val="center"/>
            <w:hideMark/>
          </w:tcPr>
          <w:p w14:paraId="6E7DE6D2" w14:textId="77777777" w:rsidR="00661352" w:rsidRPr="003C7831" w:rsidRDefault="00661352" w:rsidP="00282AF6">
            <w:pPr>
              <w:ind w:right="144"/>
              <w:jc w:val="right"/>
              <w:rPr>
                <w:kern w:val="22"/>
                <w:szCs w:val="22"/>
                <w:lang w:val="fr-CA" w:eastAsia="en-CA"/>
              </w:rPr>
            </w:pPr>
            <w:r w:rsidRPr="003C7831">
              <w:rPr>
                <w:kern w:val="22"/>
                <w:szCs w:val="22"/>
                <w:lang w:val="fr-CA" w:eastAsia="en-CA"/>
              </w:rPr>
              <w:t>28 083</w:t>
            </w:r>
          </w:p>
        </w:tc>
      </w:tr>
      <w:tr w:rsidR="00661352" w:rsidRPr="003C7831" w14:paraId="2EE480AF"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1E3FC8" w14:textId="77777777" w:rsidR="00661352" w:rsidRPr="003C7831" w:rsidRDefault="00661352" w:rsidP="00120F79">
            <w:pPr>
              <w:jc w:val="right"/>
              <w:rPr>
                <w:kern w:val="22"/>
                <w:szCs w:val="22"/>
                <w:lang w:val="fr-CA" w:eastAsia="en-CA"/>
              </w:rPr>
            </w:pPr>
            <w:r w:rsidRPr="003C7831">
              <w:rPr>
                <w:kern w:val="22"/>
                <w:szCs w:val="22"/>
                <w:lang w:val="fr-CA" w:eastAsia="en-CA"/>
              </w:rPr>
              <w:t>91</w:t>
            </w:r>
          </w:p>
        </w:tc>
        <w:tc>
          <w:tcPr>
            <w:tcW w:w="3870" w:type="dxa"/>
            <w:tcBorders>
              <w:top w:val="nil"/>
              <w:left w:val="nil"/>
              <w:bottom w:val="single" w:sz="4" w:space="0" w:color="auto"/>
              <w:right w:val="single" w:sz="4" w:space="0" w:color="auto"/>
            </w:tcBorders>
            <w:shd w:val="clear" w:color="auto" w:fill="auto"/>
            <w:vAlign w:val="center"/>
            <w:hideMark/>
          </w:tcPr>
          <w:p w14:paraId="2681C156" w14:textId="77777777" w:rsidR="00661352" w:rsidRPr="003C7831" w:rsidRDefault="00661352" w:rsidP="00120F79">
            <w:pPr>
              <w:jc w:val="left"/>
              <w:rPr>
                <w:kern w:val="22"/>
                <w:szCs w:val="22"/>
                <w:lang w:val="fr-CA" w:eastAsia="en-CA"/>
              </w:rPr>
            </w:pPr>
            <w:r w:rsidRPr="003C7831">
              <w:rPr>
                <w:kern w:val="22"/>
                <w:szCs w:val="22"/>
                <w:lang w:val="fr-CA" w:eastAsia="en-CA"/>
              </w:rPr>
              <w:t>Kenya</w:t>
            </w:r>
          </w:p>
        </w:tc>
        <w:tc>
          <w:tcPr>
            <w:tcW w:w="1440" w:type="dxa"/>
            <w:tcBorders>
              <w:top w:val="nil"/>
              <w:left w:val="nil"/>
              <w:bottom w:val="single" w:sz="4" w:space="0" w:color="auto"/>
              <w:right w:val="single" w:sz="4" w:space="0" w:color="auto"/>
            </w:tcBorders>
            <w:shd w:val="clear" w:color="auto" w:fill="auto"/>
            <w:vAlign w:val="center"/>
            <w:hideMark/>
          </w:tcPr>
          <w:p w14:paraId="5AE2C660"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024</w:t>
            </w:r>
          </w:p>
        </w:tc>
        <w:tc>
          <w:tcPr>
            <w:tcW w:w="1620" w:type="dxa"/>
            <w:tcBorders>
              <w:top w:val="nil"/>
              <w:left w:val="nil"/>
              <w:bottom w:val="single" w:sz="4" w:space="0" w:color="auto"/>
              <w:right w:val="single" w:sz="4" w:space="0" w:color="auto"/>
            </w:tcBorders>
            <w:shd w:val="clear" w:color="auto" w:fill="auto"/>
            <w:noWrap/>
            <w:vAlign w:val="center"/>
            <w:hideMark/>
          </w:tcPr>
          <w:p w14:paraId="48E12B50"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030</w:t>
            </w:r>
          </w:p>
        </w:tc>
        <w:tc>
          <w:tcPr>
            <w:tcW w:w="1710" w:type="dxa"/>
            <w:tcBorders>
              <w:top w:val="nil"/>
              <w:left w:val="nil"/>
              <w:bottom w:val="single" w:sz="4" w:space="0" w:color="auto"/>
              <w:right w:val="single" w:sz="4" w:space="0" w:color="auto"/>
            </w:tcBorders>
            <w:shd w:val="clear" w:color="auto" w:fill="auto"/>
            <w:noWrap/>
            <w:vAlign w:val="center"/>
            <w:hideMark/>
          </w:tcPr>
          <w:p w14:paraId="01477F1F" w14:textId="77777777" w:rsidR="00661352" w:rsidRPr="003C7831" w:rsidRDefault="00661352" w:rsidP="00282AF6">
            <w:pPr>
              <w:ind w:right="144"/>
              <w:jc w:val="right"/>
              <w:rPr>
                <w:kern w:val="22"/>
                <w:szCs w:val="22"/>
                <w:lang w:val="fr-CA" w:eastAsia="en-CA"/>
              </w:rPr>
            </w:pPr>
            <w:r w:rsidRPr="003C7831">
              <w:rPr>
                <w:kern w:val="22"/>
                <w:szCs w:val="22"/>
                <w:lang w:val="fr-CA" w:eastAsia="en-CA"/>
              </w:rPr>
              <w:t>3 786</w:t>
            </w:r>
          </w:p>
        </w:tc>
      </w:tr>
      <w:tr w:rsidR="00661352" w:rsidRPr="003C7831" w14:paraId="478AE5D5"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298ACD" w14:textId="08F2C1B3" w:rsidR="00661352" w:rsidRPr="003C7831" w:rsidRDefault="00C95673" w:rsidP="00120F79">
            <w:pPr>
              <w:jc w:val="right"/>
              <w:rPr>
                <w:kern w:val="22"/>
                <w:szCs w:val="22"/>
                <w:lang w:val="fr-CA" w:eastAsia="en-CA"/>
              </w:rPr>
            </w:pPr>
            <w:r>
              <w:rPr>
                <w:kern w:val="22"/>
                <w:szCs w:val="22"/>
                <w:lang w:val="fr-CA" w:eastAsia="en-CA"/>
              </w:rPr>
              <w:t>92</w:t>
            </w:r>
          </w:p>
        </w:tc>
        <w:tc>
          <w:tcPr>
            <w:tcW w:w="3870" w:type="dxa"/>
            <w:tcBorders>
              <w:top w:val="nil"/>
              <w:left w:val="nil"/>
              <w:bottom w:val="single" w:sz="4" w:space="0" w:color="auto"/>
              <w:right w:val="single" w:sz="4" w:space="0" w:color="auto"/>
            </w:tcBorders>
            <w:shd w:val="clear" w:color="auto" w:fill="auto"/>
            <w:vAlign w:val="center"/>
            <w:hideMark/>
          </w:tcPr>
          <w:p w14:paraId="47BE958E" w14:textId="77777777" w:rsidR="00661352" w:rsidRPr="003C7831" w:rsidRDefault="00661352" w:rsidP="00120F79">
            <w:pPr>
              <w:jc w:val="left"/>
              <w:rPr>
                <w:kern w:val="22"/>
                <w:szCs w:val="22"/>
                <w:lang w:val="fr-CA" w:eastAsia="en-CA"/>
              </w:rPr>
            </w:pPr>
            <w:r w:rsidRPr="003C7831">
              <w:rPr>
                <w:kern w:val="22"/>
                <w:szCs w:val="22"/>
                <w:lang w:val="fr-CA" w:eastAsia="en-CA"/>
              </w:rPr>
              <w:t>Kirghizistan</w:t>
            </w:r>
          </w:p>
        </w:tc>
        <w:tc>
          <w:tcPr>
            <w:tcW w:w="1440" w:type="dxa"/>
            <w:tcBorders>
              <w:top w:val="nil"/>
              <w:left w:val="nil"/>
              <w:bottom w:val="single" w:sz="4" w:space="0" w:color="auto"/>
              <w:right w:val="single" w:sz="4" w:space="0" w:color="auto"/>
            </w:tcBorders>
            <w:shd w:val="clear" w:color="auto" w:fill="auto"/>
            <w:vAlign w:val="center"/>
            <w:hideMark/>
          </w:tcPr>
          <w:p w14:paraId="757C37D2"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002</w:t>
            </w:r>
          </w:p>
        </w:tc>
        <w:tc>
          <w:tcPr>
            <w:tcW w:w="1620" w:type="dxa"/>
            <w:tcBorders>
              <w:top w:val="nil"/>
              <w:left w:val="nil"/>
              <w:bottom w:val="single" w:sz="4" w:space="0" w:color="auto"/>
              <w:right w:val="single" w:sz="4" w:space="0" w:color="auto"/>
            </w:tcBorders>
            <w:shd w:val="clear" w:color="auto" w:fill="auto"/>
            <w:noWrap/>
            <w:vAlign w:val="center"/>
            <w:hideMark/>
          </w:tcPr>
          <w:p w14:paraId="39766388"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003</w:t>
            </w:r>
          </w:p>
        </w:tc>
        <w:tc>
          <w:tcPr>
            <w:tcW w:w="1710" w:type="dxa"/>
            <w:tcBorders>
              <w:top w:val="nil"/>
              <w:left w:val="nil"/>
              <w:bottom w:val="single" w:sz="4" w:space="0" w:color="auto"/>
              <w:right w:val="single" w:sz="4" w:space="0" w:color="auto"/>
            </w:tcBorders>
            <w:shd w:val="clear" w:color="auto" w:fill="auto"/>
            <w:noWrap/>
            <w:vAlign w:val="center"/>
            <w:hideMark/>
          </w:tcPr>
          <w:p w14:paraId="0DD53625" w14:textId="77777777" w:rsidR="00661352" w:rsidRPr="003C7831" w:rsidRDefault="00661352" w:rsidP="00282AF6">
            <w:pPr>
              <w:ind w:right="144"/>
              <w:jc w:val="right"/>
              <w:rPr>
                <w:kern w:val="22"/>
                <w:szCs w:val="22"/>
                <w:lang w:val="fr-CA" w:eastAsia="en-CA"/>
              </w:rPr>
            </w:pPr>
            <w:r w:rsidRPr="003C7831">
              <w:rPr>
                <w:kern w:val="22"/>
                <w:szCs w:val="22"/>
                <w:lang w:val="fr-CA" w:eastAsia="en-CA"/>
              </w:rPr>
              <w:t>316</w:t>
            </w:r>
          </w:p>
        </w:tc>
      </w:tr>
      <w:tr w:rsidR="00661352" w:rsidRPr="003C7831" w14:paraId="3C9DDD93"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A005A7" w14:textId="134E4ADC" w:rsidR="00661352" w:rsidRPr="003C7831" w:rsidRDefault="00C95673" w:rsidP="00120F79">
            <w:pPr>
              <w:jc w:val="right"/>
              <w:rPr>
                <w:kern w:val="22"/>
                <w:szCs w:val="22"/>
                <w:lang w:val="fr-CA" w:eastAsia="en-CA"/>
              </w:rPr>
            </w:pPr>
            <w:r>
              <w:rPr>
                <w:kern w:val="22"/>
                <w:szCs w:val="22"/>
                <w:lang w:val="fr-CA" w:eastAsia="en-CA"/>
              </w:rPr>
              <w:t>93</w:t>
            </w:r>
          </w:p>
        </w:tc>
        <w:tc>
          <w:tcPr>
            <w:tcW w:w="3870" w:type="dxa"/>
            <w:tcBorders>
              <w:top w:val="nil"/>
              <w:left w:val="nil"/>
              <w:bottom w:val="single" w:sz="4" w:space="0" w:color="auto"/>
              <w:right w:val="single" w:sz="4" w:space="0" w:color="auto"/>
            </w:tcBorders>
            <w:shd w:val="clear" w:color="auto" w:fill="auto"/>
            <w:vAlign w:val="center"/>
            <w:hideMark/>
          </w:tcPr>
          <w:p w14:paraId="3405B960" w14:textId="77777777" w:rsidR="00661352" w:rsidRPr="003C7831" w:rsidRDefault="00661352" w:rsidP="00120F79">
            <w:pPr>
              <w:jc w:val="left"/>
              <w:rPr>
                <w:kern w:val="22"/>
                <w:szCs w:val="22"/>
                <w:lang w:val="fr-CA" w:eastAsia="en-CA"/>
              </w:rPr>
            </w:pPr>
            <w:r w:rsidRPr="003C7831">
              <w:rPr>
                <w:kern w:val="22"/>
                <w:szCs w:val="22"/>
                <w:lang w:val="fr-CA" w:eastAsia="en-CA"/>
              </w:rPr>
              <w:t>Kiribati</w:t>
            </w:r>
          </w:p>
        </w:tc>
        <w:tc>
          <w:tcPr>
            <w:tcW w:w="1440" w:type="dxa"/>
            <w:tcBorders>
              <w:top w:val="nil"/>
              <w:left w:val="nil"/>
              <w:bottom w:val="single" w:sz="4" w:space="0" w:color="auto"/>
              <w:right w:val="single" w:sz="4" w:space="0" w:color="auto"/>
            </w:tcBorders>
            <w:shd w:val="clear" w:color="auto" w:fill="auto"/>
            <w:vAlign w:val="center"/>
            <w:hideMark/>
          </w:tcPr>
          <w:p w14:paraId="5AA56C51"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001</w:t>
            </w:r>
          </w:p>
        </w:tc>
        <w:tc>
          <w:tcPr>
            <w:tcW w:w="1620" w:type="dxa"/>
            <w:tcBorders>
              <w:top w:val="nil"/>
              <w:left w:val="nil"/>
              <w:bottom w:val="single" w:sz="4" w:space="0" w:color="auto"/>
              <w:right w:val="single" w:sz="4" w:space="0" w:color="auto"/>
            </w:tcBorders>
            <w:shd w:val="clear" w:color="auto" w:fill="auto"/>
            <w:noWrap/>
            <w:vAlign w:val="center"/>
            <w:hideMark/>
          </w:tcPr>
          <w:p w14:paraId="17395477"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001</w:t>
            </w:r>
          </w:p>
        </w:tc>
        <w:tc>
          <w:tcPr>
            <w:tcW w:w="1710" w:type="dxa"/>
            <w:tcBorders>
              <w:top w:val="nil"/>
              <w:left w:val="nil"/>
              <w:bottom w:val="single" w:sz="4" w:space="0" w:color="auto"/>
              <w:right w:val="single" w:sz="4" w:space="0" w:color="auto"/>
            </w:tcBorders>
            <w:shd w:val="clear" w:color="auto" w:fill="auto"/>
            <w:noWrap/>
            <w:vAlign w:val="center"/>
            <w:hideMark/>
          </w:tcPr>
          <w:p w14:paraId="0D6A286F" w14:textId="77777777" w:rsidR="00661352" w:rsidRPr="003C7831" w:rsidRDefault="00661352" w:rsidP="00282AF6">
            <w:pPr>
              <w:ind w:right="144"/>
              <w:jc w:val="right"/>
              <w:rPr>
                <w:kern w:val="22"/>
                <w:szCs w:val="22"/>
                <w:lang w:val="fr-CA" w:eastAsia="en-CA"/>
              </w:rPr>
            </w:pPr>
            <w:r w:rsidRPr="003C7831">
              <w:rPr>
                <w:kern w:val="22"/>
                <w:szCs w:val="22"/>
                <w:lang w:val="fr-CA" w:eastAsia="en-CA"/>
              </w:rPr>
              <w:t>158</w:t>
            </w:r>
          </w:p>
        </w:tc>
      </w:tr>
      <w:tr w:rsidR="00661352" w:rsidRPr="003C7831" w14:paraId="01B700CE"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4A3389" w14:textId="6D7CF03B" w:rsidR="00661352" w:rsidRPr="003C7831" w:rsidRDefault="00C95673" w:rsidP="00120F79">
            <w:pPr>
              <w:jc w:val="right"/>
              <w:rPr>
                <w:kern w:val="22"/>
                <w:szCs w:val="22"/>
                <w:lang w:val="fr-CA" w:eastAsia="en-CA"/>
              </w:rPr>
            </w:pPr>
            <w:r>
              <w:rPr>
                <w:kern w:val="22"/>
                <w:szCs w:val="22"/>
                <w:lang w:val="fr-CA" w:eastAsia="en-CA"/>
              </w:rPr>
              <w:t>94</w:t>
            </w:r>
          </w:p>
        </w:tc>
        <w:tc>
          <w:tcPr>
            <w:tcW w:w="3870" w:type="dxa"/>
            <w:tcBorders>
              <w:top w:val="nil"/>
              <w:left w:val="nil"/>
              <w:bottom w:val="single" w:sz="4" w:space="0" w:color="auto"/>
              <w:right w:val="single" w:sz="4" w:space="0" w:color="auto"/>
            </w:tcBorders>
            <w:shd w:val="clear" w:color="auto" w:fill="auto"/>
            <w:vAlign w:val="center"/>
            <w:hideMark/>
          </w:tcPr>
          <w:p w14:paraId="2CA7CE29" w14:textId="77777777" w:rsidR="00661352" w:rsidRPr="003C7831" w:rsidRDefault="00661352" w:rsidP="00120F79">
            <w:pPr>
              <w:jc w:val="left"/>
              <w:rPr>
                <w:kern w:val="22"/>
                <w:szCs w:val="22"/>
                <w:lang w:val="fr-CA" w:eastAsia="en-CA"/>
              </w:rPr>
            </w:pPr>
            <w:r w:rsidRPr="003C7831">
              <w:rPr>
                <w:kern w:val="22"/>
                <w:szCs w:val="22"/>
                <w:lang w:val="fr-CA" w:eastAsia="en-CA"/>
              </w:rPr>
              <w:t>Koweït</w:t>
            </w:r>
          </w:p>
        </w:tc>
        <w:tc>
          <w:tcPr>
            <w:tcW w:w="1440" w:type="dxa"/>
            <w:tcBorders>
              <w:top w:val="nil"/>
              <w:left w:val="nil"/>
              <w:bottom w:val="single" w:sz="4" w:space="0" w:color="auto"/>
              <w:right w:val="single" w:sz="4" w:space="0" w:color="auto"/>
            </w:tcBorders>
            <w:shd w:val="clear" w:color="auto" w:fill="auto"/>
            <w:vAlign w:val="center"/>
            <w:hideMark/>
          </w:tcPr>
          <w:p w14:paraId="3C9CC7FF"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252</w:t>
            </w:r>
          </w:p>
        </w:tc>
        <w:tc>
          <w:tcPr>
            <w:tcW w:w="1620" w:type="dxa"/>
            <w:tcBorders>
              <w:top w:val="nil"/>
              <w:left w:val="nil"/>
              <w:bottom w:val="single" w:sz="4" w:space="0" w:color="auto"/>
              <w:right w:val="single" w:sz="4" w:space="0" w:color="auto"/>
            </w:tcBorders>
            <w:shd w:val="clear" w:color="auto" w:fill="auto"/>
            <w:noWrap/>
            <w:vAlign w:val="center"/>
            <w:hideMark/>
          </w:tcPr>
          <w:p w14:paraId="65B157F4"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315</w:t>
            </w:r>
          </w:p>
        </w:tc>
        <w:tc>
          <w:tcPr>
            <w:tcW w:w="1710" w:type="dxa"/>
            <w:tcBorders>
              <w:top w:val="nil"/>
              <w:left w:val="nil"/>
              <w:bottom w:val="single" w:sz="4" w:space="0" w:color="auto"/>
              <w:right w:val="single" w:sz="4" w:space="0" w:color="auto"/>
            </w:tcBorders>
            <w:shd w:val="clear" w:color="auto" w:fill="auto"/>
            <w:noWrap/>
            <w:vAlign w:val="center"/>
            <w:hideMark/>
          </w:tcPr>
          <w:p w14:paraId="5F880F12" w14:textId="77777777" w:rsidR="00661352" w:rsidRPr="003C7831" w:rsidRDefault="00661352" w:rsidP="00282AF6">
            <w:pPr>
              <w:ind w:right="144"/>
              <w:jc w:val="right"/>
              <w:rPr>
                <w:kern w:val="22"/>
                <w:szCs w:val="22"/>
                <w:lang w:val="fr-CA" w:eastAsia="en-CA"/>
              </w:rPr>
            </w:pPr>
            <w:r w:rsidRPr="003C7831">
              <w:rPr>
                <w:kern w:val="22"/>
                <w:szCs w:val="22"/>
                <w:lang w:val="fr-CA" w:eastAsia="en-CA"/>
              </w:rPr>
              <w:t>39 758</w:t>
            </w:r>
          </w:p>
        </w:tc>
      </w:tr>
      <w:tr w:rsidR="00661352" w:rsidRPr="003C7831" w14:paraId="16A439E8"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A69B73" w14:textId="74C82410" w:rsidR="00661352" w:rsidRPr="003C7831" w:rsidRDefault="00C95673" w:rsidP="00120F79">
            <w:pPr>
              <w:jc w:val="right"/>
              <w:rPr>
                <w:kern w:val="22"/>
                <w:szCs w:val="22"/>
                <w:lang w:val="fr-CA" w:eastAsia="en-CA"/>
              </w:rPr>
            </w:pPr>
            <w:r>
              <w:rPr>
                <w:kern w:val="22"/>
                <w:szCs w:val="22"/>
                <w:lang w:val="fr-CA" w:eastAsia="en-CA"/>
              </w:rPr>
              <w:t>95</w:t>
            </w:r>
          </w:p>
        </w:tc>
        <w:tc>
          <w:tcPr>
            <w:tcW w:w="3870" w:type="dxa"/>
            <w:tcBorders>
              <w:top w:val="nil"/>
              <w:left w:val="nil"/>
              <w:bottom w:val="single" w:sz="4" w:space="0" w:color="auto"/>
              <w:right w:val="single" w:sz="4" w:space="0" w:color="auto"/>
            </w:tcBorders>
            <w:shd w:val="clear" w:color="auto" w:fill="auto"/>
            <w:vAlign w:val="center"/>
            <w:hideMark/>
          </w:tcPr>
          <w:p w14:paraId="66A688F5" w14:textId="77777777" w:rsidR="00661352" w:rsidRPr="003C7831" w:rsidRDefault="00661352" w:rsidP="00120F79">
            <w:pPr>
              <w:jc w:val="left"/>
              <w:rPr>
                <w:kern w:val="22"/>
                <w:szCs w:val="22"/>
                <w:lang w:val="fr-CA" w:eastAsia="en-CA"/>
              </w:rPr>
            </w:pPr>
            <w:r w:rsidRPr="003C7831">
              <w:rPr>
                <w:kern w:val="22"/>
                <w:szCs w:val="22"/>
                <w:lang w:val="fr-CA" w:eastAsia="en-CA"/>
              </w:rPr>
              <w:t>Lesotho</w:t>
            </w:r>
          </w:p>
        </w:tc>
        <w:tc>
          <w:tcPr>
            <w:tcW w:w="1440" w:type="dxa"/>
            <w:tcBorders>
              <w:top w:val="nil"/>
              <w:left w:val="nil"/>
              <w:bottom w:val="single" w:sz="4" w:space="0" w:color="auto"/>
              <w:right w:val="single" w:sz="4" w:space="0" w:color="auto"/>
            </w:tcBorders>
            <w:shd w:val="clear" w:color="auto" w:fill="auto"/>
            <w:vAlign w:val="center"/>
            <w:hideMark/>
          </w:tcPr>
          <w:p w14:paraId="1DE10B5A"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001</w:t>
            </w:r>
          </w:p>
        </w:tc>
        <w:tc>
          <w:tcPr>
            <w:tcW w:w="1620" w:type="dxa"/>
            <w:tcBorders>
              <w:top w:val="nil"/>
              <w:left w:val="nil"/>
              <w:bottom w:val="single" w:sz="4" w:space="0" w:color="auto"/>
              <w:right w:val="single" w:sz="4" w:space="0" w:color="auto"/>
            </w:tcBorders>
            <w:shd w:val="clear" w:color="auto" w:fill="auto"/>
            <w:noWrap/>
            <w:vAlign w:val="center"/>
            <w:hideMark/>
          </w:tcPr>
          <w:p w14:paraId="5D7D4832"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001</w:t>
            </w:r>
          </w:p>
        </w:tc>
        <w:tc>
          <w:tcPr>
            <w:tcW w:w="1710" w:type="dxa"/>
            <w:tcBorders>
              <w:top w:val="nil"/>
              <w:left w:val="nil"/>
              <w:bottom w:val="single" w:sz="4" w:space="0" w:color="auto"/>
              <w:right w:val="single" w:sz="4" w:space="0" w:color="auto"/>
            </w:tcBorders>
            <w:shd w:val="clear" w:color="auto" w:fill="auto"/>
            <w:noWrap/>
            <w:vAlign w:val="center"/>
            <w:hideMark/>
          </w:tcPr>
          <w:p w14:paraId="2A479177" w14:textId="77777777" w:rsidR="00661352" w:rsidRPr="003C7831" w:rsidRDefault="00661352" w:rsidP="00282AF6">
            <w:pPr>
              <w:ind w:right="144"/>
              <w:jc w:val="right"/>
              <w:rPr>
                <w:kern w:val="22"/>
                <w:szCs w:val="22"/>
                <w:lang w:val="fr-CA" w:eastAsia="en-CA"/>
              </w:rPr>
            </w:pPr>
            <w:r w:rsidRPr="003C7831">
              <w:rPr>
                <w:kern w:val="22"/>
                <w:szCs w:val="22"/>
                <w:lang w:val="fr-CA" w:eastAsia="en-CA"/>
              </w:rPr>
              <w:t>158</w:t>
            </w:r>
          </w:p>
        </w:tc>
      </w:tr>
      <w:tr w:rsidR="00661352" w:rsidRPr="003C7831" w14:paraId="5D125F92"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4E2B2F" w14:textId="77777777" w:rsidR="00661352" w:rsidRPr="003C7831" w:rsidRDefault="00661352" w:rsidP="00120F79">
            <w:pPr>
              <w:jc w:val="right"/>
              <w:rPr>
                <w:kern w:val="22"/>
                <w:szCs w:val="22"/>
                <w:lang w:val="fr-CA" w:eastAsia="en-CA"/>
              </w:rPr>
            </w:pPr>
            <w:r w:rsidRPr="003C7831">
              <w:rPr>
                <w:kern w:val="22"/>
                <w:szCs w:val="22"/>
                <w:lang w:val="fr-CA" w:eastAsia="en-CA"/>
              </w:rPr>
              <w:t>96</w:t>
            </w:r>
          </w:p>
        </w:tc>
        <w:tc>
          <w:tcPr>
            <w:tcW w:w="3870" w:type="dxa"/>
            <w:tcBorders>
              <w:top w:val="nil"/>
              <w:left w:val="nil"/>
              <w:bottom w:val="single" w:sz="4" w:space="0" w:color="auto"/>
              <w:right w:val="single" w:sz="4" w:space="0" w:color="auto"/>
            </w:tcBorders>
            <w:shd w:val="clear" w:color="auto" w:fill="auto"/>
            <w:vAlign w:val="center"/>
            <w:hideMark/>
          </w:tcPr>
          <w:p w14:paraId="12DB82DE" w14:textId="77777777" w:rsidR="00661352" w:rsidRPr="003C7831" w:rsidRDefault="00661352" w:rsidP="00120F79">
            <w:pPr>
              <w:jc w:val="left"/>
              <w:rPr>
                <w:kern w:val="22"/>
                <w:szCs w:val="22"/>
                <w:lang w:val="fr-CA" w:eastAsia="en-CA"/>
              </w:rPr>
            </w:pPr>
            <w:r w:rsidRPr="003C7831">
              <w:rPr>
                <w:kern w:val="22"/>
                <w:szCs w:val="22"/>
                <w:lang w:val="fr-CA" w:eastAsia="en-CA"/>
              </w:rPr>
              <w:t>Lettonie</w:t>
            </w:r>
          </w:p>
        </w:tc>
        <w:tc>
          <w:tcPr>
            <w:tcW w:w="1440" w:type="dxa"/>
            <w:tcBorders>
              <w:top w:val="nil"/>
              <w:left w:val="nil"/>
              <w:bottom w:val="single" w:sz="4" w:space="0" w:color="auto"/>
              <w:right w:val="single" w:sz="4" w:space="0" w:color="auto"/>
            </w:tcBorders>
            <w:shd w:val="clear" w:color="auto" w:fill="auto"/>
            <w:vAlign w:val="center"/>
            <w:hideMark/>
          </w:tcPr>
          <w:p w14:paraId="0A383B7E"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047</w:t>
            </w:r>
          </w:p>
        </w:tc>
        <w:tc>
          <w:tcPr>
            <w:tcW w:w="1620" w:type="dxa"/>
            <w:tcBorders>
              <w:top w:val="nil"/>
              <w:left w:val="nil"/>
              <w:bottom w:val="single" w:sz="4" w:space="0" w:color="auto"/>
              <w:right w:val="single" w:sz="4" w:space="0" w:color="auto"/>
            </w:tcBorders>
            <w:shd w:val="clear" w:color="auto" w:fill="auto"/>
            <w:noWrap/>
            <w:vAlign w:val="center"/>
            <w:hideMark/>
          </w:tcPr>
          <w:p w14:paraId="2A4F1722"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059</w:t>
            </w:r>
          </w:p>
        </w:tc>
        <w:tc>
          <w:tcPr>
            <w:tcW w:w="1710" w:type="dxa"/>
            <w:tcBorders>
              <w:top w:val="nil"/>
              <w:left w:val="nil"/>
              <w:bottom w:val="single" w:sz="4" w:space="0" w:color="auto"/>
              <w:right w:val="single" w:sz="4" w:space="0" w:color="auto"/>
            </w:tcBorders>
            <w:shd w:val="clear" w:color="auto" w:fill="auto"/>
            <w:noWrap/>
            <w:vAlign w:val="center"/>
            <w:hideMark/>
          </w:tcPr>
          <w:p w14:paraId="37373C55" w14:textId="77777777" w:rsidR="00661352" w:rsidRPr="003C7831" w:rsidRDefault="00661352" w:rsidP="00282AF6">
            <w:pPr>
              <w:ind w:right="144"/>
              <w:jc w:val="right"/>
              <w:rPr>
                <w:kern w:val="22"/>
                <w:szCs w:val="22"/>
                <w:lang w:val="fr-CA" w:eastAsia="en-CA"/>
              </w:rPr>
            </w:pPr>
            <w:r w:rsidRPr="003C7831">
              <w:rPr>
                <w:kern w:val="22"/>
                <w:szCs w:val="22"/>
                <w:lang w:val="fr-CA" w:eastAsia="en-CA"/>
              </w:rPr>
              <w:t>7 415</w:t>
            </w:r>
          </w:p>
        </w:tc>
      </w:tr>
      <w:tr w:rsidR="00661352" w:rsidRPr="003C7831" w14:paraId="6B078598"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E943F3" w14:textId="77777777" w:rsidR="00661352" w:rsidRPr="003C7831" w:rsidRDefault="00661352" w:rsidP="00120F79">
            <w:pPr>
              <w:jc w:val="right"/>
              <w:rPr>
                <w:kern w:val="22"/>
                <w:szCs w:val="22"/>
                <w:lang w:val="fr-CA" w:eastAsia="en-CA"/>
              </w:rPr>
            </w:pPr>
            <w:r w:rsidRPr="003C7831">
              <w:rPr>
                <w:kern w:val="22"/>
                <w:szCs w:val="22"/>
                <w:lang w:val="fr-CA" w:eastAsia="en-CA"/>
              </w:rPr>
              <w:t>97</w:t>
            </w:r>
          </w:p>
        </w:tc>
        <w:tc>
          <w:tcPr>
            <w:tcW w:w="3870" w:type="dxa"/>
            <w:tcBorders>
              <w:top w:val="nil"/>
              <w:left w:val="nil"/>
              <w:bottom w:val="single" w:sz="4" w:space="0" w:color="auto"/>
              <w:right w:val="single" w:sz="4" w:space="0" w:color="auto"/>
            </w:tcBorders>
            <w:shd w:val="clear" w:color="auto" w:fill="auto"/>
            <w:vAlign w:val="center"/>
            <w:hideMark/>
          </w:tcPr>
          <w:p w14:paraId="23E087F0" w14:textId="77777777" w:rsidR="00661352" w:rsidRPr="003C7831" w:rsidRDefault="00661352" w:rsidP="00120F79">
            <w:pPr>
              <w:jc w:val="left"/>
              <w:rPr>
                <w:kern w:val="22"/>
                <w:szCs w:val="22"/>
                <w:lang w:val="fr-CA" w:eastAsia="en-CA"/>
              </w:rPr>
            </w:pPr>
            <w:r w:rsidRPr="003C7831">
              <w:rPr>
                <w:kern w:val="22"/>
                <w:szCs w:val="22"/>
                <w:lang w:val="fr-CA" w:eastAsia="en-CA"/>
              </w:rPr>
              <w:t>Liban</w:t>
            </w:r>
          </w:p>
        </w:tc>
        <w:tc>
          <w:tcPr>
            <w:tcW w:w="1440" w:type="dxa"/>
            <w:tcBorders>
              <w:top w:val="nil"/>
              <w:left w:val="nil"/>
              <w:bottom w:val="single" w:sz="4" w:space="0" w:color="auto"/>
              <w:right w:val="single" w:sz="4" w:space="0" w:color="auto"/>
            </w:tcBorders>
            <w:shd w:val="clear" w:color="auto" w:fill="auto"/>
            <w:vAlign w:val="center"/>
            <w:hideMark/>
          </w:tcPr>
          <w:p w14:paraId="77CBC0AD"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047</w:t>
            </w:r>
          </w:p>
        </w:tc>
        <w:tc>
          <w:tcPr>
            <w:tcW w:w="1620" w:type="dxa"/>
            <w:tcBorders>
              <w:top w:val="nil"/>
              <w:left w:val="nil"/>
              <w:bottom w:val="single" w:sz="4" w:space="0" w:color="auto"/>
              <w:right w:val="single" w:sz="4" w:space="0" w:color="auto"/>
            </w:tcBorders>
            <w:shd w:val="clear" w:color="auto" w:fill="auto"/>
            <w:noWrap/>
            <w:vAlign w:val="center"/>
            <w:hideMark/>
          </w:tcPr>
          <w:p w14:paraId="5EAB996B"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059</w:t>
            </w:r>
          </w:p>
        </w:tc>
        <w:tc>
          <w:tcPr>
            <w:tcW w:w="1710" w:type="dxa"/>
            <w:tcBorders>
              <w:top w:val="nil"/>
              <w:left w:val="nil"/>
              <w:bottom w:val="single" w:sz="4" w:space="0" w:color="auto"/>
              <w:right w:val="single" w:sz="4" w:space="0" w:color="auto"/>
            </w:tcBorders>
            <w:shd w:val="clear" w:color="auto" w:fill="auto"/>
            <w:noWrap/>
            <w:vAlign w:val="center"/>
            <w:hideMark/>
          </w:tcPr>
          <w:p w14:paraId="78297F5A" w14:textId="77777777" w:rsidR="00661352" w:rsidRPr="003C7831" w:rsidRDefault="00661352" w:rsidP="00282AF6">
            <w:pPr>
              <w:ind w:right="144"/>
              <w:jc w:val="right"/>
              <w:rPr>
                <w:kern w:val="22"/>
                <w:szCs w:val="22"/>
                <w:lang w:val="fr-CA" w:eastAsia="en-CA"/>
              </w:rPr>
            </w:pPr>
            <w:r w:rsidRPr="003C7831">
              <w:rPr>
                <w:kern w:val="22"/>
                <w:szCs w:val="22"/>
                <w:lang w:val="fr-CA" w:eastAsia="en-CA"/>
              </w:rPr>
              <w:t>7 415</w:t>
            </w:r>
          </w:p>
        </w:tc>
      </w:tr>
      <w:tr w:rsidR="00661352" w:rsidRPr="003C7831" w14:paraId="712AC6BB"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9D199F" w14:textId="0967B2DC" w:rsidR="00661352" w:rsidRPr="003C7831" w:rsidRDefault="00C95673" w:rsidP="00120F79">
            <w:pPr>
              <w:jc w:val="right"/>
              <w:rPr>
                <w:kern w:val="22"/>
                <w:szCs w:val="22"/>
                <w:lang w:val="fr-CA" w:eastAsia="en-CA"/>
              </w:rPr>
            </w:pPr>
            <w:r>
              <w:rPr>
                <w:kern w:val="22"/>
                <w:szCs w:val="22"/>
                <w:lang w:val="fr-CA" w:eastAsia="en-CA"/>
              </w:rPr>
              <w:t>98</w:t>
            </w:r>
          </w:p>
        </w:tc>
        <w:tc>
          <w:tcPr>
            <w:tcW w:w="3870" w:type="dxa"/>
            <w:tcBorders>
              <w:top w:val="nil"/>
              <w:left w:val="nil"/>
              <w:bottom w:val="single" w:sz="4" w:space="0" w:color="auto"/>
              <w:right w:val="single" w:sz="4" w:space="0" w:color="auto"/>
            </w:tcBorders>
            <w:shd w:val="clear" w:color="auto" w:fill="auto"/>
            <w:vAlign w:val="center"/>
            <w:hideMark/>
          </w:tcPr>
          <w:p w14:paraId="17ECB6EA" w14:textId="77777777" w:rsidR="00661352" w:rsidRPr="003C7831" w:rsidRDefault="00661352" w:rsidP="00120F79">
            <w:pPr>
              <w:jc w:val="left"/>
              <w:rPr>
                <w:kern w:val="22"/>
                <w:szCs w:val="22"/>
                <w:lang w:val="fr-CA" w:eastAsia="en-CA"/>
              </w:rPr>
            </w:pPr>
            <w:r w:rsidRPr="003C7831">
              <w:rPr>
                <w:kern w:val="22"/>
                <w:szCs w:val="22"/>
                <w:lang w:val="fr-CA" w:eastAsia="en-CA"/>
              </w:rPr>
              <w:t>Libéria</w:t>
            </w:r>
          </w:p>
        </w:tc>
        <w:tc>
          <w:tcPr>
            <w:tcW w:w="1440" w:type="dxa"/>
            <w:tcBorders>
              <w:top w:val="nil"/>
              <w:left w:val="nil"/>
              <w:bottom w:val="single" w:sz="4" w:space="0" w:color="auto"/>
              <w:right w:val="single" w:sz="4" w:space="0" w:color="auto"/>
            </w:tcBorders>
            <w:shd w:val="clear" w:color="auto" w:fill="auto"/>
            <w:vAlign w:val="center"/>
            <w:hideMark/>
          </w:tcPr>
          <w:p w14:paraId="6F31F3CA"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001</w:t>
            </w:r>
          </w:p>
        </w:tc>
        <w:tc>
          <w:tcPr>
            <w:tcW w:w="1620" w:type="dxa"/>
            <w:tcBorders>
              <w:top w:val="nil"/>
              <w:left w:val="nil"/>
              <w:bottom w:val="single" w:sz="4" w:space="0" w:color="auto"/>
              <w:right w:val="single" w:sz="4" w:space="0" w:color="auto"/>
            </w:tcBorders>
            <w:shd w:val="clear" w:color="auto" w:fill="auto"/>
            <w:noWrap/>
            <w:vAlign w:val="center"/>
            <w:hideMark/>
          </w:tcPr>
          <w:p w14:paraId="6A6282D8"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001</w:t>
            </w:r>
          </w:p>
        </w:tc>
        <w:tc>
          <w:tcPr>
            <w:tcW w:w="1710" w:type="dxa"/>
            <w:tcBorders>
              <w:top w:val="nil"/>
              <w:left w:val="nil"/>
              <w:bottom w:val="single" w:sz="4" w:space="0" w:color="auto"/>
              <w:right w:val="single" w:sz="4" w:space="0" w:color="auto"/>
            </w:tcBorders>
            <w:shd w:val="clear" w:color="auto" w:fill="auto"/>
            <w:noWrap/>
            <w:vAlign w:val="center"/>
            <w:hideMark/>
          </w:tcPr>
          <w:p w14:paraId="6042790D" w14:textId="77777777" w:rsidR="00661352" w:rsidRPr="003C7831" w:rsidRDefault="00661352" w:rsidP="00282AF6">
            <w:pPr>
              <w:ind w:right="144"/>
              <w:jc w:val="right"/>
              <w:rPr>
                <w:kern w:val="22"/>
                <w:szCs w:val="22"/>
                <w:lang w:val="fr-CA" w:eastAsia="en-CA"/>
              </w:rPr>
            </w:pPr>
            <w:r w:rsidRPr="003C7831">
              <w:rPr>
                <w:kern w:val="22"/>
                <w:szCs w:val="22"/>
                <w:lang w:val="fr-CA" w:eastAsia="en-CA"/>
              </w:rPr>
              <w:t>158</w:t>
            </w:r>
          </w:p>
        </w:tc>
      </w:tr>
      <w:tr w:rsidR="00661352" w:rsidRPr="003C7831" w14:paraId="794D9155"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16DA10" w14:textId="7E7A37C9" w:rsidR="00661352" w:rsidRPr="003C7831" w:rsidRDefault="00C95673" w:rsidP="00120F79">
            <w:pPr>
              <w:jc w:val="right"/>
              <w:rPr>
                <w:kern w:val="22"/>
                <w:szCs w:val="22"/>
                <w:lang w:val="fr-CA" w:eastAsia="en-CA"/>
              </w:rPr>
            </w:pPr>
            <w:r>
              <w:rPr>
                <w:kern w:val="22"/>
                <w:szCs w:val="22"/>
                <w:lang w:val="fr-CA" w:eastAsia="en-CA"/>
              </w:rPr>
              <w:t>99</w:t>
            </w:r>
          </w:p>
        </w:tc>
        <w:tc>
          <w:tcPr>
            <w:tcW w:w="3870" w:type="dxa"/>
            <w:tcBorders>
              <w:top w:val="nil"/>
              <w:left w:val="nil"/>
              <w:bottom w:val="single" w:sz="4" w:space="0" w:color="auto"/>
              <w:right w:val="single" w:sz="4" w:space="0" w:color="auto"/>
            </w:tcBorders>
            <w:shd w:val="clear" w:color="auto" w:fill="auto"/>
            <w:vAlign w:val="center"/>
            <w:hideMark/>
          </w:tcPr>
          <w:p w14:paraId="34B86178" w14:textId="77777777" w:rsidR="00661352" w:rsidRPr="003C7831" w:rsidRDefault="00661352" w:rsidP="00E02087">
            <w:pPr>
              <w:jc w:val="left"/>
              <w:rPr>
                <w:kern w:val="22"/>
                <w:szCs w:val="22"/>
                <w:lang w:val="fr-CA" w:eastAsia="en-CA"/>
              </w:rPr>
            </w:pPr>
            <w:r w:rsidRPr="003C7831">
              <w:rPr>
                <w:kern w:val="22"/>
                <w:szCs w:val="22"/>
                <w:lang w:val="fr-CA" w:eastAsia="en-CA"/>
              </w:rPr>
              <w:t>Libye</w:t>
            </w:r>
          </w:p>
        </w:tc>
        <w:tc>
          <w:tcPr>
            <w:tcW w:w="1440" w:type="dxa"/>
            <w:tcBorders>
              <w:top w:val="nil"/>
              <w:left w:val="nil"/>
              <w:bottom w:val="single" w:sz="4" w:space="0" w:color="auto"/>
              <w:right w:val="single" w:sz="4" w:space="0" w:color="auto"/>
            </w:tcBorders>
            <w:shd w:val="clear" w:color="auto" w:fill="auto"/>
            <w:vAlign w:val="center"/>
            <w:hideMark/>
          </w:tcPr>
          <w:p w14:paraId="20800147"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030</w:t>
            </w:r>
          </w:p>
        </w:tc>
        <w:tc>
          <w:tcPr>
            <w:tcW w:w="1620" w:type="dxa"/>
            <w:tcBorders>
              <w:top w:val="nil"/>
              <w:left w:val="nil"/>
              <w:bottom w:val="single" w:sz="4" w:space="0" w:color="auto"/>
              <w:right w:val="single" w:sz="4" w:space="0" w:color="auto"/>
            </w:tcBorders>
            <w:shd w:val="clear" w:color="auto" w:fill="auto"/>
            <w:noWrap/>
            <w:vAlign w:val="center"/>
            <w:hideMark/>
          </w:tcPr>
          <w:p w14:paraId="69BDBB9C"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038</w:t>
            </w:r>
          </w:p>
        </w:tc>
        <w:tc>
          <w:tcPr>
            <w:tcW w:w="1710" w:type="dxa"/>
            <w:tcBorders>
              <w:top w:val="nil"/>
              <w:left w:val="nil"/>
              <w:bottom w:val="single" w:sz="4" w:space="0" w:color="auto"/>
              <w:right w:val="single" w:sz="4" w:space="0" w:color="auto"/>
            </w:tcBorders>
            <w:shd w:val="clear" w:color="auto" w:fill="auto"/>
            <w:noWrap/>
            <w:vAlign w:val="center"/>
            <w:hideMark/>
          </w:tcPr>
          <w:p w14:paraId="2ED34011" w14:textId="77777777" w:rsidR="00661352" w:rsidRPr="003C7831" w:rsidRDefault="00661352" w:rsidP="00282AF6">
            <w:pPr>
              <w:ind w:right="144"/>
              <w:jc w:val="right"/>
              <w:rPr>
                <w:kern w:val="22"/>
                <w:szCs w:val="22"/>
                <w:lang w:val="fr-CA" w:eastAsia="en-CA"/>
              </w:rPr>
            </w:pPr>
            <w:r w:rsidRPr="003C7831">
              <w:rPr>
                <w:kern w:val="22"/>
                <w:szCs w:val="22"/>
                <w:lang w:val="fr-CA" w:eastAsia="en-CA"/>
              </w:rPr>
              <w:t>4 733</w:t>
            </w:r>
          </w:p>
        </w:tc>
      </w:tr>
      <w:tr w:rsidR="00661352" w:rsidRPr="003C7831" w14:paraId="42CED687"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CD5CD2" w14:textId="73A19A97" w:rsidR="00661352" w:rsidRPr="003C7831" w:rsidRDefault="00C95673" w:rsidP="00120F79">
            <w:pPr>
              <w:jc w:val="right"/>
              <w:rPr>
                <w:kern w:val="22"/>
                <w:szCs w:val="22"/>
                <w:lang w:val="fr-CA" w:eastAsia="en-CA"/>
              </w:rPr>
            </w:pPr>
            <w:r>
              <w:rPr>
                <w:kern w:val="22"/>
                <w:szCs w:val="22"/>
                <w:lang w:val="fr-CA" w:eastAsia="en-CA"/>
              </w:rPr>
              <w:t>100</w:t>
            </w:r>
          </w:p>
        </w:tc>
        <w:tc>
          <w:tcPr>
            <w:tcW w:w="3870" w:type="dxa"/>
            <w:tcBorders>
              <w:top w:val="nil"/>
              <w:left w:val="nil"/>
              <w:bottom w:val="single" w:sz="4" w:space="0" w:color="auto"/>
              <w:right w:val="single" w:sz="4" w:space="0" w:color="auto"/>
            </w:tcBorders>
            <w:shd w:val="clear" w:color="auto" w:fill="auto"/>
            <w:vAlign w:val="center"/>
            <w:hideMark/>
          </w:tcPr>
          <w:p w14:paraId="746EB057" w14:textId="77777777" w:rsidR="00661352" w:rsidRPr="003C7831" w:rsidRDefault="00661352" w:rsidP="00120F79">
            <w:pPr>
              <w:jc w:val="left"/>
              <w:rPr>
                <w:kern w:val="22"/>
                <w:szCs w:val="22"/>
                <w:lang w:val="fr-CA" w:eastAsia="en-CA"/>
              </w:rPr>
            </w:pPr>
            <w:r w:rsidRPr="003C7831">
              <w:rPr>
                <w:kern w:val="22"/>
                <w:szCs w:val="22"/>
                <w:lang w:val="fr-CA" w:eastAsia="en-CA"/>
              </w:rPr>
              <w:t>Liechtenstein</w:t>
            </w:r>
          </w:p>
        </w:tc>
        <w:tc>
          <w:tcPr>
            <w:tcW w:w="1440" w:type="dxa"/>
            <w:tcBorders>
              <w:top w:val="nil"/>
              <w:left w:val="nil"/>
              <w:bottom w:val="single" w:sz="4" w:space="0" w:color="auto"/>
              <w:right w:val="single" w:sz="4" w:space="0" w:color="auto"/>
            </w:tcBorders>
            <w:shd w:val="clear" w:color="auto" w:fill="auto"/>
            <w:vAlign w:val="center"/>
            <w:hideMark/>
          </w:tcPr>
          <w:p w14:paraId="556FE175"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009</w:t>
            </w:r>
          </w:p>
        </w:tc>
        <w:tc>
          <w:tcPr>
            <w:tcW w:w="1620" w:type="dxa"/>
            <w:tcBorders>
              <w:top w:val="nil"/>
              <w:left w:val="nil"/>
              <w:bottom w:val="single" w:sz="4" w:space="0" w:color="auto"/>
              <w:right w:val="single" w:sz="4" w:space="0" w:color="auto"/>
            </w:tcBorders>
            <w:shd w:val="clear" w:color="auto" w:fill="auto"/>
            <w:noWrap/>
            <w:vAlign w:val="center"/>
            <w:hideMark/>
          </w:tcPr>
          <w:p w14:paraId="4029160D"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011</w:t>
            </w:r>
          </w:p>
        </w:tc>
        <w:tc>
          <w:tcPr>
            <w:tcW w:w="1710" w:type="dxa"/>
            <w:tcBorders>
              <w:top w:val="nil"/>
              <w:left w:val="nil"/>
              <w:bottom w:val="single" w:sz="4" w:space="0" w:color="auto"/>
              <w:right w:val="single" w:sz="4" w:space="0" w:color="auto"/>
            </w:tcBorders>
            <w:shd w:val="clear" w:color="auto" w:fill="auto"/>
            <w:noWrap/>
            <w:vAlign w:val="center"/>
            <w:hideMark/>
          </w:tcPr>
          <w:p w14:paraId="033FD4AE" w14:textId="77777777" w:rsidR="00661352" w:rsidRPr="003C7831" w:rsidRDefault="00661352" w:rsidP="00282AF6">
            <w:pPr>
              <w:ind w:right="144"/>
              <w:jc w:val="right"/>
              <w:rPr>
                <w:kern w:val="22"/>
                <w:szCs w:val="22"/>
                <w:lang w:val="fr-CA" w:eastAsia="en-CA"/>
              </w:rPr>
            </w:pPr>
            <w:r w:rsidRPr="003C7831">
              <w:rPr>
                <w:kern w:val="22"/>
                <w:szCs w:val="22"/>
                <w:lang w:val="fr-CA" w:eastAsia="en-CA"/>
              </w:rPr>
              <w:t>1 420</w:t>
            </w:r>
          </w:p>
        </w:tc>
      </w:tr>
      <w:tr w:rsidR="00661352" w:rsidRPr="003C7831" w14:paraId="2DD4B21F"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08BF2E" w14:textId="3CE835E3" w:rsidR="00661352" w:rsidRPr="003C7831" w:rsidRDefault="00C95673" w:rsidP="00120F79">
            <w:pPr>
              <w:jc w:val="right"/>
              <w:rPr>
                <w:kern w:val="22"/>
                <w:szCs w:val="22"/>
                <w:lang w:val="fr-CA" w:eastAsia="en-CA"/>
              </w:rPr>
            </w:pPr>
            <w:r>
              <w:rPr>
                <w:kern w:val="22"/>
                <w:szCs w:val="22"/>
                <w:lang w:val="fr-CA" w:eastAsia="en-CA"/>
              </w:rPr>
              <w:t>101</w:t>
            </w:r>
          </w:p>
        </w:tc>
        <w:tc>
          <w:tcPr>
            <w:tcW w:w="3870" w:type="dxa"/>
            <w:tcBorders>
              <w:top w:val="nil"/>
              <w:left w:val="nil"/>
              <w:bottom w:val="single" w:sz="4" w:space="0" w:color="auto"/>
              <w:right w:val="single" w:sz="4" w:space="0" w:color="auto"/>
            </w:tcBorders>
            <w:shd w:val="clear" w:color="auto" w:fill="auto"/>
            <w:vAlign w:val="center"/>
            <w:hideMark/>
          </w:tcPr>
          <w:p w14:paraId="2E9B12CA" w14:textId="77777777" w:rsidR="00661352" w:rsidRPr="003C7831" w:rsidRDefault="00661352" w:rsidP="00120F79">
            <w:pPr>
              <w:jc w:val="left"/>
              <w:rPr>
                <w:kern w:val="22"/>
                <w:szCs w:val="22"/>
                <w:lang w:val="fr-CA" w:eastAsia="en-CA"/>
              </w:rPr>
            </w:pPr>
            <w:r w:rsidRPr="003C7831">
              <w:rPr>
                <w:kern w:val="22"/>
                <w:szCs w:val="22"/>
                <w:lang w:val="fr-CA" w:eastAsia="en-CA"/>
              </w:rPr>
              <w:t>Lituanie</w:t>
            </w:r>
          </w:p>
        </w:tc>
        <w:tc>
          <w:tcPr>
            <w:tcW w:w="1440" w:type="dxa"/>
            <w:tcBorders>
              <w:top w:val="nil"/>
              <w:left w:val="nil"/>
              <w:bottom w:val="single" w:sz="4" w:space="0" w:color="auto"/>
              <w:right w:val="single" w:sz="4" w:space="0" w:color="auto"/>
            </w:tcBorders>
            <w:shd w:val="clear" w:color="auto" w:fill="auto"/>
            <w:vAlign w:val="center"/>
            <w:hideMark/>
          </w:tcPr>
          <w:p w14:paraId="0E2CA960"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071</w:t>
            </w:r>
          </w:p>
        </w:tc>
        <w:tc>
          <w:tcPr>
            <w:tcW w:w="1620" w:type="dxa"/>
            <w:tcBorders>
              <w:top w:val="nil"/>
              <w:left w:val="nil"/>
              <w:bottom w:val="single" w:sz="4" w:space="0" w:color="auto"/>
              <w:right w:val="single" w:sz="4" w:space="0" w:color="auto"/>
            </w:tcBorders>
            <w:shd w:val="clear" w:color="auto" w:fill="auto"/>
            <w:noWrap/>
            <w:vAlign w:val="center"/>
            <w:hideMark/>
          </w:tcPr>
          <w:p w14:paraId="626A811E"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089</w:t>
            </w:r>
          </w:p>
        </w:tc>
        <w:tc>
          <w:tcPr>
            <w:tcW w:w="1710" w:type="dxa"/>
            <w:tcBorders>
              <w:top w:val="nil"/>
              <w:left w:val="nil"/>
              <w:bottom w:val="single" w:sz="4" w:space="0" w:color="auto"/>
              <w:right w:val="single" w:sz="4" w:space="0" w:color="auto"/>
            </w:tcBorders>
            <w:shd w:val="clear" w:color="auto" w:fill="auto"/>
            <w:noWrap/>
            <w:vAlign w:val="center"/>
            <w:hideMark/>
          </w:tcPr>
          <w:p w14:paraId="2AE85369" w14:textId="77777777" w:rsidR="00661352" w:rsidRPr="003C7831" w:rsidRDefault="00661352" w:rsidP="00282AF6">
            <w:pPr>
              <w:ind w:right="144"/>
              <w:jc w:val="right"/>
              <w:rPr>
                <w:kern w:val="22"/>
                <w:szCs w:val="22"/>
                <w:lang w:val="fr-CA" w:eastAsia="en-CA"/>
              </w:rPr>
            </w:pPr>
            <w:r w:rsidRPr="003C7831">
              <w:rPr>
                <w:kern w:val="22"/>
                <w:szCs w:val="22"/>
                <w:lang w:val="fr-CA" w:eastAsia="en-CA"/>
              </w:rPr>
              <w:t>11 202</w:t>
            </w:r>
          </w:p>
        </w:tc>
      </w:tr>
      <w:tr w:rsidR="00661352" w:rsidRPr="003C7831" w14:paraId="47516675"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C213F8" w14:textId="3C3DE83E" w:rsidR="00661352" w:rsidRPr="003C7831" w:rsidRDefault="00C95673" w:rsidP="00120F79">
            <w:pPr>
              <w:jc w:val="right"/>
              <w:rPr>
                <w:kern w:val="22"/>
                <w:szCs w:val="22"/>
                <w:lang w:val="fr-CA" w:eastAsia="en-CA"/>
              </w:rPr>
            </w:pPr>
            <w:r>
              <w:rPr>
                <w:kern w:val="22"/>
                <w:szCs w:val="22"/>
                <w:lang w:val="fr-CA" w:eastAsia="en-CA"/>
              </w:rPr>
              <w:t>102</w:t>
            </w:r>
          </w:p>
        </w:tc>
        <w:tc>
          <w:tcPr>
            <w:tcW w:w="3870" w:type="dxa"/>
            <w:tcBorders>
              <w:top w:val="nil"/>
              <w:left w:val="nil"/>
              <w:bottom w:val="single" w:sz="4" w:space="0" w:color="auto"/>
              <w:right w:val="single" w:sz="4" w:space="0" w:color="auto"/>
            </w:tcBorders>
            <w:shd w:val="clear" w:color="auto" w:fill="auto"/>
            <w:vAlign w:val="center"/>
            <w:hideMark/>
          </w:tcPr>
          <w:p w14:paraId="57850096" w14:textId="77777777" w:rsidR="00661352" w:rsidRPr="003C7831" w:rsidRDefault="00661352" w:rsidP="00120F79">
            <w:pPr>
              <w:jc w:val="left"/>
              <w:rPr>
                <w:kern w:val="22"/>
                <w:szCs w:val="22"/>
                <w:lang w:val="fr-CA" w:eastAsia="en-CA"/>
              </w:rPr>
            </w:pPr>
            <w:r w:rsidRPr="003C7831">
              <w:rPr>
                <w:kern w:val="22"/>
                <w:szCs w:val="22"/>
                <w:lang w:val="fr-CA" w:eastAsia="en-CA"/>
              </w:rPr>
              <w:t>Luxembourg</w:t>
            </w:r>
          </w:p>
        </w:tc>
        <w:tc>
          <w:tcPr>
            <w:tcW w:w="1440" w:type="dxa"/>
            <w:tcBorders>
              <w:top w:val="nil"/>
              <w:left w:val="nil"/>
              <w:bottom w:val="single" w:sz="4" w:space="0" w:color="auto"/>
              <w:right w:val="single" w:sz="4" w:space="0" w:color="auto"/>
            </w:tcBorders>
            <w:shd w:val="clear" w:color="auto" w:fill="auto"/>
            <w:vAlign w:val="center"/>
            <w:hideMark/>
          </w:tcPr>
          <w:p w14:paraId="24745F1F"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067</w:t>
            </w:r>
          </w:p>
        </w:tc>
        <w:tc>
          <w:tcPr>
            <w:tcW w:w="1620" w:type="dxa"/>
            <w:tcBorders>
              <w:top w:val="nil"/>
              <w:left w:val="nil"/>
              <w:bottom w:val="single" w:sz="4" w:space="0" w:color="auto"/>
              <w:right w:val="single" w:sz="4" w:space="0" w:color="auto"/>
            </w:tcBorders>
            <w:shd w:val="clear" w:color="auto" w:fill="auto"/>
            <w:noWrap/>
            <w:vAlign w:val="center"/>
            <w:hideMark/>
          </w:tcPr>
          <w:p w14:paraId="1F71FFEE"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084</w:t>
            </w:r>
          </w:p>
        </w:tc>
        <w:tc>
          <w:tcPr>
            <w:tcW w:w="1710" w:type="dxa"/>
            <w:tcBorders>
              <w:top w:val="nil"/>
              <w:left w:val="nil"/>
              <w:bottom w:val="single" w:sz="4" w:space="0" w:color="auto"/>
              <w:right w:val="single" w:sz="4" w:space="0" w:color="auto"/>
            </w:tcBorders>
            <w:shd w:val="clear" w:color="auto" w:fill="auto"/>
            <w:noWrap/>
            <w:vAlign w:val="center"/>
            <w:hideMark/>
          </w:tcPr>
          <w:p w14:paraId="737414DD" w14:textId="77777777" w:rsidR="00661352" w:rsidRPr="003C7831" w:rsidRDefault="00661352" w:rsidP="00282AF6">
            <w:pPr>
              <w:ind w:right="144"/>
              <w:jc w:val="right"/>
              <w:rPr>
                <w:kern w:val="22"/>
                <w:szCs w:val="22"/>
                <w:lang w:val="fr-CA" w:eastAsia="en-CA"/>
              </w:rPr>
            </w:pPr>
            <w:r w:rsidRPr="003C7831">
              <w:rPr>
                <w:kern w:val="22"/>
                <w:szCs w:val="22"/>
                <w:lang w:val="fr-CA" w:eastAsia="en-CA"/>
              </w:rPr>
              <w:t>10 570</w:t>
            </w:r>
          </w:p>
        </w:tc>
      </w:tr>
      <w:tr w:rsidR="00661352" w:rsidRPr="00E02087" w14:paraId="0507FEA5" w14:textId="77777777" w:rsidTr="00661352">
        <w:trPr>
          <w:trHeight w:val="260"/>
          <w:jc w:val="center"/>
        </w:trPr>
        <w:tc>
          <w:tcPr>
            <w:tcW w:w="625" w:type="dxa"/>
            <w:gridSpan w:val="2"/>
            <w:tcBorders>
              <w:top w:val="single" w:sz="4" w:space="0" w:color="auto"/>
              <w:left w:val="single" w:sz="4" w:space="0" w:color="auto"/>
              <w:bottom w:val="single" w:sz="4" w:space="0" w:color="auto"/>
              <w:right w:val="nil"/>
            </w:tcBorders>
            <w:shd w:val="clear" w:color="auto" w:fill="auto"/>
            <w:noWrap/>
            <w:vAlign w:val="center"/>
          </w:tcPr>
          <w:p w14:paraId="18D4803B" w14:textId="5280F30E" w:rsidR="00661352" w:rsidRPr="00E02087" w:rsidRDefault="00C95673" w:rsidP="00C70C1D">
            <w:pPr>
              <w:jc w:val="right"/>
              <w:rPr>
                <w:kern w:val="22"/>
                <w:szCs w:val="22"/>
                <w:lang w:val="fr-CA" w:eastAsia="en-CA"/>
              </w:rPr>
            </w:pPr>
            <w:r>
              <w:rPr>
                <w:kern w:val="22"/>
                <w:szCs w:val="22"/>
                <w:lang w:val="fr-CA" w:eastAsia="en-CA"/>
              </w:rPr>
              <w:t>103</w:t>
            </w:r>
          </w:p>
        </w:tc>
        <w:tc>
          <w:tcPr>
            <w:tcW w:w="3870" w:type="dxa"/>
            <w:tcBorders>
              <w:top w:val="nil"/>
              <w:left w:val="single" w:sz="4" w:space="0" w:color="auto"/>
              <w:bottom w:val="single" w:sz="4" w:space="0" w:color="auto"/>
              <w:right w:val="single" w:sz="4" w:space="0" w:color="auto"/>
            </w:tcBorders>
            <w:shd w:val="clear" w:color="auto" w:fill="auto"/>
            <w:vAlign w:val="center"/>
          </w:tcPr>
          <w:p w14:paraId="2B48163A" w14:textId="77777777" w:rsidR="00661352" w:rsidRPr="00E02087" w:rsidRDefault="00661352" w:rsidP="00C70C1D">
            <w:pPr>
              <w:jc w:val="left"/>
              <w:rPr>
                <w:kern w:val="22"/>
                <w:szCs w:val="22"/>
                <w:lang w:val="fr-CA" w:eastAsia="en-CA"/>
              </w:rPr>
            </w:pPr>
            <w:r>
              <w:rPr>
                <w:kern w:val="22"/>
                <w:szCs w:val="22"/>
                <w:lang w:val="fr-CA" w:eastAsia="en-CA"/>
              </w:rPr>
              <w:t>Macédoine du Nord</w:t>
            </w:r>
          </w:p>
        </w:tc>
        <w:tc>
          <w:tcPr>
            <w:tcW w:w="1440" w:type="dxa"/>
            <w:tcBorders>
              <w:top w:val="nil"/>
              <w:left w:val="nil"/>
              <w:bottom w:val="single" w:sz="4" w:space="0" w:color="auto"/>
              <w:right w:val="single" w:sz="4" w:space="0" w:color="auto"/>
            </w:tcBorders>
            <w:shd w:val="clear" w:color="auto" w:fill="auto"/>
            <w:vAlign w:val="center"/>
          </w:tcPr>
          <w:p w14:paraId="07896ACB" w14:textId="77777777" w:rsidR="00661352" w:rsidRPr="00E02087" w:rsidRDefault="00661352" w:rsidP="00C70C1D">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007</w:t>
            </w:r>
          </w:p>
        </w:tc>
        <w:tc>
          <w:tcPr>
            <w:tcW w:w="1620" w:type="dxa"/>
            <w:tcBorders>
              <w:top w:val="nil"/>
              <w:left w:val="nil"/>
              <w:bottom w:val="single" w:sz="4" w:space="0" w:color="auto"/>
              <w:right w:val="single" w:sz="4" w:space="0" w:color="auto"/>
            </w:tcBorders>
            <w:shd w:val="clear" w:color="auto" w:fill="auto"/>
            <w:noWrap/>
            <w:vAlign w:val="center"/>
          </w:tcPr>
          <w:p w14:paraId="3DD2984E" w14:textId="77777777" w:rsidR="00661352" w:rsidRPr="00E02087" w:rsidRDefault="00661352" w:rsidP="00C70C1D">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009</w:t>
            </w:r>
          </w:p>
        </w:tc>
        <w:tc>
          <w:tcPr>
            <w:tcW w:w="1710" w:type="dxa"/>
            <w:tcBorders>
              <w:top w:val="nil"/>
              <w:left w:val="nil"/>
              <w:bottom w:val="single" w:sz="4" w:space="0" w:color="auto"/>
              <w:right w:val="single" w:sz="4" w:space="0" w:color="auto"/>
            </w:tcBorders>
            <w:shd w:val="clear" w:color="auto" w:fill="auto"/>
            <w:noWrap/>
            <w:vAlign w:val="center"/>
          </w:tcPr>
          <w:p w14:paraId="5329C8C5" w14:textId="77777777" w:rsidR="00661352" w:rsidRPr="00E02087" w:rsidRDefault="00661352" w:rsidP="00C70C1D">
            <w:pPr>
              <w:ind w:right="144"/>
              <w:jc w:val="right"/>
              <w:rPr>
                <w:kern w:val="22"/>
                <w:szCs w:val="22"/>
                <w:lang w:val="fr-CA" w:eastAsia="en-CA"/>
              </w:rPr>
            </w:pPr>
            <w:r w:rsidRPr="00E02087">
              <w:rPr>
                <w:kern w:val="22"/>
                <w:szCs w:val="22"/>
                <w:lang w:val="fr-CA" w:eastAsia="en-CA"/>
              </w:rPr>
              <w:t>1 104</w:t>
            </w:r>
          </w:p>
        </w:tc>
      </w:tr>
      <w:tr w:rsidR="00661352" w:rsidRPr="003C7831" w14:paraId="282C6F55"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C0A196" w14:textId="77777777" w:rsidR="00661352" w:rsidRPr="003C7831" w:rsidRDefault="00661352" w:rsidP="00120F79">
            <w:pPr>
              <w:jc w:val="right"/>
              <w:rPr>
                <w:kern w:val="22"/>
                <w:szCs w:val="22"/>
                <w:lang w:val="fr-CA" w:eastAsia="en-CA"/>
              </w:rPr>
            </w:pPr>
            <w:r w:rsidRPr="003C7831">
              <w:rPr>
                <w:kern w:val="22"/>
                <w:szCs w:val="22"/>
                <w:lang w:val="fr-CA" w:eastAsia="en-CA"/>
              </w:rPr>
              <w:t>104</w:t>
            </w:r>
          </w:p>
        </w:tc>
        <w:tc>
          <w:tcPr>
            <w:tcW w:w="3870" w:type="dxa"/>
            <w:tcBorders>
              <w:top w:val="nil"/>
              <w:left w:val="nil"/>
              <w:bottom w:val="single" w:sz="4" w:space="0" w:color="auto"/>
              <w:right w:val="single" w:sz="4" w:space="0" w:color="auto"/>
            </w:tcBorders>
            <w:shd w:val="clear" w:color="auto" w:fill="auto"/>
            <w:vAlign w:val="center"/>
            <w:hideMark/>
          </w:tcPr>
          <w:p w14:paraId="5F03C052" w14:textId="77777777" w:rsidR="00661352" w:rsidRPr="003C7831" w:rsidRDefault="00661352" w:rsidP="00120F79">
            <w:pPr>
              <w:jc w:val="left"/>
              <w:rPr>
                <w:kern w:val="22"/>
                <w:szCs w:val="22"/>
                <w:lang w:val="fr-CA" w:eastAsia="en-CA"/>
              </w:rPr>
            </w:pPr>
            <w:r w:rsidRPr="003C7831">
              <w:rPr>
                <w:kern w:val="22"/>
                <w:szCs w:val="22"/>
                <w:lang w:val="fr-CA" w:eastAsia="en-CA"/>
              </w:rPr>
              <w:t>Madagascar</w:t>
            </w:r>
          </w:p>
        </w:tc>
        <w:tc>
          <w:tcPr>
            <w:tcW w:w="1440" w:type="dxa"/>
            <w:tcBorders>
              <w:top w:val="nil"/>
              <w:left w:val="nil"/>
              <w:bottom w:val="single" w:sz="4" w:space="0" w:color="auto"/>
              <w:right w:val="single" w:sz="4" w:space="0" w:color="auto"/>
            </w:tcBorders>
            <w:shd w:val="clear" w:color="auto" w:fill="auto"/>
            <w:vAlign w:val="center"/>
            <w:hideMark/>
          </w:tcPr>
          <w:p w14:paraId="2DF5F8E9"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004</w:t>
            </w:r>
          </w:p>
        </w:tc>
        <w:tc>
          <w:tcPr>
            <w:tcW w:w="1620" w:type="dxa"/>
            <w:tcBorders>
              <w:top w:val="nil"/>
              <w:left w:val="nil"/>
              <w:bottom w:val="single" w:sz="4" w:space="0" w:color="auto"/>
              <w:right w:val="single" w:sz="4" w:space="0" w:color="auto"/>
            </w:tcBorders>
            <w:shd w:val="clear" w:color="auto" w:fill="auto"/>
            <w:noWrap/>
            <w:vAlign w:val="center"/>
            <w:hideMark/>
          </w:tcPr>
          <w:p w14:paraId="505AC46E"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005</w:t>
            </w:r>
          </w:p>
        </w:tc>
        <w:tc>
          <w:tcPr>
            <w:tcW w:w="1710" w:type="dxa"/>
            <w:tcBorders>
              <w:top w:val="nil"/>
              <w:left w:val="nil"/>
              <w:bottom w:val="single" w:sz="4" w:space="0" w:color="auto"/>
              <w:right w:val="single" w:sz="4" w:space="0" w:color="auto"/>
            </w:tcBorders>
            <w:shd w:val="clear" w:color="auto" w:fill="auto"/>
            <w:noWrap/>
            <w:vAlign w:val="center"/>
            <w:hideMark/>
          </w:tcPr>
          <w:p w14:paraId="452E9C3B" w14:textId="77777777" w:rsidR="00661352" w:rsidRPr="003C7831" w:rsidRDefault="00661352" w:rsidP="00282AF6">
            <w:pPr>
              <w:ind w:right="144"/>
              <w:jc w:val="right"/>
              <w:rPr>
                <w:kern w:val="22"/>
                <w:szCs w:val="22"/>
                <w:lang w:val="fr-CA" w:eastAsia="en-CA"/>
              </w:rPr>
            </w:pPr>
            <w:r w:rsidRPr="003C7831">
              <w:rPr>
                <w:kern w:val="22"/>
                <w:szCs w:val="22"/>
                <w:lang w:val="fr-CA" w:eastAsia="en-CA"/>
              </w:rPr>
              <w:t>631</w:t>
            </w:r>
          </w:p>
        </w:tc>
      </w:tr>
      <w:tr w:rsidR="00661352" w:rsidRPr="00E02087" w14:paraId="3FD7E94E" w14:textId="77777777" w:rsidTr="00661352">
        <w:trPr>
          <w:trHeight w:val="260"/>
          <w:jc w:val="center"/>
        </w:trPr>
        <w:tc>
          <w:tcPr>
            <w:tcW w:w="625" w:type="dxa"/>
            <w:gridSpan w:val="2"/>
            <w:tcBorders>
              <w:top w:val="single" w:sz="4" w:space="0" w:color="auto"/>
              <w:left w:val="single" w:sz="4" w:space="0" w:color="auto"/>
              <w:bottom w:val="single" w:sz="4" w:space="0" w:color="auto"/>
              <w:right w:val="nil"/>
            </w:tcBorders>
            <w:shd w:val="clear" w:color="auto" w:fill="auto"/>
            <w:noWrap/>
            <w:vAlign w:val="center"/>
            <w:hideMark/>
          </w:tcPr>
          <w:p w14:paraId="4BB7D8EF" w14:textId="6EC5AF8D" w:rsidR="00661352" w:rsidRPr="00E02087" w:rsidRDefault="00C95673" w:rsidP="00120F79">
            <w:pPr>
              <w:jc w:val="right"/>
              <w:rPr>
                <w:kern w:val="22"/>
                <w:szCs w:val="22"/>
                <w:lang w:val="fr-CA" w:eastAsia="en-CA"/>
              </w:rPr>
            </w:pPr>
            <w:r>
              <w:rPr>
                <w:kern w:val="22"/>
                <w:szCs w:val="22"/>
                <w:lang w:val="fr-CA" w:eastAsia="en-CA"/>
              </w:rPr>
              <w:t>105</w:t>
            </w:r>
          </w:p>
        </w:tc>
        <w:tc>
          <w:tcPr>
            <w:tcW w:w="3870" w:type="dxa"/>
            <w:tcBorders>
              <w:top w:val="nil"/>
              <w:left w:val="single" w:sz="4" w:space="0" w:color="auto"/>
              <w:bottom w:val="single" w:sz="4" w:space="0" w:color="auto"/>
              <w:right w:val="single" w:sz="4" w:space="0" w:color="auto"/>
            </w:tcBorders>
            <w:shd w:val="clear" w:color="auto" w:fill="auto"/>
            <w:vAlign w:val="center"/>
            <w:hideMark/>
          </w:tcPr>
          <w:p w14:paraId="670A267C" w14:textId="77777777" w:rsidR="00661352" w:rsidRPr="00E02087" w:rsidRDefault="00661352" w:rsidP="00120F79">
            <w:pPr>
              <w:jc w:val="left"/>
              <w:rPr>
                <w:kern w:val="22"/>
                <w:szCs w:val="22"/>
                <w:lang w:val="fr-CA" w:eastAsia="en-CA"/>
              </w:rPr>
            </w:pPr>
            <w:r w:rsidRPr="00E02087">
              <w:rPr>
                <w:kern w:val="22"/>
                <w:szCs w:val="22"/>
                <w:lang w:val="fr-CA" w:eastAsia="en-CA"/>
              </w:rPr>
              <w:t>Malaisie</w:t>
            </w:r>
          </w:p>
        </w:tc>
        <w:tc>
          <w:tcPr>
            <w:tcW w:w="1440" w:type="dxa"/>
            <w:tcBorders>
              <w:top w:val="nil"/>
              <w:left w:val="nil"/>
              <w:bottom w:val="single" w:sz="4" w:space="0" w:color="auto"/>
              <w:right w:val="single" w:sz="4" w:space="0" w:color="auto"/>
            </w:tcBorders>
            <w:shd w:val="clear" w:color="auto" w:fill="auto"/>
            <w:vAlign w:val="center"/>
            <w:hideMark/>
          </w:tcPr>
          <w:p w14:paraId="0B733ED6"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341</w:t>
            </w:r>
          </w:p>
        </w:tc>
        <w:tc>
          <w:tcPr>
            <w:tcW w:w="1620" w:type="dxa"/>
            <w:tcBorders>
              <w:top w:val="nil"/>
              <w:left w:val="nil"/>
              <w:bottom w:val="single" w:sz="4" w:space="0" w:color="auto"/>
              <w:right w:val="single" w:sz="4" w:space="0" w:color="auto"/>
            </w:tcBorders>
            <w:shd w:val="clear" w:color="auto" w:fill="auto"/>
            <w:noWrap/>
            <w:vAlign w:val="center"/>
            <w:hideMark/>
          </w:tcPr>
          <w:p w14:paraId="5F3E5EC6"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426</w:t>
            </w:r>
          </w:p>
        </w:tc>
        <w:tc>
          <w:tcPr>
            <w:tcW w:w="1710" w:type="dxa"/>
            <w:tcBorders>
              <w:top w:val="nil"/>
              <w:left w:val="nil"/>
              <w:bottom w:val="single" w:sz="4" w:space="0" w:color="auto"/>
              <w:right w:val="single" w:sz="4" w:space="0" w:color="auto"/>
            </w:tcBorders>
            <w:shd w:val="clear" w:color="auto" w:fill="auto"/>
            <w:noWrap/>
            <w:vAlign w:val="center"/>
            <w:hideMark/>
          </w:tcPr>
          <w:p w14:paraId="76C6B342" w14:textId="77777777" w:rsidR="00661352" w:rsidRPr="00E02087" w:rsidRDefault="00661352" w:rsidP="00282AF6">
            <w:pPr>
              <w:ind w:right="144"/>
              <w:jc w:val="right"/>
              <w:rPr>
                <w:kern w:val="22"/>
                <w:szCs w:val="22"/>
                <w:lang w:val="fr-CA" w:eastAsia="en-CA"/>
              </w:rPr>
            </w:pPr>
            <w:r w:rsidRPr="00E02087">
              <w:rPr>
                <w:kern w:val="22"/>
                <w:szCs w:val="22"/>
                <w:lang w:val="fr-CA" w:eastAsia="en-CA"/>
              </w:rPr>
              <w:t>53 799</w:t>
            </w:r>
          </w:p>
        </w:tc>
      </w:tr>
      <w:tr w:rsidR="00661352" w:rsidRPr="003C7831" w14:paraId="27F08B95"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1E38C4" w14:textId="039BEDBB" w:rsidR="00661352" w:rsidRPr="003C7831" w:rsidRDefault="00C95673" w:rsidP="00120F79">
            <w:pPr>
              <w:jc w:val="right"/>
              <w:rPr>
                <w:kern w:val="22"/>
                <w:szCs w:val="22"/>
                <w:lang w:val="fr-CA" w:eastAsia="en-CA"/>
              </w:rPr>
            </w:pPr>
            <w:r>
              <w:rPr>
                <w:kern w:val="22"/>
                <w:szCs w:val="22"/>
                <w:lang w:val="fr-CA" w:eastAsia="en-CA"/>
              </w:rPr>
              <w:t>106</w:t>
            </w:r>
          </w:p>
        </w:tc>
        <w:tc>
          <w:tcPr>
            <w:tcW w:w="3870" w:type="dxa"/>
            <w:tcBorders>
              <w:top w:val="nil"/>
              <w:left w:val="nil"/>
              <w:bottom w:val="single" w:sz="4" w:space="0" w:color="auto"/>
              <w:right w:val="single" w:sz="4" w:space="0" w:color="auto"/>
            </w:tcBorders>
            <w:shd w:val="clear" w:color="auto" w:fill="auto"/>
            <w:vAlign w:val="center"/>
            <w:hideMark/>
          </w:tcPr>
          <w:p w14:paraId="77749276" w14:textId="77777777" w:rsidR="00661352" w:rsidRPr="003C7831" w:rsidRDefault="00661352" w:rsidP="00120F79">
            <w:pPr>
              <w:jc w:val="left"/>
              <w:rPr>
                <w:kern w:val="22"/>
                <w:szCs w:val="22"/>
                <w:lang w:val="fr-CA" w:eastAsia="en-CA"/>
              </w:rPr>
            </w:pPr>
            <w:r w:rsidRPr="003C7831">
              <w:rPr>
                <w:kern w:val="22"/>
                <w:szCs w:val="22"/>
                <w:lang w:val="fr-CA" w:eastAsia="en-CA"/>
              </w:rPr>
              <w:t>Malawi</w:t>
            </w:r>
          </w:p>
        </w:tc>
        <w:tc>
          <w:tcPr>
            <w:tcW w:w="1440" w:type="dxa"/>
            <w:tcBorders>
              <w:top w:val="nil"/>
              <w:left w:val="nil"/>
              <w:bottom w:val="single" w:sz="4" w:space="0" w:color="auto"/>
              <w:right w:val="single" w:sz="4" w:space="0" w:color="auto"/>
            </w:tcBorders>
            <w:shd w:val="clear" w:color="auto" w:fill="auto"/>
            <w:vAlign w:val="center"/>
            <w:hideMark/>
          </w:tcPr>
          <w:p w14:paraId="4E23C236"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002</w:t>
            </w:r>
          </w:p>
        </w:tc>
        <w:tc>
          <w:tcPr>
            <w:tcW w:w="1620" w:type="dxa"/>
            <w:tcBorders>
              <w:top w:val="nil"/>
              <w:left w:val="nil"/>
              <w:bottom w:val="single" w:sz="4" w:space="0" w:color="auto"/>
              <w:right w:val="single" w:sz="4" w:space="0" w:color="auto"/>
            </w:tcBorders>
            <w:shd w:val="clear" w:color="auto" w:fill="auto"/>
            <w:noWrap/>
            <w:vAlign w:val="center"/>
            <w:hideMark/>
          </w:tcPr>
          <w:p w14:paraId="4CDE6982"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003</w:t>
            </w:r>
          </w:p>
        </w:tc>
        <w:tc>
          <w:tcPr>
            <w:tcW w:w="1710" w:type="dxa"/>
            <w:tcBorders>
              <w:top w:val="nil"/>
              <w:left w:val="nil"/>
              <w:bottom w:val="single" w:sz="4" w:space="0" w:color="auto"/>
              <w:right w:val="single" w:sz="4" w:space="0" w:color="auto"/>
            </w:tcBorders>
            <w:shd w:val="clear" w:color="auto" w:fill="auto"/>
            <w:noWrap/>
            <w:vAlign w:val="center"/>
            <w:hideMark/>
          </w:tcPr>
          <w:p w14:paraId="0B827C8B" w14:textId="77777777" w:rsidR="00661352" w:rsidRPr="003C7831" w:rsidRDefault="00661352" w:rsidP="00282AF6">
            <w:pPr>
              <w:ind w:right="144"/>
              <w:jc w:val="right"/>
              <w:rPr>
                <w:kern w:val="22"/>
                <w:szCs w:val="22"/>
                <w:lang w:val="fr-CA" w:eastAsia="en-CA"/>
              </w:rPr>
            </w:pPr>
            <w:r w:rsidRPr="003C7831">
              <w:rPr>
                <w:kern w:val="22"/>
                <w:szCs w:val="22"/>
                <w:lang w:val="fr-CA" w:eastAsia="en-CA"/>
              </w:rPr>
              <w:t>316</w:t>
            </w:r>
          </w:p>
        </w:tc>
      </w:tr>
      <w:tr w:rsidR="00661352" w:rsidRPr="00E02087" w14:paraId="7DD4BA69" w14:textId="77777777" w:rsidTr="00661352">
        <w:trPr>
          <w:trHeight w:val="260"/>
          <w:jc w:val="center"/>
        </w:trPr>
        <w:tc>
          <w:tcPr>
            <w:tcW w:w="625" w:type="dxa"/>
            <w:gridSpan w:val="2"/>
            <w:tcBorders>
              <w:top w:val="single" w:sz="4" w:space="0" w:color="auto"/>
              <w:left w:val="single" w:sz="4" w:space="0" w:color="auto"/>
              <w:bottom w:val="single" w:sz="4" w:space="0" w:color="auto"/>
              <w:right w:val="nil"/>
            </w:tcBorders>
            <w:shd w:val="clear" w:color="auto" w:fill="auto"/>
            <w:noWrap/>
            <w:vAlign w:val="center"/>
            <w:hideMark/>
          </w:tcPr>
          <w:p w14:paraId="5227979D" w14:textId="77777777" w:rsidR="00661352" w:rsidRPr="00E02087" w:rsidRDefault="00661352" w:rsidP="00120F79">
            <w:pPr>
              <w:jc w:val="right"/>
              <w:rPr>
                <w:kern w:val="22"/>
                <w:szCs w:val="22"/>
                <w:lang w:val="fr-CA" w:eastAsia="en-CA"/>
              </w:rPr>
            </w:pPr>
            <w:r w:rsidRPr="00E02087">
              <w:rPr>
                <w:kern w:val="22"/>
                <w:szCs w:val="22"/>
                <w:lang w:val="fr-CA" w:eastAsia="en-CA"/>
              </w:rPr>
              <w:t>107</w:t>
            </w:r>
          </w:p>
        </w:tc>
        <w:tc>
          <w:tcPr>
            <w:tcW w:w="3870" w:type="dxa"/>
            <w:tcBorders>
              <w:top w:val="nil"/>
              <w:left w:val="single" w:sz="4" w:space="0" w:color="auto"/>
              <w:bottom w:val="single" w:sz="4" w:space="0" w:color="auto"/>
              <w:right w:val="single" w:sz="4" w:space="0" w:color="auto"/>
            </w:tcBorders>
            <w:shd w:val="clear" w:color="auto" w:fill="auto"/>
            <w:vAlign w:val="center"/>
            <w:hideMark/>
          </w:tcPr>
          <w:p w14:paraId="53F03C9F" w14:textId="77777777" w:rsidR="00661352" w:rsidRPr="00E02087" w:rsidRDefault="00661352" w:rsidP="00120F79">
            <w:pPr>
              <w:jc w:val="left"/>
              <w:rPr>
                <w:kern w:val="22"/>
                <w:szCs w:val="22"/>
                <w:lang w:val="fr-CA" w:eastAsia="en-CA"/>
              </w:rPr>
            </w:pPr>
            <w:r w:rsidRPr="00E02087">
              <w:rPr>
                <w:kern w:val="22"/>
                <w:szCs w:val="22"/>
                <w:lang w:val="fr-CA" w:eastAsia="en-CA"/>
              </w:rPr>
              <w:t>Maldives</w:t>
            </w:r>
          </w:p>
        </w:tc>
        <w:tc>
          <w:tcPr>
            <w:tcW w:w="1440" w:type="dxa"/>
            <w:tcBorders>
              <w:top w:val="nil"/>
              <w:left w:val="nil"/>
              <w:bottom w:val="single" w:sz="4" w:space="0" w:color="auto"/>
              <w:right w:val="single" w:sz="4" w:space="0" w:color="auto"/>
            </w:tcBorders>
            <w:shd w:val="clear" w:color="auto" w:fill="auto"/>
            <w:vAlign w:val="center"/>
            <w:hideMark/>
          </w:tcPr>
          <w:p w14:paraId="425290C1"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004</w:t>
            </w:r>
          </w:p>
        </w:tc>
        <w:tc>
          <w:tcPr>
            <w:tcW w:w="1620" w:type="dxa"/>
            <w:tcBorders>
              <w:top w:val="nil"/>
              <w:left w:val="nil"/>
              <w:bottom w:val="single" w:sz="4" w:space="0" w:color="auto"/>
              <w:right w:val="single" w:sz="4" w:space="0" w:color="auto"/>
            </w:tcBorders>
            <w:shd w:val="clear" w:color="auto" w:fill="auto"/>
            <w:noWrap/>
            <w:vAlign w:val="center"/>
            <w:hideMark/>
          </w:tcPr>
          <w:p w14:paraId="748812A7"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005</w:t>
            </w:r>
          </w:p>
        </w:tc>
        <w:tc>
          <w:tcPr>
            <w:tcW w:w="1710" w:type="dxa"/>
            <w:tcBorders>
              <w:top w:val="nil"/>
              <w:left w:val="nil"/>
              <w:bottom w:val="single" w:sz="4" w:space="0" w:color="auto"/>
              <w:right w:val="single" w:sz="4" w:space="0" w:color="auto"/>
            </w:tcBorders>
            <w:shd w:val="clear" w:color="auto" w:fill="auto"/>
            <w:noWrap/>
            <w:vAlign w:val="center"/>
            <w:hideMark/>
          </w:tcPr>
          <w:p w14:paraId="23408901" w14:textId="77777777" w:rsidR="00661352" w:rsidRPr="00E02087" w:rsidRDefault="00661352" w:rsidP="00282AF6">
            <w:pPr>
              <w:ind w:right="144"/>
              <w:jc w:val="right"/>
              <w:rPr>
                <w:kern w:val="22"/>
                <w:szCs w:val="22"/>
                <w:lang w:val="fr-CA" w:eastAsia="en-CA"/>
              </w:rPr>
            </w:pPr>
            <w:r w:rsidRPr="00E02087">
              <w:rPr>
                <w:kern w:val="22"/>
                <w:szCs w:val="22"/>
                <w:lang w:val="fr-CA" w:eastAsia="en-CA"/>
              </w:rPr>
              <w:t>631</w:t>
            </w:r>
          </w:p>
        </w:tc>
      </w:tr>
      <w:tr w:rsidR="00661352" w:rsidRPr="00E02087" w14:paraId="0B6E22D3" w14:textId="77777777" w:rsidTr="00661352">
        <w:trPr>
          <w:trHeight w:val="260"/>
          <w:jc w:val="center"/>
        </w:trPr>
        <w:tc>
          <w:tcPr>
            <w:tcW w:w="625" w:type="dxa"/>
            <w:gridSpan w:val="2"/>
            <w:tcBorders>
              <w:top w:val="single" w:sz="4" w:space="0" w:color="auto"/>
              <w:left w:val="single" w:sz="4" w:space="0" w:color="auto"/>
              <w:bottom w:val="single" w:sz="4" w:space="0" w:color="auto"/>
              <w:right w:val="nil"/>
            </w:tcBorders>
            <w:shd w:val="clear" w:color="auto" w:fill="auto"/>
            <w:noWrap/>
            <w:vAlign w:val="center"/>
            <w:hideMark/>
          </w:tcPr>
          <w:p w14:paraId="6500402F" w14:textId="77777777" w:rsidR="00661352" w:rsidRPr="00E02087" w:rsidRDefault="00661352" w:rsidP="00120F79">
            <w:pPr>
              <w:jc w:val="right"/>
              <w:rPr>
                <w:kern w:val="22"/>
                <w:szCs w:val="22"/>
                <w:lang w:val="fr-CA" w:eastAsia="en-CA"/>
              </w:rPr>
            </w:pPr>
            <w:r w:rsidRPr="00E02087">
              <w:rPr>
                <w:kern w:val="22"/>
                <w:szCs w:val="22"/>
                <w:lang w:val="fr-CA" w:eastAsia="en-CA"/>
              </w:rPr>
              <w:t>108</w:t>
            </w:r>
          </w:p>
        </w:tc>
        <w:tc>
          <w:tcPr>
            <w:tcW w:w="3870" w:type="dxa"/>
            <w:tcBorders>
              <w:top w:val="nil"/>
              <w:left w:val="single" w:sz="4" w:space="0" w:color="auto"/>
              <w:bottom w:val="single" w:sz="4" w:space="0" w:color="auto"/>
              <w:right w:val="single" w:sz="4" w:space="0" w:color="auto"/>
            </w:tcBorders>
            <w:shd w:val="clear" w:color="auto" w:fill="auto"/>
            <w:vAlign w:val="center"/>
            <w:hideMark/>
          </w:tcPr>
          <w:p w14:paraId="55AB3698" w14:textId="77777777" w:rsidR="00661352" w:rsidRPr="00E02087" w:rsidRDefault="00661352" w:rsidP="00120F79">
            <w:pPr>
              <w:jc w:val="left"/>
              <w:rPr>
                <w:kern w:val="22"/>
                <w:szCs w:val="22"/>
                <w:lang w:val="fr-CA" w:eastAsia="en-CA"/>
              </w:rPr>
            </w:pPr>
            <w:r w:rsidRPr="00E02087">
              <w:rPr>
                <w:kern w:val="22"/>
                <w:szCs w:val="22"/>
                <w:lang w:val="fr-CA" w:eastAsia="en-CA"/>
              </w:rPr>
              <w:t>Mali</w:t>
            </w:r>
          </w:p>
        </w:tc>
        <w:tc>
          <w:tcPr>
            <w:tcW w:w="1440" w:type="dxa"/>
            <w:tcBorders>
              <w:top w:val="nil"/>
              <w:left w:val="nil"/>
              <w:bottom w:val="single" w:sz="4" w:space="0" w:color="auto"/>
              <w:right w:val="single" w:sz="4" w:space="0" w:color="auto"/>
            </w:tcBorders>
            <w:shd w:val="clear" w:color="auto" w:fill="auto"/>
            <w:vAlign w:val="center"/>
            <w:hideMark/>
          </w:tcPr>
          <w:p w14:paraId="245A5829"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004</w:t>
            </w:r>
          </w:p>
        </w:tc>
        <w:tc>
          <w:tcPr>
            <w:tcW w:w="1620" w:type="dxa"/>
            <w:tcBorders>
              <w:top w:val="nil"/>
              <w:left w:val="nil"/>
              <w:bottom w:val="single" w:sz="4" w:space="0" w:color="auto"/>
              <w:right w:val="single" w:sz="4" w:space="0" w:color="auto"/>
            </w:tcBorders>
            <w:shd w:val="clear" w:color="auto" w:fill="auto"/>
            <w:noWrap/>
            <w:vAlign w:val="center"/>
            <w:hideMark/>
          </w:tcPr>
          <w:p w14:paraId="38F4E8CC"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005</w:t>
            </w:r>
          </w:p>
        </w:tc>
        <w:tc>
          <w:tcPr>
            <w:tcW w:w="1710" w:type="dxa"/>
            <w:tcBorders>
              <w:top w:val="nil"/>
              <w:left w:val="nil"/>
              <w:bottom w:val="single" w:sz="4" w:space="0" w:color="auto"/>
              <w:right w:val="single" w:sz="4" w:space="0" w:color="auto"/>
            </w:tcBorders>
            <w:shd w:val="clear" w:color="auto" w:fill="auto"/>
            <w:noWrap/>
            <w:vAlign w:val="center"/>
            <w:hideMark/>
          </w:tcPr>
          <w:p w14:paraId="2693B406" w14:textId="77777777" w:rsidR="00661352" w:rsidRPr="00E02087" w:rsidRDefault="00661352" w:rsidP="00282AF6">
            <w:pPr>
              <w:ind w:right="144"/>
              <w:jc w:val="right"/>
              <w:rPr>
                <w:kern w:val="22"/>
                <w:szCs w:val="22"/>
                <w:lang w:val="fr-CA" w:eastAsia="en-CA"/>
              </w:rPr>
            </w:pPr>
            <w:r w:rsidRPr="00E02087">
              <w:rPr>
                <w:kern w:val="22"/>
                <w:szCs w:val="22"/>
                <w:lang w:val="fr-CA" w:eastAsia="en-CA"/>
              </w:rPr>
              <w:t>631</w:t>
            </w:r>
          </w:p>
        </w:tc>
      </w:tr>
      <w:tr w:rsidR="00661352" w:rsidRPr="00E02087" w14:paraId="48259A43" w14:textId="77777777" w:rsidTr="00661352">
        <w:trPr>
          <w:trHeight w:val="305"/>
          <w:jc w:val="center"/>
        </w:trPr>
        <w:tc>
          <w:tcPr>
            <w:tcW w:w="625" w:type="dxa"/>
            <w:gridSpan w:val="2"/>
            <w:tcBorders>
              <w:top w:val="single" w:sz="4" w:space="0" w:color="auto"/>
              <w:left w:val="single" w:sz="4" w:space="0" w:color="auto"/>
              <w:bottom w:val="single" w:sz="4" w:space="0" w:color="auto"/>
              <w:right w:val="nil"/>
            </w:tcBorders>
            <w:shd w:val="clear" w:color="auto" w:fill="auto"/>
            <w:noWrap/>
            <w:vAlign w:val="center"/>
            <w:hideMark/>
          </w:tcPr>
          <w:p w14:paraId="1B3AA78F" w14:textId="77777777" w:rsidR="00661352" w:rsidRPr="00E02087" w:rsidRDefault="00661352" w:rsidP="00120F79">
            <w:pPr>
              <w:jc w:val="right"/>
              <w:rPr>
                <w:kern w:val="22"/>
                <w:szCs w:val="22"/>
                <w:lang w:val="fr-CA" w:eastAsia="en-CA"/>
              </w:rPr>
            </w:pPr>
            <w:r w:rsidRPr="00E02087">
              <w:rPr>
                <w:kern w:val="22"/>
                <w:szCs w:val="22"/>
                <w:lang w:val="fr-CA" w:eastAsia="en-CA"/>
              </w:rPr>
              <w:t>109</w:t>
            </w:r>
          </w:p>
        </w:tc>
        <w:tc>
          <w:tcPr>
            <w:tcW w:w="3870" w:type="dxa"/>
            <w:tcBorders>
              <w:top w:val="nil"/>
              <w:left w:val="single" w:sz="4" w:space="0" w:color="auto"/>
              <w:bottom w:val="single" w:sz="4" w:space="0" w:color="auto"/>
              <w:right w:val="single" w:sz="4" w:space="0" w:color="auto"/>
            </w:tcBorders>
            <w:shd w:val="clear" w:color="auto" w:fill="auto"/>
            <w:vAlign w:val="center"/>
            <w:hideMark/>
          </w:tcPr>
          <w:p w14:paraId="343AE78D" w14:textId="77777777" w:rsidR="00661352" w:rsidRPr="00E02087" w:rsidRDefault="00661352" w:rsidP="00120F79">
            <w:pPr>
              <w:jc w:val="left"/>
              <w:rPr>
                <w:kern w:val="22"/>
                <w:szCs w:val="22"/>
                <w:lang w:val="fr-CA" w:eastAsia="en-CA"/>
              </w:rPr>
            </w:pPr>
            <w:r w:rsidRPr="00E02087">
              <w:rPr>
                <w:kern w:val="22"/>
                <w:szCs w:val="22"/>
                <w:lang w:val="fr-CA" w:eastAsia="en-CA"/>
              </w:rPr>
              <w:t>Malte</w:t>
            </w:r>
          </w:p>
        </w:tc>
        <w:tc>
          <w:tcPr>
            <w:tcW w:w="1440" w:type="dxa"/>
            <w:tcBorders>
              <w:top w:val="nil"/>
              <w:left w:val="nil"/>
              <w:bottom w:val="single" w:sz="4" w:space="0" w:color="auto"/>
              <w:right w:val="single" w:sz="4" w:space="0" w:color="auto"/>
            </w:tcBorders>
            <w:shd w:val="clear" w:color="auto" w:fill="auto"/>
            <w:vAlign w:val="center"/>
            <w:hideMark/>
          </w:tcPr>
          <w:p w14:paraId="52D1D474"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017</w:t>
            </w:r>
          </w:p>
        </w:tc>
        <w:tc>
          <w:tcPr>
            <w:tcW w:w="1620" w:type="dxa"/>
            <w:tcBorders>
              <w:top w:val="nil"/>
              <w:left w:val="nil"/>
              <w:bottom w:val="single" w:sz="4" w:space="0" w:color="auto"/>
              <w:right w:val="single" w:sz="4" w:space="0" w:color="auto"/>
            </w:tcBorders>
            <w:shd w:val="clear" w:color="auto" w:fill="auto"/>
            <w:noWrap/>
            <w:vAlign w:val="center"/>
            <w:hideMark/>
          </w:tcPr>
          <w:p w14:paraId="56D043E0"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021</w:t>
            </w:r>
          </w:p>
        </w:tc>
        <w:tc>
          <w:tcPr>
            <w:tcW w:w="1710" w:type="dxa"/>
            <w:tcBorders>
              <w:top w:val="nil"/>
              <w:left w:val="nil"/>
              <w:bottom w:val="single" w:sz="4" w:space="0" w:color="auto"/>
              <w:right w:val="single" w:sz="4" w:space="0" w:color="auto"/>
            </w:tcBorders>
            <w:shd w:val="clear" w:color="auto" w:fill="auto"/>
            <w:noWrap/>
            <w:vAlign w:val="center"/>
            <w:hideMark/>
          </w:tcPr>
          <w:p w14:paraId="0EC8CB22" w14:textId="77777777" w:rsidR="00661352" w:rsidRPr="00E02087" w:rsidRDefault="00661352" w:rsidP="00282AF6">
            <w:pPr>
              <w:ind w:right="144"/>
              <w:jc w:val="right"/>
              <w:rPr>
                <w:kern w:val="22"/>
                <w:szCs w:val="22"/>
                <w:lang w:val="fr-CA" w:eastAsia="en-CA"/>
              </w:rPr>
            </w:pPr>
            <w:r w:rsidRPr="00E02087">
              <w:rPr>
                <w:kern w:val="22"/>
                <w:szCs w:val="22"/>
                <w:lang w:val="fr-CA" w:eastAsia="en-CA"/>
              </w:rPr>
              <w:t>2 682</w:t>
            </w:r>
          </w:p>
        </w:tc>
      </w:tr>
      <w:tr w:rsidR="00661352" w:rsidRPr="00E02087" w14:paraId="532076C4" w14:textId="77777777" w:rsidTr="00661352">
        <w:trPr>
          <w:trHeight w:val="260"/>
          <w:jc w:val="center"/>
        </w:trPr>
        <w:tc>
          <w:tcPr>
            <w:tcW w:w="625" w:type="dxa"/>
            <w:gridSpan w:val="2"/>
            <w:tcBorders>
              <w:top w:val="single" w:sz="4" w:space="0" w:color="auto"/>
              <w:left w:val="single" w:sz="4" w:space="0" w:color="auto"/>
              <w:bottom w:val="single" w:sz="4" w:space="0" w:color="auto"/>
              <w:right w:val="nil"/>
            </w:tcBorders>
            <w:shd w:val="clear" w:color="auto" w:fill="auto"/>
            <w:noWrap/>
            <w:vAlign w:val="center"/>
            <w:hideMark/>
          </w:tcPr>
          <w:p w14:paraId="659BDE0B" w14:textId="4AEEF5E0" w:rsidR="00661352" w:rsidRPr="00E02087" w:rsidRDefault="00C95673" w:rsidP="00120F79">
            <w:pPr>
              <w:jc w:val="right"/>
              <w:rPr>
                <w:kern w:val="22"/>
                <w:szCs w:val="22"/>
                <w:lang w:val="fr-CA" w:eastAsia="en-CA"/>
              </w:rPr>
            </w:pPr>
            <w:r>
              <w:rPr>
                <w:kern w:val="22"/>
                <w:szCs w:val="22"/>
                <w:lang w:val="fr-CA" w:eastAsia="en-CA"/>
              </w:rPr>
              <w:t>110</w:t>
            </w:r>
          </w:p>
        </w:tc>
        <w:tc>
          <w:tcPr>
            <w:tcW w:w="3870" w:type="dxa"/>
            <w:tcBorders>
              <w:top w:val="nil"/>
              <w:left w:val="single" w:sz="4" w:space="0" w:color="auto"/>
              <w:bottom w:val="single" w:sz="4" w:space="0" w:color="auto"/>
              <w:right w:val="single" w:sz="4" w:space="0" w:color="auto"/>
            </w:tcBorders>
            <w:shd w:val="clear" w:color="auto" w:fill="auto"/>
            <w:vAlign w:val="center"/>
            <w:hideMark/>
          </w:tcPr>
          <w:p w14:paraId="27A246CE" w14:textId="77777777" w:rsidR="00661352" w:rsidRPr="00E02087" w:rsidRDefault="00661352" w:rsidP="00120F79">
            <w:pPr>
              <w:jc w:val="left"/>
              <w:rPr>
                <w:kern w:val="22"/>
                <w:szCs w:val="22"/>
                <w:lang w:val="fr-CA" w:eastAsia="en-CA"/>
              </w:rPr>
            </w:pPr>
            <w:r>
              <w:rPr>
                <w:kern w:val="22"/>
                <w:szCs w:val="22"/>
                <w:lang w:val="fr-CA" w:eastAsia="en-CA"/>
              </w:rPr>
              <w:t>Maroc</w:t>
            </w:r>
          </w:p>
        </w:tc>
        <w:tc>
          <w:tcPr>
            <w:tcW w:w="1440" w:type="dxa"/>
            <w:tcBorders>
              <w:top w:val="nil"/>
              <w:left w:val="nil"/>
              <w:bottom w:val="single" w:sz="4" w:space="0" w:color="auto"/>
              <w:right w:val="single" w:sz="4" w:space="0" w:color="auto"/>
            </w:tcBorders>
            <w:shd w:val="clear" w:color="auto" w:fill="auto"/>
            <w:vAlign w:val="center"/>
            <w:hideMark/>
          </w:tcPr>
          <w:p w14:paraId="17831B83"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055</w:t>
            </w:r>
          </w:p>
        </w:tc>
        <w:tc>
          <w:tcPr>
            <w:tcW w:w="1620" w:type="dxa"/>
            <w:tcBorders>
              <w:top w:val="nil"/>
              <w:left w:val="nil"/>
              <w:bottom w:val="single" w:sz="4" w:space="0" w:color="auto"/>
              <w:right w:val="single" w:sz="4" w:space="0" w:color="auto"/>
            </w:tcBorders>
            <w:shd w:val="clear" w:color="auto" w:fill="auto"/>
            <w:noWrap/>
            <w:vAlign w:val="center"/>
            <w:hideMark/>
          </w:tcPr>
          <w:p w14:paraId="1BC33FCB"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069</w:t>
            </w:r>
          </w:p>
        </w:tc>
        <w:tc>
          <w:tcPr>
            <w:tcW w:w="1710" w:type="dxa"/>
            <w:tcBorders>
              <w:top w:val="nil"/>
              <w:left w:val="nil"/>
              <w:bottom w:val="single" w:sz="4" w:space="0" w:color="auto"/>
              <w:right w:val="single" w:sz="4" w:space="0" w:color="auto"/>
            </w:tcBorders>
            <w:shd w:val="clear" w:color="auto" w:fill="auto"/>
            <w:noWrap/>
            <w:vAlign w:val="center"/>
            <w:hideMark/>
          </w:tcPr>
          <w:p w14:paraId="2C730200" w14:textId="77777777" w:rsidR="00661352" w:rsidRPr="00E02087" w:rsidRDefault="00661352" w:rsidP="00282AF6">
            <w:pPr>
              <w:ind w:right="144"/>
              <w:jc w:val="right"/>
              <w:rPr>
                <w:kern w:val="22"/>
                <w:szCs w:val="22"/>
                <w:lang w:val="fr-CA" w:eastAsia="en-CA"/>
              </w:rPr>
            </w:pPr>
            <w:r w:rsidRPr="00E02087">
              <w:rPr>
                <w:kern w:val="22"/>
                <w:szCs w:val="22"/>
                <w:lang w:val="fr-CA" w:eastAsia="en-CA"/>
              </w:rPr>
              <w:t>8 677</w:t>
            </w:r>
          </w:p>
        </w:tc>
      </w:tr>
      <w:tr w:rsidR="00661352" w:rsidRPr="00E02087" w14:paraId="595FEC50" w14:textId="77777777" w:rsidTr="00661352">
        <w:trPr>
          <w:trHeight w:val="260"/>
          <w:jc w:val="center"/>
        </w:trPr>
        <w:tc>
          <w:tcPr>
            <w:tcW w:w="625" w:type="dxa"/>
            <w:gridSpan w:val="2"/>
            <w:tcBorders>
              <w:top w:val="single" w:sz="4" w:space="0" w:color="auto"/>
              <w:left w:val="single" w:sz="4" w:space="0" w:color="auto"/>
              <w:bottom w:val="single" w:sz="4" w:space="0" w:color="auto"/>
              <w:right w:val="nil"/>
            </w:tcBorders>
            <w:shd w:val="clear" w:color="auto" w:fill="auto"/>
            <w:noWrap/>
            <w:vAlign w:val="center"/>
            <w:hideMark/>
          </w:tcPr>
          <w:p w14:paraId="1F7922F5" w14:textId="6C7E12B1" w:rsidR="00661352" w:rsidRPr="00E02087" w:rsidRDefault="00C95673" w:rsidP="00120F79">
            <w:pPr>
              <w:jc w:val="right"/>
              <w:rPr>
                <w:kern w:val="22"/>
                <w:szCs w:val="22"/>
                <w:lang w:val="fr-CA" w:eastAsia="en-CA"/>
              </w:rPr>
            </w:pPr>
            <w:r>
              <w:rPr>
                <w:kern w:val="22"/>
                <w:szCs w:val="22"/>
                <w:lang w:val="fr-CA" w:eastAsia="en-CA"/>
              </w:rPr>
              <w:t>111</w:t>
            </w:r>
          </w:p>
        </w:tc>
        <w:tc>
          <w:tcPr>
            <w:tcW w:w="3870" w:type="dxa"/>
            <w:tcBorders>
              <w:top w:val="nil"/>
              <w:left w:val="single" w:sz="4" w:space="0" w:color="auto"/>
              <w:bottom w:val="single" w:sz="4" w:space="0" w:color="auto"/>
              <w:right w:val="single" w:sz="4" w:space="0" w:color="auto"/>
            </w:tcBorders>
            <w:shd w:val="clear" w:color="auto" w:fill="auto"/>
            <w:vAlign w:val="center"/>
            <w:hideMark/>
          </w:tcPr>
          <w:p w14:paraId="053EDE1C" w14:textId="77777777" w:rsidR="00661352" w:rsidRPr="00E02087" w:rsidRDefault="00661352" w:rsidP="00120F79">
            <w:pPr>
              <w:jc w:val="left"/>
              <w:rPr>
                <w:kern w:val="22"/>
                <w:szCs w:val="22"/>
                <w:lang w:val="fr-CA" w:eastAsia="en-CA"/>
              </w:rPr>
            </w:pPr>
            <w:r>
              <w:rPr>
                <w:kern w:val="22"/>
                <w:szCs w:val="22"/>
                <w:lang w:val="fr-CA" w:eastAsia="en-CA"/>
              </w:rPr>
              <w:t>Maurice</w:t>
            </w:r>
          </w:p>
        </w:tc>
        <w:tc>
          <w:tcPr>
            <w:tcW w:w="1440" w:type="dxa"/>
            <w:tcBorders>
              <w:top w:val="nil"/>
              <w:left w:val="nil"/>
              <w:bottom w:val="single" w:sz="4" w:space="0" w:color="auto"/>
              <w:right w:val="single" w:sz="4" w:space="0" w:color="auto"/>
            </w:tcBorders>
            <w:shd w:val="clear" w:color="auto" w:fill="auto"/>
            <w:vAlign w:val="center"/>
            <w:hideMark/>
          </w:tcPr>
          <w:p w14:paraId="57DB8820"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011</w:t>
            </w:r>
          </w:p>
        </w:tc>
        <w:tc>
          <w:tcPr>
            <w:tcW w:w="1620" w:type="dxa"/>
            <w:tcBorders>
              <w:top w:val="nil"/>
              <w:left w:val="nil"/>
              <w:bottom w:val="single" w:sz="4" w:space="0" w:color="auto"/>
              <w:right w:val="single" w:sz="4" w:space="0" w:color="auto"/>
            </w:tcBorders>
            <w:shd w:val="clear" w:color="auto" w:fill="auto"/>
            <w:noWrap/>
            <w:vAlign w:val="center"/>
            <w:hideMark/>
          </w:tcPr>
          <w:p w14:paraId="1C02170F"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014</w:t>
            </w:r>
          </w:p>
        </w:tc>
        <w:tc>
          <w:tcPr>
            <w:tcW w:w="1710" w:type="dxa"/>
            <w:tcBorders>
              <w:top w:val="nil"/>
              <w:left w:val="nil"/>
              <w:bottom w:val="single" w:sz="4" w:space="0" w:color="auto"/>
              <w:right w:val="single" w:sz="4" w:space="0" w:color="auto"/>
            </w:tcBorders>
            <w:shd w:val="clear" w:color="auto" w:fill="auto"/>
            <w:noWrap/>
            <w:vAlign w:val="center"/>
            <w:hideMark/>
          </w:tcPr>
          <w:p w14:paraId="173B4F5A" w14:textId="77777777" w:rsidR="00661352" w:rsidRPr="00E02087" w:rsidRDefault="00661352" w:rsidP="00282AF6">
            <w:pPr>
              <w:ind w:right="144"/>
              <w:jc w:val="right"/>
              <w:rPr>
                <w:kern w:val="22"/>
                <w:szCs w:val="22"/>
                <w:lang w:val="fr-CA" w:eastAsia="en-CA"/>
              </w:rPr>
            </w:pPr>
            <w:r w:rsidRPr="00E02087">
              <w:rPr>
                <w:kern w:val="22"/>
                <w:szCs w:val="22"/>
                <w:lang w:val="fr-CA" w:eastAsia="en-CA"/>
              </w:rPr>
              <w:t>1 735</w:t>
            </w:r>
          </w:p>
        </w:tc>
      </w:tr>
      <w:tr w:rsidR="00661352" w:rsidRPr="00E02087" w14:paraId="0C838A64" w14:textId="77777777" w:rsidTr="00661352">
        <w:trPr>
          <w:trHeight w:val="260"/>
          <w:jc w:val="center"/>
        </w:trPr>
        <w:tc>
          <w:tcPr>
            <w:tcW w:w="625" w:type="dxa"/>
            <w:gridSpan w:val="2"/>
            <w:tcBorders>
              <w:top w:val="single" w:sz="4" w:space="0" w:color="auto"/>
              <w:left w:val="single" w:sz="4" w:space="0" w:color="auto"/>
              <w:bottom w:val="single" w:sz="4" w:space="0" w:color="auto"/>
              <w:right w:val="nil"/>
            </w:tcBorders>
            <w:shd w:val="clear" w:color="auto" w:fill="auto"/>
            <w:noWrap/>
            <w:vAlign w:val="center"/>
            <w:hideMark/>
          </w:tcPr>
          <w:p w14:paraId="4FF990E1" w14:textId="025EC7F6" w:rsidR="00661352" w:rsidRPr="00E02087" w:rsidRDefault="00C95673" w:rsidP="00120F79">
            <w:pPr>
              <w:jc w:val="right"/>
              <w:rPr>
                <w:kern w:val="22"/>
                <w:szCs w:val="22"/>
                <w:lang w:val="fr-CA" w:eastAsia="en-CA"/>
              </w:rPr>
            </w:pPr>
            <w:r>
              <w:rPr>
                <w:kern w:val="22"/>
                <w:szCs w:val="22"/>
                <w:lang w:val="fr-CA" w:eastAsia="en-CA"/>
              </w:rPr>
              <w:t>112</w:t>
            </w:r>
          </w:p>
        </w:tc>
        <w:tc>
          <w:tcPr>
            <w:tcW w:w="3870" w:type="dxa"/>
            <w:tcBorders>
              <w:top w:val="nil"/>
              <w:left w:val="single" w:sz="4" w:space="0" w:color="auto"/>
              <w:bottom w:val="single" w:sz="4" w:space="0" w:color="auto"/>
              <w:right w:val="single" w:sz="4" w:space="0" w:color="auto"/>
            </w:tcBorders>
            <w:shd w:val="clear" w:color="auto" w:fill="auto"/>
            <w:vAlign w:val="center"/>
            <w:hideMark/>
          </w:tcPr>
          <w:p w14:paraId="3437DD15" w14:textId="77777777" w:rsidR="00661352" w:rsidRPr="00E02087" w:rsidRDefault="00661352" w:rsidP="00120F79">
            <w:pPr>
              <w:jc w:val="left"/>
              <w:rPr>
                <w:kern w:val="22"/>
                <w:szCs w:val="22"/>
                <w:lang w:val="fr-CA" w:eastAsia="en-CA"/>
              </w:rPr>
            </w:pPr>
            <w:r>
              <w:rPr>
                <w:kern w:val="22"/>
                <w:szCs w:val="22"/>
                <w:lang w:val="fr-CA" w:eastAsia="en-CA"/>
              </w:rPr>
              <w:t>Mauritanie</w:t>
            </w:r>
          </w:p>
        </w:tc>
        <w:tc>
          <w:tcPr>
            <w:tcW w:w="1440" w:type="dxa"/>
            <w:tcBorders>
              <w:top w:val="nil"/>
              <w:left w:val="nil"/>
              <w:bottom w:val="single" w:sz="4" w:space="0" w:color="auto"/>
              <w:right w:val="single" w:sz="4" w:space="0" w:color="auto"/>
            </w:tcBorders>
            <w:shd w:val="clear" w:color="auto" w:fill="auto"/>
            <w:vAlign w:val="center"/>
            <w:hideMark/>
          </w:tcPr>
          <w:p w14:paraId="5E294432"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002</w:t>
            </w:r>
          </w:p>
        </w:tc>
        <w:tc>
          <w:tcPr>
            <w:tcW w:w="1620" w:type="dxa"/>
            <w:tcBorders>
              <w:top w:val="nil"/>
              <w:left w:val="nil"/>
              <w:bottom w:val="single" w:sz="4" w:space="0" w:color="auto"/>
              <w:right w:val="single" w:sz="4" w:space="0" w:color="auto"/>
            </w:tcBorders>
            <w:shd w:val="clear" w:color="auto" w:fill="auto"/>
            <w:noWrap/>
            <w:vAlign w:val="center"/>
            <w:hideMark/>
          </w:tcPr>
          <w:p w14:paraId="702A1CA2"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003</w:t>
            </w:r>
          </w:p>
        </w:tc>
        <w:tc>
          <w:tcPr>
            <w:tcW w:w="1710" w:type="dxa"/>
            <w:tcBorders>
              <w:top w:val="nil"/>
              <w:left w:val="nil"/>
              <w:bottom w:val="single" w:sz="4" w:space="0" w:color="auto"/>
              <w:right w:val="single" w:sz="4" w:space="0" w:color="auto"/>
            </w:tcBorders>
            <w:shd w:val="clear" w:color="auto" w:fill="auto"/>
            <w:noWrap/>
            <w:vAlign w:val="center"/>
            <w:hideMark/>
          </w:tcPr>
          <w:p w14:paraId="1A997754" w14:textId="77777777" w:rsidR="00661352" w:rsidRPr="00E02087" w:rsidRDefault="00661352" w:rsidP="00282AF6">
            <w:pPr>
              <w:ind w:right="144"/>
              <w:jc w:val="right"/>
              <w:rPr>
                <w:kern w:val="22"/>
                <w:szCs w:val="22"/>
                <w:lang w:val="fr-CA" w:eastAsia="en-CA"/>
              </w:rPr>
            </w:pPr>
            <w:r w:rsidRPr="00E02087">
              <w:rPr>
                <w:kern w:val="22"/>
                <w:szCs w:val="22"/>
                <w:lang w:val="fr-CA" w:eastAsia="en-CA"/>
              </w:rPr>
              <w:t>316</w:t>
            </w:r>
          </w:p>
        </w:tc>
      </w:tr>
      <w:tr w:rsidR="00661352" w:rsidRPr="00E02087" w14:paraId="5E85702B" w14:textId="77777777" w:rsidTr="00661352">
        <w:trPr>
          <w:trHeight w:val="260"/>
          <w:jc w:val="center"/>
        </w:trPr>
        <w:tc>
          <w:tcPr>
            <w:tcW w:w="625" w:type="dxa"/>
            <w:gridSpan w:val="2"/>
            <w:tcBorders>
              <w:top w:val="single" w:sz="4" w:space="0" w:color="auto"/>
              <w:left w:val="single" w:sz="4" w:space="0" w:color="auto"/>
              <w:bottom w:val="single" w:sz="4" w:space="0" w:color="auto"/>
              <w:right w:val="nil"/>
            </w:tcBorders>
            <w:shd w:val="clear" w:color="auto" w:fill="auto"/>
            <w:noWrap/>
            <w:vAlign w:val="center"/>
            <w:hideMark/>
          </w:tcPr>
          <w:p w14:paraId="2D60CCA3" w14:textId="77777777" w:rsidR="00661352" w:rsidRPr="00E02087" w:rsidRDefault="00661352" w:rsidP="00120F79">
            <w:pPr>
              <w:jc w:val="right"/>
              <w:rPr>
                <w:kern w:val="22"/>
                <w:szCs w:val="22"/>
                <w:lang w:val="fr-CA" w:eastAsia="en-CA"/>
              </w:rPr>
            </w:pPr>
            <w:r w:rsidRPr="00E02087">
              <w:rPr>
                <w:kern w:val="22"/>
                <w:szCs w:val="22"/>
                <w:lang w:val="fr-CA" w:eastAsia="en-CA"/>
              </w:rPr>
              <w:t>113</w:t>
            </w:r>
          </w:p>
        </w:tc>
        <w:tc>
          <w:tcPr>
            <w:tcW w:w="3870" w:type="dxa"/>
            <w:tcBorders>
              <w:top w:val="nil"/>
              <w:left w:val="single" w:sz="4" w:space="0" w:color="auto"/>
              <w:bottom w:val="single" w:sz="4" w:space="0" w:color="auto"/>
              <w:right w:val="single" w:sz="4" w:space="0" w:color="auto"/>
            </w:tcBorders>
            <w:shd w:val="clear" w:color="auto" w:fill="auto"/>
            <w:vAlign w:val="center"/>
            <w:hideMark/>
          </w:tcPr>
          <w:p w14:paraId="7597466E" w14:textId="77777777" w:rsidR="00661352" w:rsidRPr="00E02087" w:rsidRDefault="00661352" w:rsidP="00120F79">
            <w:pPr>
              <w:jc w:val="left"/>
              <w:rPr>
                <w:kern w:val="22"/>
                <w:szCs w:val="22"/>
                <w:lang w:val="fr-CA" w:eastAsia="en-CA"/>
              </w:rPr>
            </w:pPr>
            <w:r>
              <w:rPr>
                <w:kern w:val="22"/>
                <w:szCs w:val="22"/>
                <w:lang w:val="fr-CA" w:eastAsia="en-CA"/>
              </w:rPr>
              <w:t>Mexique</w:t>
            </w:r>
          </w:p>
        </w:tc>
        <w:tc>
          <w:tcPr>
            <w:tcW w:w="1440" w:type="dxa"/>
            <w:tcBorders>
              <w:top w:val="nil"/>
              <w:left w:val="nil"/>
              <w:bottom w:val="single" w:sz="4" w:space="0" w:color="auto"/>
              <w:right w:val="single" w:sz="4" w:space="0" w:color="auto"/>
            </w:tcBorders>
            <w:shd w:val="clear" w:color="auto" w:fill="auto"/>
            <w:vAlign w:val="center"/>
            <w:hideMark/>
          </w:tcPr>
          <w:p w14:paraId="4775D329" w14:textId="77777777" w:rsidR="00661352" w:rsidRPr="00E02087" w:rsidRDefault="00661352" w:rsidP="00282AF6">
            <w:pPr>
              <w:ind w:right="144"/>
              <w:jc w:val="right"/>
              <w:rPr>
                <w:kern w:val="22"/>
                <w:szCs w:val="22"/>
                <w:lang w:val="fr-CA" w:eastAsia="en-CA"/>
              </w:rPr>
            </w:pPr>
            <w:r w:rsidRPr="00E02087">
              <w:rPr>
                <w:kern w:val="22"/>
                <w:szCs w:val="22"/>
                <w:lang w:val="fr-CA" w:eastAsia="en-CA"/>
              </w:rPr>
              <w:t>1</w:t>
            </w:r>
            <w:r>
              <w:rPr>
                <w:kern w:val="22"/>
                <w:szCs w:val="22"/>
                <w:lang w:val="fr-CA" w:eastAsia="en-CA"/>
              </w:rPr>
              <w:t>,</w:t>
            </w:r>
            <w:r w:rsidRPr="00E02087">
              <w:rPr>
                <w:kern w:val="22"/>
                <w:szCs w:val="22"/>
                <w:lang w:val="fr-CA" w:eastAsia="en-CA"/>
              </w:rPr>
              <w:t>292</w:t>
            </w:r>
          </w:p>
        </w:tc>
        <w:tc>
          <w:tcPr>
            <w:tcW w:w="1620" w:type="dxa"/>
            <w:tcBorders>
              <w:top w:val="nil"/>
              <w:left w:val="nil"/>
              <w:bottom w:val="single" w:sz="4" w:space="0" w:color="auto"/>
              <w:right w:val="single" w:sz="4" w:space="0" w:color="auto"/>
            </w:tcBorders>
            <w:shd w:val="clear" w:color="auto" w:fill="auto"/>
            <w:noWrap/>
            <w:vAlign w:val="center"/>
            <w:hideMark/>
          </w:tcPr>
          <w:p w14:paraId="0E32A6A3" w14:textId="77777777" w:rsidR="00661352" w:rsidRPr="00E02087" w:rsidRDefault="00661352" w:rsidP="00282AF6">
            <w:pPr>
              <w:ind w:right="144"/>
              <w:jc w:val="right"/>
              <w:rPr>
                <w:kern w:val="22"/>
                <w:szCs w:val="22"/>
                <w:lang w:val="fr-CA" w:eastAsia="en-CA"/>
              </w:rPr>
            </w:pPr>
            <w:r w:rsidRPr="00E02087">
              <w:rPr>
                <w:kern w:val="22"/>
                <w:szCs w:val="22"/>
                <w:lang w:val="fr-CA" w:eastAsia="en-CA"/>
              </w:rPr>
              <w:t>1</w:t>
            </w:r>
            <w:r>
              <w:rPr>
                <w:kern w:val="22"/>
                <w:szCs w:val="22"/>
                <w:lang w:val="fr-CA" w:eastAsia="en-CA"/>
              </w:rPr>
              <w:t>,</w:t>
            </w:r>
            <w:r w:rsidRPr="00E02087">
              <w:rPr>
                <w:kern w:val="22"/>
                <w:szCs w:val="22"/>
                <w:lang w:val="fr-CA" w:eastAsia="en-CA"/>
              </w:rPr>
              <w:t>615</w:t>
            </w:r>
          </w:p>
        </w:tc>
        <w:tc>
          <w:tcPr>
            <w:tcW w:w="1710" w:type="dxa"/>
            <w:tcBorders>
              <w:top w:val="nil"/>
              <w:left w:val="nil"/>
              <w:bottom w:val="single" w:sz="4" w:space="0" w:color="auto"/>
              <w:right w:val="single" w:sz="4" w:space="0" w:color="auto"/>
            </w:tcBorders>
            <w:shd w:val="clear" w:color="auto" w:fill="auto"/>
            <w:noWrap/>
            <w:vAlign w:val="center"/>
            <w:hideMark/>
          </w:tcPr>
          <w:p w14:paraId="482F6D6B" w14:textId="77777777" w:rsidR="00661352" w:rsidRPr="00E02087" w:rsidRDefault="00661352" w:rsidP="00282AF6">
            <w:pPr>
              <w:ind w:right="144"/>
              <w:jc w:val="right"/>
              <w:rPr>
                <w:kern w:val="22"/>
                <w:szCs w:val="22"/>
                <w:lang w:val="fr-CA" w:eastAsia="en-CA"/>
              </w:rPr>
            </w:pPr>
            <w:r w:rsidRPr="00E02087">
              <w:rPr>
                <w:kern w:val="22"/>
                <w:szCs w:val="22"/>
                <w:lang w:val="fr-CA" w:eastAsia="en-CA"/>
              </w:rPr>
              <w:t>203 836</w:t>
            </w:r>
          </w:p>
        </w:tc>
      </w:tr>
      <w:tr w:rsidR="00661352" w:rsidRPr="00E02087" w14:paraId="1E75451B" w14:textId="77777777" w:rsidTr="00661352">
        <w:trPr>
          <w:trHeight w:val="260"/>
          <w:jc w:val="center"/>
        </w:trPr>
        <w:tc>
          <w:tcPr>
            <w:tcW w:w="625" w:type="dxa"/>
            <w:gridSpan w:val="2"/>
            <w:tcBorders>
              <w:top w:val="single" w:sz="4" w:space="0" w:color="auto"/>
              <w:left w:val="single" w:sz="4" w:space="0" w:color="auto"/>
              <w:bottom w:val="single" w:sz="4" w:space="0" w:color="auto"/>
              <w:right w:val="nil"/>
            </w:tcBorders>
            <w:shd w:val="clear" w:color="auto" w:fill="auto"/>
            <w:noWrap/>
            <w:vAlign w:val="center"/>
            <w:hideMark/>
          </w:tcPr>
          <w:p w14:paraId="402D1AB5" w14:textId="77777777" w:rsidR="00661352" w:rsidRPr="00E02087" w:rsidRDefault="00661352" w:rsidP="00120F79">
            <w:pPr>
              <w:jc w:val="right"/>
              <w:rPr>
                <w:kern w:val="22"/>
                <w:szCs w:val="22"/>
                <w:lang w:val="fr-CA" w:eastAsia="en-CA"/>
              </w:rPr>
            </w:pPr>
            <w:r w:rsidRPr="00E02087">
              <w:rPr>
                <w:kern w:val="22"/>
                <w:szCs w:val="22"/>
                <w:lang w:val="fr-CA" w:eastAsia="en-CA"/>
              </w:rPr>
              <w:t>114</w:t>
            </w:r>
          </w:p>
        </w:tc>
        <w:tc>
          <w:tcPr>
            <w:tcW w:w="3870" w:type="dxa"/>
            <w:tcBorders>
              <w:top w:val="nil"/>
              <w:left w:val="single" w:sz="4" w:space="0" w:color="auto"/>
              <w:bottom w:val="single" w:sz="4" w:space="0" w:color="auto"/>
              <w:right w:val="single" w:sz="4" w:space="0" w:color="auto"/>
            </w:tcBorders>
            <w:shd w:val="clear" w:color="auto" w:fill="auto"/>
            <w:vAlign w:val="center"/>
            <w:hideMark/>
          </w:tcPr>
          <w:p w14:paraId="1D66599D" w14:textId="77777777" w:rsidR="00661352" w:rsidRPr="00E02087" w:rsidRDefault="00661352" w:rsidP="00120F79">
            <w:pPr>
              <w:jc w:val="left"/>
              <w:rPr>
                <w:kern w:val="22"/>
                <w:szCs w:val="22"/>
                <w:lang w:val="fr-CA" w:eastAsia="en-CA"/>
              </w:rPr>
            </w:pPr>
            <w:r>
              <w:rPr>
                <w:kern w:val="22"/>
                <w:szCs w:val="22"/>
                <w:lang w:val="fr-CA" w:eastAsia="en-CA"/>
              </w:rPr>
              <w:t xml:space="preserve">Micronésie (États fédérés de) </w:t>
            </w:r>
          </w:p>
        </w:tc>
        <w:tc>
          <w:tcPr>
            <w:tcW w:w="1440" w:type="dxa"/>
            <w:tcBorders>
              <w:top w:val="nil"/>
              <w:left w:val="nil"/>
              <w:bottom w:val="single" w:sz="4" w:space="0" w:color="auto"/>
              <w:right w:val="single" w:sz="4" w:space="0" w:color="auto"/>
            </w:tcBorders>
            <w:shd w:val="clear" w:color="auto" w:fill="auto"/>
            <w:vAlign w:val="center"/>
            <w:hideMark/>
          </w:tcPr>
          <w:p w14:paraId="7A8896ED"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001</w:t>
            </w:r>
          </w:p>
        </w:tc>
        <w:tc>
          <w:tcPr>
            <w:tcW w:w="1620" w:type="dxa"/>
            <w:tcBorders>
              <w:top w:val="nil"/>
              <w:left w:val="nil"/>
              <w:bottom w:val="single" w:sz="4" w:space="0" w:color="auto"/>
              <w:right w:val="single" w:sz="4" w:space="0" w:color="auto"/>
            </w:tcBorders>
            <w:shd w:val="clear" w:color="auto" w:fill="auto"/>
            <w:noWrap/>
            <w:vAlign w:val="center"/>
            <w:hideMark/>
          </w:tcPr>
          <w:p w14:paraId="6512F975"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001</w:t>
            </w:r>
          </w:p>
        </w:tc>
        <w:tc>
          <w:tcPr>
            <w:tcW w:w="1710" w:type="dxa"/>
            <w:tcBorders>
              <w:top w:val="nil"/>
              <w:left w:val="nil"/>
              <w:bottom w:val="single" w:sz="4" w:space="0" w:color="auto"/>
              <w:right w:val="single" w:sz="4" w:space="0" w:color="auto"/>
            </w:tcBorders>
            <w:shd w:val="clear" w:color="auto" w:fill="auto"/>
            <w:noWrap/>
            <w:vAlign w:val="center"/>
            <w:hideMark/>
          </w:tcPr>
          <w:p w14:paraId="23F8E4FB" w14:textId="77777777" w:rsidR="00661352" w:rsidRPr="00E02087" w:rsidRDefault="00661352" w:rsidP="00282AF6">
            <w:pPr>
              <w:ind w:right="144"/>
              <w:jc w:val="right"/>
              <w:rPr>
                <w:kern w:val="22"/>
                <w:szCs w:val="22"/>
                <w:lang w:val="fr-CA" w:eastAsia="en-CA"/>
              </w:rPr>
            </w:pPr>
            <w:r w:rsidRPr="00E02087">
              <w:rPr>
                <w:kern w:val="22"/>
                <w:szCs w:val="22"/>
                <w:lang w:val="fr-CA" w:eastAsia="en-CA"/>
              </w:rPr>
              <w:t>158</w:t>
            </w:r>
          </w:p>
        </w:tc>
      </w:tr>
      <w:tr w:rsidR="00661352" w:rsidRPr="00E02087" w14:paraId="38F2EFA1" w14:textId="77777777" w:rsidTr="00661352">
        <w:trPr>
          <w:trHeight w:val="260"/>
          <w:jc w:val="center"/>
        </w:trPr>
        <w:tc>
          <w:tcPr>
            <w:tcW w:w="625" w:type="dxa"/>
            <w:gridSpan w:val="2"/>
            <w:tcBorders>
              <w:top w:val="single" w:sz="4" w:space="0" w:color="auto"/>
              <w:left w:val="single" w:sz="4" w:space="0" w:color="auto"/>
              <w:bottom w:val="single" w:sz="4" w:space="0" w:color="auto"/>
              <w:right w:val="nil"/>
            </w:tcBorders>
            <w:shd w:val="clear" w:color="auto" w:fill="auto"/>
            <w:noWrap/>
            <w:vAlign w:val="center"/>
            <w:hideMark/>
          </w:tcPr>
          <w:p w14:paraId="13E8E112" w14:textId="77777777" w:rsidR="00661352" w:rsidRPr="00E02087" w:rsidRDefault="00661352" w:rsidP="00120F79">
            <w:pPr>
              <w:jc w:val="right"/>
              <w:rPr>
                <w:kern w:val="22"/>
                <w:szCs w:val="22"/>
                <w:lang w:val="fr-CA" w:eastAsia="en-CA"/>
              </w:rPr>
            </w:pPr>
            <w:r w:rsidRPr="00E02087">
              <w:rPr>
                <w:kern w:val="22"/>
                <w:szCs w:val="22"/>
                <w:lang w:val="fr-CA" w:eastAsia="en-CA"/>
              </w:rPr>
              <w:t>115</w:t>
            </w:r>
          </w:p>
        </w:tc>
        <w:tc>
          <w:tcPr>
            <w:tcW w:w="3870" w:type="dxa"/>
            <w:tcBorders>
              <w:top w:val="nil"/>
              <w:left w:val="single" w:sz="4" w:space="0" w:color="auto"/>
              <w:bottom w:val="single" w:sz="4" w:space="0" w:color="auto"/>
              <w:right w:val="single" w:sz="4" w:space="0" w:color="auto"/>
            </w:tcBorders>
            <w:shd w:val="clear" w:color="auto" w:fill="auto"/>
            <w:vAlign w:val="center"/>
            <w:hideMark/>
          </w:tcPr>
          <w:p w14:paraId="680F3538" w14:textId="77777777" w:rsidR="00661352" w:rsidRPr="00E02087" w:rsidRDefault="00661352" w:rsidP="00120F79">
            <w:pPr>
              <w:jc w:val="left"/>
              <w:rPr>
                <w:kern w:val="22"/>
                <w:szCs w:val="22"/>
                <w:lang w:val="fr-CA" w:eastAsia="en-CA"/>
              </w:rPr>
            </w:pPr>
            <w:r w:rsidRPr="00E02087">
              <w:rPr>
                <w:kern w:val="22"/>
                <w:szCs w:val="22"/>
                <w:lang w:val="fr-CA" w:eastAsia="en-CA"/>
              </w:rPr>
              <w:t>Monaco</w:t>
            </w:r>
          </w:p>
        </w:tc>
        <w:tc>
          <w:tcPr>
            <w:tcW w:w="1440" w:type="dxa"/>
            <w:tcBorders>
              <w:top w:val="nil"/>
              <w:left w:val="nil"/>
              <w:bottom w:val="single" w:sz="4" w:space="0" w:color="auto"/>
              <w:right w:val="single" w:sz="4" w:space="0" w:color="auto"/>
            </w:tcBorders>
            <w:shd w:val="clear" w:color="auto" w:fill="auto"/>
            <w:vAlign w:val="center"/>
            <w:hideMark/>
          </w:tcPr>
          <w:p w14:paraId="2A79A2B3"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011</w:t>
            </w:r>
          </w:p>
        </w:tc>
        <w:tc>
          <w:tcPr>
            <w:tcW w:w="1620" w:type="dxa"/>
            <w:tcBorders>
              <w:top w:val="nil"/>
              <w:left w:val="nil"/>
              <w:bottom w:val="single" w:sz="4" w:space="0" w:color="auto"/>
              <w:right w:val="single" w:sz="4" w:space="0" w:color="auto"/>
            </w:tcBorders>
            <w:shd w:val="clear" w:color="auto" w:fill="auto"/>
            <w:noWrap/>
            <w:vAlign w:val="center"/>
            <w:hideMark/>
          </w:tcPr>
          <w:p w14:paraId="17638273"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014</w:t>
            </w:r>
          </w:p>
        </w:tc>
        <w:tc>
          <w:tcPr>
            <w:tcW w:w="1710" w:type="dxa"/>
            <w:tcBorders>
              <w:top w:val="nil"/>
              <w:left w:val="nil"/>
              <w:bottom w:val="single" w:sz="4" w:space="0" w:color="auto"/>
              <w:right w:val="single" w:sz="4" w:space="0" w:color="auto"/>
            </w:tcBorders>
            <w:shd w:val="clear" w:color="auto" w:fill="auto"/>
            <w:noWrap/>
            <w:vAlign w:val="center"/>
            <w:hideMark/>
          </w:tcPr>
          <w:p w14:paraId="5F902BF3" w14:textId="77777777" w:rsidR="00661352" w:rsidRPr="00E02087" w:rsidRDefault="00661352" w:rsidP="00282AF6">
            <w:pPr>
              <w:ind w:right="144"/>
              <w:jc w:val="right"/>
              <w:rPr>
                <w:kern w:val="22"/>
                <w:szCs w:val="22"/>
                <w:lang w:val="fr-CA" w:eastAsia="en-CA"/>
              </w:rPr>
            </w:pPr>
            <w:r w:rsidRPr="00E02087">
              <w:rPr>
                <w:kern w:val="22"/>
                <w:szCs w:val="22"/>
                <w:lang w:val="fr-CA" w:eastAsia="en-CA"/>
              </w:rPr>
              <w:t>1 735</w:t>
            </w:r>
          </w:p>
        </w:tc>
      </w:tr>
      <w:tr w:rsidR="00661352" w:rsidRPr="00E02087" w14:paraId="4538AFC9" w14:textId="77777777" w:rsidTr="00661352">
        <w:trPr>
          <w:trHeight w:val="260"/>
          <w:jc w:val="center"/>
        </w:trPr>
        <w:tc>
          <w:tcPr>
            <w:tcW w:w="625" w:type="dxa"/>
            <w:gridSpan w:val="2"/>
            <w:tcBorders>
              <w:top w:val="single" w:sz="4" w:space="0" w:color="auto"/>
              <w:left w:val="single" w:sz="4" w:space="0" w:color="auto"/>
              <w:bottom w:val="single" w:sz="4" w:space="0" w:color="auto"/>
              <w:right w:val="nil"/>
            </w:tcBorders>
            <w:shd w:val="clear" w:color="auto" w:fill="auto"/>
            <w:noWrap/>
            <w:vAlign w:val="center"/>
            <w:hideMark/>
          </w:tcPr>
          <w:p w14:paraId="5ADFD1F9" w14:textId="77777777" w:rsidR="00661352" w:rsidRPr="00E02087" w:rsidRDefault="00661352" w:rsidP="00120F79">
            <w:pPr>
              <w:jc w:val="right"/>
              <w:rPr>
                <w:kern w:val="22"/>
                <w:szCs w:val="22"/>
                <w:lang w:val="fr-CA" w:eastAsia="en-CA"/>
              </w:rPr>
            </w:pPr>
            <w:r w:rsidRPr="00E02087">
              <w:rPr>
                <w:kern w:val="22"/>
                <w:szCs w:val="22"/>
                <w:lang w:val="fr-CA" w:eastAsia="en-CA"/>
              </w:rPr>
              <w:t>116</w:t>
            </w:r>
          </w:p>
        </w:tc>
        <w:tc>
          <w:tcPr>
            <w:tcW w:w="3870" w:type="dxa"/>
            <w:tcBorders>
              <w:top w:val="nil"/>
              <w:left w:val="single" w:sz="4" w:space="0" w:color="auto"/>
              <w:bottom w:val="single" w:sz="4" w:space="0" w:color="auto"/>
              <w:right w:val="single" w:sz="4" w:space="0" w:color="auto"/>
            </w:tcBorders>
            <w:shd w:val="clear" w:color="auto" w:fill="auto"/>
            <w:vAlign w:val="center"/>
            <w:hideMark/>
          </w:tcPr>
          <w:p w14:paraId="5787192B" w14:textId="77777777" w:rsidR="00661352" w:rsidRPr="00E02087" w:rsidRDefault="00661352" w:rsidP="00120F79">
            <w:pPr>
              <w:jc w:val="left"/>
              <w:rPr>
                <w:kern w:val="22"/>
                <w:szCs w:val="22"/>
                <w:lang w:val="fr-CA" w:eastAsia="en-CA"/>
              </w:rPr>
            </w:pPr>
            <w:r>
              <w:rPr>
                <w:kern w:val="22"/>
                <w:szCs w:val="22"/>
                <w:lang w:val="fr-CA" w:eastAsia="en-CA"/>
              </w:rPr>
              <w:t>Mongolie</w:t>
            </w:r>
          </w:p>
        </w:tc>
        <w:tc>
          <w:tcPr>
            <w:tcW w:w="1440" w:type="dxa"/>
            <w:tcBorders>
              <w:top w:val="nil"/>
              <w:left w:val="nil"/>
              <w:bottom w:val="single" w:sz="4" w:space="0" w:color="auto"/>
              <w:right w:val="single" w:sz="4" w:space="0" w:color="auto"/>
            </w:tcBorders>
            <w:shd w:val="clear" w:color="auto" w:fill="auto"/>
            <w:vAlign w:val="center"/>
            <w:hideMark/>
          </w:tcPr>
          <w:p w14:paraId="74DD6D0C"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005</w:t>
            </w:r>
          </w:p>
        </w:tc>
        <w:tc>
          <w:tcPr>
            <w:tcW w:w="1620" w:type="dxa"/>
            <w:tcBorders>
              <w:top w:val="nil"/>
              <w:left w:val="nil"/>
              <w:bottom w:val="single" w:sz="4" w:space="0" w:color="auto"/>
              <w:right w:val="single" w:sz="4" w:space="0" w:color="auto"/>
            </w:tcBorders>
            <w:shd w:val="clear" w:color="auto" w:fill="auto"/>
            <w:noWrap/>
            <w:vAlign w:val="center"/>
            <w:hideMark/>
          </w:tcPr>
          <w:p w14:paraId="6DAD4ACF"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006</w:t>
            </w:r>
          </w:p>
        </w:tc>
        <w:tc>
          <w:tcPr>
            <w:tcW w:w="1710" w:type="dxa"/>
            <w:tcBorders>
              <w:top w:val="nil"/>
              <w:left w:val="nil"/>
              <w:bottom w:val="single" w:sz="4" w:space="0" w:color="auto"/>
              <w:right w:val="single" w:sz="4" w:space="0" w:color="auto"/>
            </w:tcBorders>
            <w:shd w:val="clear" w:color="auto" w:fill="auto"/>
            <w:noWrap/>
            <w:vAlign w:val="center"/>
            <w:hideMark/>
          </w:tcPr>
          <w:p w14:paraId="2C1BE54E" w14:textId="77777777" w:rsidR="00661352" w:rsidRPr="00E02087" w:rsidRDefault="00661352" w:rsidP="00282AF6">
            <w:pPr>
              <w:ind w:right="144"/>
              <w:jc w:val="right"/>
              <w:rPr>
                <w:kern w:val="22"/>
                <w:szCs w:val="22"/>
                <w:lang w:val="fr-CA" w:eastAsia="en-CA"/>
              </w:rPr>
            </w:pPr>
            <w:r w:rsidRPr="00E02087">
              <w:rPr>
                <w:kern w:val="22"/>
                <w:szCs w:val="22"/>
                <w:lang w:val="fr-CA" w:eastAsia="en-CA"/>
              </w:rPr>
              <w:t>789</w:t>
            </w:r>
          </w:p>
        </w:tc>
      </w:tr>
      <w:tr w:rsidR="00661352" w:rsidRPr="00E02087" w14:paraId="0C83A809" w14:textId="77777777" w:rsidTr="00661352">
        <w:trPr>
          <w:trHeight w:val="260"/>
          <w:jc w:val="center"/>
        </w:trPr>
        <w:tc>
          <w:tcPr>
            <w:tcW w:w="625" w:type="dxa"/>
            <w:gridSpan w:val="2"/>
            <w:tcBorders>
              <w:top w:val="single" w:sz="4" w:space="0" w:color="auto"/>
              <w:left w:val="single" w:sz="4" w:space="0" w:color="auto"/>
              <w:bottom w:val="single" w:sz="4" w:space="0" w:color="auto"/>
              <w:right w:val="nil"/>
            </w:tcBorders>
            <w:shd w:val="clear" w:color="auto" w:fill="auto"/>
            <w:noWrap/>
            <w:vAlign w:val="center"/>
            <w:hideMark/>
          </w:tcPr>
          <w:p w14:paraId="2ABC92AE" w14:textId="77777777" w:rsidR="00661352" w:rsidRPr="00E02087" w:rsidRDefault="00661352" w:rsidP="00120F79">
            <w:pPr>
              <w:jc w:val="right"/>
              <w:rPr>
                <w:kern w:val="22"/>
                <w:szCs w:val="22"/>
                <w:lang w:val="fr-CA" w:eastAsia="en-CA"/>
              </w:rPr>
            </w:pPr>
            <w:r w:rsidRPr="00E02087">
              <w:rPr>
                <w:kern w:val="22"/>
                <w:szCs w:val="22"/>
                <w:lang w:val="fr-CA" w:eastAsia="en-CA"/>
              </w:rPr>
              <w:t>117</w:t>
            </w:r>
          </w:p>
        </w:tc>
        <w:tc>
          <w:tcPr>
            <w:tcW w:w="3870" w:type="dxa"/>
            <w:tcBorders>
              <w:top w:val="nil"/>
              <w:left w:val="single" w:sz="4" w:space="0" w:color="auto"/>
              <w:bottom w:val="single" w:sz="4" w:space="0" w:color="auto"/>
              <w:right w:val="single" w:sz="4" w:space="0" w:color="auto"/>
            </w:tcBorders>
            <w:shd w:val="clear" w:color="auto" w:fill="auto"/>
            <w:vAlign w:val="center"/>
            <w:hideMark/>
          </w:tcPr>
          <w:p w14:paraId="1F53DCD4" w14:textId="77777777" w:rsidR="00661352" w:rsidRPr="00E02087" w:rsidRDefault="00661352" w:rsidP="00E02087">
            <w:pPr>
              <w:jc w:val="left"/>
              <w:rPr>
                <w:kern w:val="22"/>
                <w:szCs w:val="22"/>
                <w:lang w:val="fr-CA" w:eastAsia="en-CA"/>
              </w:rPr>
            </w:pPr>
            <w:r>
              <w:rPr>
                <w:kern w:val="22"/>
                <w:szCs w:val="22"/>
                <w:lang w:val="fr-CA" w:eastAsia="en-CA"/>
              </w:rPr>
              <w:t>Monténé</w:t>
            </w:r>
            <w:r w:rsidRPr="00E02087">
              <w:rPr>
                <w:kern w:val="22"/>
                <w:szCs w:val="22"/>
                <w:lang w:val="fr-CA" w:eastAsia="en-CA"/>
              </w:rPr>
              <w:t>gro</w:t>
            </w:r>
          </w:p>
        </w:tc>
        <w:tc>
          <w:tcPr>
            <w:tcW w:w="1440" w:type="dxa"/>
            <w:tcBorders>
              <w:top w:val="nil"/>
              <w:left w:val="nil"/>
              <w:bottom w:val="single" w:sz="4" w:space="0" w:color="auto"/>
              <w:right w:val="single" w:sz="4" w:space="0" w:color="auto"/>
            </w:tcBorders>
            <w:shd w:val="clear" w:color="auto" w:fill="auto"/>
            <w:vAlign w:val="center"/>
            <w:hideMark/>
          </w:tcPr>
          <w:p w14:paraId="6F4B6CA8"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004</w:t>
            </w:r>
          </w:p>
        </w:tc>
        <w:tc>
          <w:tcPr>
            <w:tcW w:w="1620" w:type="dxa"/>
            <w:tcBorders>
              <w:top w:val="nil"/>
              <w:left w:val="nil"/>
              <w:bottom w:val="single" w:sz="4" w:space="0" w:color="auto"/>
              <w:right w:val="single" w:sz="4" w:space="0" w:color="auto"/>
            </w:tcBorders>
            <w:shd w:val="clear" w:color="auto" w:fill="auto"/>
            <w:noWrap/>
            <w:vAlign w:val="center"/>
            <w:hideMark/>
          </w:tcPr>
          <w:p w14:paraId="3B945959"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005</w:t>
            </w:r>
          </w:p>
        </w:tc>
        <w:tc>
          <w:tcPr>
            <w:tcW w:w="1710" w:type="dxa"/>
            <w:tcBorders>
              <w:top w:val="nil"/>
              <w:left w:val="nil"/>
              <w:bottom w:val="single" w:sz="4" w:space="0" w:color="auto"/>
              <w:right w:val="single" w:sz="4" w:space="0" w:color="auto"/>
            </w:tcBorders>
            <w:shd w:val="clear" w:color="auto" w:fill="auto"/>
            <w:noWrap/>
            <w:vAlign w:val="center"/>
            <w:hideMark/>
          </w:tcPr>
          <w:p w14:paraId="45348FF6" w14:textId="77777777" w:rsidR="00661352" w:rsidRPr="00E02087" w:rsidRDefault="00661352" w:rsidP="00282AF6">
            <w:pPr>
              <w:ind w:right="144"/>
              <w:jc w:val="right"/>
              <w:rPr>
                <w:kern w:val="22"/>
                <w:szCs w:val="22"/>
                <w:lang w:val="fr-CA" w:eastAsia="en-CA"/>
              </w:rPr>
            </w:pPr>
            <w:r w:rsidRPr="00E02087">
              <w:rPr>
                <w:kern w:val="22"/>
                <w:szCs w:val="22"/>
                <w:lang w:val="fr-CA" w:eastAsia="en-CA"/>
              </w:rPr>
              <w:t>631</w:t>
            </w:r>
          </w:p>
        </w:tc>
      </w:tr>
      <w:tr w:rsidR="00661352" w:rsidRPr="00E02087" w14:paraId="1728F2F2" w14:textId="77777777" w:rsidTr="00661352">
        <w:trPr>
          <w:trHeight w:val="260"/>
          <w:jc w:val="center"/>
        </w:trPr>
        <w:tc>
          <w:tcPr>
            <w:tcW w:w="625" w:type="dxa"/>
            <w:gridSpan w:val="2"/>
            <w:tcBorders>
              <w:top w:val="single" w:sz="4" w:space="0" w:color="auto"/>
              <w:left w:val="single" w:sz="4" w:space="0" w:color="auto"/>
              <w:bottom w:val="single" w:sz="4" w:space="0" w:color="auto"/>
              <w:right w:val="nil"/>
            </w:tcBorders>
            <w:shd w:val="clear" w:color="auto" w:fill="auto"/>
            <w:noWrap/>
            <w:vAlign w:val="center"/>
            <w:hideMark/>
          </w:tcPr>
          <w:p w14:paraId="31D228AD" w14:textId="277ECCA7" w:rsidR="00661352" w:rsidRPr="00E02087" w:rsidRDefault="00C95673" w:rsidP="00120F79">
            <w:pPr>
              <w:jc w:val="right"/>
              <w:rPr>
                <w:kern w:val="22"/>
                <w:szCs w:val="22"/>
                <w:lang w:val="fr-CA" w:eastAsia="en-CA"/>
              </w:rPr>
            </w:pPr>
            <w:r>
              <w:rPr>
                <w:kern w:val="22"/>
                <w:szCs w:val="22"/>
                <w:lang w:val="fr-CA" w:eastAsia="en-CA"/>
              </w:rPr>
              <w:t>118</w:t>
            </w:r>
          </w:p>
        </w:tc>
        <w:tc>
          <w:tcPr>
            <w:tcW w:w="3870" w:type="dxa"/>
            <w:tcBorders>
              <w:top w:val="nil"/>
              <w:left w:val="single" w:sz="4" w:space="0" w:color="auto"/>
              <w:bottom w:val="single" w:sz="4" w:space="0" w:color="auto"/>
              <w:right w:val="single" w:sz="4" w:space="0" w:color="auto"/>
            </w:tcBorders>
            <w:shd w:val="clear" w:color="auto" w:fill="auto"/>
            <w:vAlign w:val="center"/>
            <w:hideMark/>
          </w:tcPr>
          <w:p w14:paraId="666F52A8" w14:textId="77777777" w:rsidR="00661352" w:rsidRPr="00E02087" w:rsidRDefault="00661352" w:rsidP="00120F79">
            <w:pPr>
              <w:jc w:val="left"/>
              <w:rPr>
                <w:kern w:val="22"/>
                <w:szCs w:val="22"/>
                <w:lang w:val="fr-CA" w:eastAsia="en-CA"/>
              </w:rPr>
            </w:pPr>
            <w:r w:rsidRPr="00E02087">
              <w:rPr>
                <w:kern w:val="22"/>
                <w:szCs w:val="22"/>
                <w:lang w:val="fr-CA" w:eastAsia="en-CA"/>
              </w:rPr>
              <w:t>Mozambique</w:t>
            </w:r>
          </w:p>
        </w:tc>
        <w:tc>
          <w:tcPr>
            <w:tcW w:w="1440" w:type="dxa"/>
            <w:tcBorders>
              <w:top w:val="nil"/>
              <w:left w:val="nil"/>
              <w:bottom w:val="single" w:sz="4" w:space="0" w:color="auto"/>
              <w:right w:val="single" w:sz="4" w:space="0" w:color="auto"/>
            </w:tcBorders>
            <w:shd w:val="clear" w:color="auto" w:fill="auto"/>
            <w:vAlign w:val="center"/>
            <w:hideMark/>
          </w:tcPr>
          <w:p w14:paraId="57C2E0C1"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004</w:t>
            </w:r>
          </w:p>
        </w:tc>
        <w:tc>
          <w:tcPr>
            <w:tcW w:w="1620" w:type="dxa"/>
            <w:tcBorders>
              <w:top w:val="nil"/>
              <w:left w:val="nil"/>
              <w:bottom w:val="single" w:sz="4" w:space="0" w:color="auto"/>
              <w:right w:val="single" w:sz="4" w:space="0" w:color="auto"/>
            </w:tcBorders>
            <w:shd w:val="clear" w:color="auto" w:fill="auto"/>
            <w:noWrap/>
            <w:vAlign w:val="center"/>
            <w:hideMark/>
          </w:tcPr>
          <w:p w14:paraId="6A353144"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005</w:t>
            </w:r>
          </w:p>
        </w:tc>
        <w:tc>
          <w:tcPr>
            <w:tcW w:w="1710" w:type="dxa"/>
            <w:tcBorders>
              <w:top w:val="nil"/>
              <w:left w:val="nil"/>
              <w:bottom w:val="single" w:sz="4" w:space="0" w:color="auto"/>
              <w:right w:val="single" w:sz="4" w:space="0" w:color="auto"/>
            </w:tcBorders>
            <w:shd w:val="clear" w:color="auto" w:fill="auto"/>
            <w:noWrap/>
            <w:vAlign w:val="center"/>
            <w:hideMark/>
          </w:tcPr>
          <w:p w14:paraId="15AFDFCA" w14:textId="77777777" w:rsidR="00661352" w:rsidRPr="00E02087" w:rsidRDefault="00661352" w:rsidP="00282AF6">
            <w:pPr>
              <w:ind w:right="144"/>
              <w:jc w:val="right"/>
              <w:rPr>
                <w:kern w:val="22"/>
                <w:szCs w:val="22"/>
                <w:lang w:val="fr-CA" w:eastAsia="en-CA"/>
              </w:rPr>
            </w:pPr>
            <w:r w:rsidRPr="00E02087">
              <w:rPr>
                <w:kern w:val="22"/>
                <w:szCs w:val="22"/>
                <w:lang w:val="fr-CA" w:eastAsia="en-CA"/>
              </w:rPr>
              <w:t>631</w:t>
            </w:r>
          </w:p>
        </w:tc>
      </w:tr>
      <w:tr w:rsidR="00661352" w:rsidRPr="00E02087" w14:paraId="2E1D0E6D" w14:textId="77777777" w:rsidTr="00661352">
        <w:trPr>
          <w:trHeight w:val="260"/>
          <w:jc w:val="center"/>
        </w:trPr>
        <w:tc>
          <w:tcPr>
            <w:tcW w:w="625" w:type="dxa"/>
            <w:gridSpan w:val="2"/>
            <w:tcBorders>
              <w:top w:val="single" w:sz="4" w:space="0" w:color="auto"/>
              <w:left w:val="single" w:sz="4" w:space="0" w:color="auto"/>
              <w:bottom w:val="single" w:sz="4" w:space="0" w:color="auto"/>
              <w:right w:val="nil"/>
            </w:tcBorders>
            <w:shd w:val="clear" w:color="auto" w:fill="auto"/>
            <w:noWrap/>
            <w:vAlign w:val="center"/>
            <w:hideMark/>
          </w:tcPr>
          <w:p w14:paraId="18FCE7FC" w14:textId="65DA3023" w:rsidR="00661352" w:rsidRPr="00E02087" w:rsidRDefault="00C95673" w:rsidP="00120F79">
            <w:pPr>
              <w:jc w:val="right"/>
              <w:rPr>
                <w:kern w:val="22"/>
                <w:szCs w:val="22"/>
                <w:lang w:val="fr-CA" w:eastAsia="en-CA"/>
              </w:rPr>
            </w:pPr>
            <w:r>
              <w:rPr>
                <w:kern w:val="22"/>
                <w:szCs w:val="22"/>
                <w:lang w:val="fr-CA" w:eastAsia="en-CA"/>
              </w:rPr>
              <w:t>119</w:t>
            </w:r>
          </w:p>
        </w:tc>
        <w:tc>
          <w:tcPr>
            <w:tcW w:w="3870" w:type="dxa"/>
            <w:tcBorders>
              <w:top w:val="nil"/>
              <w:left w:val="single" w:sz="4" w:space="0" w:color="auto"/>
              <w:bottom w:val="single" w:sz="4" w:space="0" w:color="auto"/>
              <w:right w:val="single" w:sz="4" w:space="0" w:color="auto"/>
            </w:tcBorders>
            <w:shd w:val="clear" w:color="auto" w:fill="auto"/>
            <w:vAlign w:val="center"/>
            <w:hideMark/>
          </w:tcPr>
          <w:p w14:paraId="395C7F9F" w14:textId="77777777" w:rsidR="00661352" w:rsidRPr="00E02087" w:rsidRDefault="00661352" w:rsidP="00120F79">
            <w:pPr>
              <w:jc w:val="left"/>
              <w:rPr>
                <w:kern w:val="22"/>
                <w:szCs w:val="22"/>
                <w:lang w:val="fr-CA" w:eastAsia="en-CA"/>
              </w:rPr>
            </w:pPr>
            <w:r w:rsidRPr="00E02087">
              <w:rPr>
                <w:kern w:val="22"/>
                <w:szCs w:val="22"/>
                <w:lang w:val="fr-CA" w:eastAsia="en-CA"/>
              </w:rPr>
              <w:t>Myanmar</w:t>
            </w:r>
          </w:p>
        </w:tc>
        <w:tc>
          <w:tcPr>
            <w:tcW w:w="1440" w:type="dxa"/>
            <w:tcBorders>
              <w:top w:val="nil"/>
              <w:left w:val="nil"/>
              <w:bottom w:val="single" w:sz="4" w:space="0" w:color="auto"/>
              <w:right w:val="single" w:sz="4" w:space="0" w:color="auto"/>
            </w:tcBorders>
            <w:shd w:val="clear" w:color="auto" w:fill="auto"/>
            <w:vAlign w:val="center"/>
            <w:hideMark/>
          </w:tcPr>
          <w:p w14:paraId="2C98BEC5"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010</w:t>
            </w:r>
          </w:p>
        </w:tc>
        <w:tc>
          <w:tcPr>
            <w:tcW w:w="1620" w:type="dxa"/>
            <w:tcBorders>
              <w:top w:val="nil"/>
              <w:left w:val="nil"/>
              <w:bottom w:val="single" w:sz="4" w:space="0" w:color="auto"/>
              <w:right w:val="single" w:sz="4" w:space="0" w:color="auto"/>
            </w:tcBorders>
            <w:shd w:val="clear" w:color="auto" w:fill="auto"/>
            <w:noWrap/>
            <w:vAlign w:val="center"/>
            <w:hideMark/>
          </w:tcPr>
          <w:p w14:paraId="7ADB5465"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010</w:t>
            </w:r>
          </w:p>
        </w:tc>
        <w:tc>
          <w:tcPr>
            <w:tcW w:w="1710" w:type="dxa"/>
            <w:tcBorders>
              <w:top w:val="nil"/>
              <w:left w:val="nil"/>
              <w:bottom w:val="single" w:sz="4" w:space="0" w:color="auto"/>
              <w:right w:val="single" w:sz="4" w:space="0" w:color="auto"/>
            </w:tcBorders>
            <w:shd w:val="clear" w:color="auto" w:fill="auto"/>
            <w:noWrap/>
            <w:vAlign w:val="center"/>
            <w:hideMark/>
          </w:tcPr>
          <w:p w14:paraId="4B4195CF" w14:textId="77777777" w:rsidR="00661352" w:rsidRPr="00E02087" w:rsidRDefault="00661352" w:rsidP="00282AF6">
            <w:pPr>
              <w:ind w:right="144"/>
              <w:jc w:val="right"/>
              <w:rPr>
                <w:kern w:val="22"/>
                <w:szCs w:val="22"/>
                <w:lang w:val="fr-CA" w:eastAsia="en-CA"/>
              </w:rPr>
            </w:pPr>
            <w:r w:rsidRPr="00E02087">
              <w:rPr>
                <w:kern w:val="22"/>
                <w:szCs w:val="22"/>
                <w:lang w:val="fr-CA" w:eastAsia="en-CA"/>
              </w:rPr>
              <w:t>1 262</w:t>
            </w:r>
          </w:p>
        </w:tc>
      </w:tr>
      <w:tr w:rsidR="00661352" w:rsidRPr="00E02087" w14:paraId="097246E2" w14:textId="77777777" w:rsidTr="00661352">
        <w:trPr>
          <w:trHeight w:val="260"/>
          <w:jc w:val="center"/>
        </w:trPr>
        <w:tc>
          <w:tcPr>
            <w:tcW w:w="625" w:type="dxa"/>
            <w:gridSpan w:val="2"/>
            <w:tcBorders>
              <w:top w:val="single" w:sz="4" w:space="0" w:color="auto"/>
              <w:left w:val="single" w:sz="4" w:space="0" w:color="auto"/>
              <w:bottom w:val="single" w:sz="4" w:space="0" w:color="auto"/>
              <w:right w:val="nil"/>
            </w:tcBorders>
            <w:shd w:val="clear" w:color="auto" w:fill="auto"/>
            <w:noWrap/>
            <w:vAlign w:val="center"/>
            <w:hideMark/>
          </w:tcPr>
          <w:p w14:paraId="2BBF387A" w14:textId="7E635CFD" w:rsidR="00661352" w:rsidRPr="00E02087" w:rsidRDefault="00C95673" w:rsidP="00120F79">
            <w:pPr>
              <w:jc w:val="right"/>
              <w:rPr>
                <w:kern w:val="22"/>
                <w:szCs w:val="22"/>
                <w:lang w:val="fr-CA" w:eastAsia="en-CA"/>
              </w:rPr>
            </w:pPr>
            <w:r>
              <w:rPr>
                <w:kern w:val="22"/>
                <w:szCs w:val="22"/>
                <w:lang w:val="fr-CA" w:eastAsia="en-CA"/>
              </w:rPr>
              <w:t>120</w:t>
            </w:r>
          </w:p>
        </w:tc>
        <w:tc>
          <w:tcPr>
            <w:tcW w:w="3870" w:type="dxa"/>
            <w:tcBorders>
              <w:top w:val="nil"/>
              <w:left w:val="single" w:sz="4" w:space="0" w:color="auto"/>
              <w:bottom w:val="single" w:sz="4" w:space="0" w:color="auto"/>
              <w:right w:val="single" w:sz="4" w:space="0" w:color="auto"/>
            </w:tcBorders>
            <w:shd w:val="clear" w:color="auto" w:fill="auto"/>
            <w:vAlign w:val="center"/>
            <w:hideMark/>
          </w:tcPr>
          <w:p w14:paraId="61E661BB" w14:textId="77777777" w:rsidR="00661352" w:rsidRPr="00E02087" w:rsidRDefault="00661352" w:rsidP="00120F79">
            <w:pPr>
              <w:jc w:val="left"/>
              <w:rPr>
                <w:kern w:val="22"/>
                <w:szCs w:val="22"/>
                <w:lang w:val="fr-CA" w:eastAsia="en-CA"/>
              </w:rPr>
            </w:pPr>
            <w:r>
              <w:rPr>
                <w:kern w:val="22"/>
                <w:szCs w:val="22"/>
                <w:lang w:val="fr-CA" w:eastAsia="en-CA"/>
              </w:rPr>
              <w:t>Namibie</w:t>
            </w:r>
          </w:p>
        </w:tc>
        <w:tc>
          <w:tcPr>
            <w:tcW w:w="1440" w:type="dxa"/>
            <w:tcBorders>
              <w:top w:val="nil"/>
              <w:left w:val="nil"/>
              <w:bottom w:val="single" w:sz="4" w:space="0" w:color="auto"/>
              <w:right w:val="single" w:sz="4" w:space="0" w:color="auto"/>
            </w:tcBorders>
            <w:shd w:val="clear" w:color="auto" w:fill="auto"/>
            <w:vAlign w:val="center"/>
            <w:hideMark/>
          </w:tcPr>
          <w:p w14:paraId="5E4032BA"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009</w:t>
            </w:r>
          </w:p>
        </w:tc>
        <w:tc>
          <w:tcPr>
            <w:tcW w:w="1620" w:type="dxa"/>
            <w:tcBorders>
              <w:top w:val="nil"/>
              <w:left w:val="nil"/>
              <w:bottom w:val="single" w:sz="4" w:space="0" w:color="auto"/>
              <w:right w:val="single" w:sz="4" w:space="0" w:color="auto"/>
            </w:tcBorders>
            <w:shd w:val="clear" w:color="auto" w:fill="auto"/>
            <w:noWrap/>
            <w:vAlign w:val="center"/>
            <w:hideMark/>
          </w:tcPr>
          <w:p w14:paraId="5FE6E3B5"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011</w:t>
            </w:r>
          </w:p>
        </w:tc>
        <w:tc>
          <w:tcPr>
            <w:tcW w:w="1710" w:type="dxa"/>
            <w:tcBorders>
              <w:top w:val="nil"/>
              <w:left w:val="nil"/>
              <w:bottom w:val="single" w:sz="4" w:space="0" w:color="auto"/>
              <w:right w:val="single" w:sz="4" w:space="0" w:color="auto"/>
            </w:tcBorders>
            <w:shd w:val="clear" w:color="auto" w:fill="auto"/>
            <w:noWrap/>
            <w:vAlign w:val="center"/>
            <w:hideMark/>
          </w:tcPr>
          <w:p w14:paraId="37BA844D" w14:textId="77777777" w:rsidR="00661352" w:rsidRPr="00E02087" w:rsidRDefault="00661352" w:rsidP="00282AF6">
            <w:pPr>
              <w:ind w:right="144"/>
              <w:jc w:val="right"/>
              <w:rPr>
                <w:kern w:val="22"/>
                <w:szCs w:val="22"/>
                <w:lang w:val="fr-CA" w:eastAsia="en-CA"/>
              </w:rPr>
            </w:pPr>
            <w:r w:rsidRPr="00E02087">
              <w:rPr>
                <w:kern w:val="22"/>
                <w:szCs w:val="22"/>
                <w:lang w:val="fr-CA" w:eastAsia="en-CA"/>
              </w:rPr>
              <w:t>1 420</w:t>
            </w:r>
          </w:p>
        </w:tc>
      </w:tr>
      <w:tr w:rsidR="00661352" w:rsidRPr="00E02087" w14:paraId="1C2440C1" w14:textId="77777777" w:rsidTr="00661352">
        <w:trPr>
          <w:trHeight w:val="260"/>
          <w:jc w:val="center"/>
        </w:trPr>
        <w:tc>
          <w:tcPr>
            <w:tcW w:w="625" w:type="dxa"/>
            <w:gridSpan w:val="2"/>
            <w:tcBorders>
              <w:top w:val="single" w:sz="4" w:space="0" w:color="auto"/>
              <w:left w:val="single" w:sz="4" w:space="0" w:color="auto"/>
              <w:bottom w:val="single" w:sz="4" w:space="0" w:color="auto"/>
              <w:right w:val="nil"/>
            </w:tcBorders>
            <w:shd w:val="clear" w:color="auto" w:fill="auto"/>
            <w:noWrap/>
            <w:vAlign w:val="center"/>
            <w:hideMark/>
          </w:tcPr>
          <w:p w14:paraId="0015F577" w14:textId="430B0D03" w:rsidR="00661352" w:rsidRPr="00E02087" w:rsidRDefault="00C95673" w:rsidP="00120F79">
            <w:pPr>
              <w:jc w:val="right"/>
              <w:rPr>
                <w:kern w:val="22"/>
                <w:szCs w:val="22"/>
                <w:lang w:val="fr-CA" w:eastAsia="en-CA"/>
              </w:rPr>
            </w:pPr>
            <w:r>
              <w:rPr>
                <w:kern w:val="22"/>
                <w:szCs w:val="22"/>
                <w:lang w:val="fr-CA" w:eastAsia="en-CA"/>
              </w:rPr>
              <w:t>121</w:t>
            </w:r>
          </w:p>
        </w:tc>
        <w:tc>
          <w:tcPr>
            <w:tcW w:w="3870" w:type="dxa"/>
            <w:tcBorders>
              <w:top w:val="nil"/>
              <w:left w:val="single" w:sz="4" w:space="0" w:color="auto"/>
              <w:bottom w:val="single" w:sz="4" w:space="0" w:color="auto"/>
              <w:right w:val="single" w:sz="4" w:space="0" w:color="auto"/>
            </w:tcBorders>
            <w:shd w:val="clear" w:color="auto" w:fill="auto"/>
            <w:vAlign w:val="center"/>
            <w:hideMark/>
          </w:tcPr>
          <w:p w14:paraId="657693E5" w14:textId="77777777" w:rsidR="00661352" w:rsidRPr="00E02087" w:rsidRDefault="00661352" w:rsidP="00120F79">
            <w:pPr>
              <w:jc w:val="left"/>
              <w:rPr>
                <w:kern w:val="22"/>
                <w:szCs w:val="22"/>
                <w:lang w:val="fr-CA" w:eastAsia="en-CA"/>
              </w:rPr>
            </w:pPr>
            <w:r w:rsidRPr="00E02087">
              <w:rPr>
                <w:kern w:val="22"/>
                <w:szCs w:val="22"/>
                <w:lang w:val="fr-CA" w:eastAsia="en-CA"/>
              </w:rPr>
              <w:t>Nauru</w:t>
            </w:r>
          </w:p>
        </w:tc>
        <w:tc>
          <w:tcPr>
            <w:tcW w:w="1440" w:type="dxa"/>
            <w:tcBorders>
              <w:top w:val="nil"/>
              <w:left w:val="nil"/>
              <w:bottom w:val="single" w:sz="4" w:space="0" w:color="auto"/>
              <w:right w:val="single" w:sz="4" w:space="0" w:color="auto"/>
            </w:tcBorders>
            <w:shd w:val="clear" w:color="auto" w:fill="auto"/>
            <w:vAlign w:val="center"/>
            <w:hideMark/>
          </w:tcPr>
          <w:p w14:paraId="1114A4D8"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001</w:t>
            </w:r>
          </w:p>
        </w:tc>
        <w:tc>
          <w:tcPr>
            <w:tcW w:w="1620" w:type="dxa"/>
            <w:tcBorders>
              <w:top w:val="nil"/>
              <w:left w:val="nil"/>
              <w:bottom w:val="single" w:sz="4" w:space="0" w:color="auto"/>
              <w:right w:val="single" w:sz="4" w:space="0" w:color="auto"/>
            </w:tcBorders>
            <w:shd w:val="clear" w:color="auto" w:fill="auto"/>
            <w:noWrap/>
            <w:vAlign w:val="center"/>
            <w:hideMark/>
          </w:tcPr>
          <w:p w14:paraId="60049BC1"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001</w:t>
            </w:r>
          </w:p>
        </w:tc>
        <w:tc>
          <w:tcPr>
            <w:tcW w:w="1710" w:type="dxa"/>
            <w:tcBorders>
              <w:top w:val="nil"/>
              <w:left w:val="nil"/>
              <w:bottom w:val="single" w:sz="4" w:space="0" w:color="auto"/>
              <w:right w:val="single" w:sz="4" w:space="0" w:color="auto"/>
            </w:tcBorders>
            <w:shd w:val="clear" w:color="auto" w:fill="auto"/>
            <w:noWrap/>
            <w:vAlign w:val="center"/>
            <w:hideMark/>
          </w:tcPr>
          <w:p w14:paraId="2BD8182D" w14:textId="77777777" w:rsidR="00661352" w:rsidRPr="00E02087" w:rsidRDefault="00661352" w:rsidP="00282AF6">
            <w:pPr>
              <w:ind w:right="144"/>
              <w:jc w:val="right"/>
              <w:rPr>
                <w:kern w:val="22"/>
                <w:szCs w:val="22"/>
                <w:lang w:val="fr-CA" w:eastAsia="en-CA"/>
              </w:rPr>
            </w:pPr>
            <w:r w:rsidRPr="00E02087">
              <w:rPr>
                <w:kern w:val="22"/>
                <w:szCs w:val="22"/>
                <w:lang w:val="fr-CA" w:eastAsia="en-CA"/>
              </w:rPr>
              <w:t>158</w:t>
            </w:r>
          </w:p>
        </w:tc>
      </w:tr>
      <w:tr w:rsidR="00661352" w:rsidRPr="00E02087" w14:paraId="4AC61D0F" w14:textId="77777777" w:rsidTr="00661352">
        <w:trPr>
          <w:trHeight w:val="260"/>
          <w:jc w:val="center"/>
        </w:trPr>
        <w:tc>
          <w:tcPr>
            <w:tcW w:w="625" w:type="dxa"/>
            <w:gridSpan w:val="2"/>
            <w:tcBorders>
              <w:top w:val="single" w:sz="4" w:space="0" w:color="auto"/>
              <w:left w:val="single" w:sz="4" w:space="0" w:color="auto"/>
              <w:bottom w:val="single" w:sz="4" w:space="0" w:color="auto"/>
              <w:right w:val="nil"/>
            </w:tcBorders>
            <w:shd w:val="clear" w:color="auto" w:fill="auto"/>
            <w:noWrap/>
            <w:vAlign w:val="center"/>
            <w:hideMark/>
          </w:tcPr>
          <w:p w14:paraId="35D4EDC0" w14:textId="65B90278" w:rsidR="00661352" w:rsidRPr="00E02087" w:rsidRDefault="00C95673" w:rsidP="00120F79">
            <w:pPr>
              <w:jc w:val="right"/>
              <w:rPr>
                <w:kern w:val="22"/>
                <w:szCs w:val="22"/>
                <w:lang w:val="fr-CA" w:eastAsia="en-CA"/>
              </w:rPr>
            </w:pPr>
            <w:r>
              <w:rPr>
                <w:kern w:val="22"/>
                <w:szCs w:val="22"/>
                <w:lang w:val="fr-CA" w:eastAsia="en-CA"/>
              </w:rPr>
              <w:t>122</w:t>
            </w:r>
          </w:p>
        </w:tc>
        <w:tc>
          <w:tcPr>
            <w:tcW w:w="3870" w:type="dxa"/>
            <w:tcBorders>
              <w:top w:val="nil"/>
              <w:left w:val="single" w:sz="4" w:space="0" w:color="auto"/>
              <w:bottom w:val="single" w:sz="4" w:space="0" w:color="auto"/>
              <w:right w:val="single" w:sz="4" w:space="0" w:color="auto"/>
            </w:tcBorders>
            <w:shd w:val="clear" w:color="auto" w:fill="auto"/>
            <w:vAlign w:val="center"/>
            <w:hideMark/>
          </w:tcPr>
          <w:p w14:paraId="44B1BD16" w14:textId="77777777" w:rsidR="00661352" w:rsidRPr="00E02087" w:rsidRDefault="00661352" w:rsidP="00120F79">
            <w:pPr>
              <w:jc w:val="left"/>
              <w:rPr>
                <w:kern w:val="22"/>
                <w:szCs w:val="22"/>
                <w:lang w:val="fr-CA" w:eastAsia="en-CA"/>
              </w:rPr>
            </w:pPr>
            <w:r>
              <w:rPr>
                <w:kern w:val="22"/>
                <w:szCs w:val="22"/>
                <w:lang w:val="fr-CA" w:eastAsia="en-CA"/>
              </w:rPr>
              <w:t>Né</w:t>
            </w:r>
            <w:r w:rsidRPr="00E02087">
              <w:rPr>
                <w:kern w:val="22"/>
                <w:szCs w:val="22"/>
                <w:lang w:val="fr-CA" w:eastAsia="en-CA"/>
              </w:rPr>
              <w:t>pal</w:t>
            </w:r>
          </w:p>
        </w:tc>
        <w:tc>
          <w:tcPr>
            <w:tcW w:w="1440" w:type="dxa"/>
            <w:tcBorders>
              <w:top w:val="nil"/>
              <w:left w:val="nil"/>
              <w:bottom w:val="single" w:sz="4" w:space="0" w:color="auto"/>
              <w:right w:val="single" w:sz="4" w:space="0" w:color="auto"/>
            </w:tcBorders>
            <w:shd w:val="clear" w:color="auto" w:fill="auto"/>
            <w:vAlign w:val="center"/>
            <w:hideMark/>
          </w:tcPr>
          <w:p w14:paraId="71AFC2C4"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007</w:t>
            </w:r>
          </w:p>
        </w:tc>
        <w:tc>
          <w:tcPr>
            <w:tcW w:w="1620" w:type="dxa"/>
            <w:tcBorders>
              <w:top w:val="nil"/>
              <w:left w:val="nil"/>
              <w:bottom w:val="single" w:sz="4" w:space="0" w:color="auto"/>
              <w:right w:val="single" w:sz="4" w:space="0" w:color="auto"/>
            </w:tcBorders>
            <w:shd w:val="clear" w:color="auto" w:fill="auto"/>
            <w:noWrap/>
            <w:vAlign w:val="center"/>
            <w:hideMark/>
          </w:tcPr>
          <w:p w14:paraId="7ECFC7DE"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009</w:t>
            </w:r>
          </w:p>
        </w:tc>
        <w:tc>
          <w:tcPr>
            <w:tcW w:w="1710" w:type="dxa"/>
            <w:tcBorders>
              <w:top w:val="nil"/>
              <w:left w:val="nil"/>
              <w:bottom w:val="single" w:sz="4" w:space="0" w:color="auto"/>
              <w:right w:val="single" w:sz="4" w:space="0" w:color="auto"/>
            </w:tcBorders>
            <w:shd w:val="clear" w:color="auto" w:fill="auto"/>
            <w:noWrap/>
            <w:vAlign w:val="center"/>
            <w:hideMark/>
          </w:tcPr>
          <w:p w14:paraId="04339ACB" w14:textId="77777777" w:rsidR="00661352" w:rsidRPr="00E02087" w:rsidRDefault="00661352" w:rsidP="00282AF6">
            <w:pPr>
              <w:ind w:right="144"/>
              <w:jc w:val="right"/>
              <w:rPr>
                <w:kern w:val="22"/>
                <w:szCs w:val="22"/>
                <w:lang w:val="fr-CA" w:eastAsia="en-CA"/>
              </w:rPr>
            </w:pPr>
            <w:r w:rsidRPr="00E02087">
              <w:rPr>
                <w:kern w:val="22"/>
                <w:szCs w:val="22"/>
                <w:lang w:val="fr-CA" w:eastAsia="en-CA"/>
              </w:rPr>
              <w:t>1 104</w:t>
            </w:r>
          </w:p>
        </w:tc>
      </w:tr>
      <w:tr w:rsidR="00661352" w:rsidRPr="00E02087" w14:paraId="3C977F16" w14:textId="77777777" w:rsidTr="00661352">
        <w:trPr>
          <w:trHeight w:val="260"/>
          <w:jc w:val="center"/>
        </w:trPr>
        <w:tc>
          <w:tcPr>
            <w:tcW w:w="625" w:type="dxa"/>
            <w:gridSpan w:val="2"/>
            <w:tcBorders>
              <w:top w:val="single" w:sz="4" w:space="0" w:color="auto"/>
              <w:left w:val="single" w:sz="4" w:space="0" w:color="auto"/>
              <w:bottom w:val="single" w:sz="4" w:space="0" w:color="auto"/>
              <w:right w:val="nil"/>
            </w:tcBorders>
            <w:shd w:val="clear" w:color="auto" w:fill="auto"/>
            <w:noWrap/>
            <w:vAlign w:val="center"/>
            <w:hideMark/>
          </w:tcPr>
          <w:p w14:paraId="2D55B4F2" w14:textId="7FC497CA" w:rsidR="00661352" w:rsidRPr="00E02087" w:rsidRDefault="00C95673" w:rsidP="00120F79">
            <w:pPr>
              <w:jc w:val="right"/>
              <w:rPr>
                <w:kern w:val="22"/>
                <w:szCs w:val="22"/>
                <w:lang w:val="fr-CA" w:eastAsia="en-CA"/>
              </w:rPr>
            </w:pPr>
            <w:r>
              <w:rPr>
                <w:kern w:val="22"/>
                <w:szCs w:val="22"/>
                <w:lang w:val="fr-CA" w:eastAsia="en-CA"/>
              </w:rPr>
              <w:t>123</w:t>
            </w:r>
          </w:p>
        </w:tc>
        <w:tc>
          <w:tcPr>
            <w:tcW w:w="3870" w:type="dxa"/>
            <w:tcBorders>
              <w:top w:val="nil"/>
              <w:left w:val="single" w:sz="4" w:space="0" w:color="auto"/>
              <w:bottom w:val="single" w:sz="4" w:space="0" w:color="auto"/>
              <w:right w:val="single" w:sz="4" w:space="0" w:color="auto"/>
            </w:tcBorders>
            <w:shd w:val="clear" w:color="auto" w:fill="auto"/>
            <w:vAlign w:val="center"/>
            <w:hideMark/>
          </w:tcPr>
          <w:p w14:paraId="4C0B825A" w14:textId="77777777" w:rsidR="00661352" w:rsidRPr="00E02087" w:rsidRDefault="00661352" w:rsidP="00120F79">
            <w:pPr>
              <w:jc w:val="left"/>
              <w:rPr>
                <w:kern w:val="22"/>
                <w:szCs w:val="22"/>
                <w:lang w:val="fr-CA" w:eastAsia="en-CA"/>
              </w:rPr>
            </w:pPr>
            <w:r w:rsidRPr="00E02087">
              <w:rPr>
                <w:kern w:val="22"/>
                <w:szCs w:val="22"/>
                <w:lang w:val="fr-CA" w:eastAsia="en-CA"/>
              </w:rPr>
              <w:t>Nicaragua</w:t>
            </w:r>
          </w:p>
        </w:tc>
        <w:tc>
          <w:tcPr>
            <w:tcW w:w="1440" w:type="dxa"/>
            <w:tcBorders>
              <w:top w:val="nil"/>
              <w:left w:val="nil"/>
              <w:bottom w:val="single" w:sz="4" w:space="0" w:color="auto"/>
              <w:right w:val="single" w:sz="4" w:space="0" w:color="auto"/>
            </w:tcBorders>
            <w:shd w:val="clear" w:color="auto" w:fill="auto"/>
            <w:vAlign w:val="center"/>
            <w:hideMark/>
          </w:tcPr>
          <w:p w14:paraId="709499BF"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005</w:t>
            </w:r>
          </w:p>
        </w:tc>
        <w:tc>
          <w:tcPr>
            <w:tcW w:w="1620" w:type="dxa"/>
            <w:tcBorders>
              <w:top w:val="nil"/>
              <w:left w:val="nil"/>
              <w:bottom w:val="single" w:sz="4" w:space="0" w:color="auto"/>
              <w:right w:val="single" w:sz="4" w:space="0" w:color="auto"/>
            </w:tcBorders>
            <w:shd w:val="clear" w:color="auto" w:fill="auto"/>
            <w:noWrap/>
            <w:vAlign w:val="center"/>
            <w:hideMark/>
          </w:tcPr>
          <w:p w14:paraId="0FDB398A"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006</w:t>
            </w:r>
          </w:p>
        </w:tc>
        <w:tc>
          <w:tcPr>
            <w:tcW w:w="1710" w:type="dxa"/>
            <w:tcBorders>
              <w:top w:val="nil"/>
              <w:left w:val="nil"/>
              <w:bottom w:val="single" w:sz="4" w:space="0" w:color="auto"/>
              <w:right w:val="single" w:sz="4" w:space="0" w:color="auto"/>
            </w:tcBorders>
            <w:shd w:val="clear" w:color="auto" w:fill="auto"/>
            <w:noWrap/>
            <w:vAlign w:val="center"/>
            <w:hideMark/>
          </w:tcPr>
          <w:p w14:paraId="683B0E11" w14:textId="77777777" w:rsidR="00661352" w:rsidRPr="00E02087" w:rsidRDefault="00661352" w:rsidP="00282AF6">
            <w:pPr>
              <w:ind w:right="144"/>
              <w:jc w:val="right"/>
              <w:rPr>
                <w:kern w:val="22"/>
                <w:szCs w:val="22"/>
                <w:lang w:val="fr-CA" w:eastAsia="en-CA"/>
              </w:rPr>
            </w:pPr>
            <w:r w:rsidRPr="00E02087">
              <w:rPr>
                <w:kern w:val="22"/>
                <w:szCs w:val="22"/>
                <w:lang w:val="fr-CA" w:eastAsia="en-CA"/>
              </w:rPr>
              <w:t>789</w:t>
            </w:r>
          </w:p>
        </w:tc>
      </w:tr>
      <w:tr w:rsidR="00661352" w:rsidRPr="00E02087" w14:paraId="7FC82B0A" w14:textId="77777777" w:rsidTr="00661352">
        <w:trPr>
          <w:trHeight w:val="260"/>
          <w:jc w:val="center"/>
        </w:trPr>
        <w:tc>
          <w:tcPr>
            <w:tcW w:w="625" w:type="dxa"/>
            <w:gridSpan w:val="2"/>
            <w:tcBorders>
              <w:top w:val="single" w:sz="4" w:space="0" w:color="auto"/>
              <w:left w:val="single" w:sz="4" w:space="0" w:color="auto"/>
              <w:bottom w:val="single" w:sz="4" w:space="0" w:color="auto"/>
              <w:right w:val="nil"/>
            </w:tcBorders>
            <w:shd w:val="clear" w:color="auto" w:fill="auto"/>
            <w:noWrap/>
            <w:vAlign w:val="center"/>
            <w:hideMark/>
          </w:tcPr>
          <w:p w14:paraId="1AF351D3" w14:textId="02AA1AEF" w:rsidR="00661352" w:rsidRPr="00E02087" w:rsidRDefault="00C95673" w:rsidP="00120F79">
            <w:pPr>
              <w:jc w:val="right"/>
              <w:rPr>
                <w:kern w:val="22"/>
                <w:szCs w:val="22"/>
                <w:lang w:val="fr-CA" w:eastAsia="en-CA"/>
              </w:rPr>
            </w:pPr>
            <w:r>
              <w:rPr>
                <w:kern w:val="22"/>
                <w:szCs w:val="22"/>
                <w:lang w:val="fr-CA" w:eastAsia="en-CA"/>
              </w:rPr>
              <w:t>124</w:t>
            </w:r>
          </w:p>
        </w:tc>
        <w:tc>
          <w:tcPr>
            <w:tcW w:w="3870" w:type="dxa"/>
            <w:tcBorders>
              <w:top w:val="nil"/>
              <w:left w:val="single" w:sz="4" w:space="0" w:color="auto"/>
              <w:bottom w:val="single" w:sz="4" w:space="0" w:color="auto"/>
              <w:right w:val="single" w:sz="4" w:space="0" w:color="auto"/>
            </w:tcBorders>
            <w:shd w:val="clear" w:color="auto" w:fill="auto"/>
            <w:vAlign w:val="center"/>
            <w:hideMark/>
          </w:tcPr>
          <w:p w14:paraId="0396D589" w14:textId="77777777" w:rsidR="00661352" w:rsidRPr="00E02087" w:rsidRDefault="00661352" w:rsidP="00120F79">
            <w:pPr>
              <w:jc w:val="left"/>
              <w:rPr>
                <w:kern w:val="22"/>
                <w:szCs w:val="22"/>
                <w:lang w:val="fr-CA" w:eastAsia="en-CA"/>
              </w:rPr>
            </w:pPr>
            <w:r w:rsidRPr="00E02087">
              <w:rPr>
                <w:kern w:val="22"/>
                <w:szCs w:val="22"/>
                <w:lang w:val="fr-CA" w:eastAsia="en-CA"/>
              </w:rPr>
              <w:t>Niger</w:t>
            </w:r>
          </w:p>
        </w:tc>
        <w:tc>
          <w:tcPr>
            <w:tcW w:w="1440" w:type="dxa"/>
            <w:tcBorders>
              <w:top w:val="nil"/>
              <w:left w:val="nil"/>
              <w:bottom w:val="single" w:sz="4" w:space="0" w:color="auto"/>
              <w:right w:val="single" w:sz="4" w:space="0" w:color="auto"/>
            </w:tcBorders>
            <w:shd w:val="clear" w:color="auto" w:fill="auto"/>
            <w:vAlign w:val="center"/>
            <w:hideMark/>
          </w:tcPr>
          <w:p w14:paraId="4C8A9FFE"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002</w:t>
            </w:r>
          </w:p>
        </w:tc>
        <w:tc>
          <w:tcPr>
            <w:tcW w:w="1620" w:type="dxa"/>
            <w:tcBorders>
              <w:top w:val="nil"/>
              <w:left w:val="nil"/>
              <w:bottom w:val="single" w:sz="4" w:space="0" w:color="auto"/>
              <w:right w:val="single" w:sz="4" w:space="0" w:color="auto"/>
            </w:tcBorders>
            <w:shd w:val="clear" w:color="auto" w:fill="auto"/>
            <w:noWrap/>
            <w:vAlign w:val="center"/>
            <w:hideMark/>
          </w:tcPr>
          <w:p w14:paraId="7D28A817"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003</w:t>
            </w:r>
          </w:p>
        </w:tc>
        <w:tc>
          <w:tcPr>
            <w:tcW w:w="1710" w:type="dxa"/>
            <w:tcBorders>
              <w:top w:val="nil"/>
              <w:left w:val="nil"/>
              <w:bottom w:val="single" w:sz="4" w:space="0" w:color="auto"/>
              <w:right w:val="single" w:sz="4" w:space="0" w:color="auto"/>
            </w:tcBorders>
            <w:shd w:val="clear" w:color="auto" w:fill="auto"/>
            <w:noWrap/>
            <w:vAlign w:val="center"/>
            <w:hideMark/>
          </w:tcPr>
          <w:p w14:paraId="1BC56BE0" w14:textId="77777777" w:rsidR="00661352" w:rsidRPr="00E02087" w:rsidRDefault="00661352" w:rsidP="00282AF6">
            <w:pPr>
              <w:ind w:right="144"/>
              <w:jc w:val="right"/>
              <w:rPr>
                <w:kern w:val="22"/>
                <w:szCs w:val="22"/>
                <w:lang w:val="fr-CA" w:eastAsia="en-CA"/>
              </w:rPr>
            </w:pPr>
            <w:r w:rsidRPr="00E02087">
              <w:rPr>
                <w:kern w:val="22"/>
                <w:szCs w:val="22"/>
                <w:lang w:val="fr-CA" w:eastAsia="en-CA"/>
              </w:rPr>
              <w:t>316</w:t>
            </w:r>
          </w:p>
        </w:tc>
      </w:tr>
      <w:tr w:rsidR="00661352" w:rsidRPr="00E02087" w14:paraId="50CB661A" w14:textId="77777777" w:rsidTr="00661352">
        <w:trPr>
          <w:trHeight w:val="260"/>
          <w:jc w:val="center"/>
        </w:trPr>
        <w:tc>
          <w:tcPr>
            <w:tcW w:w="625" w:type="dxa"/>
            <w:gridSpan w:val="2"/>
            <w:tcBorders>
              <w:top w:val="single" w:sz="4" w:space="0" w:color="auto"/>
              <w:left w:val="single" w:sz="4" w:space="0" w:color="auto"/>
              <w:bottom w:val="single" w:sz="4" w:space="0" w:color="auto"/>
              <w:right w:val="nil"/>
            </w:tcBorders>
            <w:shd w:val="clear" w:color="auto" w:fill="auto"/>
            <w:noWrap/>
            <w:vAlign w:val="center"/>
            <w:hideMark/>
          </w:tcPr>
          <w:p w14:paraId="3D282774" w14:textId="3F227B67" w:rsidR="00661352" w:rsidRPr="00E02087" w:rsidRDefault="00C95673" w:rsidP="00120F79">
            <w:pPr>
              <w:jc w:val="right"/>
              <w:rPr>
                <w:kern w:val="22"/>
                <w:szCs w:val="22"/>
                <w:lang w:val="fr-CA" w:eastAsia="en-CA"/>
              </w:rPr>
            </w:pPr>
            <w:r>
              <w:rPr>
                <w:kern w:val="22"/>
                <w:szCs w:val="22"/>
                <w:lang w:val="fr-CA" w:eastAsia="en-CA"/>
              </w:rPr>
              <w:t>125</w:t>
            </w:r>
          </w:p>
        </w:tc>
        <w:tc>
          <w:tcPr>
            <w:tcW w:w="3870" w:type="dxa"/>
            <w:tcBorders>
              <w:top w:val="nil"/>
              <w:left w:val="single" w:sz="4" w:space="0" w:color="auto"/>
              <w:bottom w:val="single" w:sz="4" w:space="0" w:color="auto"/>
              <w:right w:val="single" w:sz="4" w:space="0" w:color="auto"/>
            </w:tcBorders>
            <w:shd w:val="clear" w:color="auto" w:fill="auto"/>
            <w:vAlign w:val="center"/>
            <w:hideMark/>
          </w:tcPr>
          <w:p w14:paraId="487E5AB1" w14:textId="77777777" w:rsidR="00661352" w:rsidRPr="00E02087" w:rsidRDefault="00661352" w:rsidP="00120F79">
            <w:pPr>
              <w:jc w:val="left"/>
              <w:rPr>
                <w:kern w:val="22"/>
                <w:szCs w:val="22"/>
                <w:lang w:val="fr-CA" w:eastAsia="en-CA"/>
              </w:rPr>
            </w:pPr>
            <w:r>
              <w:rPr>
                <w:kern w:val="22"/>
                <w:szCs w:val="22"/>
                <w:lang w:val="fr-CA" w:eastAsia="en-CA"/>
              </w:rPr>
              <w:t>Nigé</w:t>
            </w:r>
            <w:r w:rsidRPr="00E02087">
              <w:rPr>
                <w:kern w:val="22"/>
                <w:szCs w:val="22"/>
                <w:lang w:val="fr-CA" w:eastAsia="en-CA"/>
              </w:rPr>
              <w:t>ria</w:t>
            </w:r>
          </w:p>
        </w:tc>
        <w:tc>
          <w:tcPr>
            <w:tcW w:w="1440" w:type="dxa"/>
            <w:tcBorders>
              <w:top w:val="nil"/>
              <w:left w:val="nil"/>
              <w:bottom w:val="single" w:sz="4" w:space="0" w:color="auto"/>
              <w:right w:val="single" w:sz="4" w:space="0" w:color="auto"/>
            </w:tcBorders>
            <w:shd w:val="clear" w:color="auto" w:fill="auto"/>
            <w:vAlign w:val="center"/>
            <w:hideMark/>
          </w:tcPr>
          <w:p w14:paraId="326A1211"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250</w:t>
            </w:r>
          </w:p>
        </w:tc>
        <w:tc>
          <w:tcPr>
            <w:tcW w:w="1620" w:type="dxa"/>
            <w:tcBorders>
              <w:top w:val="nil"/>
              <w:left w:val="nil"/>
              <w:bottom w:val="single" w:sz="4" w:space="0" w:color="auto"/>
              <w:right w:val="single" w:sz="4" w:space="0" w:color="auto"/>
            </w:tcBorders>
            <w:shd w:val="clear" w:color="auto" w:fill="auto"/>
            <w:noWrap/>
            <w:vAlign w:val="center"/>
            <w:hideMark/>
          </w:tcPr>
          <w:p w14:paraId="2A43E0E2"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313</w:t>
            </w:r>
          </w:p>
        </w:tc>
        <w:tc>
          <w:tcPr>
            <w:tcW w:w="1710" w:type="dxa"/>
            <w:tcBorders>
              <w:top w:val="nil"/>
              <w:left w:val="nil"/>
              <w:bottom w:val="single" w:sz="4" w:space="0" w:color="auto"/>
              <w:right w:val="single" w:sz="4" w:space="0" w:color="auto"/>
            </w:tcBorders>
            <w:shd w:val="clear" w:color="auto" w:fill="auto"/>
            <w:noWrap/>
            <w:vAlign w:val="center"/>
            <w:hideMark/>
          </w:tcPr>
          <w:p w14:paraId="0916F541" w14:textId="77777777" w:rsidR="00661352" w:rsidRPr="00E02087" w:rsidRDefault="00661352" w:rsidP="00282AF6">
            <w:pPr>
              <w:ind w:right="144"/>
              <w:jc w:val="right"/>
              <w:rPr>
                <w:kern w:val="22"/>
                <w:szCs w:val="22"/>
                <w:lang w:val="fr-CA" w:eastAsia="en-CA"/>
              </w:rPr>
            </w:pPr>
            <w:r w:rsidRPr="00E02087">
              <w:rPr>
                <w:kern w:val="22"/>
                <w:szCs w:val="22"/>
                <w:lang w:val="fr-CA" w:eastAsia="en-CA"/>
              </w:rPr>
              <w:t>39 442</w:t>
            </w:r>
          </w:p>
        </w:tc>
      </w:tr>
      <w:tr w:rsidR="00661352" w:rsidRPr="00E02087" w14:paraId="095EC3C8" w14:textId="77777777" w:rsidTr="00661352">
        <w:trPr>
          <w:trHeight w:val="260"/>
          <w:jc w:val="center"/>
        </w:trPr>
        <w:tc>
          <w:tcPr>
            <w:tcW w:w="625" w:type="dxa"/>
            <w:gridSpan w:val="2"/>
            <w:tcBorders>
              <w:top w:val="single" w:sz="4" w:space="0" w:color="auto"/>
              <w:left w:val="single" w:sz="4" w:space="0" w:color="auto"/>
              <w:bottom w:val="single" w:sz="4" w:space="0" w:color="auto"/>
              <w:right w:val="nil"/>
            </w:tcBorders>
            <w:shd w:val="clear" w:color="auto" w:fill="auto"/>
            <w:noWrap/>
            <w:vAlign w:val="center"/>
            <w:hideMark/>
          </w:tcPr>
          <w:p w14:paraId="2618C2B9" w14:textId="70ECE67A" w:rsidR="00661352" w:rsidRPr="00E02087" w:rsidRDefault="00C95673" w:rsidP="00120F79">
            <w:pPr>
              <w:jc w:val="right"/>
              <w:rPr>
                <w:kern w:val="22"/>
                <w:szCs w:val="22"/>
                <w:lang w:val="fr-CA" w:eastAsia="en-CA"/>
              </w:rPr>
            </w:pPr>
            <w:r>
              <w:rPr>
                <w:kern w:val="22"/>
                <w:szCs w:val="22"/>
                <w:lang w:val="fr-CA" w:eastAsia="en-CA"/>
              </w:rPr>
              <w:t>126</w:t>
            </w:r>
          </w:p>
        </w:tc>
        <w:tc>
          <w:tcPr>
            <w:tcW w:w="3870" w:type="dxa"/>
            <w:tcBorders>
              <w:top w:val="nil"/>
              <w:left w:val="single" w:sz="4" w:space="0" w:color="auto"/>
              <w:bottom w:val="single" w:sz="4" w:space="0" w:color="auto"/>
              <w:right w:val="single" w:sz="4" w:space="0" w:color="auto"/>
            </w:tcBorders>
            <w:shd w:val="clear" w:color="auto" w:fill="auto"/>
            <w:vAlign w:val="center"/>
            <w:hideMark/>
          </w:tcPr>
          <w:p w14:paraId="1EF2ED6E" w14:textId="77777777" w:rsidR="00661352" w:rsidRPr="00E02087" w:rsidRDefault="00661352" w:rsidP="00E470BA">
            <w:pPr>
              <w:jc w:val="left"/>
              <w:rPr>
                <w:kern w:val="22"/>
                <w:szCs w:val="22"/>
                <w:lang w:val="fr-CA" w:eastAsia="en-CA"/>
              </w:rPr>
            </w:pPr>
            <w:r>
              <w:rPr>
                <w:kern w:val="22"/>
                <w:szCs w:val="22"/>
                <w:lang w:val="fr-CA" w:eastAsia="en-CA"/>
              </w:rPr>
              <w:t>Nioué</w:t>
            </w:r>
          </w:p>
        </w:tc>
        <w:tc>
          <w:tcPr>
            <w:tcW w:w="1440" w:type="dxa"/>
            <w:tcBorders>
              <w:top w:val="nil"/>
              <w:left w:val="nil"/>
              <w:bottom w:val="single" w:sz="4" w:space="0" w:color="auto"/>
              <w:right w:val="single" w:sz="4" w:space="0" w:color="auto"/>
            </w:tcBorders>
            <w:shd w:val="clear" w:color="auto" w:fill="auto"/>
            <w:vAlign w:val="center"/>
            <w:hideMark/>
          </w:tcPr>
          <w:p w14:paraId="688B4D9B"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001</w:t>
            </w:r>
          </w:p>
        </w:tc>
        <w:tc>
          <w:tcPr>
            <w:tcW w:w="1620" w:type="dxa"/>
            <w:tcBorders>
              <w:top w:val="nil"/>
              <w:left w:val="nil"/>
              <w:bottom w:val="single" w:sz="4" w:space="0" w:color="auto"/>
              <w:right w:val="single" w:sz="4" w:space="0" w:color="auto"/>
            </w:tcBorders>
            <w:shd w:val="clear" w:color="auto" w:fill="auto"/>
            <w:noWrap/>
            <w:vAlign w:val="center"/>
            <w:hideMark/>
          </w:tcPr>
          <w:p w14:paraId="432D1970"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001</w:t>
            </w:r>
          </w:p>
        </w:tc>
        <w:tc>
          <w:tcPr>
            <w:tcW w:w="1710" w:type="dxa"/>
            <w:tcBorders>
              <w:top w:val="nil"/>
              <w:left w:val="nil"/>
              <w:bottom w:val="single" w:sz="4" w:space="0" w:color="auto"/>
              <w:right w:val="single" w:sz="4" w:space="0" w:color="auto"/>
            </w:tcBorders>
            <w:shd w:val="clear" w:color="auto" w:fill="auto"/>
            <w:noWrap/>
            <w:vAlign w:val="center"/>
            <w:hideMark/>
          </w:tcPr>
          <w:p w14:paraId="3435A745" w14:textId="77777777" w:rsidR="00661352" w:rsidRPr="00E02087" w:rsidRDefault="00661352" w:rsidP="00282AF6">
            <w:pPr>
              <w:ind w:right="144"/>
              <w:jc w:val="right"/>
              <w:rPr>
                <w:kern w:val="22"/>
                <w:szCs w:val="22"/>
                <w:lang w:val="fr-CA" w:eastAsia="en-CA"/>
              </w:rPr>
            </w:pPr>
            <w:r w:rsidRPr="00E02087">
              <w:rPr>
                <w:kern w:val="22"/>
                <w:szCs w:val="22"/>
                <w:lang w:val="fr-CA" w:eastAsia="en-CA"/>
              </w:rPr>
              <w:t>158</w:t>
            </w:r>
          </w:p>
        </w:tc>
      </w:tr>
      <w:tr w:rsidR="00661352" w:rsidRPr="00E02087" w14:paraId="7831502A" w14:textId="77777777" w:rsidTr="00661352">
        <w:trPr>
          <w:trHeight w:val="260"/>
          <w:jc w:val="center"/>
        </w:trPr>
        <w:tc>
          <w:tcPr>
            <w:tcW w:w="625" w:type="dxa"/>
            <w:gridSpan w:val="2"/>
            <w:tcBorders>
              <w:top w:val="single" w:sz="4" w:space="0" w:color="auto"/>
              <w:left w:val="single" w:sz="4" w:space="0" w:color="auto"/>
              <w:bottom w:val="single" w:sz="4" w:space="0" w:color="auto"/>
              <w:right w:val="nil"/>
            </w:tcBorders>
            <w:shd w:val="clear" w:color="auto" w:fill="auto"/>
            <w:noWrap/>
            <w:vAlign w:val="center"/>
          </w:tcPr>
          <w:p w14:paraId="13898E99" w14:textId="41C37E08" w:rsidR="00661352" w:rsidRPr="00E02087" w:rsidRDefault="00C95673" w:rsidP="00C70C1D">
            <w:pPr>
              <w:jc w:val="right"/>
              <w:rPr>
                <w:kern w:val="22"/>
                <w:szCs w:val="22"/>
                <w:lang w:val="fr-CA" w:eastAsia="en-CA"/>
              </w:rPr>
            </w:pPr>
            <w:r>
              <w:rPr>
                <w:kern w:val="22"/>
                <w:szCs w:val="22"/>
                <w:lang w:val="fr-CA" w:eastAsia="en-CA"/>
              </w:rPr>
              <w:t>127</w:t>
            </w:r>
          </w:p>
        </w:tc>
        <w:tc>
          <w:tcPr>
            <w:tcW w:w="3870" w:type="dxa"/>
            <w:tcBorders>
              <w:top w:val="nil"/>
              <w:left w:val="single" w:sz="4" w:space="0" w:color="auto"/>
              <w:bottom w:val="single" w:sz="4" w:space="0" w:color="auto"/>
              <w:right w:val="single" w:sz="4" w:space="0" w:color="auto"/>
            </w:tcBorders>
            <w:shd w:val="clear" w:color="auto" w:fill="auto"/>
            <w:vAlign w:val="center"/>
            <w:hideMark/>
          </w:tcPr>
          <w:p w14:paraId="1F304D3D" w14:textId="77777777" w:rsidR="00661352" w:rsidRPr="00E02087" w:rsidRDefault="00661352" w:rsidP="00C70C1D">
            <w:pPr>
              <w:jc w:val="left"/>
              <w:rPr>
                <w:kern w:val="22"/>
                <w:szCs w:val="22"/>
                <w:lang w:val="fr-CA" w:eastAsia="en-CA"/>
              </w:rPr>
            </w:pPr>
            <w:r>
              <w:rPr>
                <w:kern w:val="22"/>
                <w:szCs w:val="22"/>
                <w:lang w:val="fr-CA" w:eastAsia="en-CA"/>
              </w:rPr>
              <w:t>Norvège</w:t>
            </w:r>
          </w:p>
        </w:tc>
        <w:tc>
          <w:tcPr>
            <w:tcW w:w="1440" w:type="dxa"/>
            <w:tcBorders>
              <w:top w:val="nil"/>
              <w:left w:val="nil"/>
              <w:bottom w:val="single" w:sz="4" w:space="0" w:color="auto"/>
              <w:right w:val="single" w:sz="4" w:space="0" w:color="auto"/>
            </w:tcBorders>
            <w:shd w:val="clear" w:color="auto" w:fill="auto"/>
            <w:vAlign w:val="center"/>
            <w:hideMark/>
          </w:tcPr>
          <w:p w14:paraId="1B0FE5D8"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754</w:t>
            </w:r>
          </w:p>
        </w:tc>
        <w:tc>
          <w:tcPr>
            <w:tcW w:w="1620" w:type="dxa"/>
            <w:tcBorders>
              <w:top w:val="nil"/>
              <w:left w:val="nil"/>
              <w:bottom w:val="single" w:sz="4" w:space="0" w:color="auto"/>
              <w:right w:val="single" w:sz="4" w:space="0" w:color="auto"/>
            </w:tcBorders>
            <w:shd w:val="clear" w:color="auto" w:fill="auto"/>
            <w:noWrap/>
            <w:vAlign w:val="center"/>
            <w:hideMark/>
          </w:tcPr>
          <w:p w14:paraId="4BF14A49"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943</w:t>
            </w:r>
          </w:p>
        </w:tc>
        <w:tc>
          <w:tcPr>
            <w:tcW w:w="1710" w:type="dxa"/>
            <w:tcBorders>
              <w:top w:val="nil"/>
              <w:left w:val="nil"/>
              <w:bottom w:val="single" w:sz="4" w:space="0" w:color="auto"/>
              <w:right w:val="single" w:sz="4" w:space="0" w:color="auto"/>
            </w:tcBorders>
            <w:shd w:val="clear" w:color="auto" w:fill="auto"/>
            <w:noWrap/>
            <w:vAlign w:val="center"/>
            <w:hideMark/>
          </w:tcPr>
          <w:p w14:paraId="02BBC2EB" w14:textId="77777777" w:rsidR="00661352" w:rsidRPr="00E02087" w:rsidRDefault="00661352" w:rsidP="00282AF6">
            <w:pPr>
              <w:ind w:right="144"/>
              <w:jc w:val="right"/>
              <w:rPr>
                <w:kern w:val="22"/>
                <w:szCs w:val="22"/>
                <w:lang w:val="fr-CA" w:eastAsia="en-CA"/>
              </w:rPr>
            </w:pPr>
            <w:r w:rsidRPr="00E02087">
              <w:rPr>
                <w:kern w:val="22"/>
                <w:szCs w:val="22"/>
                <w:lang w:val="fr-CA" w:eastAsia="en-CA"/>
              </w:rPr>
              <w:t>118 957</w:t>
            </w:r>
          </w:p>
        </w:tc>
      </w:tr>
      <w:tr w:rsidR="00661352" w:rsidRPr="00E02087" w14:paraId="22772476" w14:textId="77777777" w:rsidTr="00661352">
        <w:trPr>
          <w:trHeight w:val="260"/>
          <w:jc w:val="center"/>
        </w:trPr>
        <w:tc>
          <w:tcPr>
            <w:tcW w:w="625" w:type="dxa"/>
            <w:gridSpan w:val="2"/>
            <w:tcBorders>
              <w:top w:val="single" w:sz="4" w:space="0" w:color="auto"/>
              <w:left w:val="single" w:sz="4" w:space="0" w:color="auto"/>
              <w:bottom w:val="single" w:sz="4" w:space="0" w:color="auto"/>
              <w:right w:val="nil"/>
            </w:tcBorders>
            <w:shd w:val="clear" w:color="auto" w:fill="auto"/>
            <w:noWrap/>
            <w:vAlign w:val="center"/>
            <w:hideMark/>
          </w:tcPr>
          <w:p w14:paraId="16DD4E34" w14:textId="00167DF7" w:rsidR="00661352" w:rsidRPr="00E02087" w:rsidRDefault="00C95673" w:rsidP="00120F79">
            <w:pPr>
              <w:jc w:val="right"/>
              <w:rPr>
                <w:kern w:val="22"/>
                <w:szCs w:val="22"/>
                <w:lang w:val="fr-CA" w:eastAsia="en-CA"/>
              </w:rPr>
            </w:pPr>
            <w:r>
              <w:rPr>
                <w:kern w:val="22"/>
                <w:szCs w:val="22"/>
                <w:lang w:val="fr-CA" w:eastAsia="en-CA"/>
              </w:rPr>
              <w:t>128</w:t>
            </w:r>
          </w:p>
        </w:tc>
        <w:tc>
          <w:tcPr>
            <w:tcW w:w="3870" w:type="dxa"/>
            <w:tcBorders>
              <w:top w:val="nil"/>
              <w:left w:val="single" w:sz="4" w:space="0" w:color="auto"/>
              <w:bottom w:val="single" w:sz="4" w:space="0" w:color="auto"/>
              <w:right w:val="single" w:sz="4" w:space="0" w:color="auto"/>
            </w:tcBorders>
            <w:shd w:val="clear" w:color="auto" w:fill="auto"/>
            <w:vAlign w:val="center"/>
            <w:hideMark/>
          </w:tcPr>
          <w:p w14:paraId="430DDD82" w14:textId="77777777" w:rsidR="00661352" w:rsidRPr="00E02087" w:rsidRDefault="00661352" w:rsidP="00E470BA">
            <w:pPr>
              <w:jc w:val="left"/>
              <w:rPr>
                <w:kern w:val="22"/>
                <w:szCs w:val="22"/>
                <w:lang w:val="fr-CA" w:eastAsia="en-CA"/>
              </w:rPr>
            </w:pPr>
            <w:r>
              <w:rPr>
                <w:kern w:val="22"/>
                <w:szCs w:val="22"/>
                <w:lang w:val="fr-CA" w:eastAsia="en-CA"/>
              </w:rPr>
              <w:t>Nouvelle-Zélande</w:t>
            </w:r>
          </w:p>
        </w:tc>
        <w:tc>
          <w:tcPr>
            <w:tcW w:w="1440" w:type="dxa"/>
            <w:tcBorders>
              <w:top w:val="nil"/>
              <w:left w:val="nil"/>
              <w:bottom w:val="single" w:sz="4" w:space="0" w:color="auto"/>
              <w:right w:val="single" w:sz="4" w:space="0" w:color="auto"/>
            </w:tcBorders>
            <w:shd w:val="clear" w:color="auto" w:fill="auto"/>
            <w:vAlign w:val="center"/>
            <w:hideMark/>
          </w:tcPr>
          <w:p w14:paraId="05F79C0C"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291</w:t>
            </w:r>
          </w:p>
        </w:tc>
        <w:tc>
          <w:tcPr>
            <w:tcW w:w="1620" w:type="dxa"/>
            <w:tcBorders>
              <w:top w:val="nil"/>
              <w:left w:val="nil"/>
              <w:bottom w:val="single" w:sz="4" w:space="0" w:color="auto"/>
              <w:right w:val="single" w:sz="4" w:space="0" w:color="auto"/>
            </w:tcBorders>
            <w:shd w:val="clear" w:color="auto" w:fill="auto"/>
            <w:noWrap/>
            <w:vAlign w:val="center"/>
            <w:hideMark/>
          </w:tcPr>
          <w:p w14:paraId="072A2758"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364</w:t>
            </w:r>
          </w:p>
        </w:tc>
        <w:tc>
          <w:tcPr>
            <w:tcW w:w="1710" w:type="dxa"/>
            <w:tcBorders>
              <w:top w:val="nil"/>
              <w:left w:val="nil"/>
              <w:bottom w:val="single" w:sz="4" w:space="0" w:color="auto"/>
              <w:right w:val="single" w:sz="4" w:space="0" w:color="auto"/>
            </w:tcBorders>
            <w:shd w:val="clear" w:color="auto" w:fill="auto"/>
            <w:noWrap/>
            <w:vAlign w:val="center"/>
            <w:hideMark/>
          </w:tcPr>
          <w:p w14:paraId="77340A2C" w14:textId="77777777" w:rsidR="00661352" w:rsidRPr="00E02087" w:rsidRDefault="00661352" w:rsidP="00282AF6">
            <w:pPr>
              <w:ind w:right="144"/>
              <w:jc w:val="right"/>
              <w:rPr>
                <w:kern w:val="22"/>
                <w:szCs w:val="22"/>
                <w:lang w:val="fr-CA" w:eastAsia="en-CA"/>
              </w:rPr>
            </w:pPr>
            <w:r w:rsidRPr="00E02087">
              <w:rPr>
                <w:kern w:val="22"/>
                <w:szCs w:val="22"/>
                <w:lang w:val="fr-CA" w:eastAsia="en-CA"/>
              </w:rPr>
              <w:t>45 911</w:t>
            </w:r>
          </w:p>
        </w:tc>
      </w:tr>
      <w:tr w:rsidR="00661352" w:rsidRPr="00E02087" w14:paraId="3E934D0C" w14:textId="77777777" w:rsidTr="00661352">
        <w:trPr>
          <w:trHeight w:val="260"/>
          <w:jc w:val="center"/>
        </w:trPr>
        <w:tc>
          <w:tcPr>
            <w:tcW w:w="625" w:type="dxa"/>
            <w:gridSpan w:val="2"/>
            <w:tcBorders>
              <w:top w:val="single" w:sz="4" w:space="0" w:color="auto"/>
              <w:left w:val="single" w:sz="4" w:space="0" w:color="auto"/>
              <w:bottom w:val="single" w:sz="4" w:space="0" w:color="auto"/>
              <w:right w:val="nil"/>
            </w:tcBorders>
            <w:shd w:val="clear" w:color="auto" w:fill="auto"/>
            <w:noWrap/>
            <w:vAlign w:val="center"/>
          </w:tcPr>
          <w:p w14:paraId="4FBE7AB0" w14:textId="4B340EF4" w:rsidR="00661352" w:rsidRPr="00E02087" w:rsidRDefault="00C95673" w:rsidP="00C70C1D">
            <w:pPr>
              <w:jc w:val="right"/>
              <w:rPr>
                <w:kern w:val="22"/>
                <w:szCs w:val="22"/>
                <w:lang w:val="fr-CA" w:eastAsia="en-CA"/>
              </w:rPr>
            </w:pPr>
            <w:r>
              <w:rPr>
                <w:kern w:val="22"/>
                <w:szCs w:val="22"/>
                <w:lang w:val="fr-CA" w:eastAsia="en-CA"/>
              </w:rPr>
              <w:t>129</w:t>
            </w:r>
          </w:p>
        </w:tc>
        <w:tc>
          <w:tcPr>
            <w:tcW w:w="3870" w:type="dxa"/>
            <w:tcBorders>
              <w:top w:val="nil"/>
              <w:left w:val="single" w:sz="4" w:space="0" w:color="auto"/>
              <w:bottom w:val="single" w:sz="4" w:space="0" w:color="auto"/>
              <w:right w:val="single" w:sz="4" w:space="0" w:color="auto"/>
            </w:tcBorders>
            <w:shd w:val="clear" w:color="auto" w:fill="auto"/>
            <w:vAlign w:val="center"/>
            <w:hideMark/>
          </w:tcPr>
          <w:p w14:paraId="59759823" w14:textId="77777777" w:rsidR="00661352" w:rsidRPr="00E02087" w:rsidRDefault="00661352" w:rsidP="00C70C1D">
            <w:pPr>
              <w:jc w:val="left"/>
              <w:rPr>
                <w:kern w:val="22"/>
                <w:szCs w:val="22"/>
                <w:lang w:val="fr-CA" w:eastAsia="en-CA"/>
              </w:rPr>
            </w:pPr>
            <w:r w:rsidRPr="00E02087">
              <w:rPr>
                <w:kern w:val="22"/>
                <w:szCs w:val="22"/>
                <w:lang w:val="fr-CA" w:eastAsia="en-CA"/>
              </w:rPr>
              <w:t>Oman</w:t>
            </w:r>
          </w:p>
        </w:tc>
        <w:tc>
          <w:tcPr>
            <w:tcW w:w="1440" w:type="dxa"/>
            <w:tcBorders>
              <w:top w:val="nil"/>
              <w:left w:val="nil"/>
              <w:bottom w:val="single" w:sz="4" w:space="0" w:color="auto"/>
              <w:right w:val="single" w:sz="4" w:space="0" w:color="auto"/>
            </w:tcBorders>
            <w:shd w:val="clear" w:color="auto" w:fill="auto"/>
            <w:vAlign w:val="center"/>
            <w:hideMark/>
          </w:tcPr>
          <w:p w14:paraId="0F5A6DA1"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115</w:t>
            </w:r>
          </w:p>
        </w:tc>
        <w:tc>
          <w:tcPr>
            <w:tcW w:w="1620" w:type="dxa"/>
            <w:tcBorders>
              <w:top w:val="nil"/>
              <w:left w:val="nil"/>
              <w:bottom w:val="single" w:sz="4" w:space="0" w:color="auto"/>
              <w:right w:val="single" w:sz="4" w:space="0" w:color="auto"/>
            </w:tcBorders>
            <w:shd w:val="clear" w:color="auto" w:fill="auto"/>
            <w:noWrap/>
            <w:vAlign w:val="center"/>
            <w:hideMark/>
          </w:tcPr>
          <w:p w14:paraId="1B2C7715"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144</w:t>
            </w:r>
          </w:p>
        </w:tc>
        <w:tc>
          <w:tcPr>
            <w:tcW w:w="1710" w:type="dxa"/>
            <w:tcBorders>
              <w:top w:val="nil"/>
              <w:left w:val="nil"/>
              <w:bottom w:val="single" w:sz="4" w:space="0" w:color="auto"/>
              <w:right w:val="single" w:sz="4" w:space="0" w:color="auto"/>
            </w:tcBorders>
            <w:shd w:val="clear" w:color="auto" w:fill="auto"/>
            <w:noWrap/>
            <w:vAlign w:val="center"/>
            <w:hideMark/>
          </w:tcPr>
          <w:p w14:paraId="13E11FF2" w14:textId="77777777" w:rsidR="00661352" w:rsidRPr="00E02087" w:rsidRDefault="00661352" w:rsidP="00282AF6">
            <w:pPr>
              <w:ind w:right="144"/>
              <w:jc w:val="right"/>
              <w:rPr>
                <w:kern w:val="22"/>
                <w:szCs w:val="22"/>
                <w:lang w:val="fr-CA" w:eastAsia="en-CA"/>
              </w:rPr>
            </w:pPr>
            <w:r w:rsidRPr="00E02087">
              <w:rPr>
                <w:kern w:val="22"/>
                <w:szCs w:val="22"/>
                <w:lang w:val="fr-CA" w:eastAsia="en-CA"/>
              </w:rPr>
              <w:t>18 143</w:t>
            </w:r>
          </w:p>
        </w:tc>
      </w:tr>
      <w:tr w:rsidR="00661352" w:rsidRPr="00B123B8" w14:paraId="130E4C5D" w14:textId="77777777" w:rsidTr="00661352">
        <w:trPr>
          <w:trHeight w:val="260"/>
          <w:jc w:val="center"/>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33FF9FCD" w14:textId="3FF22A1D" w:rsidR="00661352" w:rsidRPr="00B123B8" w:rsidRDefault="00C95673" w:rsidP="00120F79">
            <w:pPr>
              <w:jc w:val="right"/>
              <w:rPr>
                <w:kern w:val="22"/>
                <w:szCs w:val="22"/>
                <w:lang w:val="fr-CA" w:eastAsia="en-CA"/>
              </w:rPr>
            </w:pPr>
            <w:r>
              <w:rPr>
                <w:kern w:val="22"/>
                <w:szCs w:val="22"/>
                <w:lang w:val="fr-CA" w:eastAsia="en-CA"/>
              </w:rPr>
              <w:t>130</w:t>
            </w:r>
          </w:p>
        </w:tc>
        <w:tc>
          <w:tcPr>
            <w:tcW w:w="3885" w:type="dxa"/>
            <w:gridSpan w:val="2"/>
            <w:tcBorders>
              <w:top w:val="nil"/>
              <w:left w:val="nil"/>
              <w:bottom w:val="single" w:sz="4" w:space="0" w:color="auto"/>
              <w:right w:val="single" w:sz="4" w:space="0" w:color="auto"/>
            </w:tcBorders>
            <w:shd w:val="clear" w:color="auto" w:fill="auto"/>
            <w:vAlign w:val="center"/>
            <w:hideMark/>
          </w:tcPr>
          <w:p w14:paraId="70A23829" w14:textId="77777777" w:rsidR="00661352" w:rsidRPr="00B123B8" w:rsidRDefault="00661352" w:rsidP="00120F79">
            <w:pPr>
              <w:jc w:val="left"/>
              <w:rPr>
                <w:kern w:val="22"/>
                <w:szCs w:val="22"/>
                <w:lang w:val="fr-CA" w:eastAsia="en-CA"/>
              </w:rPr>
            </w:pPr>
            <w:r>
              <w:rPr>
                <w:kern w:val="22"/>
                <w:szCs w:val="22"/>
                <w:lang w:val="fr-CA" w:eastAsia="en-CA"/>
              </w:rPr>
              <w:t>Ou</w:t>
            </w:r>
            <w:r w:rsidRPr="00B123B8">
              <w:rPr>
                <w:kern w:val="22"/>
                <w:szCs w:val="22"/>
                <w:lang w:val="fr-CA" w:eastAsia="en-CA"/>
              </w:rPr>
              <w:t>ganda</w:t>
            </w:r>
          </w:p>
        </w:tc>
        <w:tc>
          <w:tcPr>
            <w:tcW w:w="1440" w:type="dxa"/>
            <w:tcBorders>
              <w:top w:val="nil"/>
              <w:left w:val="nil"/>
              <w:bottom w:val="single" w:sz="4" w:space="0" w:color="auto"/>
              <w:right w:val="single" w:sz="4" w:space="0" w:color="auto"/>
            </w:tcBorders>
            <w:shd w:val="clear" w:color="auto" w:fill="auto"/>
            <w:vAlign w:val="center"/>
            <w:hideMark/>
          </w:tcPr>
          <w:p w14:paraId="1A51820B" w14:textId="77777777" w:rsidR="00661352" w:rsidRPr="00B123B8" w:rsidRDefault="00661352" w:rsidP="00282AF6">
            <w:pPr>
              <w:ind w:right="144"/>
              <w:jc w:val="right"/>
              <w:rPr>
                <w:kern w:val="22"/>
                <w:szCs w:val="22"/>
                <w:lang w:val="fr-CA" w:eastAsia="en-CA"/>
              </w:rPr>
            </w:pPr>
            <w:r w:rsidRPr="00B123B8">
              <w:rPr>
                <w:kern w:val="22"/>
                <w:szCs w:val="22"/>
                <w:lang w:val="fr-CA" w:eastAsia="en-CA"/>
              </w:rPr>
              <w:t>0</w:t>
            </w:r>
            <w:r>
              <w:rPr>
                <w:kern w:val="22"/>
                <w:szCs w:val="22"/>
                <w:lang w:val="fr-CA" w:eastAsia="en-CA"/>
              </w:rPr>
              <w:t>,</w:t>
            </w:r>
            <w:r w:rsidRPr="00B123B8">
              <w:rPr>
                <w:kern w:val="22"/>
                <w:szCs w:val="22"/>
                <w:lang w:val="fr-CA" w:eastAsia="en-CA"/>
              </w:rPr>
              <w:t>008</w:t>
            </w:r>
          </w:p>
        </w:tc>
        <w:tc>
          <w:tcPr>
            <w:tcW w:w="1620" w:type="dxa"/>
            <w:tcBorders>
              <w:top w:val="nil"/>
              <w:left w:val="nil"/>
              <w:bottom w:val="single" w:sz="4" w:space="0" w:color="auto"/>
              <w:right w:val="single" w:sz="4" w:space="0" w:color="auto"/>
            </w:tcBorders>
            <w:shd w:val="clear" w:color="auto" w:fill="auto"/>
            <w:noWrap/>
            <w:vAlign w:val="center"/>
            <w:hideMark/>
          </w:tcPr>
          <w:p w14:paraId="43F6B14B" w14:textId="77777777" w:rsidR="00661352" w:rsidRPr="00B123B8" w:rsidRDefault="00661352" w:rsidP="00282AF6">
            <w:pPr>
              <w:ind w:right="144"/>
              <w:jc w:val="right"/>
              <w:rPr>
                <w:kern w:val="22"/>
                <w:szCs w:val="22"/>
                <w:lang w:val="fr-CA" w:eastAsia="en-CA"/>
              </w:rPr>
            </w:pPr>
            <w:r w:rsidRPr="00B123B8">
              <w:rPr>
                <w:kern w:val="22"/>
                <w:szCs w:val="22"/>
                <w:lang w:val="fr-CA" w:eastAsia="en-CA"/>
              </w:rPr>
              <w:t>0</w:t>
            </w:r>
            <w:r>
              <w:rPr>
                <w:kern w:val="22"/>
                <w:szCs w:val="22"/>
                <w:lang w:val="fr-CA" w:eastAsia="en-CA"/>
              </w:rPr>
              <w:t>,</w:t>
            </w:r>
            <w:r w:rsidRPr="00B123B8">
              <w:rPr>
                <w:kern w:val="22"/>
                <w:szCs w:val="22"/>
                <w:lang w:val="fr-CA" w:eastAsia="en-CA"/>
              </w:rPr>
              <w:t>010</w:t>
            </w:r>
          </w:p>
        </w:tc>
        <w:tc>
          <w:tcPr>
            <w:tcW w:w="1710" w:type="dxa"/>
            <w:tcBorders>
              <w:top w:val="nil"/>
              <w:left w:val="nil"/>
              <w:bottom w:val="single" w:sz="4" w:space="0" w:color="auto"/>
              <w:right w:val="single" w:sz="4" w:space="0" w:color="auto"/>
            </w:tcBorders>
            <w:shd w:val="clear" w:color="auto" w:fill="auto"/>
            <w:noWrap/>
            <w:vAlign w:val="center"/>
            <w:hideMark/>
          </w:tcPr>
          <w:p w14:paraId="69FC6728" w14:textId="77777777" w:rsidR="00661352" w:rsidRPr="00B123B8" w:rsidRDefault="00661352" w:rsidP="00282AF6">
            <w:pPr>
              <w:ind w:right="144"/>
              <w:jc w:val="right"/>
              <w:rPr>
                <w:kern w:val="22"/>
                <w:szCs w:val="22"/>
                <w:lang w:val="fr-CA" w:eastAsia="en-CA"/>
              </w:rPr>
            </w:pPr>
            <w:r w:rsidRPr="00B123B8">
              <w:rPr>
                <w:kern w:val="22"/>
                <w:szCs w:val="22"/>
                <w:lang w:val="fr-CA" w:eastAsia="en-CA"/>
              </w:rPr>
              <w:t>1 262</w:t>
            </w:r>
          </w:p>
        </w:tc>
      </w:tr>
      <w:tr w:rsidR="00661352" w:rsidRPr="00B123B8" w14:paraId="0509DF10" w14:textId="77777777" w:rsidTr="00661352">
        <w:trPr>
          <w:trHeight w:val="260"/>
          <w:jc w:val="center"/>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269455AB" w14:textId="4F1CB8E1" w:rsidR="00661352" w:rsidRPr="00B123B8" w:rsidRDefault="00C95673" w:rsidP="00120F79">
            <w:pPr>
              <w:jc w:val="right"/>
              <w:rPr>
                <w:kern w:val="22"/>
                <w:szCs w:val="22"/>
                <w:lang w:val="fr-CA" w:eastAsia="en-CA"/>
              </w:rPr>
            </w:pPr>
            <w:r>
              <w:rPr>
                <w:kern w:val="22"/>
                <w:szCs w:val="22"/>
                <w:lang w:val="fr-CA" w:eastAsia="en-CA"/>
              </w:rPr>
              <w:t>131</w:t>
            </w:r>
          </w:p>
        </w:tc>
        <w:tc>
          <w:tcPr>
            <w:tcW w:w="3885" w:type="dxa"/>
            <w:gridSpan w:val="2"/>
            <w:tcBorders>
              <w:top w:val="nil"/>
              <w:left w:val="nil"/>
              <w:bottom w:val="single" w:sz="4" w:space="0" w:color="auto"/>
              <w:right w:val="single" w:sz="4" w:space="0" w:color="auto"/>
            </w:tcBorders>
            <w:shd w:val="clear" w:color="auto" w:fill="auto"/>
            <w:vAlign w:val="center"/>
            <w:hideMark/>
          </w:tcPr>
          <w:p w14:paraId="23A73858" w14:textId="77777777" w:rsidR="00661352" w:rsidRPr="00B123B8" w:rsidRDefault="00661352" w:rsidP="00120F79">
            <w:pPr>
              <w:jc w:val="left"/>
              <w:rPr>
                <w:kern w:val="22"/>
                <w:szCs w:val="22"/>
                <w:lang w:val="fr-CA" w:eastAsia="en-CA"/>
              </w:rPr>
            </w:pPr>
            <w:r>
              <w:rPr>
                <w:kern w:val="22"/>
                <w:szCs w:val="22"/>
                <w:lang w:val="fr-CA" w:eastAsia="en-CA"/>
              </w:rPr>
              <w:t>Ouzbé</w:t>
            </w:r>
            <w:r w:rsidRPr="00B123B8">
              <w:rPr>
                <w:kern w:val="22"/>
                <w:szCs w:val="22"/>
                <w:lang w:val="fr-CA" w:eastAsia="en-CA"/>
              </w:rPr>
              <w:t>kistan</w:t>
            </w:r>
          </w:p>
        </w:tc>
        <w:tc>
          <w:tcPr>
            <w:tcW w:w="1440" w:type="dxa"/>
            <w:tcBorders>
              <w:top w:val="nil"/>
              <w:left w:val="nil"/>
              <w:bottom w:val="single" w:sz="4" w:space="0" w:color="auto"/>
              <w:right w:val="single" w:sz="4" w:space="0" w:color="auto"/>
            </w:tcBorders>
            <w:shd w:val="clear" w:color="auto" w:fill="auto"/>
            <w:vAlign w:val="center"/>
            <w:hideMark/>
          </w:tcPr>
          <w:p w14:paraId="61295CC9" w14:textId="77777777" w:rsidR="00661352" w:rsidRPr="00B123B8" w:rsidRDefault="00661352" w:rsidP="00282AF6">
            <w:pPr>
              <w:ind w:right="144"/>
              <w:jc w:val="right"/>
              <w:rPr>
                <w:kern w:val="22"/>
                <w:szCs w:val="22"/>
                <w:lang w:val="fr-CA" w:eastAsia="en-CA"/>
              </w:rPr>
            </w:pPr>
            <w:r w:rsidRPr="00B123B8">
              <w:rPr>
                <w:kern w:val="22"/>
                <w:szCs w:val="22"/>
                <w:lang w:val="fr-CA" w:eastAsia="en-CA"/>
              </w:rPr>
              <w:t>0</w:t>
            </w:r>
            <w:r>
              <w:rPr>
                <w:kern w:val="22"/>
                <w:szCs w:val="22"/>
                <w:lang w:val="fr-CA" w:eastAsia="en-CA"/>
              </w:rPr>
              <w:t>,</w:t>
            </w:r>
            <w:r w:rsidRPr="00B123B8">
              <w:rPr>
                <w:kern w:val="22"/>
                <w:szCs w:val="22"/>
                <w:lang w:val="fr-CA" w:eastAsia="en-CA"/>
              </w:rPr>
              <w:t>032</w:t>
            </w:r>
          </w:p>
        </w:tc>
        <w:tc>
          <w:tcPr>
            <w:tcW w:w="1620" w:type="dxa"/>
            <w:tcBorders>
              <w:top w:val="nil"/>
              <w:left w:val="nil"/>
              <w:bottom w:val="single" w:sz="4" w:space="0" w:color="auto"/>
              <w:right w:val="single" w:sz="4" w:space="0" w:color="auto"/>
            </w:tcBorders>
            <w:shd w:val="clear" w:color="auto" w:fill="auto"/>
            <w:noWrap/>
            <w:vAlign w:val="center"/>
            <w:hideMark/>
          </w:tcPr>
          <w:p w14:paraId="0AD97C8A" w14:textId="77777777" w:rsidR="00661352" w:rsidRPr="00B123B8" w:rsidRDefault="00661352" w:rsidP="00282AF6">
            <w:pPr>
              <w:ind w:right="144"/>
              <w:jc w:val="right"/>
              <w:rPr>
                <w:kern w:val="22"/>
                <w:szCs w:val="22"/>
                <w:lang w:val="fr-CA" w:eastAsia="en-CA"/>
              </w:rPr>
            </w:pPr>
            <w:r w:rsidRPr="00B123B8">
              <w:rPr>
                <w:kern w:val="22"/>
                <w:szCs w:val="22"/>
                <w:lang w:val="fr-CA" w:eastAsia="en-CA"/>
              </w:rPr>
              <w:t>0</w:t>
            </w:r>
            <w:r>
              <w:rPr>
                <w:kern w:val="22"/>
                <w:szCs w:val="22"/>
                <w:lang w:val="fr-CA" w:eastAsia="en-CA"/>
              </w:rPr>
              <w:t>,</w:t>
            </w:r>
            <w:r w:rsidRPr="00B123B8">
              <w:rPr>
                <w:kern w:val="22"/>
                <w:szCs w:val="22"/>
                <w:lang w:val="fr-CA" w:eastAsia="en-CA"/>
              </w:rPr>
              <w:t>040</w:t>
            </w:r>
          </w:p>
        </w:tc>
        <w:tc>
          <w:tcPr>
            <w:tcW w:w="1710" w:type="dxa"/>
            <w:tcBorders>
              <w:top w:val="nil"/>
              <w:left w:val="nil"/>
              <w:bottom w:val="single" w:sz="4" w:space="0" w:color="auto"/>
              <w:right w:val="single" w:sz="4" w:space="0" w:color="auto"/>
            </w:tcBorders>
            <w:shd w:val="clear" w:color="auto" w:fill="auto"/>
            <w:noWrap/>
            <w:vAlign w:val="center"/>
            <w:hideMark/>
          </w:tcPr>
          <w:p w14:paraId="548B74BA" w14:textId="77777777" w:rsidR="00661352" w:rsidRPr="00B123B8" w:rsidRDefault="00661352" w:rsidP="00282AF6">
            <w:pPr>
              <w:ind w:right="144"/>
              <w:jc w:val="right"/>
              <w:rPr>
                <w:kern w:val="22"/>
                <w:szCs w:val="22"/>
                <w:lang w:val="fr-CA" w:eastAsia="en-CA"/>
              </w:rPr>
            </w:pPr>
            <w:r w:rsidRPr="00B123B8">
              <w:rPr>
                <w:kern w:val="22"/>
                <w:szCs w:val="22"/>
                <w:lang w:val="fr-CA" w:eastAsia="en-CA"/>
              </w:rPr>
              <w:t>5 049</w:t>
            </w:r>
          </w:p>
        </w:tc>
      </w:tr>
      <w:tr w:rsidR="00661352" w:rsidRPr="00E02087" w14:paraId="75047AE5" w14:textId="77777777" w:rsidTr="00661352">
        <w:trPr>
          <w:trHeight w:val="260"/>
          <w:jc w:val="center"/>
        </w:trPr>
        <w:tc>
          <w:tcPr>
            <w:tcW w:w="625" w:type="dxa"/>
            <w:gridSpan w:val="2"/>
            <w:tcBorders>
              <w:top w:val="single" w:sz="4" w:space="0" w:color="auto"/>
              <w:left w:val="single" w:sz="4" w:space="0" w:color="auto"/>
              <w:bottom w:val="single" w:sz="4" w:space="0" w:color="auto"/>
              <w:right w:val="nil"/>
            </w:tcBorders>
            <w:shd w:val="clear" w:color="auto" w:fill="auto"/>
            <w:noWrap/>
            <w:vAlign w:val="center"/>
          </w:tcPr>
          <w:p w14:paraId="66BF13F8" w14:textId="7D122EC8" w:rsidR="00661352" w:rsidRPr="00E02087" w:rsidRDefault="00C95673" w:rsidP="00C70C1D">
            <w:pPr>
              <w:jc w:val="right"/>
              <w:rPr>
                <w:kern w:val="22"/>
                <w:szCs w:val="22"/>
                <w:lang w:val="fr-CA" w:eastAsia="en-CA"/>
              </w:rPr>
            </w:pPr>
            <w:r>
              <w:rPr>
                <w:kern w:val="22"/>
                <w:szCs w:val="22"/>
                <w:lang w:val="fr-CA" w:eastAsia="en-CA"/>
              </w:rPr>
              <w:t>132</w:t>
            </w:r>
          </w:p>
        </w:tc>
        <w:tc>
          <w:tcPr>
            <w:tcW w:w="3870" w:type="dxa"/>
            <w:tcBorders>
              <w:top w:val="nil"/>
              <w:left w:val="single" w:sz="4" w:space="0" w:color="auto"/>
              <w:bottom w:val="single" w:sz="4" w:space="0" w:color="auto"/>
              <w:right w:val="single" w:sz="4" w:space="0" w:color="auto"/>
            </w:tcBorders>
            <w:shd w:val="clear" w:color="auto" w:fill="auto"/>
            <w:vAlign w:val="center"/>
            <w:hideMark/>
          </w:tcPr>
          <w:p w14:paraId="4B6E02E9" w14:textId="77777777" w:rsidR="00661352" w:rsidRPr="00E02087" w:rsidRDefault="00661352" w:rsidP="00C70C1D">
            <w:pPr>
              <w:jc w:val="left"/>
              <w:rPr>
                <w:kern w:val="22"/>
                <w:szCs w:val="22"/>
                <w:lang w:val="fr-CA" w:eastAsia="en-CA"/>
              </w:rPr>
            </w:pPr>
            <w:r w:rsidRPr="00E02087">
              <w:rPr>
                <w:kern w:val="22"/>
                <w:szCs w:val="22"/>
                <w:lang w:val="fr-CA" w:eastAsia="en-CA"/>
              </w:rPr>
              <w:t>Pakistan</w:t>
            </w:r>
          </w:p>
        </w:tc>
        <w:tc>
          <w:tcPr>
            <w:tcW w:w="1440" w:type="dxa"/>
            <w:tcBorders>
              <w:top w:val="nil"/>
              <w:left w:val="nil"/>
              <w:bottom w:val="single" w:sz="4" w:space="0" w:color="auto"/>
              <w:right w:val="single" w:sz="4" w:space="0" w:color="auto"/>
            </w:tcBorders>
            <w:shd w:val="clear" w:color="auto" w:fill="auto"/>
            <w:vAlign w:val="center"/>
            <w:hideMark/>
          </w:tcPr>
          <w:p w14:paraId="56727B1C"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115</w:t>
            </w:r>
          </w:p>
        </w:tc>
        <w:tc>
          <w:tcPr>
            <w:tcW w:w="1620" w:type="dxa"/>
            <w:tcBorders>
              <w:top w:val="nil"/>
              <w:left w:val="nil"/>
              <w:bottom w:val="single" w:sz="4" w:space="0" w:color="auto"/>
              <w:right w:val="single" w:sz="4" w:space="0" w:color="auto"/>
            </w:tcBorders>
            <w:shd w:val="clear" w:color="auto" w:fill="auto"/>
            <w:noWrap/>
            <w:vAlign w:val="center"/>
            <w:hideMark/>
          </w:tcPr>
          <w:p w14:paraId="00E9D28B"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144</w:t>
            </w:r>
          </w:p>
        </w:tc>
        <w:tc>
          <w:tcPr>
            <w:tcW w:w="1710" w:type="dxa"/>
            <w:tcBorders>
              <w:top w:val="nil"/>
              <w:left w:val="nil"/>
              <w:bottom w:val="single" w:sz="4" w:space="0" w:color="auto"/>
              <w:right w:val="single" w:sz="4" w:space="0" w:color="auto"/>
            </w:tcBorders>
            <w:shd w:val="clear" w:color="auto" w:fill="auto"/>
            <w:noWrap/>
            <w:vAlign w:val="center"/>
            <w:hideMark/>
          </w:tcPr>
          <w:p w14:paraId="253ECB28" w14:textId="77777777" w:rsidR="00661352" w:rsidRPr="00E02087" w:rsidRDefault="00661352" w:rsidP="00282AF6">
            <w:pPr>
              <w:ind w:right="144"/>
              <w:jc w:val="right"/>
              <w:rPr>
                <w:kern w:val="22"/>
                <w:szCs w:val="22"/>
                <w:lang w:val="fr-CA" w:eastAsia="en-CA"/>
              </w:rPr>
            </w:pPr>
            <w:r w:rsidRPr="00E02087">
              <w:rPr>
                <w:kern w:val="22"/>
                <w:szCs w:val="22"/>
                <w:lang w:val="fr-CA" w:eastAsia="en-CA"/>
              </w:rPr>
              <w:t>18 143</w:t>
            </w:r>
          </w:p>
        </w:tc>
      </w:tr>
      <w:tr w:rsidR="00661352" w:rsidRPr="00E02087" w14:paraId="66724FA6" w14:textId="77777777" w:rsidTr="00661352">
        <w:trPr>
          <w:trHeight w:val="260"/>
          <w:jc w:val="center"/>
        </w:trPr>
        <w:tc>
          <w:tcPr>
            <w:tcW w:w="625" w:type="dxa"/>
            <w:gridSpan w:val="2"/>
            <w:tcBorders>
              <w:top w:val="single" w:sz="4" w:space="0" w:color="auto"/>
              <w:left w:val="single" w:sz="4" w:space="0" w:color="auto"/>
              <w:bottom w:val="single" w:sz="4" w:space="0" w:color="auto"/>
              <w:right w:val="nil"/>
            </w:tcBorders>
            <w:shd w:val="clear" w:color="auto" w:fill="auto"/>
            <w:noWrap/>
            <w:vAlign w:val="center"/>
          </w:tcPr>
          <w:p w14:paraId="47EBA5D4" w14:textId="496EDB58" w:rsidR="00661352" w:rsidRPr="00E02087" w:rsidRDefault="00C95673" w:rsidP="00C70C1D">
            <w:pPr>
              <w:jc w:val="right"/>
              <w:rPr>
                <w:kern w:val="22"/>
                <w:szCs w:val="22"/>
                <w:lang w:val="fr-CA" w:eastAsia="en-CA"/>
              </w:rPr>
            </w:pPr>
            <w:r>
              <w:rPr>
                <w:kern w:val="22"/>
                <w:szCs w:val="22"/>
                <w:lang w:val="fr-CA" w:eastAsia="en-CA"/>
              </w:rPr>
              <w:t>133</w:t>
            </w:r>
          </w:p>
        </w:tc>
        <w:tc>
          <w:tcPr>
            <w:tcW w:w="3870" w:type="dxa"/>
            <w:tcBorders>
              <w:top w:val="nil"/>
              <w:left w:val="single" w:sz="4" w:space="0" w:color="auto"/>
              <w:bottom w:val="single" w:sz="4" w:space="0" w:color="auto"/>
              <w:right w:val="single" w:sz="4" w:space="0" w:color="auto"/>
            </w:tcBorders>
            <w:shd w:val="clear" w:color="auto" w:fill="auto"/>
            <w:vAlign w:val="center"/>
            <w:hideMark/>
          </w:tcPr>
          <w:p w14:paraId="36459733" w14:textId="77777777" w:rsidR="00661352" w:rsidRPr="00E02087" w:rsidRDefault="00661352" w:rsidP="00C70C1D">
            <w:pPr>
              <w:jc w:val="left"/>
              <w:rPr>
                <w:kern w:val="22"/>
                <w:szCs w:val="22"/>
                <w:lang w:val="fr-CA" w:eastAsia="en-CA"/>
              </w:rPr>
            </w:pPr>
            <w:r w:rsidRPr="00E02087">
              <w:rPr>
                <w:kern w:val="22"/>
                <w:szCs w:val="22"/>
                <w:lang w:val="fr-CA" w:eastAsia="en-CA"/>
              </w:rPr>
              <w:t>Palau</w:t>
            </w:r>
          </w:p>
        </w:tc>
        <w:tc>
          <w:tcPr>
            <w:tcW w:w="1440" w:type="dxa"/>
            <w:tcBorders>
              <w:top w:val="nil"/>
              <w:left w:val="nil"/>
              <w:bottom w:val="single" w:sz="4" w:space="0" w:color="auto"/>
              <w:right w:val="single" w:sz="4" w:space="0" w:color="auto"/>
            </w:tcBorders>
            <w:shd w:val="clear" w:color="auto" w:fill="auto"/>
            <w:vAlign w:val="center"/>
            <w:hideMark/>
          </w:tcPr>
          <w:p w14:paraId="26C6498F"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001</w:t>
            </w:r>
          </w:p>
        </w:tc>
        <w:tc>
          <w:tcPr>
            <w:tcW w:w="1620" w:type="dxa"/>
            <w:tcBorders>
              <w:top w:val="nil"/>
              <w:left w:val="nil"/>
              <w:bottom w:val="single" w:sz="4" w:space="0" w:color="auto"/>
              <w:right w:val="single" w:sz="4" w:space="0" w:color="auto"/>
            </w:tcBorders>
            <w:shd w:val="clear" w:color="auto" w:fill="auto"/>
            <w:noWrap/>
            <w:vAlign w:val="center"/>
            <w:hideMark/>
          </w:tcPr>
          <w:p w14:paraId="2000B81C"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001</w:t>
            </w:r>
          </w:p>
        </w:tc>
        <w:tc>
          <w:tcPr>
            <w:tcW w:w="1710" w:type="dxa"/>
            <w:tcBorders>
              <w:top w:val="nil"/>
              <w:left w:val="nil"/>
              <w:bottom w:val="single" w:sz="4" w:space="0" w:color="auto"/>
              <w:right w:val="single" w:sz="4" w:space="0" w:color="auto"/>
            </w:tcBorders>
            <w:shd w:val="clear" w:color="auto" w:fill="auto"/>
            <w:noWrap/>
            <w:vAlign w:val="center"/>
            <w:hideMark/>
          </w:tcPr>
          <w:p w14:paraId="56A3D6BF" w14:textId="77777777" w:rsidR="00661352" w:rsidRPr="00E02087" w:rsidRDefault="00661352" w:rsidP="00282AF6">
            <w:pPr>
              <w:ind w:right="144"/>
              <w:jc w:val="right"/>
              <w:rPr>
                <w:kern w:val="22"/>
                <w:szCs w:val="22"/>
                <w:lang w:val="fr-CA" w:eastAsia="en-CA"/>
              </w:rPr>
            </w:pPr>
            <w:r w:rsidRPr="00E02087">
              <w:rPr>
                <w:kern w:val="22"/>
                <w:szCs w:val="22"/>
                <w:lang w:val="fr-CA" w:eastAsia="en-CA"/>
              </w:rPr>
              <w:t>158</w:t>
            </w:r>
          </w:p>
        </w:tc>
      </w:tr>
      <w:tr w:rsidR="00661352" w:rsidRPr="00E02087" w14:paraId="1F684AC4" w14:textId="77777777" w:rsidTr="00661352">
        <w:trPr>
          <w:trHeight w:val="260"/>
          <w:jc w:val="center"/>
        </w:trPr>
        <w:tc>
          <w:tcPr>
            <w:tcW w:w="625" w:type="dxa"/>
            <w:gridSpan w:val="2"/>
            <w:tcBorders>
              <w:top w:val="single" w:sz="4" w:space="0" w:color="auto"/>
              <w:left w:val="single" w:sz="4" w:space="0" w:color="auto"/>
              <w:bottom w:val="single" w:sz="4" w:space="0" w:color="auto"/>
              <w:right w:val="nil"/>
            </w:tcBorders>
            <w:shd w:val="clear" w:color="auto" w:fill="auto"/>
            <w:noWrap/>
            <w:vAlign w:val="center"/>
          </w:tcPr>
          <w:p w14:paraId="4A669395" w14:textId="3698E466" w:rsidR="00661352" w:rsidRPr="00E02087" w:rsidRDefault="00C95673" w:rsidP="00C70C1D">
            <w:pPr>
              <w:jc w:val="right"/>
              <w:rPr>
                <w:kern w:val="22"/>
                <w:szCs w:val="22"/>
                <w:lang w:val="fr-CA" w:eastAsia="en-CA"/>
              </w:rPr>
            </w:pPr>
            <w:r>
              <w:rPr>
                <w:kern w:val="22"/>
                <w:szCs w:val="22"/>
                <w:lang w:val="fr-CA" w:eastAsia="en-CA"/>
              </w:rPr>
              <w:t>134</w:t>
            </w:r>
          </w:p>
        </w:tc>
        <w:tc>
          <w:tcPr>
            <w:tcW w:w="3870" w:type="dxa"/>
            <w:tcBorders>
              <w:top w:val="nil"/>
              <w:left w:val="single" w:sz="4" w:space="0" w:color="auto"/>
              <w:bottom w:val="single" w:sz="4" w:space="0" w:color="auto"/>
              <w:right w:val="single" w:sz="4" w:space="0" w:color="auto"/>
            </w:tcBorders>
            <w:shd w:val="clear" w:color="auto" w:fill="auto"/>
            <w:vAlign w:val="center"/>
            <w:hideMark/>
          </w:tcPr>
          <w:p w14:paraId="5C3893C5" w14:textId="77777777" w:rsidR="00661352" w:rsidRPr="00E02087" w:rsidRDefault="00661352" w:rsidP="00C70C1D">
            <w:pPr>
              <w:jc w:val="left"/>
              <w:rPr>
                <w:kern w:val="22"/>
                <w:szCs w:val="22"/>
                <w:lang w:val="fr-CA" w:eastAsia="en-CA"/>
              </w:rPr>
            </w:pPr>
            <w:r w:rsidRPr="00E02087">
              <w:rPr>
                <w:kern w:val="22"/>
                <w:szCs w:val="22"/>
                <w:lang w:val="fr-CA" w:eastAsia="en-CA"/>
              </w:rPr>
              <w:t>Panama</w:t>
            </w:r>
          </w:p>
        </w:tc>
        <w:tc>
          <w:tcPr>
            <w:tcW w:w="1440" w:type="dxa"/>
            <w:tcBorders>
              <w:top w:val="nil"/>
              <w:left w:val="nil"/>
              <w:bottom w:val="single" w:sz="4" w:space="0" w:color="auto"/>
              <w:right w:val="single" w:sz="4" w:space="0" w:color="auto"/>
            </w:tcBorders>
            <w:shd w:val="clear" w:color="auto" w:fill="auto"/>
            <w:vAlign w:val="center"/>
            <w:hideMark/>
          </w:tcPr>
          <w:p w14:paraId="0189C1D7"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045</w:t>
            </w:r>
          </w:p>
        </w:tc>
        <w:tc>
          <w:tcPr>
            <w:tcW w:w="1620" w:type="dxa"/>
            <w:tcBorders>
              <w:top w:val="nil"/>
              <w:left w:val="nil"/>
              <w:bottom w:val="single" w:sz="4" w:space="0" w:color="auto"/>
              <w:right w:val="single" w:sz="4" w:space="0" w:color="auto"/>
            </w:tcBorders>
            <w:shd w:val="clear" w:color="auto" w:fill="auto"/>
            <w:noWrap/>
            <w:vAlign w:val="center"/>
            <w:hideMark/>
          </w:tcPr>
          <w:p w14:paraId="1CDDFD58"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056</w:t>
            </w:r>
          </w:p>
        </w:tc>
        <w:tc>
          <w:tcPr>
            <w:tcW w:w="1710" w:type="dxa"/>
            <w:tcBorders>
              <w:top w:val="nil"/>
              <w:left w:val="nil"/>
              <w:bottom w:val="single" w:sz="4" w:space="0" w:color="auto"/>
              <w:right w:val="single" w:sz="4" w:space="0" w:color="auto"/>
            </w:tcBorders>
            <w:shd w:val="clear" w:color="auto" w:fill="auto"/>
            <w:noWrap/>
            <w:vAlign w:val="center"/>
            <w:hideMark/>
          </w:tcPr>
          <w:p w14:paraId="0B4CE134" w14:textId="77777777" w:rsidR="00661352" w:rsidRPr="00E02087" w:rsidRDefault="00661352" w:rsidP="00282AF6">
            <w:pPr>
              <w:ind w:right="144"/>
              <w:jc w:val="right"/>
              <w:rPr>
                <w:kern w:val="22"/>
                <w:szCs w:val="22"/>
                <w:lang w:val="fr-CA" w:eastAsia="en-CA"/>
              </w:rPr>
            </w:pPr>
            <w:r w:rsidRPr="00E02087">
              <w:rPr>
                <w:kern w:val="22"/>
                <w:szCs w:val="22"/>
                <w:lang w:val="fr-CA" w:eastAsia="en-CA"/>
              </w:rPr>
              <w:t>7 100</w:t>
            </w:r>
          </w:p>
        </w:tc>
      </w:tr>
      <w:tr w:rsidR="00661352" w:rsidRPr="00E02087" w14:paraId="3F2DEC8C" w14:textId="77777777" w:rsidTr="00661352">
        <w:trPr>
          <w:trHeight w:val="260"/>
          <w:jc w:val="center"/>
        </w:trPr>
        <w:tc>
          <w:tcPr>
            <w:tcW w:w="625" w:type="dxa"/>
            <w:gridSpan w:val="2"/>
            <w:tcBorders>
              <w:top w:val="single" w:sz="4" w:space="0" w:color="auto"/>
              <w:left w:val="single" w:sz="4" w:space="0" w:color="auto"/>
              <w:bottom w:val="single" w:sz="4" w:space="0" w:color="auto"/>
              <w:right w:val="nil"/>
            </w:tcBorders>
            <w:shd w:val="clear" w:color="auto" w:fill="auto"/>
            <w:noWrap/>
            <w:vAlign w:val="center"/>
          </w:tcPr>
          <w:p w14:paraId="7F090C3E" w14:textId="77B95010" w:rsidR="00661352" w:rsidRPr="00E02087" w:rsidRDefault="00C95673" w:rsidP="00C70C1D">
            <w:pPr>
              <w:jc w:val="right"/>
              <w:rPr>
                <w:kern w:val="22"/>
                <w:szCs w:val="22"/>
                <w:lang w:val="fr-CA" w:eastAsia="en-CA"/>
              </w:rPr>
            </w:pPr>
            <w:r>
              <w:rPr>
                <w:kern w:val="22"/>
                <w:szCs w:val="22"/>
                <w:lang w:val="fr-CA" w:eastAsia="en-CA"/>
              </w:rPr>
              <w:t>135</w:t>
            </w:r>
          </w:p>
        </w:tc>
        <w:tc>
          <w:tcPr>
            <w:tcW w:w="3870" w:type="dxa"/>
            <w:tcBorders>
              <w:top w:val="nil"/>
              <w:left w:val="single" w:sz="4" w:space="0" w:color="auto"/>
              <w:bottom w:val="single" w:sz="4" w:space="0" w:color="auto"/>
              <w:right w:val="single" w:sz="4" w:space="0" w:color="auto"/>
            </w:tcBorders>
            <w:shd w:val="clear" w:color="auto" w:fill="auto"/>
            <w:vAlign w:val="center"/>
            <w:hideMark/>
          </w:tcPr>
          <w:p w14:paraId="19279036" w14:textId="77777777" w:rsidR="00661352" w:rsidRPr="00E02087" w:rsidRDefault="00661352" w:rsidP="00C70C1D">
            <w:pPr>
              <w:jc w:val="left"/>
              <w:rPr>
                <w:kern w:val="22"/>
                <w:szCs w:val="22"/>
                <w:lang w:val="fr-CA" w:eastAsia="en-CA"/>
              </w:rPr>
            </w:pPr>
            <w:r>
              <w:rPr>
                <w:kern w:val="22"/>
                <w:szCs w:val="22"/>
                <w:lang w:val="fr-CA" w:eastAsia="en-CA"/>
              </w:rPr>
              <w:t>Papouasie-Nouvelle-Guinée</w:t>
            </w:r>
          </w:p>
        </w:tc>
        <w:tc>
          <w:tcPr>
            <w:tcW w:w="1440" w:type="dxa"/>
            <w:tcBorders>
              <w:top w:val="nil"/>
              <w:left w:val="nil"/>
              <w:bottom w:val="single" w:sz="4" w:space="0" w:color="auto"/>
              <w:right w:val="single" w:sz="4" w:space="0" w:color="auto"/>
            </w:tcBorders>
            <w:shd w:val="clear" w:color="auto" w:fill="auto"/>
            <w:vAlign w:val="center"/>
            <w:hideMark/>
          </w:tcPr>
          <w:p w14:paraId="1DD43638"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010</w:t>
            </w:r>
          </w:p>
        </w:tc>
        <w:tc>
          <w:tcPr>
            <w:tcW w:w="1620" w:type="dxa"/>
            <w:tcBorders>
              <w:top w:val="nil"/>
              <w:left w:val="nil"/>
              <w:bottom w:val="single" w:sz="4" w:space="0" w:color="auto"/>
              <w:right w:val="single" w:sz="4" w:space="0" w:color="auto"/>
            </w:tcBorders>
            <w:shd w:val="clear" w:color="auto" w:fill="auto"/>
            <w:noWrap/>
            <w:vAlign w:val="center"/>
            <w:hideMark/>
          </w:tcPr>
          <w:p w14:paraId="7130CA92"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013</w:t>
            </w:r>
          </w:p>
        </w:tc>
        <w:tc>
          <w:tcPr>
            <w:tcW w:w="1710" w:type="dxa"/>
            <w:tcBorders>
              <w:top w:val="nil"/>
              <w:left w:val="nil"/>
              <w:bottom w:val="single" w:sz="4" w:space="0" w:color="auto"/>
              <w:right w:val="single" w:sz="4" w:space="0" w:color="auto"/>
            </w:tcBorders>
            <w:shd w:val="clear" w:color="auto" w:fill="auto"/>
            <w:noWrap/>
            <w:vAlign w:val="center"/>
            <w:hideMark/>
          </w:tcPr>
          <w:p w14:paraId="77D84722" w14:textId="77777777" w:rsidR="00661352" w:rsidRPr="00E02087" w:rsidRDefault="00661352" w:rsidP="00282AF6">
            <w:pPr>
              <w:ind w:right="144"/>
              <w:jc w:val="right"/>
              <w:rPr>
                <w:kern w:val="22"/>
                <w:szCs w:val="22"/>
                <w:lang w:val="fr-CA" w:eastAsia="en-CA"/>
              </w:rPr>
            </w:pPr>
            <w:r w:rsidRPr="00E02087">
              <w:rPr>
                <w:kern w:val="22"/>
                <w:szCs w:val="22"/>
                <w:lang w:val="fr-CA" w:eastAsia="en-CA"/>
              </w:rPr>
              <w:t>1 578</w:t>
            </w:r>
          </w:p>
        </w:tc>
      </w:tr>
      <w:tr w:rsidR="00661352" w:rsidRPr="00E02087" w14:paraId="7B17F68D" w14:textId="77777777" w:rsidTr="00661352">
        <w:trPr>
          <w:trHeight w:val="260"/>
          <w:jc w:val="center"/>
        </w:trPr>
        <w:tc>
          <w:tcPr>
            <w:tcW w:w="625" w:type="dxa"/>
            <w:gridSpan w:val="2"/>
            <w:tcBorders>
              <w:top w:val="single" w:sz="4" w:space="0" w:color="auto"/>
              <w:left w:val="single" w:sz="4" w:space="0" w:color="auto"/>
              <w:bottom w:val="single" w:sz="4" w:space="0" w:color="auto"/>
              <w:right w:val="nil"/>
            </w:tcBorders>
            <w:shd w:val="clear" w:color="auto" w:fill="auto"/>
            <w:noWrap/>
            <w:vAlign w:val="center"/>
          </w:tcPr>
          <w:p w14:paraId="5FD880D0" w14:textId="3A7B9C10" w:rsidR="00661352" w:rsidRPr="00E02087" w:rsidRDefault="00C95673" w:rsidP="00C70C1D">
            <w:pPr>
              <w:jc w:val="right"/>
              <w:rPr>
                <w:kern w:val="22"/>
                <w:szCs w:val="22"/>
                <w:lang w:val="fr-CA" w:eastAsia="en-CA"/>
              </w:rPr>
            </w:pPr>
            <w:r>
              <w:rPr>
                <w:kern w:val="22"/>
                <w:szCs w:val="22"/>
                <w:lang w:val="fr-CA" w:eastAsia="en-CA"/>
              </w:rPr>
              <w:t>136</w:t>
            </w:r>
          </w:p>
        </w:tc>
        <w:tc>
          <w:tcPr>
            <w:tcW w:w="3870" w:type="dxa"/>
            <w:tcBorders>
              <w:top w:val="nil"/>
              <w:left w:val="single" w:sz="4" w:space="0" w:color="auto"/>
              <w:bottom w:val="single" w:sz="4" w:space="0" w:color="auto"/>
              <w:right w:val="single" w:sz="4" w:space="0" w:color="auto"/>
            </w:tcBorders>
            <w:shd w:val="clear" w:color="auto" w:fill="auto"/>
            <w:vAlign w:val="center"/>
            <w:hideMark/>
          </w:tcPr>
          <w:p w14:paraId="0FD2901F" w14:textId="77777777" w:rsidR="00661352" w:rsidRPr="00E02087" w:rsidRDefault="00661352" w:rsidP="00C70C1D">
            <w:pPr>
              <w:jc w:val="left"/>
              <w:rPr>
                <w:kern w:val="22"/>
                <w:szCs w:val="22"/>
                <w:lang w:val="fr-CA" w:eastAsia="en-CA"/>
              </w:rPr>
            </w:pPr>
            <w:r w:rsidRPr="00E02087">
              <w:rPr>
                <w:kern w:val="22"/>
                <w:szCs w:val="22"/>
                <w:lang w:val="fr-CA" w:eastAsia="en-CA"/>
              </w:rPr>
              <w:t>Paraguay</w:t>
            </w:r>
          </w:p>
        </w:tc>
        <w:tc>
          <w:tcPr>
            <w:tcW w:w="1440" w:type="dxa"/>
            <w:tcBorders>
              <w:top w:val="nil"/>
              <w:left w:val="nil"/>
              <w:bottom w:val="single" w:sz="4" w:space="0" w:color="auto"/>
              <w:right w:val="single" w:sz="4" w:space="0" w:color="auto"/>
            </w:tcBorders>
            <w:shd w:val="clear" w:color="auto" w:fill="auto"/>
            <w:vAlign w:val="center"/>
            <w:hideMark/>
          </w:tcPr>
          <w:p w14:paraId="1BEF9F99"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016</w:t>
            </w:r>
          </w:p>
        </w:tc>
        <w:tc>
          <w:tcPr>
            <w:tcW w:w="1620" w:type="dxa"/>
            <w:tcBorders>
              <w:top w:val="nil"/>
              <w:left w:val="nil"/>
              <w:bottom w:val="single" w:sz="4" w:space="0" w:color="auto"/>
              <w:right w:val="single" w:sz="4" w:space="0" w:color="auto"/>
            </w:tcBorders>
            <w:shd w:val="clear" w:color="auto" w:fill="auto"/>
            <w:noWrap/>
            <w:vAlign w:val="center"/>
            <w:hideMark/>
          </w:tcPr>
          <w:p w14:paraId="52CA7C1C"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020</w:t>
            </w:r>
          </w:p>
        </w:tc>
        <w:tc>
          <w:tcPr>
            <w:tcW w:w="1710" w:type="dxa"/>
            <w:tcBorders>
              <w:top w:val="nil"/>
              <w:left w:val="nil"/>
              <w:bottom w:val="single" w:sz="4" w:space="0" w:color="auto"/>
              <w:right w:val="single" w:sz="4" w:space="0" w:color="auto"/>
            </w:tcBorders>
            <w:shd w:val="clear" w:color="auto" w:fill="auto"/>
            <w:noWrap/>
            <w:vAlign w:val="center"/>
            <w:hideMark/>
          </w:tcPr>
          <w:p w14:paraId="3D081B9C" w14:textId="77777777" w:rsidR="00661352" w:rsidRPr="00E02087" w:rsidRDefault="00661352" w:rsidP="00282AF6">
            <w:pPr>
              <w:ind w:right="144"/>
              <w:jc w:val="right"/>
              <w:rPr>
                <w:kern w:val="22"/>
                <w:szCs w:val="22"/>
                <w:lang w:val="fr-CA" w:eastAsia="en-CA"/>
              </w:rPr>
            </w:pPr>
            <w:r w:rsidRPr="00E02087">
              <w:rPr>
                <w:kern w:val="22"/>
                <w:szCs w:val="22"/>
                <w:lang w:val="fr-CA" w:eastAsia="en-CA"/>
              </w:rPr>
              <w:t>2 524</w:t>
            </w:r>
          </w:p>
        </w:tc>
      </w:tr>
      <w:tr w:rsidR="00661352" w:rsidRPr="00E02087" w14:paraId="71145654" w14:textId="77777777" w:rsidTr="00661352">
        <w:trPr>
          <w:trHeight w:val="260"/>
          <w:jc w:val="center"/>
        </w:trPr>
        <w:tc>
          <w:tcPr>
            <w:tcW w:w="625" w:type="dxa"/>
            <w:gridSpan w:val="2"/>
            <w:tcBorders>
              <w:top w:val="single" w:sz="4" w:space="0" w:color="auto"/>
              <w:left w:val="single" w:sz="4" w:space="0" w:color="auto"/>
              <w:bottom w:val="single" w:sz="4" w:space="0" w:color="auto"/>
              <w:right w:val="nil"/>
            </w:tcBorders>
            <w:shd w:val="clear" w:color="auto" w:fill="auto"/>
            <w:noWrap/>
            <w:vAlign w:val="center"/>
            <w:hideMark/>
          </w:tcPr>
          <w:p w14:paraId="615A78FB" w14:textId="450F4E28" w:rsidR="00661352" w:rsidRPr="00E02087" w:rsidRDefault="00C95673" w:rsidP="00120F79">
            <w:pPr>
              <w:jc w:val="right"/>
              <w:rPr>
                <w:kern w:val="22"/>
                <w:szCs w:val="22"/>
                <w:lang w:val="fr-CA" w:eastAsia="en-CA"/>
              </w:rPr>
            </w:pPr>
            <w:r>
              <w:rPr>
                <w:kern w:val="22"/>
                <w:szCs w:val="22"/>
                <w:lang w:val="fr-CA" w:eastAsia="en-CA"/>
              </w:rPr>
              <w:t>137</w:t>
            </w:r>
          </w:p>
        </w:tc>
        <w:tc>
          <w:tcPr>
            <w:tcW w:w="3870" w:type="dxa"/>
            <w:tcBorders>
              <w:top w:val="nil"/>
              <w:left w:val="single" w:sz="4" w:space="0" w:color="auto"/>
              <w:bottom w:val="single" w:sz="4" w:space="0" w:color="auto"/>
              <w:right w:val="single" w:sz="4" w:space="0" w:color="auto"/>
            </w:tcBorders>
            <w:shd w:val="clear" w:color="auto" w:fill="auto"/>
            <w:vAlign w:val="center"/>
            <w:hideMark/>
          </w:tcPr>
          <w:p w14:paraId="66E01577" w14:textId="77777777" w:rsidR="00661352" w:rsidRPr="00E02087" w:rsidRDefault="00661352" w:rsidP="00120F79">
            <w:pPr>
              <w:jc w:val="left"/>
              <w:rPr>
                <w:kern w:val="22"/>
                <w:szCs w:val="22"/>
                <w:lang w:val="fr-CA" w:eastAsia="en-CA"/>
              </w:rPr>
            </w:pPr>
            <w:r>
              <w:rPr>
                <w:kern w:val="22"/>
                <w:szCs w:val="22"/>
                <w:lang w:val="fr-CA" w:eastAsia="en-CA"/>
              </w:rPr>
              <w:t>Pays-Bas</w:t>
            </w:r>
          </w:p>
        </w:tc>
        <w:tc>
          <w:tcPr>
            <w:tcW w:w="1440" w:type="dxa"/>
            <w:tcBorders>
              <w:top w:val="nil"/>
              <w:left w:val="nil"/>
              <w:bottom w:val="single" w:sz="4" w:space="0" w:color="auto"/>
              <w:right w:val="single" w:sz="4" w:space="0" w:color="auto"/>
            </w:tcBorders>
            <w:shd w:val="clear" w:color="auto" w:fill="auto"/>
            <w:vAlign w:val="center"/>
            <w:hideMark/>
          </w:tcPr>
          <w:p w14:paraId="3DA45FBB" w14:textId="77777777" w:rsidR="00661352" w:rsidRPr="00E02087" w:rsidRDefault="00661352" w:rsidP="00282AF6">
            <w:pPr>
              <w:ind w:right="144"/>
              <w:jc w:val="right"/>
              <w:rPr>
                <w:kern w:val="22"/>
                <w:szCs w:val="22"/>
                <w:lang w:val="fr-CA" w:eastAsia="en-CA"/>
              </w:rPr>
            </w:pPr>
            <w:r w:rsidRPr="00E02087">
              <w:rPr>
                <w:kern w:val="22"/>
                <w:szCs w:val="22"/>
                <w:lang w:val="fr-CA" w:eastAsia="en-CA"/>
              </w:rPr>
              <w:t>1</w:t>
            </w:r>
            <w:r>
              <w:rPr>
                <w:kern w:val="22"/>
                <w:szCs w:val="22"/>
                <w:lang w:val="fr-CA" w:eastAsia="en-CA"/>
              </w:rPr>
              <w:t>,</w:t>
            </w:r>
            <w:r w:rsidRPr="00E02087">
              <w:rPr>
                <w:kern w:val="22"/>
                <w:szCs w:val="22"/>
                <w:lang w:val="fr-CA" w:eastAsia="en-CA"/>
              </w:rPr>
              <w:t>356</w:t>
            </w:r>
          </w:p>
        </w:tc>
        <w:tc>
          <w:tcPr>
            <w:tcW w:w="1620" w:type="dxa"/>
            <w:tcBorders>
              <w:top w:val="nil"/>
              <w:left w:val="nil"/>
              <w:bottom w:val="single" w:sz="4" w:space="0" w:color="auto"/>
              <w:right w:val="single" w:sz="4" w:space="0" w:color="auto"/>
            </w:tcBorders>
            <w:shd w:val="clear" w:color="auto" w:fill="auto"/>
            <w:noWrap/>
            <w:vAlign w:val="center"/>
            <w:hideMark/>
          </w:tcPr>
          <w:p w14:paraId="65F9592E" w14:textId="77777777" w:rsidR="00661352" w:rsidRPr="00E02087" w:rsidRDefault="00661352" w:rsidP="00282AF6">
            <w:pPr>
              <w:ind w:right="144"/>
              <w:jc w:val="right"/>
              <w:rPr>
                <w:kern w:val="22"/>
                <w:szCs w:val="22"/>
                <w:lang w:val="fr-CA" w:eastAsia="en-CA"/>
              </w:rPr>
            </w:pPr>
            <w:r w:rsidRPr="00E02087">
              <w:rPr>
                <w:kern w:val="22"/>
                <w:szCs w:val="22"/>
                <w:lang w:val="fr-CA" w:eastAsia="en-CA"/>
              </w:rPr>
              <w:t>1</w:t>
            </w:r>
            <w:r>
              <w:rPr>
                <w:kern w:val="22"/>
                <w:szCs w:val="22"/>
                <w:lang w:val="fr-CA" w:eastAsia="en-CA"/>
              </w:rPr>
              <w:t>,</w:t>
            </w:r>
            <w:r w:rsidRPr="00E02087">
              <w:rPr>
                <w:kern w:val="22"/>
                <w:szCs w:val="22"/>
                <w:lang w:val="fr-CA" w:eastAsia="en-CA"/>
              </w:rPr>
              <w:t>695</w:t>
            </w:r>
          </w:p>
        </w:tc>
        <w:tc>
          <w:tcPr>
            <w:tcW w:w="1710" w:type="dxa"/>
            <w:tcBorders>
              <w:top w:val="nil"/>
              <w:left w:val="nil"/>
              <w:bottom w:val="single" w:sz="4" w:space="0" w:color="auto"/>
              <w:right w:val="single" w:sz="4" w:space="0" w:color="auto"/>
            </w:tcBorders>
            <w:shd w:val="clear" w:color="auto" w:fill="auto"/>
            <w:noWrap/>
            <w:vAlign w:val="center"/>
            <w:hideMark/>
          </w:tcPr>
          <w:p w14:paraId="29DF2828" w14:textId="77777777" w:rsidR="00661352" w:rsidRPr="00E02087" w:rsidRDefault="00661352" w:rsidP="00282AF6">
            <w:pPr>
              <w:ind w:right="144"/>
              <w:jc w:val="right"/>
              <w:rPr>
                <w:kern w:val="22"/>
                <w:szCs w:val="22"/>
                <w:lang w:val="fr-CA" w:eastAsia="en-CA"/>
              </w:rPr>
            </w:pPr>
            <w:r w:rsidRPr="00E02087">
              <w:rPr>
                <w:kern w:val="22"/>
                <w:szCs w:val="22"/>
                <w:lang w:val="fr-CA" w:eastAsia="en-CA"/>
              </w:rPr>
              <w:t>213 934</w:t>
            </w:r>
          </w:p>
        </w:tc>
      </w:tr>
      <w:tr w:rsidR="00661352" w:rsidRPr="00E02087" w14:paraId="1D9C0CD4" w14:textId="77777777" w:rsidTr="00661352">
        <w:trPr>
          <w:trHeight w:val="260"/>
          <w:jc w:val="center"/>
        </w:trPr>
        <w:tc>
          <w:tcPr>
            <w:tcW w:w="625" w:type="dxa"/>
            <w:gridSpan w:val="2"/>
            <w:tcBorders>
              <w:top w:val="single" w:sz="4" w:space="0" w:color="auto"/>
              <w:left w:val="single" w:sz="4" w:space="0" w:color="auto"/>
              <w:bottom w:val="single" w:sz="4" w:space="0" w:color="auto"/>
              <w:right w:val="nil"/>
            </w:tcBorders>
            <w:shd w:val="clear" w:color="auto" w:fill="auto"/>
            <w:noWrap/>
            <w:vAlign w:val="center"/>
          </w:tcPr>
          <w:p w14:paraId="3440BF84" w14:textId="77777777" w:rsidR="00661352" w:rsidRPr="00E02087" w:rsidRDefault="00661352" w:rsidP="00C70C1D">
            <w:pPr>
              <w:jc w:val="right"/>
              <w:rPr>
                <w:kern w:val="22"/>
                <w:szCs w:val="22"/>
                <w:lang w:val="fr-CA" w:eastAsia="en-CA"/>
              </w:rPr>
            </w:pPr>
            <w:r w:rsidRPr="00E02087">
              <w:rPr>
                <w:kern w:val="22"/>
                <w:szCs w:val="22"/>
                <w:lang w:val="fr-CA" w:eastAsia="en-CA"/>
              </w:rPr>
              <w:t>138</w:t>
            </w:r>
          </w:p>
        </w:tc>
        <w:tc>
          <w:tcPr>
            <w:tcW w:w="3870" w:type="dxa"/>
            <w:tcBorders>
              <w:top w:val="nil"/>
              <w:left w:val="single" w:sz="4" w:space="0" w:color="auto"/>
              <w:bottom w:val="single" w:sz="4" w:space="0" w:color="auto"/>
              <w:right w:val="single" w:sz="4" w:space="0" w:color="auto"/>
            </w:tcBorders>
            <w:shd w:val="clear" w:color="auto" w:fill="auto"/>
            <w:vAlign w:val="center"/>
            <w:hideMark/>
          </w:tcPr>
          <w:p w14:paraId="32FFED1E" w14:textId="77777777" w:rsidR="00661352" w:rsidRPr="00E02087" w:rsidRDefault="00661352" w:rsidP="00C70C1D">
            <w:pPr>
              <w:jc w:val="left"/>
              <w:rPr>
                <w:kern w:val="22"/>
                <w:szCs w:val="22"/>
                <w:lang w:val="fr-CA" w:eastAsia="en-CA"/>
              </w:rPr>
            </w:pPr>
            <w:r>
              <w:rPr>
                <w:kern w:val="22"/>
                <w:szCs w:val="22"/>
                <w:lang w:val="fr-CA" w:eastAsia="en-CA"/>
              </w:rPr>
              <w:t>Pérou</w:t>
            </w:r>
          </w:p>
        </w:tc>
        <w:tc>
          <w:tcPr>
            <w:tcW w:w="1440" w:type="dxa"/>
            <w:tcBorders>
              <w:top w:val="nil"/>
              <w:left w:val="nil"/>
              <w:bottom w:val="single" w:sz="4" w:space="0" w:color="auto"/>
              <w:right w:val="single" w:sz="4" w:space="0" w:color="auto"/>
            </w:tcBorders>
            <w:shd w:val="clear" w:color="auto" w:fill="auto"/>
            <w:vAlign w:val="center"/>
            <w:hideMark/>
          </w:tcPr>
          <w:p w14:paraId="1F385A4A"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152</w:t>
            </w:r>
          </w:p>
        </w:tc>
        <w:tc>
          <w:tcPr>
            <w:tcW w:w="1620" w:type="dxa"/>
            <w:tcBorders>
              <w:top w:val="nil"/>
              <w:left w:val="nil"/>
              <w:bottom w:val="single" w:sz="4" w:space="0" w:color="auto"/>
              <w:right w:val="single" w:sz="4" w:space="0" w:color="auto"/>
            </w:tcBorders>
            <w:shd w:val="clear" w:color="auto" w:fill="auto"/>
            <w:noWrap/>
            <w:vAlign w:val="center"/>
            <w:hideMark/>
          </w:tcPr>
          <w:p w14:paraId="4FEC79CF"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190</w:t>
            </w:r>
          </w:p>
        </w:tc>
        <w:tc>
          <w:tcPr>
            <w:tcW w:w="1710" w:type="dxa"/>
            <w:tcBorders>
              <w:top w:val="nil"/>
              <w:left w:val="nil"/>
              <w:bottom w:val="single" w:sz="4" w:space="0" w:color="auto"/>
              <w:right w:val="single" w:sz="4" w:space="0" w:color="auto"/>
            </w:tcBorders>
            <w:shd w:val="clear" w:color="auto" w:fill="auto"/>
            <w:noWrap/>
            <w:vAlign w:val="center"/>
            <w:hideMark/>
          </w:tcPr>
          <w:p w14:paraId="3E09EB7E" w14:textId="77777777" w:rsidR="00661352" w:rsidRPr="00E02087" w:rsidRDefault="00661352" w:rsidP="00282AF6">
            <w:pPr>
              <w:ind w:right="144"/>
              <w:jc w:val="right"/>
              <w:rPr>
                <w:kern w:val="22"/>
                <w:szCs w:val="22"/>
                <w:lang w:val="fr-CA" w:eastAsia="en-CA"/>
              </w:rPr>
            </w:pPr>
            <w:r w:rsidRPr="00E02087">
              <w:rPr>
                <w:kern w:val="22"/>
                <w:szCs w:val="22"/>
                <w:lang w:val="fr-CA" w:eastAsia="en-CA"/>
              </w:rPr>
              <w:t>23 981</w:t>
            </w:r>
          </w:p>
        </w:tc>
      </w:tr>
      <w:tr w:rsidR="00661352" w:rsidRPr="00E02087" w14:paraId="5E581528" w14:textId="77777777" w:rsidTr="00661352">
        <w:trPr>
          <w:trHeight w:val="260"/>
          <w:jc w:val="center"/>
        </w:trPr>
        <w:tc>
          <w:tcPr>
            <w:tcW w:w="625" w:type="dxa"/>
            <w:gridSpan w:val="2"/>
            <w:tcBorders>
              <w:top w:val="single" w:sz="4" w:space="0" w:color="auto"/>
              <w:left w:val="single" w:sz="4" w:space="0" w:color="auto"/>
              <w:bottom w:val="single" w:sz="4" w:space="0" w:color="auto"/>
              <w:right w:val="nil"/>
            </w:tcBorders>
            <w:shd w:val="clear" w:color="auto" w:fill="auto"/>
            <w:noWrap/>
            <w:vAlign w:val="center"/>
          </w:tcPr>
          <w:p w14:paraId="06A4E282" w14:textId="77777777" w:rsidR="00661352" w:rsidRPr="00E02087" w:rsidRDefault="00661352" w:rsidP="00C70C1D">
            <w:pPr>
              <w:jc w:val="right"/>
              <w:rPr>
                <w:kern w:val="22"/>
                <w:szCs w:val="22"/>
                <w:lang w:val="fr-CA" w:eastAsia="en-CA"/>
              </w:rPr>
            </w:pPr>
            <w:r w:rsidRPr="00E02087">
              <w:rPr>
                <w:kern w:val="22"/>
                <w:szCs w:val="22"/>
                <w:lang w:val="fr-CA" w:eastAsia="en-CA"/>
              </w:rPr>
              <w:t>139</w:t>
            </w:r>
          </w:p>
        </w:tc>
        <w:tc>
          <w:tcPr>
            <w:tcW w:w="3870" w:type="dxa"/>
            <w:tcBorders>
              <w:top w:val="nil"/>
              <w:left w:val="single" w:sz="4" w:space="0" w:color="auto"/>
              <w:bottom w:val="single" w:sz="4" w:space="0" w:color="auto"/>
              <w:right w:val="single" w:sz="4" w:space="0" w:color="auto"/>
            </w:tcBorders>
            <w:shd w:val="clear" w:color="auto" w:fill="auto"/>
            <w:vAlign w:val="center"/>
            <w:hideMark/>
          </w:tcPr>
          <w:p w14:paraId="7E923F42" w14:textId="77777777" w:rsidR="00661352" w:rsidRPr="00E02087" w:rsidRDefault="00661352" w:rsidP="00C70C1D">
            <w:pPr>
              <w:jc w:val="left"/>
              <w:rPr>
                <w:kern w:val="22"/>
                <w:szCs w:val="22"/>
                <w:lang w:val="fr-CA" w:eastAsia="en-CA"/>
              </w:rPr>
            </w:pPr>
            <w:r w:rsidRPr="00E02087">
              <w:rPr>
                <w:kern w:val="22"/>
                <w:szCs w:val="22"/>
                <w:lang w:val="fr-CA" w:eastAsia="en-CA"/>
              </w:rPr>
              <w:t>Philippines</w:t>
            </w:r>
          </w:p>
        </w:tc>
        <w:tc>
          <w:tcPr>
            <w:tcW w:w="1440" w:type="dxa"/>
            <w:tcBorders>
              <w:top w:val="nil"/>
              <w:left w:val="nil"/>
              <w:bottom w:val="single" w:sz="4" w:space="0" w:color="auto"/>
              <w:right w:val="single" w:sz="4" w:space="0" w:color="auto"/>
            </w:tcBorders>
            <w:shd w:val="clear" w:color="auto" w:fill="auto"/>
            <w:vAlign w:val="center"/>
            <w:hideMark/>
          </w:tcPr>
          <w:p w14:paraId="4B91C35B"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205</w:t>
            </w:r>
          </w:p>
        </w:tc>
        <w:tc>
          <w:tcPr>
            <w:tcW w:w="1620" w:type="dxa"/>
            <w:tcBorders>
              <w:top w:val="nil"/>
              <w:left w:val="nil"/>
              <w:bottom w:val="single" w:sz="4" w:space="0" w:color="auto"/>
              <w:right w:val="single" w:sz="4" w:space="0" w:color="auto"/>
            </w:tcBorders>
            <w:shd w:val="clear" w:color="auto" w:fill="auto"/>
            <w:noWrap/>
            <w:vAlign w:val="center"/>
            <w:hideMark/>
          </w:tcPr>
          <w:p w14:paraId="320067FB"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256</w:t>
            </w:r>
          </w:p>
        </w:tc>
        <w:tc>
          <w:tcPr>
            <w:tcW w:w="1710" w:type="dxa"/>
            <w:tcBorders>
              <w:top w:val="nil"/>
              <w:left w:val="nil"/>
              <w:bottom w:val="single" w:sz="4" w:space="0" w:color="auto"/>
              <w:right w:val="single" w:sz="4" w:space="0" w:color="auto"/>
            </w:tcBorders>
            <w:shd w:val="clear" w:color="auto" w:fill="auto"/>
            <w:noWrap/>
            <w:vAlign w:val="center"/>
            <w:hideMark/>
          </w:tcPr>
          <w:p w14:paraId="54A1CD91" w14:textId="77777777" w:rsidR="00661352" w:rsidRPr="00E02087" w:rsidRDefault="00661352" w:rsidP="00282AF6">
            <w:pPr>
              <w:ind w:right="144"/>
              <w:jc w:val="right"/>
              <w:rPr>
                <w:kern w:val="22"/>
                <w:szCs w:val="22"/>
                <w:lang w:val="fr-CA" w:eastAsia="en-CA"/>
              </w:rPr>
            </w:pPr>
            <w:r w:rsidRPr="00E02087">
              <w:rPr>
                <w:kern w:val="22"/>
                <w:szCs w:val="22"/>
                <w:lang w:val="fr-CA" w:eastAsia="en-CA"/>
              </w:rPr>
              <w:t>32 342</w:t>
            </w:r>
          </w:p>
        </w:tc>
      </w:tr>
      <w:tr w:rsidR="00661352" w:rsidRPr="00E02087" w14:paraId="308C7A18" w14:textId="77777777" w:rsidTr="00661352">
        <w:trPr>
          <w:trHeight w:val="260"/>
          <w:jc w:val="center"/>
        </w:trPr>
        <w:tc>
          <w:tcPr>
            <w:tcW w:w="625" w:type="dxa"/>
            <w:gridSpan w:val="2"/>
            <w:tcBorders>
              <w:top w:val="single" w:sz="4" w:space="0" w:color="auto"/>
              <w:left w:val="single" w:sz="4" w:space="0" w:color="auto"/>
              <w:bottom w:val="single" w:sz="4" w:space="0" w:color="auto"/>
              <w:right w:val="nil"/>
            </w:tcBorders>
            <w:shd w:val="clear" w:color="auto" w:fill="auto"/>
            <w:noWrap/>
            <w:vAlign w:val="center"/>
          </w:tcPr>
          <w:p w14:paraId="7430856E" w14:textId="77777777" w:rsidR="00661352" w:rsidRPr="00E02087" w:rsidRDefault="00661352" w:rsidP="00C70C1D">
            <w:pPr>
              <w:jc w:val="right"/>
              <w:rPr>
                <w:kern w:val="22"/>
                <w:szCs w:val="22"/>
                <w:lang w:val="fr-CA" w:eastAsia="en-CA"/>
              </w:rPr>
            </w:pPr>
            <w:r w:rsidRPr="00E02087">
              <w:rPr>
                <w:kern w:val="22"/>
                <w:szCs w:val="22"/>
                <w:lang w:val="fr-CA" w:eastAsia="en-CA"/>
              </w:rPr>
              <w:t>140</w:t>
            </w:r>
          </w:p>
        </w:tc>
        <w:tc>
          <w:tcPr>
            <w:tcW w:w="3870" w:type="dxa"/>
            <w:tcBorders>
              <w:top w:val="nil"/>
              <w:left w:val="single" w:sz="4" w:space="0" w:color="auto"/>
              <w:bottom w:val="single" w:sz="4" w:space="0" w:color="auto"/>
              <w:right w:val="single" w:sz="4" w:space="0" w:color="auto"/>
            </w:tcBorders>
            <w:shd w:val="clear" w:color="auto" w:fill="auto"/>
            <w:vAlign w:val="center"/>
            <w:hideMark/>
          </w:tcPr>
          <w:p w14:paraId="047BCE5E" w14:textId="77777777" w:rsidR="00661352" w:rsidRPr="00E02087" w:rsidRDefault="00661352" w:rsidP="00C70C1D">
            <w:pPr>
              <w:jc w:val="left"/>
              <w:rPr>
                <w:kern w:val="22"/>
                <w:szCs w:val="22"/>
                <w:lang w:val="fr-CA" w:eastAsia="en-CA"/>
              </w:rPr>
            </w:pPr>
            <w:r>
              <w:rPr>
                <w:kern w:val="22"/>
                <w:szCs w:val="22"/>
                <w:lang w:val="fr-CA" w:eastAsia="en-CA"/>
              </w:rPr>
              <w:t>Pologne</w:t>
            </w:r>
          </w:p>
        </w:tc>
        <w:tc>
          <w:tcPr>
            <w:tcW w:w="1440" w:type="dxa"/>
            <w:tcBorders>
              <w:top w:val="nil"/>
              <w:left w:val="nil"/>
              <w:bottom w:val="single" w:sz="4" w:space="0" w:color="auto"/>
              <w:right w:val="single" w:sz="4" w:space="0" w:color="auto"/>
            </w:tcBorders>
            <w:shd w:val="clear" w:color="auto" w:fill="auto"/>
            <w:vAlign w:val="center"/>
            <w:hideMark/>
          </w:tcPr>
          <w:p w14:paraId="1CA893F0"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802</w:t>
            </w:r>
          </w:p>
        </w:tc>
        <w:tc>
          <w:tcPr>
            <w:tcW w:w="1620" w:type="dxa"/>
            <w:tcBorders>
              <w:top w:val="nil"/>
              <w:left w:val="nil"/>
              <w:bottom w:val="single" w:sz="4" w:space="0" w:color="auto"/>
              <w:right w:val="single" w:sz="4" w:space="0" w:color="auto"/>
            </w:tcBorders>
            <w:shd w:val="clear" w:color="auto" w:fill="auto"/>
            <w:noWrap/>
            <w:vAlign w:val="center"/>
            <w:hideMark/>
          </w:tcPr>
          <w:p w14:paraId="0A4022FA" w14:textId="77777777" w:rsidR="00661352" w:rsidRPr="00E02087" w:rsidRDefault="00661352" w:rsidP="00282AF6">
            <w:pPr>
              <w:ind w:right="144"/>
              <w:jc w:val="right"/>
              <w:rPr>
                <w:kern w:val="22"/>
                <w:szCs w:val="22"/>
                <w:lang w:val="fr-CA" w:eastAsia="en-CA"/>
              </w:rPr>
            </w:pPr>
            <w:r w:rsidRPr="00E02087">
              <w:rPr>
                <w:kern w:val="22"/>
                <w:szCs w:val="22"/>
                <w:lang w:val="fr-CA" w:eastAsia="en-CA"/>
              </w:rPr>
              <w:t>1</w:t>
            </w:r>
            <w:r>
              <w:rPr>
                <w:kern w:val="22"/>
                <w:szCs w:val="22"/>
                <w:lang w:val="fr-CA" w:eastAsia="en-CA"/>
              </w:rPr>
              <w:t>,</w:t>
            </w:r>
            <w:r w:rsidRPr="00E02087">
              <w:rPr>
                <w:kern w:val="22"/>
                <w:szCs w:val="22"/>
                <w:lang w:val="fr-CA" w:eastAsia="en-CA"/>
              </w:rPr>
              <w:t>003</w:t>
            </w:r>
          </w:p>
        </w:tc>
        <w:tc>
          <w:tcPr>
            <w:tcW w:w="1710" w:type="dxa"/>
            <w:tcBorders>
              <w:top w:val="nil"/>
              <w:left w:val="nil"/>
              <w:bottom w:val="single" w:sz="4" w:space="0" w:color="auto"/>
              <w:right w:val="single" w:sz="4" w:space="0" w:color="auto"/>
            </w:tcBorders>
            <w:shd w:val="clear" w:color="auto" w:fill="auto"/>
            <w:noWrap/>
            <w:vAlign w:val="center"/>
            <w:hideMark/>
          </w:tcPr>
          <w:p w14:paraId="598A7A8E" w14:textId="77777777" w:rsidR="00661352" w:rsidRPr="00E02087" w:rsidRDefault="00661352" w:rsidP="00282AF6">
            <w:pPr>
              <w:ind w:right="144"/>
              <w:jc w:val="right"/>
              <w:rPr>
                <w:kern w:val="22"/>
                <w:szCs w:val="22"/>
                <w:lang w:val="fr-CA" w:eastAsia="en-CA"/>
              </w:rPr>
            </w:pPr>
            <w:r w:rsidRPr="00E02087">
              <w:rPr>
                <w:kern w:val="22"/>
                <w:szCs w:val="22"/>
                <w:lang w:val="fr-CA" w:eastAsia="en-CA"/>
              </w:rPr>
              <w:t>126 530</w:t>
            </w:r>
          </w:p>
        </w:tc>
      </w:tr>
      <w:tr w:rsidR="00661352" w:rsidRPr="00E02087" w14:paraId="252AABB7" w14:textId="77777777" w:rsidTr="00661352">
        <w:trPr>
          <w:trHeight w:val="260"/>
          <w:jc w:val="center"/>
        </w:trPr>
        <w:tc>
          <w:tcPr>
            <w:tcW w:w="625" w:type="dxa"/>
            <w:gridSpan w:val="2"/>
            <w:tcBorders>
              <w:top w:val="single" w:sz="4" w:space="0" w:color="auto"/>
              <w:left w:val="single" w:sz="4" w:space="0" w:color="auto"/>
              <w:bottom w:val="single" w:sz="4" w:space="0" w:color="auto"/>
              <w:right w:val="nil"/>
            </w:tcBorders>
            <w:shd w:val="clear" w:color="auto" w:fill="auto"/>
            <w:noWrap/>
            <w:vAlign w:val="center"/>
          </w:tcPr>
          <w:p w14:paraId="1834C2C3" w14:textId="77777777" w:rsidR="00661352" w:rsidRPr="00E02087" w:rsidRDefault="00661352" w:rsidP="00C70C1D">
            <w:pPr>
              <w:jc w:val="right"/>
              <w:rPr>
                <w:kern w:val="22"/>
                <w:szCs w:val="22"/>
                <w:lang w:val="fr-CA" w:eastAsia="en-CA"/>
              </w:rPr>
            </w:pPr>
            <w:r w:rsidRPr="00E02087">
              <w:rPr>
                <w:kern w:val="22"/>
                <w:szCs w:val="22"/>
                <w:lang w:val="fr-CA" w:eastAsia="en-CA"/>
              </w:rPr>
              <w:t>141</w:t>
            </w:r>
          </w:p>
        </w:tc>
        <w:tc>
          <w:tcPr>
            <w:tcW w:w="3870" w:type="dxa"/>
            <w:tcBorders>
              <w:top w:val="nil"/>
              <w:left w:val="single" w:sz="4" w:space="0" w:color="auto"/>
              <w:bottom w:val="single" w:sz="4" w:space="0" w:color="auto"/>
              <w:right w:val="single" w:sz="4" w:space="0" w:color="auto"/>
            </w:tcBorders>
            <w:shd w:val="clear" w:color="auto" w:fill="auto"/>
            <w:vAlign w:val="center"/>
            <w:hideMark/>
          </w:tcPr>
          <w:p w14:paraId="3B2076BA" w14:textId="77777777" w:rsidR="00661352" w:rsidRPr="00E02087" w:rsidRDefault="00661352" w:rsidP="00C70C1D">
            <w:pPr>
              <w:jc w:val="left"/>
              <w:rPr>
                <w:kern w:val="22"/>
                <w:szCs w:val="22"/>
                <w:lang w:val="fr-CA" w:eastAsia="en-CA"/>
              </w:rPr>
            </w:pPr>
            <w:r w:rsidRPr="00E02087">
              <w:rPr>
                <w:kern w:val="22"/>
                <w:szCs w:val="22"/>
                <w:lang w:val="fr-CA" w:eastAsia="en-CA"/>
              </w:rPr>
              <w:t>Portugal</w:t>
            </w:r>
          </w:p>
        </w:tc>
        <w:tc>
          <w:tcPr>
            <w:tcW w:w="1440" w:type="dxa"/>
            <w:tcBorders>
              <w:top w:val="nil"/>
              <w:left w:val="nil"/>
              <w:bottom w:val="single" w:sz="4" w:space="0" w:color="auto"/>
              <w:right w:val="single" w:sz="4" w:space="0" w:color="auto"/>
            </w:tcBorders>
            <w:shd w:val="clear" w:color="auto" w:fill="auto"/>
            <w:vAlign w:val="center"/>
            <w:hideMark/>
          </w:tcPr>
          <w:p w14:paraId="677786C6"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350</w:t>
            </w:r>
          </w:p>
        </w:tc>
        <w:tc>
          <w:tcPr>
            <w:tcW w:w="1620" w:type="dxa"/>
            <w:tcBorders>
              <w:top w:val="nil"/>
              <w:left w:val="nil"/>
              <w:bottom w:val="single" w:sz="4" w:space="0" w:color="auto"/>
              <w:right w:val="single" w:sz="4" w:space="0" w:color="auto"/>
            </w:tcBorders>
            <w:shd w:val="clear" w:color="auto" w:fill="auto"/>
            <w:noWrap/>
            <w:vAlign w:val="center"/>
            <w:hideMark/>
          </w:tcPr>
          <w:p w14:paraId="6F7A4586" w14:textId="77777777" w:rsidR="00661352" w:rsidRPr="00E02087" w:rsidRDefault="00661352" w:rsidP="00282AF6">
            <w:pPr>
              <w:ind w:right="144"/>
              <w:jc w:val="right"/>
              <w:rPr>
                <w:kern w:val="22"/>
                <w:szCs w:val="22"/>
                <w:lang w:val="fr-CA" w:eastAsia="en-CA"/>
              </w:rPr>
            </w:pPr>
            <w:r w:rsidRPr="00E02087">
              <w:rPr>
                <w:kern w:val="22"/>
                <w:szCs w:val="22"/>
                <w:lang w:val="fr-CA" w:eastAsia="en-CA"/>
              </w:rPr>
              <w:t>0</w:t>
            </w:r>
            <w:r>
              <w:rPr>
                <w:kern w:val="22"/>
                <w:szCs w:val="22"/>
                <w:lang w:val="fr-CA" w:eastAsia="en-CA"/>
              </w:rPr>
              <w:t>,</w:t>
            </w:r>
            <w:r w:rsidRPr="00E02087">
              <w:rPr>
                <w:kern w:val="22"/>
                <w:szCs w:val="22"/>
                <w:lang w:val="fr-CA" w:eastAsia="en-CA"/>
              </w:rPr>
              <w:t>438</w:t>
            </w:r>
          </w:p>
        </w:tc>
        <w:tc>
          <w:tcPr>
            <w:tcW w:w="1710" w:type="dxa"/>
            <w:tcBorders>
              <w:top w:val="nil"/>
              <w:left w:val="nil"/>
              <w:bottom w:val="single" w:sz="4" w:space="0" w:color="auto"/>
              <w:right w:val="single" w:sz="4" w:space="0" w:color="auto"/>
            </w:tcBorders>
            <w:shd w:val="clear" w:color="auto" w:fill="auto"/>
            <w:noWrap/>
            <w:vAlign w:val="center"/>
            <w:hideMark/>
          </w:tcPr>
          <w:p w14:paraId="40CA1F97" w14:textId="77777777" w:rsidR="00661352" w:rsidRPr="00E02087" w:rsidRDefault="00661352" w:rsidP="00282AF6">
            <w:pPr>
              <w:ind w:right="144"/>
              <w:jc w:val="right"/>
              <w:rPr>
                <w:kern w:val="22"/>
                <w:szCs w:val="22"/>
                <w:lang w:val="fr-CA" w:eastAsia="en-CA"/>
              </w:rPr>
            </w:pPr>
            <w:r w:rsidRPr="00E02087">
              <w:rPr>
                <w:kern w:val="22"/>
                <w:szCs w:val="22"/>
                <w:lang w:val="fr-CA" w:eastAsia="en-CA"/>
              </w:rPr>
              <w:t>55 219</w:t>
            </w:r>
          </w:p>
        </w:tc>
      </w:tr>
      <w:tr w:rsidR="00661352" w:rsidRPr="00E470BA" w14:paraId="0C7259C4"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0A465F" w14:textId="77777777" w:rsidR="00661352" w:rsidRPr="00E470BA" w:rsidRDefault="00661352" w:rsidP="004266BB">
            <w:pPr>
              <w:jc w:val="right"/>
              <w:rPr>
                <w:kern w:val="22"/>
                <w:szCs w:val="22"/>
                <w:lang w:val="fr-CA" w:eastAsia="en-CA"/>
              </w:rPr>
            </w:pPr>
            <w:r w:rsidRPr="00E470BA">
              <w:rPr>
                <w:kern w:val="22"/>
                <w:szCs w:val="22"/>
                <w:lang w:val="fr-CA" w:eastAsia="en-CA"/>
              </w:rPr>
              <w:t>142</w:t>
            </w:r>
          </w:p>
        </w:tc>
        <w:tc>
          <w:tcPr>
            <w:tcW w:w="3870" w:type="dxa"/>
            <w:tcBorders>
              <w:top w:val="nil"/>
              <w:left w:val="nil"/>
              <w:bottom w:val="single" w:sz="4" w:space="0" w:color="auto"/>
              <w:right w:val="single" w:sz="4" w:space="0" w:color="auto"/>
            </w:tcBorders>
            <w:shd w:val="clear" w:color="auto" w:fill="auto"/>
            <w:vAlign w:val="center"/>
            <w:hideMark/>
          </w:tcPr>
          <w:p w14:paraId="323AA1E0" w14:textId="77777777" w:rsidR="00661352" w:rsidRPr="00E470BA" w:rsidRDefault="00661352" w:rsidP="004266BB">
            <w:pPr>
              <w:jc w:val="left"/>
              <w:rPr>
                <w:kern w:val="22"/>
                <w:szCs w:val="22"/>
                <w:lang w:val="fr-CA" w:eastAsia="en-CA"/>
              </w:rPr>
            </w:pPr>
            <w:r w:rsidRPr="00E470BA">
              <w:rPr>
                <w:kern w:val="22"/>
                <w:szCs w:val="22"/>
                <w:lang w:val="fr-CA" w:eastAsia="en-CA"/>
              </w:rPr>
              <w:t>Qatar</w:t>
            </w:r>
          </w:p>
        </w:tc>
        <w:tc>
          <w:tcPr>
            <w:tcW w:w="1440" w:type="dxa"/>
            <w:tcBorders>
              <w:top w:val="nil"/>
              <w:left w:val="nil"/>
              <w:bottom w:val="single" w:sz="4" w:space="0" w:color="auto"/>
              <w:right w:val="single" w:sz="4" w:space="0" w:color="auto"/>
            </w:tcBorders>
            <w:shd w:val="clear" w:color="auto" w:fill="auto"/>
            <w:vAlign w:val="center"/>
            <w:hideMark/>
          </w:tcPr>
          <w:p w14:paraId="0E60CF7E"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282</w:t>
            </w:r>
          </w:p>
        </w:tc>
        <w:tc>
          <w:tcPr>
            <w:tcW w:w="1620" w:type="dxa"/>
            <w:tcBorders>
              <w:top w:val="nil"/>
              <w:left w:val="nil"/>
              <w:bottom w:val="single" w:sz="4" w:space="0" w:color="auto"/>
              <w:right w:val="single" w:sz="4" w:space="0" w:color="auto"/>
            </w:tcBorders>
            <w:shd w:val="clear" w:color="auto" w:fill="auto"/>
            <w:noWrap/>
            <w:vAlign w:val="center"/>
            <w:hideMark/>
          </w:tcPr>
          <w:p w14:paraId="3304C255"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353</w:t>
            </w:r>
          </w:p>
        </w:tc>
        <w:tc>
          <w:tcPr>
            <w:tcW w:w="1710" w:type="dxa"/>
            <w:tcBorders>
              <w:top w:val="nil"/>
              <w:left w:val="nil"/>
              <w:bottom w:val="single" w:sz="4" w:space="0" w:color="auto"/>
              <w:right w:val="single" w:sz="4" w:space="0" w:color="auto"/>
            </w:tcBorders>
            <w:shd w:val="clear" w:color="auto" w:fill="auto"/>
            <w:noWrap/>
            <w:vAlign w:val="center"/>
            <w:hideMark/>
          </w:tcPr>
          <w:p w14:paraId="589FFB23" w14:textId="77777777" w:rsidR="00661352" w:rsidRPr="00E470BA" w:rsidRDefault="00661352" w:rsidP="00282AF6">
            <w:pPr>
              <w:ind w:right="144"/>
              <w:jc w:val="right"/>
              <w:rPr>
                <w:kern w:val="22"/>
                <w:szCs w:val="22"/>
                <w:lang w:val="fr-CA" w:eastAsia="en-CA"/>
              </w:rPr>
            </w:pPr>
            <w:r w:rsidRPr="00E470BA">
              <w:rPr>
                <w:kern w:val="22"/>
                <w:szCs w:val="22"/>
                <w:lang w:val="fr-CA" w:eastAsia="en-CA"/>
              </w:rPr>
              <w:t>44 491</w:t>
            </w:r>
          </w:p>
        </w:tc>
      </w:tr>
      <w:tr w:rsidR="00661352" w:rsidRPr="00E470BA" w14:paraId="6697CAA5"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tcPr>
          <w:p w14:paraId="19EA64D6" w14:textId="76B18C41" w:rsidR="00661352" w:rsidRPr="00E470BA" w:rsidRDefault="00C95673" w:rsidP="004266BB">
            <w:pPr>
              <w:jc w:val="right"/>
              <w:rPr>
                <w:kern w:val="22"/>
                <w:szCs w:val="22"/>
                <w:lang w:val="fr-CA" w:eastAsia="en-CA"/>
              </w:rPr>
            </w:pPr>
            <w:r>
              <w:rPr>
                <w:kern w:val="22"/>
                <w:szCs w:val="22"/>
                <w:lang w:val="fr-CA" w:eastAsia="en-CA"/>
              </w:rPr>
              <w:t>143</w:t>
            </w:r>
          </w:p>
        </w:tc>
        <w:tc>
          <w:tcPr>
            <w:tcW w:w="3870" w:type="dxa"/>
            <w:tcBorders>
              <w:top w:val="nil"/>
              <w:left w:val="nil"/>
              <w:bottom w:val="single" w:sz="4" w:space="0" w:color="auto"/>
              <w:right w:val="single" w:sz="4" w:space="0" w:color="auto"/>
            </w:tcBorders>
            <w:shd w:val="clear" w:color="auto" w:fill="auto"/>
            <w:vAlign w:val="center"/>
            <w:hideMark/>
          </w:tcPr>
          <w:p w14:paraId="502B14CC" w14:textId="77777777" w:rsidR="00661352" w:rsidRPr="00E470BA" w:rsidRDefault="00661352" w:rsidP="004266BB">
            <w:pPr>
              <w:jc w:val="left"/>
              <w:rPr>
                <w:kern w:val="22"/>
                <w:szCs w:val="22"/>
                <w:lang w:val="fr-CA" w:eastAsia="en-CA"/>
              </w:rPr>
            </w:pPr>
            <w:r>
              <w:rPr>
                <w:kern w:val="22"/>
                <w:szCs w:val="22"/>
                <w:lang w:val="fr-CA" w:eastAsia="en-CA"/>
              </w:rPr>
              <w:t>République arabe syrienne</w:t>
            </w:r>
          </w:p>
        </w:tc>
        <w:tc>
          <w:tcPr>
            <w:tcW w:w="1440" w:type="dxa"/>
            <w:tcBorders>
              <w:top w:val="nil"/>
              <w:left w:val="nil"/>
              <w:bottom w:val="single" w:sz="4" w:space="0" w:color="auto"/>
              <w:right w:val="single" w:sz="4" w:space="0" w:color="auto"/>
            </w:tcBorders>
            <w:shd w:val="clear" w:color="auto" w:fill="auto"/>
            <w:vAlign w:val="center"/>
            <w:hideMark/>
          </w:tcPr>
          <w:p w14:paraId="1FC9B2A6"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011</w:t>
            </w:r>
          </w:p>
        </w:tc>
        <w:tc>
          <w:tcPr>
            <w:tcW w:w="1620" w:type="dxa"/>
            <w:tcBorders>
              <w:top w:val="nil"/>
              <w:left w:val="nil"/>
              <w:bottom w:val="single" w:sz="4" w:space="0" w:color="auto"/>
              <w:right w:val="single" w:sz="4" w:space="0" w:color="auto"/>
            </w:tcBorders>
            <w:shd w:val="clear" w:color="auto" w:fill="auto"/>
            <w:noWrap/>
            <w:vAlign w:val="center"/>
            <w:hideMark/>
          </w:tcPr>
          <w:p w14:paraId="17D74A4C"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014</w:t>
            </w:r>
          </w:p>
        </w:tc>
        <w:tc>
          <w:tcPr>
            <w:tcW w:w="1710" w:type="dxa"/>
            <w:tcBorders>
              <w:top w:val="nil"/>
              <w:left w:val="nil"/>
              <w:bottom w:val="single" w:sz="4" w:space="0" w:color="auto"/>
              <w:right w:val="single" w:sz="4" w:space="0" w:color="auto"/>
            </w:tcBorders>
            <w:shd w:val="clear" w:color="auto" w:fill="auto"/>
            <w:noWrap/>
            <w:vAlign w:val="center"/>
            <w:hideMark/>
          </w:tcPr>
          <w:p w14:paraId="3949FDBB" w14:textId="77777777" w:rsidR="00661352" w:rsidRPr="00E470BA" w:rsidRDefault="00661352" w:rsidP="00282AF6">
            <w:pPr>
              <w:ind w:right="144"/>
              <w:jc w:val="right"/>
              <w:rPr>
                <w:kern w:val="22"/>
                <w:szCs w:val="22"/>
                <w:lang w:val="fr-CA" w:eastAsia="en-CA"/>
              </w:rPr>
            </w:pPr>
            <w:r w:rsidRPr="00E470BA">
              <w:rPr>
                <w:kern w:val="22"/>
                <w:szCs w:val="22"/>
                <w:lang w:val="fr-CA" w:eastAsia="en-CA"/>
              </w:rPr>
              <w:t>1 735</w:t>
            </w:r>
          </w:p>
        </w:tc>
      </w:tr>
      <w:tr w:rsidR="00661352" w:rsidRPr="003C7831" w14:paraId="1FAB52F2"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46025E" w14:textId="0CEC30EB" w:rsidR="00661352" w:rsidRPr="003C7831" w:rsidRDefault="00C95673" w:rsidP="00120F79">
            <w:pPr>
              <w:jc w:val="right"/>
              <w:rPr>
                <w:kern w:val="22"/>
                <w:szCs w:val="22"/>
                <w:lang w:val="fr-CA" w:eastAsia="en-CA"/>
              </w:rPr>
            </w:pPr>
            <w:r>
              <w:rPr>
                <w:kern w:val="22"/>
                <w:szCs w:val="22"/>
                <w:lang w:val="fr-CA" w:eastAsia="en-CA"/>
              </w:rPr>
              <w:t>144</w:t>
            </w:r>
          </w:p>
        </w:tc>
        <w:tc>
          <w:tcPr>
            <w:tcW w:w="3870" w:type="dxa"/>
            <w:tcBorders>
              <w:top w:val="nil"/>
              <w:left w:val="nil"/>
              <w:bottom w:val="single" w:sz="4" w:space="0" w:color="auto"/>
              <w:right w:val="single" w:sz="4" w:space="0" w:color="auto"/>
            </w:tcBorders>
            <w:shd w:val="clear" w:color="auto" w:fill="auto"/>
            <w:vAlign w:val="center"/>
            <w:hideMark/>
          </w:tcPr>
          <w:p w14:paraId="60D5B59A" w14:textId="77777777" w:rsidR="00661352" w:rsidRPr="003C7831" w:rsidRDefault="00661352" w:rsidP="00120F79">
            <w:pPr>
              <w:jc w:val="left"/>
              <w:rPr>
                <w:kern w:val="22"/>
                <w:szCs w:val="22"/>
                <w:lang w:val="fr-CA" w:eastAsia="en-CA"/>
              </w:rPr>
            </w:pPr>
            <w:r w:rsidRPr="003C7831">
              <w:rPr>
                <w:kern w:val="22"/>
                <w:szCs w:val="22"/>
                <w:lang w:val="fr-CA" w:eastAsia="en-CA"/>
              </w:rPr>
              <w:t>République centrafricaine</w:t>
            </w:r>
          </w:p>
        </w:tc>
        <w:tc>
          <w:tcPr>
            <w:tcW w:w="1440" w:type="dxa"/>
            <w:tcBorders>
              <w:top w:val="nil"/>
              <w:left w:val="nil"/>
              <w:bottom w:val="single" w:sz="4" w:space="0" w:color="auto"/>
              <w:right w:val="single" w:sz="4" w:space="0" w:color="auto"/>
            </w:tcBorders>
            <w:shd w:val="clear" w:color="auto" w:fill="auto"/>
            <w:vAlign w:val="center"/>
            <w:hideMark/>
          </w:tcPr>
          <w:p w14:paraId="01A4AC8A"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001</w:t>
            </w:r>
          </w:p>
        </w:tc>
        <w:tc>
          <w:tcPr>
            <w:tcW w:w="1620" w:type="dxa"/>
            <w:tcBorders>
              <w:top w:val="nil"/>
              <w:left w:val="nil"/>
              <w:bottom w:val="single" w:sz="4" w:space="0" w:color="auto"/>
              <w:right w:val="single" w:sz="4" w:space="0" w:color="auto"/>
            </w:tcBorders>
            <w:shd w:val="clear" w:color="auto" w:fill="auto"/>
            <w:noWrap/>
            <w:vAlign w:val="center"/>
            <w:hideMark/>
          </w:tcPr>
          <w:p w14:paraId="257BEA93"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001</w:t>
            </w:r>
          </w:p>
        </w:tc>
        <w:tc>
          <w:tcPr>
            <w:tcW w:w="1710" w:type="dxa"/>
            <w:tcBorders>
              <w:top w:val="nil"/>
              <w:left w:val="nil"/>
              <w:bottom w:val="single" w:sz="4" w:space="0" w:color="auto"/>
              <w:right w:val="single" w:sz="4" w:space="0" w:color="auto"/>
            </w:tcBorders>
            <w:shd w:val="clear" w:color="auto" w:fill="auto"/>
            <w:noWrap/>
            <w:vAlign w:val="center"/>
            <w:hideMark/>
          </w:tcPr>
          <w:p w14:paraId="1DE2C4F9"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158</w:t>
            </w:r>
          </w:p>
        </w:tc>
      </w:tr>
      <w:tr w:rsidR="00661352" w:rsidRPr="00E470BA" w14:paraId="6E047B36"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tcPr>
          <w:p w14:paraId="0A99DEE1" w14:textId="6B9DBABD" w:rsidR="00661352" w:rsidRPr="00E470BA" w:rsidRDefault="00C95673" w:rsidP="004266BB">
            <w:pPr>
              <w:jc w:val="right"/>
              <w:rPr>
                <w:kern w:val="22"/>
                <w:szCs w:val="22"/>
                <w:lang w:val="fr-CA" w:eastAsia="en-CA"/>
              </w:rPr>
            </w:pPr>
            <w:r>
              <w:rPr>
                <w:kern w:val="22"/>
                <w:szCs w:val="22"/>
                <w:lang w:val="fr-CA" w:eastAsia="en-CA"/>
              </w:rPr>
              <w:t>145</w:t>
            </w:r>
          </w:p>
        </w:tc>
        <w:tc>
          <w:tcPr>
            <w:tcW w:w="3870" w:type="dxa"/>
            <w:tcBorders>
              <w:top w:val="nil"/>
              <w:left w:val="nil"/>
              <w:bottom w:val="single" w:sz="4" w:space="0" w:color="auto"/>
              <w:right w:val="single" w:sz="4" w:space="0" w:color="auto"/>
            </w:tcBorders>
            <w:shd w:val="clear" w:color="auto" w:fill="auto"/>
            <w:vAlign w:val="center"/>
            <w:hideMark/>
          </w:tcPr>
          <w:p w14:paraId="4C08081C" w14:textId="77777777" w:rsidR="00661352" w:rsidRPr="00E470BA" w:rsidRDefault="00661352" w:rsidP="004266BB">
            <w:pPr>
              <w:jc w:val="left"/>
              <w:rPr>
                <w:kern w:val="22"/>
                <w:szCs w:val="22"/>
                <w:lang w:val="fr-CA" w:eastAsia="en-CA"/>
              </w:rPr>
            </w:pPr>
            <w:r>
              <w:rPr>
                <w:kern w:val="22"/>
                <w:szCs w:val="22"/>
                <w:lang w:val="fr-CA" w:eastAsia="en-CA"/>
              </w:rPr>
              <w:t>République de Corée</w:t>
            </w:r>
          </w:p>
        </w:tc>
        <w:tc>
          <w:tcPr>
            <w:tcW w:w="1440" w:type="dxa"/>
            <w:tcBorders>
              <w:top w:val="nil"/>
              <w:left w:val="nil"/>
              <w:bottom w:val="single" w:sz="4" w:space="0" w:color="auto"/>
              <w:right w:val="single" w:sz="4" w:space="0" w:color="auto"/>
            </w:tcBorders>
            <w:shd w:val="clear" w:color="auto" w:fill="auto"/>
            <w:vAlign w:val="center"/>
            <w:hideMark/>
          </w:tcPr>
          <w:p w14:paraId="6B2BFC5D" w14:textId="77777777" w:rsidR="00661352" w:rsidRPr="00E470BA" w:rsidRDefault="00661352" w:rsidP="00282AF6">
            <w:pPr>
              <w:ind w:right="144"/>
              <w:jc w:val="right"/>
              <w:rPr>
                <w:kern w:val="22"/>
                <w:szCs w:val="22"/>
                <w:lang w:val="fr-CA" w:eastAsia="en-CA"/>
              </w:rPr>
            </w:pPr>
            <w:r w:rsidRPr="00E470BA">
              <w:rPr>
                <w:kern w:val="22"/>
                <w:szCs w:val="22"/>
                <w:lang w:val="fr-CA" w:eastAsia="en-CA"/>
              </w:rPr>
              <w:t>2</w:t>
            </w:r>
            <w:r>
              <w:rPr>
                <w:kern w:val="22"/>
                <w:szCs w:val="22"/>
                <w:lang w:val="fr-CA" w:eastAsia="en-CA"/>
              </w:rPr>
              <w:t>,</w:t>
            </w:r>
            <w:r w:rsidRPr="00E470BA">
              <w:rPr>
                <w:kern w:val="22"/>
                <w:szCs w:val="22"/>
                <w:lang w:val="fr-CA" w:eastAsia="en-CA"/>
              </w:rPr>
              <w:t>267</w:t>
            </w:r>
          </w:p>
        </w:tc>
        <w:tc>
          <w:tcPr>
            <w:tcW w:w="1620" w:type="dxa"/>
            <w:tcBorders>
              <w:top w:val="nil"/>
              <w:left w:val="nil"/>
              <w:bottom w:val="single" w:sz="4" w:space="0" w:color="auto"/>
              <w:right w:val="single" w:sz="4" w:space="0" w:color="auto"/>
            </w:tcBorders>
            <w:shd w:val="clear" w:color="auto" w:fill="auto"/>
            <w:noWrap/>
            <w:vAlign w:val="center"/>
            <w:hideMark/>
          </w:tcPr>
          <w:p w14:paraId="117D6A62" w14:textId="77777777" w:rsidR="00661352" w:rsidRPr="00E470BA" w:rsidRDefault="00661352" w:rsidP="00282AF6">
            <w:pPr>
              <w:ind w:right="144"/>
              <w:jc w:val="right"/>
              <w:rPr>
                <w:kern w:val="22"/>
                <w:szCs w:val="22"/>
                <w:lang w:val="fr-CA" w:eastAsia="en-CA"/>
              </w:rPr>
            </w:pPr>
            <w:r w:rsidRPr="00E470BA">
              <w:rPr>
                <w:kern w:val="22"/>
                <w:szCs w:val="22"/>
                <w:lang w:val="fr-CA" w:eastAsia="en-CA"/>
              </w:rPr>
              <w:t>2</w:t>
            </w:r>
            <w:r>
              <w:rPr>
                <w:kern w:val="22"/>
                <w:szCs w:val="22"/>
                <w:lang w:val="fr-CA" w:eastAsia="en-CA"/>
              </w:rPr>
              <w:t>,</w:t>
            </w:r>
            <w:r w:rsidRPr="00E470BA">
              <w:rPr>
                <w:kern w:val="22"/>
                <w:szCs w:val="22"/>
                <w:lang w:val="fr-CA" w:eastAsia="en-CA"/>
              </w:rPr>
              <w:t>834</w:t>
            </w:r>
          </w:p>
        </w:tc>
        <w:tc>
          <w:tcPr>
            <w:tcW w:w="1710" w:type="dxa"/>
            <w:tcBorders>
              <w:top w:val="nil"/>
              <w:left w:val="nil"/>
              <w:bottom w:val="single" w:sz="4" w:space="0" w:color="auto"/>
              <w:right w:val="single" w:sz="4" w:space="0" w:color="auto"/>
            </w:tcBorders>
            <w:shd w:val="clear" w:color="auto" w:fill="auto"/>
            <w:noWrap/>
            <w:vAlign w:val="center"/>
            <w:hideMark/>
          </w:tcPr>
          <w:p w14:paraId="1366E8FA" w14:textId="77777777" w:rsidR="00661352" w:rsidRPr="00E470BA" w:rsidRDefault="00661352" w:rsidP="00282AF6">
            <w:pPr>
              <w:ind w:right="144"/>
              <w:jc w:val="right"/>
              <w:rPr>
                <w:kern w:val="22"/>
                <w:szCs w:val="22"/>
                <w:lang w:val="fr-CA" w:eastAsia="en-CA"/>
              </w:rPr>
            </w:pPr>
            <w:r w:rsidRPr="00E470BA">
              <w:rPr>
                <w:kern w:val="22"/>
                <w:szCs w:val="22"/>
                <w:lang w:val="fr-CA" w:eastAsia="en-CA"/>
              </w:rPr>
              <w:t>357 660</w:t>
            </w:r>
          </w:p>
        </w:tc>
      </w:tr>
      <w:tr w:rsidR="00661352" w:rsidRPr="00E470BA" w14:paraId="35E21B6B"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tcPr>
          <w:p w14:paraId="3CF7AFE4" w14:textId="4D8C5D3F" w:rsidR="00661352" w:rsidRPr="00E470BA" w:rsidRDefault="00C95673" w:rsidP="004266BB">
            <w:pPr>
              <w:jc w:val="right"/>
              <w:rPr>
                <w:kern w:val="22"/>
                <w:szCs w:val="22"/>
                <w:lang w:val="fr-CA" w:eastAsia="en-CA"/>
              </w:rPr>
            </w:pPr>
            <w:r>
              <w:rPr>
                <w:kern w:val="22"/>
                <w:szCs w:val="22"/>
                <w:lang w:val="fr-CA" w:eastAsia="en-CA"/>
              </w:rPr>
              <w:t>146</w:t>
            </w:r>
          </w:p>
        </w:tc>
        <w:tc>
          <w:tcPr>
            <w:tcW w:w="3870" w:type="dxa"/>
            <w:tcBorders>
              <w:top w:val="nil"/>
              <w:left w:val="nil"/>
              <w:bottom w:val="single" w:sz="4" w:space="0" w:color="auto"/>
              <w:right w:val="single" w:sz="4" w:space="0" w:color="auto"/>
            </w:tcBorders>
            <w:shd w:val="clear" w:color="auto" w:fill="auto"/>
            <w:vAlign w:val="center"/>
            <w:hideMark/>
          </w:tcPr>
          <w:p w14:paraId="05239F9D" w14:textId="77777777" w:rsidR="00661352" w:rsidRPr="00E470BA" w:rsidRDefault="00661352" w:rsidP="004266BB">
            <w:pPr>
              <w:jc w:val="left"/>
              <w:rPr>
                <w:kern w:val="22"/>
                <w:szCs w:val="22"/>
                <w:lang w:val="fr-CA" w:eastAsia="en-CA"/>
              </w:rPr>
            </w:pPr>
            <w:r>
              <w:rPr>
                <w:kern w:val="22"/>
                <w:szCs w:val="22"/>
                <w:lang w:val="fr-CA" w:eastAsia="en-CA"/>
              </w:rPr>
              <w:t>République de Moldavie</w:t>
            </w:r>
          </w:p>
        </w:tc>
        <w:tc>
          <w:tcPr>
            <w:tcW w:w="1440" w:type="dxa"/>
            <w:tcBorders>
              <w:top w:val="nil"/>
              <w:left w:val="nil"/>
              <w:bottom w:val="single" w:sz="4" w:space="0" w:color="auto"/>
              <w:right w:val="single" w:sz="4" w:space="0" w:color="auto"/>
            </w:tcBorders>
            <w:shd w:val="clear" w:color="auto" w:fill="auto"/>
            <w:vAlign w:val="center"/>
            <w:hideMark/>
          </w:tcPr>
          <w:p w14:paraId="42AEFF16"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003</w:t>
            </w:r>
          </w:p>
        </w:tc>
        <w:tc>
          <w:tcPr>
            <w:tcW w:w="1620" w:type="dxa"/>
            <w:tcBorders>
              <w:top w:val="nil"/>
              <w:left w:val="nil"/>
              <w:bottom w:val="single" w:sz="4" w:space="0" w:color="auto"/>
              <w:right w:val="single" w:sz="4" w:space="0" w:color="auto"/>
            </w:tcBorders>
            <w:shd w:val="clear" w:color="auto" w:fill="auto"/>
            <w:noWrap/>
            <w:vAlign w:val="center"/>
            <w:hideMark/>
          </w:tcPr>
          <w:p w14:paraId="4E7CB98C"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004</w:t>
            </w:r>
          </w:p>
        </w:tc>
        <w:tc>
          <w:tcPr>
            <w:tcW w:w="1710" w:type="dxa"/>
            <w:tcBorders>
              <w:top w:val="nil"/>
              <w:left w:val="nil"/>
              <w:bottom w:val="single" w:sz="4" w:space="0" w:color="auto"/>
              <w:right w:val="single" w:sz="4" w:space="0" w:color="auto"/>
            </w:tcBorders>
            <w:shd w:val="clear" w:color="auto" w:fill="auto"/>
            <w:noWrap/>
            <w:vAlign w:val="center"/>
            <w:hideMark/>
          </w:tcPr>
          <w:p w14:paraId="21E6FF6F" w14:textId="77777777" w:rsidR="00661352" w:rsidRPr="00E470BA" w:rsidRDefault="00661352" w:rsidP="00282AF6">
            <w:pPr>
              <w:ind w:right="144"/>
              <w:jc w:val="right"/>
              <w:rPr>
                <w:kern w:val="22"/>
                <w:szCs w:val="22"/>
                <w:lang w:val="fr-CA" w:eastAsia="en-CA"/>
              </w:rPr>
            </w:pPr>
            <w:r w:rsidRPr="00E470BA">
              <w:rPr>
                <w:kern w:val="22"/>
                <w:szCs w:val="22"/>
                <w:lang w:val="fr-CA" w:eastAsia="en-CA"/>
              </w:rPr>
              <w:t>473</w:t>
            </w:r>
          </w:p>
        </w:tc>
      </w:tr>
      <w:tr w:rsidR="00661352" w:rsidRPr="003C7831" w14:paraId="46FEABA0"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42A665" w14:textId="2B6B9218" w:rsidR="00661352" w:rsidRPr="003C7831" w:rsidRDefault="00C95673" w:rsidP="00120F79">
            <w:pPr>
              <w:jc w:val="right"/>
              <w:rPr>
                <w:kern w:val="22"/>
                <w:szCs w:val="22"/>
                <w:lang w:val="fr-CA" w:eastAsia="en-CA"/>
              </w:rPr>
            </w:pPr>
            <w:r>
              <w:rPr>
                <w:kern w:val="22"/>
                <w:szCs w:val="22"/>
                <w:lang w:val="fr-CA" w:eastAsia="en-CA"/>
              </w:rPr>
              <w:t>147</w:t>
            </w:r>
          </w:p>
        </w:tc>
        <w:tc>
          <w:tcPr>
            <w:tcW w:w="3870" w:type="dxa"/>
            <w:tcBorders>
              <w:top w:val="nil"/>
              <w:left w:val="nil"/>
              <w:bottom w:val="single" w:sz="4" w:space="0" w:color="auto"/>
              <w:right w:val="single" w:sz="4" w:space="0" w:color="auto"/>
            </w:tcBorders>
            <w:shd w:val="clear" w:color="auto" w:fill="auto"/>
            <w:vAlign w:val="center"/>
            <w:hideMark/>
          </w:tcPr>
          <w:p w14:paraId="1DF65852" w14:textId="77777777" w:rsidR="00661352" w:rsidRPr="003C7831" w:rsidRDefault="00661352" w:rsidP="00120F79">
            <w:pPr>
              <w:jc w:val="left"/>
              <w:rPr>
                <w:kern w:val="22"/>
                <w:szCs w:val="22"/>
                <w:lang w:val="fr-CA" w:eastAsia="en-CA"/>
              </w:rPr>
            </w:pPr>
            <w:r w:rsidRPr="003C7831">
              <w:rPr>
                <w:kern w:val="22"/>
                <w:szCs w:val="22"/>
                <w:lang w:val="fr-CA" w:eastAsia="en-CA"/>
              </w:rPr>
              <w:t>République démocratique du Congo</w:t>
            </w:r>
          </w:p>
        </w:tc>
        <w:tc>
          <w:tcPr>
            <w:tcW w:w="1440" w:type="dxa"/>
            <w:tcBorders>
              <w:top w:val="nil"/>
              <w:left w:val="nil"/>
              <w:bottom w:val="single" w:sz="4" w:space="0" w:color="auto"/>
              <w:right w:val="single" w:sz="4" w:space="0" w:color="auto"/>
            </w:tcBorders>
            <w:shd w:val="clear" w:color="auto" w:fill="auto"/>
            <w:vAlign w:val="center"/>
            <w:hideMark/>
          </w:tcPr>
          <w:p w14:paraId="0EA6FD49"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010</w:t>
            </w:r>
          </w:p>
        </w:tc>
        <w:tc>
          <w:tcPr>
            <w:tcW w:w="1620" w:type="dxa"/>
            <w:tcBorders>
              <w:top w:val="nil"/>
              <w:left w:val="nil"/>
              <w:bottom w:val="single" w:sz="4" w:space="0" w:color="auto"/>
              <w:right w:val="single" w:sz="4" w:space="0" w:color="auto"/>
            </w:tcBorders>
            <w:shd w:val="clear" w:color="auto" w:fill="auto"/>
            <w:noWrap/>
            <w:vAlign w:val="center"/>
            <w:hideMark/>
          </w:tcPr>
          <w:p w14:paraId="374F958A"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010</w:t>
            </w:r>
          </w:p>
        </w:tc>
        <w:tc>
          <w:tcPr>
            <w:tcW w:w="1710" w:type="dxa"/>
            <w:tcBorders>
              <w:top w:val="nil"/>
              <w:left w:val="nil"/>
              <w:bottom w:val="single" w:sz="4" w:space="0" w:color="auto"/>
              <w:right w:val="single" w:sz="4" w:space="0" w:color="auto"/>
            </w:tcBorders>
            <w:shd w:val="clear" w:color="auto" w:fill="auto"/>
            <w:noWrap/>
            <w:vAlign w:val="center"/>
            <w:hideMark/>
          </w:tcPr>
          <w:p w14:paraId="03289592" w14:textId="77777777" w:rsidR="00661352" w:rsidRPr="003C7831" w:rsidRDefault="00661352" w:rsidP="00282AF6">
            <w:pPr>
              <w:ind w:right="144"/>
              <w:jc w:val="right"/>
              <w:rPr>
                <w:kern w:val="22"/>
                <w:szCs w:val="22"/>
                <w:lang w:val="fr-CA" w:eastAsia="en-CA"/>
              </w:rPr>
            </w:pPr>
            <w:r w:rsidRPr="003C7831">
              <w:rPr>
                <w:kern w:val="22"/>
                <w:szCs w:val="22"/>
                <w:lang w:val="fr-CA" w:eastAsia="en-CA"/>
              </w:rPr>
              <w:t>1 262</w:t>
            </w:r>
          </w:p>
        </w:tc>
      </w:tr>
      <w:tr w:rsidR="00661352" w:rsidRPr="003C7831" w14:paraId="07F13409"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0AEBB3" w14:textId="4D3F5A0C" w:rsidR="00661352" w:rsidRPr="003C7831" w:rsidRDefault="00C95673" w:rsidP="00120F79">
            <w:pPr>
              <w:jc w:val="right"/>
              <w:rPr>
                <w:kern w:val="22"/>
                <w:szCs w:val="22"/>
                <w:lang w:val="fr-CA" w:eastAsia="en-CA"/>
              </w:rPr>
            </w:pPr>
            <w:r>
              <w:rPr>
                <w:kern w:val="22"/>
                <w:szCs w:val="22"/>
                <w:lang w:val="fr-CA" w:eastAsia="en-CA"/>
              </w:rPr>
              <w:t>148</w:t>
            </w:r>
          </w:p>
        </w:tc>
        <w:tc>
          <w:tcPr>
            <w:tcW w:w="3870" w:type="dxa"/>
            <w:tcBorders>
              <w:top w:val="nil"/>
              <w:left w:val="nil"/>
              <w:bottom w:val="single" w:sz="4" w:space="0" w:color="auto"/>
              <w:right w:val="single" w:sz="4" w:space="0" w:color="auto"/>
            </w:tcBorders>
            <w:shd w:val="clear" w:color="auto" w:fill="auto"/>
            <w:vAlign w:val="center"/>
            <w:hideMark/>
          </w:tcPr>
          <w:p w14:paraId="450102F3" w14:textId="77777777" w:rsidR="00661352" w:rsidRPr="003C7831" w:rsidRDefault="00661352" w:rsidP="00120F79">
            <w:pPr>
              <w:jc w:val="left"/>
              <w:rPr>
                <w:kern w:val="22"/>
                <w:szCs w:val="22"/>
                <w:lang w:val="fr-CA" w:eastAsia="en-CA"/>
              </w:rPr>
            </w:pPr>
            <w:r w:rsidRPr="003C7831">
              <w:rPr>
                <w:kern w:val="22"/>
                <w:szCs w:val="22"/>
                <w:lang w:val="fr-CA" w:eastAsia="en-CA"/>
              </w:rPr>
              <w:t>République démocratique populaire lao</w:t>
            </w:r>
          </w:p>
        </w:tc>
        <w:tc>
          <w:tcPr>
            <w:tcW w:w="1440" w:type="dxa"/>
            <w:tcBorders>
              <w:top w:val="nil"/>
              <w:left w:val="nil"/>
              <w:bottom w:val="single" w:sz="4" w:space="0" w:color="auto"/>
              <w:right w:val="single" w:sz="4" w:space="0" w:color="auto"/>
            </w:tcBorders>
            <w:shd w:val="clear" w:color="auto" w:fill="auto"/>
            <w:vAlign w:val="center"/>
            <w:hideMark/>
          </w:tcPr>
          <w:p w14:paraId="52DB04B6"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005</w:t>
            </w:r>
          </w:p>
        </w:tc>
        <w:tc>
          <w:tcPr>
            <w:tcW w:w="1620" w:type="dxa"/>
            <w:tcBorders>
              <w:top w:val="nil"/>
              <w:left w:val="nil"/>
              <w:bottom w:val="single" w:sz="4" w:space="0" w:color="auto"/>
              <w:right w:val="single" w:sz="4" w:space="0" w:color="auto"/>
            </w:tcBorders>
            <w:shd w:val="clear" w:color="auto" w:fill="auto"/>
            <w:noWrap/>
            <w:vAlign w:val="center"/>
            <w:hideMark/>
          </w:tcPr>
          <w:p w14:paraId="37508B31"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006</w:t>
            </w:r>
          </w:p>
        </w:tc>
        <w:tc>
          <w:tcPr>
            <w:tcW w:w="1710" w:type="dxa"/>
            <w:tcBorders>
              <w:top w:val="nil"/>
              <w:left w:val="nil"/>
              <w:bottom w:val="single" w:sz="4" w:space="0" w:color="auto"/>
              <w:right w:val="single" w:sz="4" w:space="0" w:color="auto"/>
            </w:tcBorders>
            <w:shd w:val="clear" w:color="auto" w:fill="auto"/>
            <w:noWrap/>
            <w:vAlign w:val="center"/>
            <w:hideMark/>
          </w:tcPr>
          <w:p w14:paraId="27F89ECF" w14:textId="77777777" w:rsidR="00661352" w:rsidRPr="003C7831" w:rsidRDefault="00661352" w:rsidP="00282AF6">
            <w:pPr>
              <w:ind w:right="144"/>
              <w:jc w:val="right"/>
              <w:rPr>
                <w:kern w:val="22"/>
                <w:szCs w:val="22"/>
                <w:lang w:val="fr-CA" w:eastAsia="en-CA"/>
              </w:rPr>
            </w:pPr>
            <w:r w:rsidRPr="003C7831">
              <w:rPr>
                <w:kern w:val="22"/>
                <w:szCs w:val="22"/>
                <w:lang w:val="fr-CA" w:eastAsia="en-CA"/>
              </w:rPr>
              <w:t>789</w:t>
            </w:r>
          </w:p>
        </w:tc>
      </w:tr>
      <w:tr w:rsidR="00661352" w:rsidRPr="003C7831" w14:paraId="2D468329"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65DFA9" w14:textId="3167E99A" w:rsidR="00661352" w:rsidRPr="003C7831" w:rsidRDefault="00C95673" w:rsidP="00120F79">
            <w:pPr>
              <w:jc w:val="right"/>
              <w:rPr>
                <w:kern w:val="22"/>
                <w:szCs w:val="22"/>
                <w:lang w:val="fr-CA" w:eastAsia="en-CA"/>
              </w:rPr>
            </w:pPr>
            <w:r>
              <w:rPr>
                <w:kern w:val="22"/>
                <w:szCs w:val="22"/>
                <w:lang w:val="fr-CA" w:eastAsia="en-CA"/>
              </w:rPr>
              <w:t>149</w:t>
            </w:r>
          </w:p>
        </w:tc>
        <w:tc>
          <w:tcPr>
            <w:tcW w:w="3870" w:type="dxa"/>
            <w:tcBorders>
              <w:top w:val="nil"/>
              <w:left w:val="nil"/>
              <w:bottom w:val="single" w:sz="4" w:space="0" w:color="auto"/>
              <w:right w:val="single" w:sz="4" w:space="0" w:color="auto"/>
            </w:tcBorders>
            <w:shd w:val="clear" w:color="auto" w:fill="auto"/>
            <w:vAlign w:val="center"/>
            <w:hideMark/>
          </w:tcPr>
          <w:p w14:paraId="1E423E8C" w14:textId="77777777" w:rsidR="00661352" w:rsidRPr="003C7831" w:rsidRDefault="00661352" w:rsidP="00120F79">
            <w:pPr>
              <w:jc w:val="left"/>
              <w:rPr>
                <w:kern w:val="22"/>
                <w:szCs w:val="22"/>
                <w:lang w:val="fr-CA" w:eastAsia="en-CA"/>
              </w:rPr>
            </w:pPr>
            <w:r w:rsidRPr="003C7831">
              <w:rPr>
                <w:kern w:val="22"/>
                <w:szCs w:val="22"/>
                <w:lang w:val="fr-CA" w:eastAsia="en-CA"/>
              </w:rPr>
              <w:t>République dominicaine</w:t>
            </w:r>
          </w:p>
        </w:tc>
        <w:tc>
          <w:tcPr>
            <w:tcW w:w="1440" w:type="dxa"/>
            <w:tcBorders>
              <w:top w:val="nil"/>
              <w:left w:val="nil"/>
              <w:bottom w:val="single" w:sz="4" w:space="0" w:color="auto"/>
              <w:right w:val="single" w:sz="4" w:space="0" w:color="auto"/>
            </w:tcBorders>
            <w:shd w:val="clear" w:color="auto" w:fill="auto"/>
            <w:vAlign w:val="center"/>
            <w:hideMark/>
          </w:tcPr>
          <w:p w14:paraId="6E6646C4"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053</w:t>
            </w:r>
          </w:p>
        </w:tc>
        <w:tc>
          <w:tcPr>
            <w:tcW w:w="1620" w:type="dxa"/>
            <w:tcBorders>
              <w:top w:val="nil"/>
              <w:left w:val="nil"/>
              <w:bottom w:val="single" w:sz="4" w:space="0" w:color="auto"/>
              <w:right w:val="single" w:sz="4" w:space="0" w:color="auto"/>
            </w:tcBorders>
            <w:shd w:val="clear" w:color="auto" w:fill="auto"/>
            <w:noWrap/>
            <w:vAlign w:val="center"/>
            <w:hideMark/>
          </w:tcPr>
          <w:p w14:paraId="64B5B919"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066</w:t>
            </w:r>
          </w:p>
        </w:tc>
        <w:tc>
          <w:tcPr>
            <w:tcW w:w="1710" w:type="dxa"/>
            <w:tcBorders>
              <w:top w:val="nil"/>
              <w:left w:val="nil"/>
              <w:bottom w:val="single" w:sz="4" w:space="0" w:color="auto"/>
              <w:right w:val="single" w:sz="4" w:space="0" w:color="auto"/>
            </w:tcBorders>
            <w:shd w:val="clear" w:color="auto" w:fill="auto"/>
            <w:noWrap/>
            <w:vAlign w:val="center"/>
            <w:hideMark/>
          </w:tcPr>
          <w:p w14:paraId="2A8AE381" w14:textId="77777777" w:rsidR="00661352" w:rsidRPr="003C7831" w:rsidRDefault="00661352" w:rsidP="00282AF6">
            <w:pPr>
              <w:ind w:right="144"/>
              <w:jc w:val="right"/>
              <w:rPr>
                <w:kern w:val="22"/>
                <w:szCs w:val="22"/>
                <w:lang w:val="fr-CA" w:eastAsia="en-CA"/>
              </w:rPr>
            </w:pPr>
            <w:r w:rsidRPr="003C7831">
              <w:rPr>
                <w:kern w:val="22"/>
                <w:szCs w:val="22"/>
                <w:lang w:val="fr-CA" w:eastAsia="en-CA"/>
              </w:rPr>
              <w:t>8 362</w:t>
            </w:r>
          </w:p>
        </w:tc>
      </w:tr>
      <w:tr w:rsidR="00661352" w:rsidRPr="003C7831" w14:paraId="60872F5C"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2297B0" w14:textId="22A275FB" w:rsidR="00661352" w:rsidRPr="003C7831" w:rsidRDefault="00C95673" w:rsidP="00120F79">
            <w:pPr>
              <w:jc w:val="right"/>
              <w:rPr>
                <w:kern w:val="22"/>
                <w:szCs w:val="22"/>
                <w:lang w:val="fr-CA" w:eastAsia="en-CA"/>
              </w:rPr>
            </w:pPr>
            <w:r>
              <w:rPr>
                <w:kern w:val="22"/>
                <w:szCs w:val="22"/>
                <w:lang w:val="fr-CA" w:eastAsia="en-CA"/>
              </w:rPr>
              <w:t>150</w:t>
            </w:r>
          </w:p>
        </w:tc>
        <w:tc>
          <w:tcPr>
            <w:tcW w:w="3870" w:type="dxa"/>
            <w:tcBorders>
              <w:top w:val="nil"/>
              <w:left w:val="nil"/>
              <w:bottom w:val="single" w:sz="4" w:space="0" w:color="auto"/>
              <w:right w:val="single" w:sz="4" w:space="0" w:color="auto"/>
            </w:tcBorders>
            <w:shd w:val="clear" w:color="auto" w:fill="auto"/>
            <w:vAlign w:val="center"/>
            <w:hideMark/>
          </w:tcPr>
          <w:p w14:paraId="1B21DB9C" w14:textId="77777777" w:rsidR="00661352" w:rsidRPr="003C7831" w:rsidRDefault="00661352" w:rsidP="00120F79">
            <w:pPr>
              <w:jc w:val="left"/>
              <w:rPr>
                <w:kern w:val="22"/>
                <w:szCs w:val="22"/>
                <w:lang w:val="fr-CA" w:eastAsia="en-CA"/>
              </w:rPr>
            </w:pPr>
            <w:r w:rsidRPr="003C7831">
              <w:rPr>
                <w:kern w:val="22"/>
                <w:szCs w:val="22"/>
                <w:lang w:val="fr-CA" w:eastAsia="en-CA"/>
              </w:rPr>
              <w:t>République islamique d’Iran</w:t>
            </w:r>
          </w:p>
        </w:tc>
        <w:tc>
          <w:tcPr>
            <w:tcW w:w="1440" w:type="dxa"/>
            <w:tcBorders>
              <w:top w:val="nil"/>
              <w:left w:val="nil"/>
              <w:bottom w:val="single" w:sz="4" w:space="0" w:color="auto"/>
              <w:right w:val="single" w:sz="4" w:space="0" w:color="auto"/>
            </w:tcBorders>
            <w:shd w:val="clear" w:color="auto" w:fill="auto"/>
            <w:vAlign w:val="center"/>
            <w:hideMark/>
          </w:tcPr>
          <w:p w14:paraId="7CF2AAA3"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398</w:t>
            </w:r>
          </w:p>
        </w:tc>
        <w:tc>
          <w:tcPr>
            <w:tcW w:w="1620" w:type="dxa"/>
            <w:tcBorders>
              <w:top w:val="nil"/>
              <w:left w:val="nil"/>
              <w:bottom w:val="single" w:sz="4" w:space="0" w:color="auto"/>
              <w:right w:val="single" w:sz="4" w:space="0" w:color="auto"/>
            </w:tcBorders>
            <w:shd w:val="clear" w:color="auto" w:fill="auto"/>
            <w:noWrap/>
            <w:vAlign w:val="center"/>
            <w:hideMark/>
          </w:tcPr>
          <w:p w14:paraId="04892D8C"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498</w:t>
            </w:r>
          </w:p>
        </w:tc>
        <w:tc>
          <w:tcPr>
            <w:tcW w:w="1710" w:type="dxa"/>
            <w:tcBorders>
              <w:top w:val="nil"/>
              <w:left w:val="nil"/>
              <w:bottom w:val="single" w:sz="4" w:space="0" w:color="auto"/>
              <w:right w:val="single" w:sz="4" w:space="0" w:color="auto"/>
            </w:tcBorders>
            <w:shd w:val="clear" w:color="auto" w:fill="auto"/>
            <w:noWrap/>
            <w:vAlign w:val="center"/>
            <w:hideMark/>
          </w:tcPr>
          <w:p w14:paraId="1DA510EE" w14:textId="77777777" w:rsidR="00661352" w:rsidRPr="003C7831" w:rsidRDefault="00661352" w:rsidP="00282AF6">
            <w:pPr>
              <w:ind w:right="144"/>
              <w:jc w:val="right"/>
              <w:rPr>
                <w:kern w:val="22"/>
                <w:szCs w:val="22"/>
                <w:lang w:val="fr-CA" w:eastAsia="en-CA"/>
              </w:rPr>
            </w:pPr>
            <w:r w:rsidRPr="003C7831">
              <w:rPr>
                <w:kern w:val="22"/>
                <w:szCs w:val="22"/>
                <w:lang w:val="fr-CA" w:eastAsia="en-CA"/>
              </w:rPr>
              <w:t>62 792</w:t>
            </w:r>
          </w:p>
        </w:tc>
      </w:tr>
      <w:tr w:rsidR="00661352" w:rsidRPr="003C7831" w14:paraId="2E93C79E"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30BF67" w14:textId="6501E69C" w:rsidR="00661352" w:rsidRPr="003C7831" w:rsidRDefault="00C95673" w:rsidP="00120F79">
            <w:pPr>
              <w:jc w:val="right"/>
              <w:rPr>
                <w:kern w:val="22"/>
                <w:szCs w:val="22"/>
                <w:lang w:val="fr-CA" w:eastAsia="en-CA"/>
              </w:rPr>
            </w:pPr>
            <w:r>
              <w:rPr>
                <w:kern w:val="22"/>
                <w:szCs w:val="22"/>
                <w:lang w:val="fr-CA" w:eastAsia="en-CA"/>
              </w:rPr>
              <w:t>151</w:t>
            </w:r>
          </w:p>
        </w:tc>
        <w:tc>
          <w:tcPr>
            <w:tcW w:w="3870" w:type="dxa"/>
            <w:tcBorders>
              <w:top w:val="nil"/>
              <w:left w:val="nil"/>
              <w:bottom w:val="single" w:sz="4" w:space="0" w:color="auto"/>
              <w:right w:val="single" w:sz="4" w:space="0" w:color="auto"/>
            </w:tcBorders>
            <w:shd w:val="clear" w:color="auto" w:fill="auto"/>
            <w:vAlign w:val="center"/>
            <w:hideMark/>
          </w:tcPr>
          <w:p w14:paraId="122BAA3D" w14:textId="77777777" w:rsidR="00661352" w:rsidRPr="003C7831" w:rsidRDefault="00661352" w:rsidP="00120F79">
            <w:pPr>
              <w:jc w:val="left"/>
              <w:rPr>
                <w:kern w:val="22"/>
                <w:szCs w:val="22"/>
                <w:lang w:val="fr-CA" w:eastAsia="en-CA"/>
              </w:rPr>
            </w:pPr>
            <w:r w:rsidRPr="003C7831">
              <w:rPr>
                <w:kern w:val="22"/>
                <w:szCs w:val="22"/>
                <w:lang w:val="fr-CA" w:eastAsia="en-CA"/>
              </w:rPr>
              <w:t>République populaire démocratique de Corée</w:t>
            </w:r>
          </w:p>
        </w:tc>
        <w:tc>
          <w:tcPr>
            <w:tcW w:w="1440" w:type="dxa"/>
            <w:tcBorders>
              <w:top w:val="nil"/>
              <w:left w:val="nil"/>
              <w:bottom w:val="single" w:sz="4" w:space="0" w:color="auto"/>
              <w:right w:val="single" w:sz="4" w:space="0" w:color="auto"/>
            </w:tcBorders>
            <w:shd w:val="clear" w:color="auto" w:fill="auto"/>
            <w:vAlign w:val="center"/>
            <w:hideMark/>
          </w:tcPr>
          <w:p w14:paraId="302E9524"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006</w:t>
            </w:r>
          </w:p>
        </w:tc>
        <w:tc>
          <w:tcPr>
            <w:tcW w:w="1620" w:type="dxa"/>
            <w:tcBorders>
              <w:top w:val="nil"/>
              <w:left w:val="nil"/>
              <w:bottom w:val="single" w:sz="4" w:space="0" w:color="auto"/>
              <w:right w:val="single" w:sz="4" w:space="0" w:color="auto"/>
            </w:tcBorders>
            <w:shd w:val="clear" w:color="auto" w:fill="auto"/>
            <w:noWrap/>
            <w:vAlign w:val="center"/>
            <w:hideMark/>
          </w:tcPr>
          <w:p w14:paraId="061C5BA6"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008</w:t>
            </w:r>
          </w:p>
        </w:tc>
        <w:tc>
          <w:tcPr>
            <w:tcW w:w="1710" w:type="dxa"/>
            <w:tcBorders>
              <w:top w:val="nil"/>
              <w:left w:val="nil"/>
              <w:bottom w:val="single" w:sz="4" w:space="0" w:color="auto"/>
              <w:right w:val="single" w:sz="4" w:space="0" w:color="auto"/>
            </w:tcBorders>
            <w:shd w:val="clear" w:color="auto" w:fill="auto"/>
            <w:noWrap/>
            <w:vAlign w:val="center"/>
            <w:hideMark/>
          </w:tcPr>
          <w:p w14:paraId="08F4B36B" w14:textId="77777777" w:rsidR="00661352" w:rsidRPr="003C7831" w:rsidRDefault="00661352" w:rsidP="00282AF6">
            <w:pPr>
              <w:ind w:right="144"/>
              <w:jc w:val="right"/>
              <w:rPr>
                <w:kern w:val="22"/>
                <w:szCs w:val="22"/>
                <w:lang w:val="fr-CA" w:eastAsia="en-CA"/>
              </w:rPr>
            </w:pPr>
            <w:r w:rsidRPr="003C7831">
              <w:rPr>
                <w:kern w:val="22"/>
                <w:szCs w:val="22"/>
                <w:lang w:val="fr-CA" w:eastAsia="en-CA"/>
              </w:rPr>
              <w:t>947</w:t>
            </w:r>
          </w:p>
        </w:tc>
      </w:tr>
      <w:tr w:rsidR="00661352" w:rsidRPr="00B123B8" w14:paraId="1E6DD526" w14:textId="77777777" w:rsidTr="00661352">
        <w:trPr>
          <w:trHeight w:val="260"/>
          <w:jc w:val="center"/>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765DD7A1" w14:textId="6A2FFB06" w:rsidR="00661352" w:rsidRPr="00B123B8" w:rsidRDefault="00C95673" w:rsidP="00120F79">
            <w:pPr>
              <w:jc w:val="right"/>
              <w:rPr>
                <w:kern w:val="22"/>
                <w:szCs w:val="22"/>
                <w:lang w:val="fr-CA" w:eastAsia="en-CA"/>
              </w:rPr>
            </w:pPr>
            <w:r>
              <w:rPr>
                <w:kern w:val="22"/>
                <w:szCs w:val="22"/>
                <w:lang w:val="fr-CA" w:eastAsia="en-CA"/>
              </w:rPr>
              <w:t>152</w:t>
            </w:r>
          </w:p>
        </w:tc>
        <w:tc>
          <w:tcPr>
            <w:tcW w:w="3885" w:type="dxa"/>
            <w:gridSpan w:val="2"/>
            <w:tcBorders>
              <w:top w:val="nil"/>
              <w:left w:val="nil"/>
              <w:bottom w:val="single" w:sz="4" w:space="0" w:color="auto"/>
              <w:right w:val="single" w:sz="4" w:space="0" w:color="auto"/>
            </w:tcBorders>
            <w:shd w:val="clear" w:color="auto" w:fill="auto"/>
            <w:vAlign w:val="center"/>
            <w:hideMark/>
          </w:tcPr>
          <w:p w14:paraId="09263686" w14:textId="77777777" w:rsidR="00661352" w:rsidRPr="00B123B8" w:rsidRDefault="00661352" w:rsidP="00120F79">
            <w:pPr>
              <w:jc w:val="left"/>
              <w:rPr>
                <w:kern w:val="22"/>
                <w:szCs w:val="22"/>
                <w:lang w:val="fr-CA" w:eastAsia="en-CA"/>
              </w:rPr>
            </w:pPr>
            <w:r>
              <w:rPr>
                <w:kern w:val="22"/>
                <w:szCs w:val="22"/>
                <w:lang w:val="fr-CA" w:eastAsia="en-CA"/>
              </w:rPr>
              <w:t>République unie de Tanzanie</w:t>
            </w:r>
          </w:p>
        </w:tc>
        <w:tc>
          <w:tcPr>
            <w:tcW w:w="1440" w:type="dxa"/>
            <w:tcBorders>
              <w:top w:val="nil"/>
              <w:left w:val="nil"/>
              <w:bottom w:val="single" w:sz="4" w:space="0" w:color="auto"/>
              <w:right w:val="single" w:sz="4" w:space="0" w:color="auto"/>
            </w:tcBorders>
            <w:shd w:val="clear" w:color="auto" w:fill="auto"/>
            <w:vAlign w:val="center"/>
            <w:hideMark/>
          </w:tcPr>
          <w:p w14:paraId="1A06700C" w14:textId="77777777" w:rsidR="00661352" w:rsidRPr="00B123B8" w:rsidRDefault="00661352" w:rsidP="00282AF6">
            <w:pPr>
              <w:ind w:right="144"/>
              <w:jc w:val="right"/>
              <w:rPr>
                <w:kern w:val="22"/>
                <w:szCs w:val="22"/>
                <w:lang w:val="fr-CA" w:eastAsia="en-CA"/>
              </w:rPr>
            </w:pPr>
            <w:r w:rsidRPr="00B123B8">
              <w:rPr>
                <w:kern w:val="22"/>
                <w:szCs w:val="22"/>
                <w:lang w:val="fr-CA" w:eastAsia="en-CA"/>
              </w:rPr>
              <w:t>0</w:t>
            </w:r>
            <w:r>
              <w:rPr>
                <w:kern w:val="22"/>
                <w:szCs w:val="22"/>
                <w:lang w:val="fr-CA" w:eastAsia="en-CA"/>
              </w:rPr>
              <w:t>,</w:t>
            </w:r>
            <w:r w:rsidRPr="00B123B8">
              <w:rPr>
                <w:kern w:val="22"/>
                <w:szCs w:val="22"/>
                <w:lang w:val="fr-CA" w:eastAsia="en-CA"/>
              </w:rPr>
              <w:t>010</w:t>
            </w:r>
          </w:p>
        </w:tc>
        <w:tc>
          <w:tcPr>
            <w:tcW w:w="1620" w:type="dxa"/>
            <w:tcBorders>
              <w:top w:val="nil"/>
              <w:left w:val="nil"/>
              <w:bottom w:val="single" w:sz="4" w:space="0" w:color="auto"/>
              <w:right w:val="single" w:sz="4" w:space="0" w:color="auto"/>
            </w:tcBorders>
            <w:shd w:val="clear" w:color="auto" w:fill="auto"/>
            <w:noWrap/>
            <w:vAlign w:val="center"/>
            <w:hideMark/>
          </w:tcPr>
          <w:p w14:paraId="04054D23" w14:textId="77777777" w:rsidR="00661352" w:rsidRPr="00B123B8" w:rsidRDefault="00661352" w:rsidP="00282AF6">
            <w:pPr>
              <w:ind w:right="144"/>
              <w:jc w:val="right"/>
              <w:rPr>
                <w:kern w:val="22"/>
                <w:szCs w:val="22"/>
                <w:lang w:val="fr-CA" w:eastAsia="en-CA"/>
              </w:rPr>
            </w:pPr>
            <w:r w:rsidRPr="00B123B8">
              <w:rPr>
                <w:kern w:val="22"/>
                <w:szCs w:val="22"/>
                <w:lang w:val="fr-CA" w:eastAsia="en-CA"/>
              </w:rPr>
              <w:t>0</w:t>
            </w:r>
            <w:r>
              <w:rPr>
                <w:kern w:val="22"/>
                <w:szCs w:val="22"/>
                <w:lang w:val="fr-CA" w:eastAsia="en-CA"/>
              </w:rPr>
              <w:t>,</w:t>
            </w:r>
            <w:r w:rsidRPr="00B123B8">
              <w:rPr>
                <w:kern w:val="22"/>
                <w:szCs w:val="22"/>
                <w:lang w:val="fr-CA" w:eastAsia="en-CA"/>
              </w:rPr>
              <w:t>010</w:t>
            </w:r>
          </w:p>
        </w:tc>
        <w:tc>
          <w:tcPr>
            <w:tcW w:w="1710" w:type="dxa"/>
            <w:tcBorders>
              <w:top w:val="nil"/>
              <w:left w:val="nil"/>
              <w:bottom w:val="single" w:sz="4" w:space="0" w:color="auto"/>
              <w:right w:val="single" w:sz="4" w:space="0" w:color="auto"/>
            </w:tcBorders>
            <w:shd w:val="clear" w:color="auto" w:fill="auto"/>
            <w:noWrap/>
            <w:vAlign w:val="center"/>
            <w:hideMark/>
          </w:tcPr>
          <w:p w14:paraId="5A6CE3D9" w14:textId="77777777" w:rsidR="00661352" w:rsidRPr="00B123B8" w:rsidRDefault="00661352" w:rsidP="00282AF6">
            <w:pPr>
              <w:ind w:right="144"/>
              <w:jc w:val="right"/>
              <w:rPr>
                <w:kern w:val="22"/>
                <w:szCs w:val="22"/>
                <w:lang w:val="fr-CA" w:eastAsia="en-CA"/>
              </w:rPr>
            </w:pPr>
            <w:r w:rsidRPr="00B123B8">
              <w:rPr>
                <w:kern w:val="22"/>
                <w:szCs w:val="22"/>
                <w:lang w:val="fr-CA" w:eastAsia="en-CA"/>
              </w:rPr>
              <w:t>1 262</w:t>
            </w:r>
          </w:p>
        </w:tc>
      </w:tr>
      <w:tr w:rsidR="00661352" w:rsidRPr="00E470BA" w14:paraId="1D8C055F"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tcPr>
          <w:p w14:paraId="7696DA0F" w14:textId="0DF13D2D" w:rsidR="00661352" w:rsidRPr="00E470BA" w:rsidRDefault="00C95673" w:rsidP="004266BB">
            <w:pPr>
              <w:jc w:val="right"/>
              <w:rPr>
                <w:kern w:val="22"/>
                <w:szCs w:val="22"/>
                <w:lang w:val="fr-CA" w:eastAsia="en-CA"/>
              </w:rPr>
            </w:pPr>
            <w:r>
              <w:rPr>
                <w:kern w:val="22"/>
                <w:szCs w:val="22"/>
                <w:lang w:val="fr-CA" w:eastAsia="en-CA"/>
              </w:rPr>
              <w:t>153</w:t>
            </w:r>
          </w:p>
        </w:tc>
        <w:tc>
          <w:tcPr>
            <w:tcW w:w="3870" w:type="dxa"/>
            <w:tcBorders>
              <w:top w:val="nil"/>
              <w:left w:val="nil"/>
              <w:bottom w:val="single" w:sz="4" w:space="0" w:color="auto"/>
              <w:right w:val="single" w:sz="4" w:space="0" w:color="auto"/>
            </w:tcBorders>
            <w:shd w:val="clear" w:color="auto" w:fill="auto"/>
            <w:vAlign w:val="center"/>
            <w:hideMark/>
          </w:tcPr>
          <w:p w14:paraId="143867B0" w14:textId="77777777" w:rsidR="00661352" w:rsidRPr="00E470BA" w:rsidRDefault="00661352" w:rsidP="004266BB">
            <w:pPr>
              <w:jc w:val="left"/>
              <w:rPr>
                <w:kern w:val="22"/>
                <w:szCs w:val="22"/>
                <w:lang w:val="fr-CA" w:eastAsia="en-CA"/>
              </w:rPr>
            </w:pPr>
            <w:r>
              <w:rPr>
                <w:kern w:val="22"/>
                <w:szCs w:val="22"/>
                <w:lang w:val="fr-CA" w:eastAsia="en-CA"/>
              </w:rPr>
              <w:t>Roumanie</w:t>
            </w:r>
          </w:p>
        </w:tc>
        <w:tc>
          <w:tcPr>
            <w:tcW w:w="1440" w:type="dxa"/>
            <w:tcBorders>
              <w:top w:val="nil"/>
              <w:left w:val="nil"/>
              <w:bottom w:val="single" w:sz="4" w:space="0" w:color="auto"/>
              <w:right w:val="single" w:sz="4" w:space="0" w:color="auto"/>
            </w:tcBorders>
            <w:shd w:val="clear" w:color="auto" w:fill="auto"/>
            <w:vAlign w:val="center"/>
            <w:hideMark/>
          </w:tcPr>
          <w:p w14:paraId="52EE96B0"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198</w:t>
            </w:r>
          </w:p>
        </w:tc>
        <w:tc>
          <w:tcPr>
            <w:tcW w:w="1620" w:type="dxa"/>
            <w:tcBorders>
              <w:top w:val="nil"/>
              <w:left w:val="nil"/>
              <w:bottom w:val="single" w:sz="4" w:space="0" w:color="auto"/>
              <w:right w:val="single" w:sz="4" w:space="0" w:color="auto"/>
            </w:tcBorders>
            <w:shd w:val="clear" w:color="auto" w:fill="auto"/>
            <w:noWrap/>
            <w:vAlign w:val="center"/>
            <w:hideMark/>
          </w:tcPr>
          <w:p w14:paraId="2617D048"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248</w:t>
            </w:r>
          </w:p>
        </w:tc>
        <w:tc>
          <w:tcPr>
            <w:tcW w:w="1710" w:type="dxa"/>
            <w:tcBorders>
              <w:top w:val="nil"/>
              <w:left w:val="nil"/>
              <w:bottom w:val="single" w:sz="4" w:space="0" w:color="auto"/>
              <w:right w:val="single" w:sz="4" w:space="0" w:color="auto"/>
            </w:tcBorders>
            <w:shd w:val="clear" w:color="auto" w:fill="auto"/>
            <w:noWrap/>
            <w:vAlign w:val="center"/>
            <w:hideMark/>
          </w:tcPr>
          <w:p w14:paraId="7A9E14AC" w14:textId="77777777" w:rsidR="00661352" w:rsidRPr="00E470BA" w:rsidRDefault="00661352" w:rsidP="00282AF6">
            <w:pPr>
              <w:ind w:right="144"/>
              <w:jc w:val="right"/>
              <w:rPr>
                <w:kern w:val="22"/>
                <w:szCs w:val="22"/>
                <w:lang w:val="fr-CA" w:eastAsia="en-CA"/>
              </w:rPr>
            </w:pPr>
            <w:r w:rsidRPr="00E470BA">
              <w:rPr>
                <w:kern w:val="22"/>
                <w:szCs w:val="22"/>
                <w:lang w:val="fr-CA" w:eastAsia="en-CA"/>
              </w:rPr>
              <w:t>31 238</w:t>
            </w:r>
          </w:p>
        </w:tc>
      </w:tr>
      <w:tr w:rsidR="00661352" w:rsidRPr="00B123B8" w14:paraId="01DDC88C" w14:textId="77777777" w:rsidTr="00661352">
        <w:trPr>
          <w:trHeight w:val="520"/>
          <w:jc w:val="center"/>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1FB6BCCB" w14:textId="655D0C56" w:rsidR="00661352" w:rsidRPr="00B123B8" w:rsidRDefault="00C95673" w:rsidP="00120F79">
            <w:pPr>
              <w:jc w:val="right"/>
              <w:rPr>
                <w:kern w:val="22"/>
                <w:szCs w:val="22"/>
                <w:lang w:val="fr-CA" w:eastAsia="en-CA"/>
              </w:rPr>
            </w:pPr>
            <w:r>
              <w:rPr>
                <w:kern w:val="22"/>
                <w:szCs w:val="22"/>
                <w:lang w:val="fr-CA" w:eastAsia="en-CA"/>
              </w:rPr>
              <w:t>154</w:t>
            </w:r>
          </w:p>
        </w:tc>
        <w:tc>
          <w:tcPr>
            <w:tcW w:w="3885" w:type="dxa"/>
            <w:gridSpan w:val="2"/>
            <w:tcBorders>
              <w:top w:val="nil"/>
              <w:left w:val="nil"/>
              <w:bottom w:val="single" w:sz="4" w:space="0" w:color="auto"/>
              <w:right w:val="single" w:sz="4" w:space="0" w:color="auto"/>
            </w:tcBorders>
            <w:shd w:val="clear" w:color="auto" w:fill="auto"/>
            <w:vAlign w:val="center"/>
            <w:hideMark/>
          </w:tcPr>
          <w:p w14:paraId="407582D3" w14:textId="77777777" w:rsidR="00661352" w:rsidRPr="00B123B8" w:rsidRDefault="00661352" w:rsidP="00120F79">
            <w:pPr>
              <w:jc w:val="left"/>
              <w:rPr>
                <w:kern w:val="22"/>
                <w:szCs w:val="22"/>
                <w:lang w:val="fr-CA" w:eastAsia="en-CA"/>
              </w:rPr>
            </w:pPr>
            <w:r>
              <w:rPr>
                <w:kern w:val="22"/>
                <w:szCs w:val="22"/>
                <w:lang w:val="fr-CA" w:eastAsia="en-CA"/>
              </w:rPr>
              <w:t>Royaume-Uni de Grande-Bretagne et d’Irlande du Nord</w:t>
            </w:r>
          </w:p>
        </w:tc>
        <w:tc>
          <w:tcPr>
            <w:tcW w:w="1440" w:type="dxa"/>
            <w:tcBorders>
              <w:top w:val="nil"/>
              <w:left w:val="nil"/>
              <w:bottom w:val="single" w:sz="4" w:space="0" w:color="auto"/>
              <w:right w:val="single" w:sz="4" w:space="0" w:color="auto"/>
            </w:tcBorders>
            <w:shd w:val="clear" w:color="auto" w:fill="auto"/>
            <w:vAlign w:val="center"/>
            <w:hideMark/>
          </w:tcPr>
          <w:p w14:paraId="7728B2A3" w14:textId="77777777" w:rsidR="00661352" w:rsidRPr="00B123B8" w:rsidRDefault="00661352" w:rsidP="00282AF6">
            <w:pPr>
              <w:ind w:right="144"/>
              <w:jc w:val="right"/>
              <w:rPr>
                <w:kern w:val="22"/>
                <w:szCs w:val="22"/>
                <w:lang w:val="fr-CA" w:eastAsia="en-CA"/>
              </w:rPr>
            </w:pPr>
            <w:r w:rsidRPr="00B123B8">
              <w:rPr>
                <w:kern w:val="22"/>
                <w:szCs w:val="22"/>
                <w:lang w:val="fr-CA" w:eastAsia="en-CA"/>
              </w:rPr>
              <w:t>4</w:t>
            </w:r>
            <w:r>
              <w:rPr>
                <w:kern w:val="22"/>
                <w:szCs w:val="22"/>
                <w:lang w:val="fr-CA" w:eastAsia="en-CA"/>
              </w:rPr>
              <w:t>,</w:t>
            </w:r>
            <w:r w:rsidRPr="00B123B8">
              <w:rPr>
                <w:kern w:val="22"/>
                <w:szCs w:val="22"/>
                <w:lang w:val="fr-CA" w:eastAsia="en-CA"/>
              </w:rPr>
              <w:t>567</w:t>
            </w:r>
          </w:p>
        </w:tc>
        <w:tc>
          <w:tcPr>
            <w:tcW w:w="1620" w:type="dxa"/>
            <w:tcBorders>
              <w:top w:val="nil"/>
              <w:left w:val="nil"/>
              <w:bottom w:val="single" w:sz="4" w:space="0" w:color="auto"/>
              <w:right w:val="single" w:sz="4" w:space="0" w:color="auto"/>
            </w:tcBorders>
            <w:shd w:val="clear" w:color="auto" w:fill="auto"/>
            <w:noWrap/>
            <w:vAlign w:val="center"/>
            <w:hideMark/>
          </w:tcPr>
          <w:p w14:paraId="6F5A1D2F" w14:textId="77777777" w:rsidR="00661352" w:rsidRPr="00B123B8" w:rsidRDefault="00661352" w:rsidP="00282AF6">
            <w:pPr>
              <w:ind w:right="144"/>
              <w:jc w:val="right"/>
              <w:rPr>
                <w:kern w:val="22"/>
                <w:szCs w:val="22"/>
                <w:lang w:val="fr-CA" w:eastAsia="en-CA"/>
              </w:rPr>
            </w:pPr>
            <w:r w:rsidRPr="00B123B8">
              <w:rPr>
                <w:kern w:val="22"/>
                <w:szCs w:val="22"/>
                <w:lang w:val="fr-CA" w:eastAsia="en-CA"/>
              </w:rPr>
              <w:t>5</w:t>
            </w:r>
            <w:r>
              <w:rPr>
                <w:kern w:val="22"/>
                <w:szCs w:val="22"/>
                <w:lang w:val="fr-CA" w:eastAsia="en-CA"/>
              </w:rPr>
              <w:t>,</w:t>
            </w:r>
            <w:r w:rsidRPr="00B123B8">
              <w:rPr>
                <w:kern w:val="22"/>
                <w:szCs w:val="22"/>
                <w:lang w:val="fr-CA" w:eastAsia="en-CA"/>
              </w:rPr>
              <w:t>710</w:t>
            </w:r>
          </w:p>
        </w:tc>
        <w:tc>
          <w:tcPr>
            <w:tcW w:w="1710" w:type="dxa"/>
            <w:tcBorders>
              <w:top w:val="nil"/>
              <w:left w:val="nil"/>
              <w:bottom w:val="single" w:sz="4" w:space="0" w:color="auto"/>
              <w:right w:val="single" w:sz="4" w:space="0" w:color="auto"/>
            </w:tcBorders>
            <w:shd w:val="clear" w:color="auto" w:fill="auto"/>
            <w:noWrap/>
            <w:vAlign w:val="center"/>
            <w:hideMark/>
          </w:tcPr>
          <w:p w14:paraId="6F1E8B95" w14:textId="77777777" w:rsidR="00661352" w:rsidRPr="00B123B8" w:rsidRDefault="00661352" w:rsidP="00282AF6">
            <w:pPr>
              <w:ind w:right="144"/>
              <w:jc w:val="right"/>
              <w:rPr>
                <w:kern w:val="22"/>
                <w:szCs w:val="22"/>
                <w:lang w:val="fr-CA" w:eastAsia="en-CA"/>
              </w:rPr>
            </w:pPr>
            <w:r w:rsidRPr="00B123B8">
              <w:rPr>
                <w:kern w:val="22"/>
                <w:szCs w:val="22"/>
                <w:lang w:val="fr-CA" w:eastAsia="en-CA"/>
              </w:rPr>
              <w:t>720 527</w:t>
            </w:r>
          </w:p>
        </w:tc>
      </w:tr>
      <w:tr w:rsidR="00661352" w:rsidRPr="00E470BA" w14:paraId="1E9BF655"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tcPr>
          <w:p w14:paraId="34634840" w14:textId="058F5C32" w:rsidR="00661352" w:rsidRPr="00E470BA" w:rsidRDefault="00C95673" w:rsidP="004266BB">
            <w:pPr>
              <w:jc w:val="right"/>
              <w:rPr>
                <w:kern w:val="22"/>
                <w:szCs w:val="22"/>
                <w:lang w:val="fr-CA" w:eastAsia="en-CA"/>
              </w:rPr>
            </w:pPr>
            <w:r>
              <w:rPr>
                <w:kern w:val="22"/>
                <w:szCs w:val="22"/>
                <w:lang w:val="fr-CA" w:eastAsia="en-CA"/>
              </w:rPr>
              <w:t>155</w:t>
            </w:r>
          </w:p>
        </w:tc>
        <w:tc>
          <w:tcPr>
            <w:tcW w:w="3870" w:type="dxa"/>
            <w:tcBorders>
              <w:top w:val="nil"/>
              <w:left w:val="nil"/>
              <w:bottom w:val="single" w:sz="4" w:space="0" w:color="auto"/>
              <w:right w:val="single" w:sz="4" w:space="0" w:color="auto"/>
            </w:tcBorders>
            <w:shd w:val="clear" w:color="auto" w:fill="auto"/>
            <w:vAlign w:val="center"/>
            <w:hideMark/>
          </w:tcPr>
          <w:p w14:paraId="5FD78B3A" w14:textId="77777777" w:rsidR="00661352" w:rsidRPr="00E470BA" w:rsidRDefault="00661352" w:rsidP="004266BB">
            <w:pPr>
              <w:jc w:val="left"/>
              <w:rPr>
                <w:kern w:val="22"/>
                <w:szCs w:val="22"/>
                <w:lang w:val="fr-CA" w:eastAsia="en-CA"/>
              </w:rPr>
            </w:pPr>
            <w:r w:rsidRPr="00E470BA">
              <w:rPr>
                <w:kern w:val="22"/>
                <w:szCs w:val="22"/>
                <w:lang w:val="fr-CA" w:eastAsia="en-CA"/>
              </w:rPr>
              <w:t>Rwanda</w:t>
            </w:r>
          </w:p>
        </w:tc>
        <w:tc>
          <w:tcPr>
            <w:tcW w:w="1440" w:type="dxa"/>
            <w:tcBorders>
              <w:top w:val="nil"/>
              <w:left w:val="nil"/>
              <w:bottom w:val="single" w:sz="4" w:space="0" w:color="auto"/>
              <w:right w:val="single" w:sz="4" w:space="0" w:color="auto"/>
            </w:tcBorders>
            <w:shd w:val="clear" w:color="auto" w:fill="auto"/>
            <w:vAlign w:val="center"/>
            <w:hideMark/>
          </w:tcPr>
          <w:p w14:paraId="6B0527F4"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003</w:t>
            </w:r>
          </w:p>
        </w:tc>
        <w:tc>
          <w:tcPr>
            <w:tcW w:w="1620" w:type="dxa"/>
            <w:tcBorders>
              <w:top w:val="nil"/>
              <w:left w:val="nil"/>
              <w:bottom w:val="single" w:sz="4" w:space="0" w:color="auto"/>
              <w:right w:val="single" w:sz="4" w:space="0" w:color="auto"/>
            </w:tcBorders>
            <w:shd w:val="clear" w:color="auto" w:fill="auto"/>
            <w:noWrap/>
            <w:vAlign w:val="center"/>
            <w:hideMark/>
          </w:tcPr>
          <w:p w14:paraId="3FDAAD75"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004</w:t>
            </w:r>
          </w:p>
        </w:tc>
        <w:tc>
          <w:tcPr>
            <w:tcW w:w="1710" w:type="dxa"/>
            <w:tcBorders>
              <w:top w:val="nil"/>
              <w:left w:val="nil"/>
              <w:bottom w:val="single" w:sz="4" w:space="0" w:color="auto"/>
              <w:right w:val="single" w:sz="4" w:space="0" w:color="auto"/>
            </w:tcBorders>
            <w:shd w:val="clear" w:color="auto" w:fill="auto"/>
            <w:noWrap/>
            <w:vAlign w:val="center"/>
            <w:hideMark/>
          </w:tcPr>
          <w:p w14:paraId="433D380C" w14:textId="77777777" w:rsidR="00661352" w:rsidRPr="00E470BA" w:rsidRDefault="00661352" w:rsidP="00282AF6">
            <w:pPr>
              <w:ind w:right="144"/>
              <w:jc w:val="right"/>
              <w:rPr>
                <w:kern w:val="22"/>
                <w:szCs w:val="22"/>
                <w:lang w:val="fr-CA" w:eastAsia="en-CA"/>
              </w:rPr>
            </w:pPr>
            <w:r w:rsidRPr="00E470BA">
              <w:rPr>
                <w:kern w:val="22"/>
                <w:szCs w:val="22"/>
                <w:lang w:val="fr-CA" w:eastAsia="en-CA"/>
              </w:rPr>
              <w:t>473</w:t>
            </w:r>
          </w:p>
        </w:tc>
      </w:tr>
      <w:tr w:rsidR="00661352" w:rsidRPr="00E470BA" w14:paraId="0EDAE4E7"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tcPr>
          <w:p w14:paraId="6045E9C7" w14:textId="4964AC70" w:rsidR="00661352" w:rsidRPr="00E470BA" w:rsidRDefault="00C95673" w:rsidP="004266BB">
            <w:pPr>
              <w:jc w:val="right"/>
              <w:rPr>
                <w:kern w:val="22"/>
                <w:szCs w:val="22"/>
                <w:lang w:val="fr-CA" w:eastAsia="en-CA"/>
              </w:rPr>
            </w:pPr>
            <w:r>
              <w:rPr>
                <w:kern w:val="22"/>
                <w:szCs w:val="22"/>
                <w:lang w:val="fr-CA" w:eastAsia="en-CA"/>
              </w:rPr>
              <w:t>156</w:t>
            </w:r>
          </w:p>
        </w:tc>
        <w:tc>
          <w:tcPr>
            <w:tcW w:w="3870" w:type="dxa"/>
            <w:tcBorders>
              <w:top w:val="nil"/>
              <w:left w:val="nil"/>
              <w:bottom w:val="single" w:sz="4" w:space="0" w:color="auto"/>
              <w:right w:val="single" w:sz="4" w:space="0" w:color="auto"/>
            </w:tcBorders>
            <w:shd w:val="clear" w:color="auto" w:fill="auto"/>
            <w:vAlign w:val="center"/>
            <w:hideMark/>
          </w:tcPr>
          <w:p w14:paraId="75265B65" w14:textId="77777777" w:rsidR="00661352" w:rsidRPr="00E470BA" w:rsidRDefault="00661352" w:rsidP="004266BB">
            <w:pPr>
              <w:jc w:val="left"/>
              <w:rPr>
                <w:kern w:val="22"/>
                <w:szCs w:val="22"/>
                <w:lang w:val="fr-CA" w:eastAsia="en-CA"/>
              </w:rPr>
            </w:pPr>
            <w:r>
              <w:rPr>
                <w:kern w:val="22"/>
                <w:szCs w:val="22"/>
                <w:lang w:val="fr-CA" w:eastAsia="en-CA"/>
              </w:rPr>
              <w:t>Sainte-Lucie</w:t>
            </w:r>
          </w:p>
        </w:tc>
        <w:tc>
          <w:tcPr>
            <w:tcW w:w="1440" w:type="dxa"/>
            <w:tcBorders>
              <w:top w:val="nil"/>
              <w:left w:val="nil"/>
              <w:bottom w:val="single" w:sz="4" w:space="0" w:color="auto"/>
              <w:right w:val="single" w:sz="4" w:space="0" w:color="auto"/>
            </w:tcBorders>
            <w:shd w:val="clear" w:color="auto" w:fill="auto"/>
            <w:vAlign w:val="center"/>
            <w:hideMark/>
          </w:tcPr>
          <w:p w14:paraId="5B8D254E"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001</w:t>
            </w:r>
          </w:p>
        </w:tc>
        <w:tc>
          <w:tcPr>
            <w:tcW w:w="1620" w:type="dxa"/>
            <w:tcBorders>
              <w:top w:val="nil"/>
              <w:left w:val="nil"/>
              <w:bottom w:val="single" w:sz="4" w:space="0" w:color="auto"/>
              <w:right w:val="single" w:sz="4" w:space="0" w:color="auto"/>
            </w:tcBorders>
            <w:shd w:val="clear" w:color="auto" w:fill="auto"/>
            <w:noWrap/>
            <w:vAlign w:val="center"/>
            <w:hideMark/>
          </w:tcPr>
          <w:p w14:paraId="50DD05AA"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001</w:t>
            </w:r>
          </w:p>
        </w:tc>
        <w:tc>
          <w:tcPr>
            <w:tcW w:w="1710" w:type="dxa"/>
            <w:tcBorders>
              <w:top w:val="nil"/>
              <w:left w:val="nil"/>
              <w:bottom w:val="single" w:sz="4" w:space="0" w:color="auto"/>
              <w:right w:val="single" w:sz="4" w:space="0" w:color="auto"/>
            </w:tcBorders>
            <w:shd w:val="clear" w:color="auto" w:fill="auto"/>
            <w:noWrap/>
            <w:vAlign w:val="center"/>
            <w:hideMark/>
          </w:tcPr>
          <w:p w14:paraId="4A2F2CEA" w14:textId="77777777" w:rsidR="00661352" w:rsidRPr="00E470BA" w:rsidRDefault="00661352" w:rsidP="00282AF6">
            <w:pPr>
              <w:ind w:right="144"/>
              <w:jc w:val="right"/>
              <w:rPr>
                <w:kern w:val="22"/>
                <w:szCs w:val="22"/>
                <w:lang w:val="fr-CA" w:eastAsia="en-CA"/>
              </w:rPr>
            </w:pPr>
            <w:r w:rsidRPr="00E470BA">
              <w:rPr>
                <w:kern w:val="22"/>
                <w:szCs w:val="22"/>
                <w:lang w:val="fr-CA" w:eastAsia="en-CA"/>
              </w:rPr>
              <w:t>158</w:t>
            </w:r>
          </w:p>
        </w:tc>
      </w:tr>
      <w:tr w:rsidR="00661352" w:rsidRPr="00E470BA" w14:paraId="58B1AF9F"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tcPr>
          <w:p w14:paraId="7E8C27DD" w14:textId="24C0D2A5" w:rsidR="00661352" w:rsidRPr="00E470BA" w:rsidRDefault="00C95673" w:rsidP="004266BB">
            <w:pPr>
              <w:jc w:val="right"/>
              <w:rPr>
                <w:kern w:val="22"/>
                <w:szCs w:val="22"/>
                <w:lang w:val="fr-CA" w:eastAsia="en-CA"/>
              </w:rPr>
            </w:pPr>
            <w:r>
              <w:rPr>
                <w:kern w:val="22"/>
                <w:szCs w:val="22"/>
                <w:lang w:val="fr-CA" w:eastAsia="en-CA"/>
              </w:rPr>
              <w:t>157</w:t>
            </w:r>
          </w:p>
        </w:tc>
        <w:tc>
          <w:tcPr>
            <w:tcW w:w="3870" w:type="dxa"/>
            <w:tcBorders>
              <w:top w:val="nil"/>
              <w:left w:val="nil"/>
              <w:bottom w:val="single" w:sz="4" w:space="0" w:color="auto"/>
              <w:right w:val="single" w:sz="4" w:space="0" w:color="auto"/>
            </w:tcBorders>
            <w:shd w:val="clear" w:color="auto" w:fill="auto"/>
            <w:vAlign w:val="center"/>
            <w:hideMark/>
          </w:tcPr>
          <w:p w14:paraId="61E24118" w14:textId="77777777" w:rsidR="00661352" w:rsidRPr="00E470BA" w:rsidRDefault="00661352" w:rsidP="00E470BA">
            <w:pPr>
              <w:jc w:val="left"/>
              <w:rPr>
                <w:kern w:val="22"/>
                <w:szCs w:val="22"/>
                <w:lang w:val="fr-CA" w:eastAsia="en-CA"/>
              </w:rPr>
            </w:pPr>
            <w:r>
              <w:rPr>
                <w:kern w:val="22"/>
                <w:szCs w:val="22"/>
                <w:lang w:val="fr-CA" w:eastAsia="en-CA"/>
              </w:rPr>
              <w:t>Saint-</w:t>
            </w:r>
            <w:r w:rsidRPr="00E470BA">
              <w:rPr>
                <w:kern w:val="22"/>
                <w:szCs w:val="22"/>
                <w:lang w:val="fr-CA" w:eastAsia="en-CA"/>
              </w:rPr>
              <w:t>Kitts</w:t>
            </w:r>
            <w:r>
              <w:rPr>
                <w:kern w:val="22"/>
                <w:szCs w:val="22"/>
                <w:lang w:val="fr-CA" w:eastAsia="en-CA"/>
              </w:rPr>
              <w:t>-et-N</w:t>
            </w:r>
            <w:r w:rsidRPr="00E470BA">
              <w:rPr>
                <w:kern w:val="22"/>
                <w:szCs w:val="22"/>
                <w:lang w:val="fr-CA" w:eastAsia="en-CA"/>
              </w:rPr>
              <w:t>evis</w:t>
            </w:r>
          </w:p>
        </w:tc>
        <w:tc>
          <w:tcPr>
            <w:tcW w:w="1440" w:type="dxa"/>
            <w:tcBorders>
              <w:top w:val="nil"/>
              <w:left w:val="nil"/>
              <w:bottom w:val="single" w:sz="4" w:space="0" w:color="auto"/>
              <w:right w:val="single" w:sz="4" w:space="0" w:color="auto"/>
            </w:tcBorders>
            <w:shd w:val="clear" w:color="auto" w:fill="auto"/>
            <w:vAlign w:val="center"/>
            <w:hideMark/>
          </w:tcPr>
          <w:p w14:paraId="3FE820A4"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001</w:t>
            </w:r>
          </w:p>
        </w:tc>
        <w:tc>
          <w:tcPr>
            <w:tcW w:w="1620" w:type="dxa"/>
            <w:tcBorders>
              <w:top w:val="nil"/>
              <w:left w:val="nil"/>
              <w:bottom w:val="single" w:sz="4" w:space="0" w:color="auto"/>
              <w:right w:val="single" w:sz="4" w:space="0" w:color="auto"/>
            </w:tcBorders>
            <w:shd w:val="clear" w:color="auto" w:fill="auto"/>
            <w:noWrap/>
            <w:vAlign w:val="center"/>
            <w:hideMark/>
          </w:tcPr>
          <w:p w14:paraId="47391522"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001</w:t>
            </w:r>
          </w:p>
        </w:tc>
        <w:tc>
          <w:tcPr>
            <w:tcW w:w="1710" w:type="dxa"/>
            <w:tcBorders>
              <w:top w:val="nil"/>
              <w:left w:val="nil"/>
              <w:bottom w:val="single" w:sz="4" w:space="0" w:color="auto"/>
              <w:right w:val="single" w:sz="4" w:space="0" w:color="auto"/>
            </w:tcBorders>
            <w:shd w:val="clear" w:color="auto" w:fill="auto"/>
            <w:noWrap/>
            <w:vAlign w:val="center"/>
            <w:hideMark/>
          </w:tcPr>
          <w:p w14:paraId="73ECA638" w14:textId="77777777" w:rsidR="00661352" w:rsidRPr="00E470BA" w:rsidRDefault="00661352" w:rsidP="00282AF6">
            <w:pPr>
              <w:ind w:right="144"/>
              <w:jc w:val="right"/>
              <w:rPr>
                <w:kern w:val="22"/>
                <w:szCs w:val="22"/>
                <w:lang w:val="fr-CA" w:eastAsia="en-CA"/>
              </w:rPr>
            </w:pPr>
            <w:r w:rsidRPr="00E470BA">
              <w:rPr>
                <w:kern w:val="22"/>
                <w:szCs w:val="22"/>
                <w:lang w:val="fr-CA" w:eastAsia="en-CA"/>
              </w:rPr>
              <w:t>158</w:t>
            </w:r>
          </w:p>
        </w:tc>
      </w:tr>
      <w:tr w:rsidR="00661352" w:rsidRPr="00E470BA" w14:paraId="48D1F1E5"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tcPr>
          <w:p w14:paraId="33AB5B93" w14:textId="6C51FE85" w:rsidR="00661352" w:rsidRPr="00E470BA" w:rsidRDefault="00C95673" w:rsidP="004266BB">
            <w:pPr>
              <w:jc w:val="right"/>
              <w:rPr>
                <w:kern w:val="22"/>
                <w:szCs w:val="22"/>
                <w:lang w:val="fr-CA" w:eastAsia="en-CA"/>
              </w:rPr>
            </w:pPr>
            <w:r>
              <w:rPr>
                <w:kern w:val="22"/>
                <w:szCs w:val="22"/>
                <w:lang w:val="fr-CA" w:eastAsia="en-CA"/>
              </w:rPr>
              <w:t>158</w:t>
            </w:r>
          </w:p>
        </w:tc>
        <w:tc>
          <w:tcPr>
            <w:tcW w:w="3870" w:type="dxa"/>
            <w:tcBorders>
              <w:top w:val="nil"/>
              <w:left w:val="nil"/>
              <w:bottom w:val="single" w:sz="4" w:space="0" w:color="auto"/>
              <w:right w:val="single" w:sz="4" w:space="0" w:color="auto"/>
            </w:tcBorders>
            <w:shd w:val="clear" w:color="auto" w:fill="auto"/>
            <w:vAlign w:val="center"/>
            <w:hideMark/>
          </w:tcPr>
          <w:p w14:paraId="4FE4F70F" w14:textId="77777777" w:rsidR="00661352" w:rsidRPr="00E470BA" w:rsidRDefault="00661352" w:rsidP="004266BB">
            <w:pPr>
              <w:jc w:val="left"/>
              <w:rPr>
                <w:kern w:val="22"/>
                <w:szCs w:val="22"/>
                <w:lang w:val="fr-CA" w:eastAsia="en-CA"/>
              </w:rPr>
            </w:pPr>
            <w:r>
              <w:rPr>
                <w:kern w:val="22"/>
                <w:szCs w:val="22"/>
                <w:lang w:val="fr-CA" w:eastAsia="en-CA"/>
              </w:rPr>
              <w:t>Saint-Marin</w:t>
            </w:r>
          </w:p>
        </w:tc>
        <w:tc>
          <w:tcPr>
            <w:tcW w:w="1440" w:type="dxa"/>
            <w:tcBorders>
              <w:top w:val="nil"/>
              <w:left w:val="nil"/>
              <w:bottom w:val="single" w:sz="4" w:space="0" w:color="auto"/>
              <w:right w:val="single" w:sz="4" w:space="0" w:color="auto"/>
            </w:tcBorders>
            <w:shd w:val="clear" w:color="auto" w:fill="auto"/>
            <w:vAlign w:val="center"/>
            <w:hideMark/>
          </w:tcPr>
          <w:p w14:paraId="1DE6E06E"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002</w:t>
            </w:r>
          </w:p>
        </w:tc>
        <w:tc>
          <w:tcPr>
            <w:tcW w:w="1620" w:type="dxa"/>
            <w:tcBorders>
              <w:top w:val="nil"/>
              <w:left w:val="nil"/>
              <w:bottom w:val="single" w:sz="4" w:space="0" w:color="auto"/>
              <w:right w:val="single" w:sz="4" w:space="0" w:color="auto"/>
            </w:tcBorders>
            <w:shd w:val="clear" w:color="auto" w:fill="auto"/>
            <w:noWrap/>
            <w:vAlign w:val="center"/>
            <w:hideMark/>
          </w:tcPr>
          <w:p w14:paraId="3D3C979B"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003</w:t>
            </w:r>
          </w:p>
        </w:tc>
        <w:tc>
          <w:tcPr>
            <w:tcW w:w="1710" w:type="dxa"/>
            <w:tcBorders>
              <w:top w:val="nil"/>
              <w:left w:val="nil"/>
              <w:bottom w:val="single" w:sz="4" w:space="0" w:color="auto"/>
              <w:right w:val="single" w:sz="4" w:space="0" w:color="auto"/>
            </w:tcBorders>
            <w:shd w:val="clear" w:color="auto" w:fill="auto"/>
            <w:noWrap/>
            <w:vAlign w:val="center"/>
            <w:hideMark/>
          </w:tcPr>
          <w:p w14:paraId="5890DF43" w14:textId="77777777" w:rsidR="00661352" w:rsidRPr="00E470BA" w:rsidRDefault="00661352" w:rsidP="00282AF6">
            <w:pPr>
              <w:ind w:right="144"/>
              <w:jc w:val="right"/>
              <w:rPr>
                <w:kern w:val="22"/>
                <w:szCs w:val="22"/>
                <w:lang w:val="fr-CA" w:eastAsia="en-CA"/>
              </w:rPr>
            </w:pPr>
            <w:r w:rsidRPr="00E470BA">
              <w:rPr>
                <w:kern w:val="22"/>
                <w:szCs w:val="22"/>
                <w:lang w:val="fr-CA" w:eastAsia="en-CA"/>
              </w:rPr>
              <w:t>316</w:t>
            </w:r>
          </w:p>
        </w:tc>
      </w:tr>
      <w:tr w:rsidR="00661352" w:rsidRPr="00E470BA" w14:paraId="45EBBBB7"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tcPr>
          <w:p w14:paraId="3939AEE4" w14:textId="6F8E2CDB" w:rsidR="00661352" w:rsidRPr="00E470BA" w:rsidRDefault="00C95673" w:rsidP="004266BB">
            <w:pPr>
              <w:jc w:val="right"/>
              <w:rPr>
                <w:kern w:val="22"/>
                <w:szCs w:val="22"/>
                <w:lang w:val="fr-CA" w:eastAsia="en-CA"/>
              </w:rPr>
            </w:pPr>
            <w:r>
              <w:rPr>
                <w:kern w:val="22"/>
                <w:szCs w:val="22"/>
                <w:lang w:val="fr-CA" w:eastAsia="en-CA"/>
              </w:rPr>
              <w:t>159</w:t>
            </w:r>
          </w:p>
        </w:tc>
        <w:tc>
          <w:tcPr>
            <w:tcW w:w="3870" w:type="dxa"/>
            <w:tcBorders>
              <w:top w:val="nil"/>
              <w:left w:val="nil"/>
              <w:bottom w:val="single" w:sz="4" w:space="0" w:color="auto"/>
              <w:right w:val="single" w:sz="4" w:space="0" w:color="auto"/>
            </w:tcBorders>
            <w:shd w:val="clear" w:color="auto" w:fill="auto"/>
            <w:vAlign w:val="center"/>
            <w:hideMark/>
          </w:tcPr>
          <w:p w14:paraId="74F72C5A" w14:textId="77777777" w:rsidR="00661352" w:rsidRPr="00E470BA" w:rsidRDefault="00661352" w:rsidP="00E470BA">
            <w:pPr>
              <w:jc w:val="left"/>
              <w:rPr>
                <w:kern w:val="22"/>
                <w:szCs w:val="22"/>
                <w:lang w:val="fr-CA" w:eastAsia="en-CA"/>
              </w:rPr>
            </w:pPr>
            <w:r>
              <w:rPr>
                <w:kern w:val="22"/>
                <w:szCs w:val="22"/>
                <w:lang w:val="fr-CA" w:eastAsia="en-CA"/>
              </w:rPr>
              <w:t>Saint-</w:t>
            </w:r>
            <w:r w:rsidRPr="00E470BA">
              <w:rPr>
                <w:kern w:val="22"/>
                <w:szCs w:val="22"/>
                <w:lang w:val="fr-CA" w:eastAsia="en-CA"/>
              </w:rPr>
              <w:t>Vincent</w:t>
            </w:r>
            <w:r>
              <w:rPr>
                <w:kern w:val="22"/>
                <w:szCs w:val="22"/>
                <w:lang w:val="fr-CA" w:eastAsia="en-CA"/>
              </w:rPr>
              <w:t>-et-les-</w:t>
            </w:r>
            <w:r w:rsidRPr="00E470BA">
              <w:rPr>
                <w:kern w:val="22"/>
                <w:szCs w:val="22"/>
                <w:lang w:val="fr-CA" w:eastAsia="en-CA"/>
              </w:rPr>
              <w:t>Grenadines</w:t>
            </w:r>
          </w:p>
        </w:tc>
        <w:tc>
          <w:tcPr>
            <w:tcW w:w="1440" w:type="dxa"/>
            <w:tcBorders>
              <w:top w:val="nil"/>
              <w:left w:val="nil"/>
              <w:bottom w:val="single" w:sz="4" w:space="0" w:color="auto"/>
              <w:right w:val="single" w:sz="4" w:space="0" w:color="auto"/>
            </w:tcBorders>
            <w:shd w:val="clear" w:color="auto" w:fill="auto"/>
            <w:vAlign w:val="center"/>
            <w:hideMark/>
          </w:tcPr>
          <w:p w14:paraId="496D7C7E"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001</w:t>
            </w:r>
          </w:p>
        </w:tc>
        <w:tc>
          <w:tcPr>
            <w:tcW w:w="1620" w:type="dxa"/>
            <w:tcBorders>
              <w:top w:val="nil"/>
              <w:left w:val="nil"/>
              <w:bottom w:val="single" w:sz="4" w:space="0" w:color="auto"/>
              <w:right w:val="single" w:sz="4" w:space="0" w:color="auto"/>
            </w:tcBorders>
            <w:shd w:val="clear" w:color="auto" w:fill="auto"/>
            <w:noWrap/>
            <w:vAlign w:val="center"/>
            <w:hideMark/>
          </w:tcPr>
          <w:p w14:paraId="084DDB19"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001</w:t>
            </w:r>
          </w:p>
        </w:tc>
        <w:tc>
          <w:tcPr>
            <w:tcW w:w="1710" w:type="dxa"/>
            <w:tcBorders>
              <w:top w:val="nil"/>
              <w:left w:val="nil"/>
              <w:bottom w:val="single" w:sz="4" w:space="0" w:color="auto"/>
              <w:right w:val="single" w:sz="4" w:space="0" w:color="auto"/>
            </w:tcBorders>
            <w:shd w:val="clear" w:color="auto" w:fill="auto"/>
            <w:noWrap/>
            <w:vAlign w:val="center"/>
            <w:hideMark/>
          </w:tcPr>
          <w:p w14:paraId="2DDB0215" w14:textId="77777777" w:rsidR="00661352" w:rsidRPr="00E470BA" w:rsidRDefault="00661352" w:rsidP="00282AF6">
            <w:pPr>
              <w:ind w:right="144"/>
              <w:jc w:val="right"/>
              <w:rPr>
                <w:kern w:val="22"/>
                <w:szCs w:val="22"/>
                <w:lang w:val="fr-CA" w:eastAsia="en-CA"/>
              </w:rPr>
            </w:pPr>
            <w:r w:rsidRPr="00E470BA">
              <w:rPr>
                <w:kern w:val="22"/>
                <w:szCs w:val="22"/>
                <w:lang w:val="fr-CA" w:eastAsia="en-CA"/>
              </w:rPr>
              <w:t>158</w:t>
            </w:r>
          </w:p>
        </w:tc>
      </w:tr>
      <w:tr w:rsidR="00661352" w:rsidRPr="00E470BA" w14:paraId="719C79DF"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tcPr>
          <w:p w14:paraId="7F8D3E62" w14:textId="25EC4674" w:rsidR="00661352" w:rsidRPr="00E470BA" w:rsidRDefault="00C95673" w:rsidP="004266BB">
            <w:pPr>
              <w:jc w:val="right"/>
              <w:rPr>
                <w:kern w:val="22"/>
                <w:szCs w:val="22"/>
                <w:lang w:val="fr-CA" w:eastAsia="en-CA"/>
              </w:rPr>
            </w:pPr>
            <w:r>
              <w:rPr>
                <w:kern w:val="22"/>
                <w:szCs w:val="22"/>
                <w:lang w:val="fr-CA" w:eastAsia="en-CA"/>
              </w:rPr>
              <w:t>160</w:t>
            </w:r>
          </w:p>
        </w:tc>
        <w:tc>
          <w:tcPr>
            <w:tcW w:w="3870" w:type="dxa"/>
            <w:tcBorders>
              <w:top w:val="nil"/>
              <w:left w:val="nil"/>
              <w:bottom w:val="single" w:sz="4" w:space="0" w:color="auto"/>
              <w:right w:val="single" w:sz="4" w:space="0" w:color="auto"/>
            </w:tcBorders>
            <w:shd w:val="clear" w:color="auto" w:fill="auto"/>
            <w:vAlign w:val="center"/>
            <w:hideMark/>
          </w:tcPr>
          <w:p w14:paraId="689F2CCF" w14:textId="77777777" w:rsidR="00661352" w:rsidRPr="00E470BA" w:rsidRDefault="00661352" w:rsidP="004266BB">
            <w:pPr>
              <w:jc w:val="left"/>
              <w:rPr>
                <w:kern w:val="22"/>
                <w:szCs w:val="22"/>
                <w:lang w:val="fr-CA" w:eastAsia="en-CA"/>
              </w:rPr>
            </w:pPr>
            <w:r w:rsidRPr="00E470BA">
              <w:rPr>
                <w:kern w:val="22"/>
                <w:szCs w:val="22"/>
                <w:lang w:val="fr-CA" w:eastAsia="en-CA"/>
              </w:rPr>
              <w:t>Samoa</w:t>
            </w:r>
          </w:p>
        </w:tc>
        <w:tc>
          <w:tcPr>
            <w:tcW w:w="1440" w:type="dxa"/>
            <w:tcBorders>
              <w:top w:val="nil"/>
              <w:left w:val="nil"/>
              <w:bottom w:val="single" w:sz="4" w:space="0" w:color="auto"/>
              <w:right w:val="single" w:sz="4" w:space="0" w:color="auto"/>
            </w:tcBorders>
            <w:shd w:val="clear" w:color="auto" w:fill="auto"/>
            <w:vAlign w:val="center"/>
            <w:hideMark/>
          </w:tcPr>
          <w:p w14:paraId="3D87011A"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001</w:t>
            </w:r>
          </w:p>
        </w:tc>
        <w:tc>
          <w:tcPr>
            <w:tcW w:w="1620" w:type="dxa"/>
            <w:tcBorders>
              <w:top w:val="nil"/>
              <w:left w:val="nil"/>
              <w:bottom w:val="single" w:sz="4" w:space="0" w:color="auto"/>
              <w:right w:val="single" w:sz="4" w:space="0" w:color="auto"/>
            </w:tcBorders>
            <w:shd w:val="clear" w:color="auto" w:fill="auto"/>
            <w:noWrap/>
            <w:vAlign w:val="center"/>
            <w:hideMark/>
          </w:tcPr>
          <w:p w14:paraId="7F421E9B"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001</w:t>
            </w:r>
          </w:p>
        </w:tc>
        <w:tc>
          <w:tcPr>
            <w:tcW w:w="1710" w:type="dxa"/>
            <w:tcBorders>
              <w:top w:val="nil"/>
              <w:left w:val="nil"/>
              <w:bottom w:val="single" w:sz="4" w:space="0" w:color="auto"/>
              <w:right w:val="single" w:sz="4" w:space="0" w:color="auto"/>
            </w:tcBorders>
            <w:shd w:val="clear" w:color="auto" w:fill="auto"/>
            <w:noWrap/>
            <w:vAlign w:val="center"/>
            <w:hideMark/>
          </w:tcPr>
          <w:p w14:paraId="269D0A2F" w14:textId="77777777" w:rsidR="00661352" w:rsidRPr="00E470BA" w:rsidRDefault="00661352" w:rsidP="00282AF6">
            <w:pPr>
              <w:ind w:right="144"/>
              <w:jc w:val="right"/>
              <w:rPr>
                <w:kern w:val="22"/>
                <w:szCs w:val="22"/>
                <w:lang w:val="fr-CA" w:eastAsia="en-CA"/>
              </w:rPr>
            </w:pPr>
            <w:r w:rsidRPr="00E470BA">
              <w:rPr>
                <w:kern w:val="22"/>
                <w:szCs w:val="22"/>
                <w:lang w:val="fr-CA" w:eastAsia="en-CA"/>
              </w:rPr>
              <w:t>158</w:t>
            </w:r>
          </w:p>
        </w:tc>
      </w:tr>
      <w:tr w:rsidR="00661352" w:rsidRPr="00E470BA" w14:paraId="5931BA38"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tcPr>
          <w:p w14:paraId="1AFC672F" w14:textId="5DCE25A5" w:rsidR="00661352" w:rsidRPr="00E470BA" w:rsidRDefault="00C95673" w:rsidP="004266BB">
            <w:pPr>
              <w:jc w:val="right"/>
              <w:rPr>
                <w:kern w:val="22"/>
                <w:szCs w:val="22"/>
                <w:lang w:val="fr-CA" w:eastAsia="en-CA"/>
              </w:rPr>
            </w:pPr>
            <w:r>
              <w:rPr>
                <w:kern w:val="22"/>
                <w:szCs w:val="22"/>
                <w:lang w:val="fr-CA" w:eastAsia="en-CA"/>
              </w:rPr>
              <w:t>161</w:t>
            </w:r>
          </w:p>
        </w:tc>
        <w:tc>
          <w:tcPr>
            <w:tcW w:w="3870" w:type="dxa"/>
            <w:tcBorders>
              <w:top w:val="nil"/>
              <w:left w:val="nil"/>
              <w:bottom w:val="single" w:sz="4" w:space="0" w:color="auto"/>
              <w:right w:val="single" w:sz="4" w:space="0" w:color="auto"/>
            </w:tcBorders>
            <w:shd w:val="clear" w:color="auto" w:fill="auto"/>
            <w:vAlign w:val="center"/>
            <w:hideMark/>
          </w:tcPr>
          <w:p w14:paraId="600F43A0" w14:textId="77777777" w:rsidR="00661352" w:rsidRPr="00E470BA" w:rsidRDefault="00661352" w:rsidP="00E470BA">
            <w:pPr>
              <w:jc w:val="left"/>
              <w:rPr>
                <w:kern w:val="22"/>
                <w:szCs w:val="22"/>
                <w:lang w:val="fr-CA" w:eastAsia="en-CA"/>
              </w:rPr>
            </w:pPr>
            <w:r>
              <w:rPr>
                <w:kern w:val="22"/>
                <w:szCs w:val="22"/>
                <w:lang w:val="fr-CA" w:eastAsia="en-CA"/>
              </w:rPr>
              <w:t>Sao Tomé-et-</w:t>
            </w:r>
            <w:r w:rsidRPr="00E470BA">
              <w:rPr>
                <w:kern w:val="22"/>
                <w:szCs w:val="22"/>
                <w:lang w:val="fr-CA" w:eastAsia="en-CA"/>
              </w:rPr>
              <w:t>Principe</w:t>
            </w:r>
          </w:p>
        </w:tc>
        <w:tc>
          <w:tcPr>
            <w:tcW w:w="1440" w:type="dxa"/>
            <w:tcBorders>
              <w:top w:val="nil"/>
              <w:left w:val="nil"/>
              <w:bottom w:val="single" w:sz="4" w:space="0" w:color="auto"/>
              <w:right w:val="single" w:sz="4" w:space="0" w:color="auto"/>
            </w:tcBorders>
            <w:shd w:val="clear" w:color="auto" w:fill="auto"/>
            <w:vAlign w:val="center"/>
            <w:hideMark/>
          </w:tcPr>
          <w:p w14:paraId="44A22AE4"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001</w:t>
            </w:r>
          </w:p>
        </w:tc>
        <w:tc>
          <w:tcPr>
            <w:tcW w:w="1620" w:type="dxa"/>
            <w:tcBorders>
              <w:top w:val="nil"/>
              <w:left w:val="nil"/>
              <w:bottom w:val="single" w:sz="4" w:space="0" w:color="auto"/>
              <w:right w:val="single" w:sz="4" w:space="0" w:color="auto"/>
            </w:tcBorders>
            <w:shd w:val="clear" w:color="auto" w:fill="auto"/>
            <w:noWrap/>
            <w:vAlign w:val="center"/>
            <w:hideMark/>
          </w:tcPr>
          <w:p w14:paraId="1C543789"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001</w:t>
            </w:r>
          </w:p>
        </w:tc>
        <w:tc>
          <w:tcPr>
            <w:tcW w:w="1710" w:type="dxa"/>
            <w:tcBorders>
              <w:top w:val="nil"/>
              <w:left w:val="nil"/>
              <w:bottom w:val="single" w:sz="4" w:space="0" w:color="auto"/>
              <w:right w:val="single" w:sz="4" w:space="0" w:color="auto"/>
            </w:tcBorders>
            <w:shd w:val="clear" w:color="auto" w:fill="auto"/>
            <w:noWrap/>
            <w:vAlign w:val="center"/>
            <w:hideMark/>
          </w:tcPr>
          <w:p w14:paraId="65E339EA" w14:textId="77777777" w:rsidR="00661352" w:rsidRPr="00E470BA" w:rsidRDefault="00661352" w:rsidP="00282AF6">
            <w:pPr>
              <w:ind w:right="144"/>
              <w:jc w:val="right"/>
              <w:rPr>
                <w:kern w:val="22"/>
                <w:szCs w:val="22"/>
                <w:lang w:val="fr-CA" w:eastAsia="en-CA"/>
              </w:rPr>
            </w:pPr>
            <w:r w:rsidRPr="00E470BA">
              <w:rPr>
                <w:kern w:val="22"/>
                <w:szCs w:val="22"/>
                <w:lang w:val="fr-CA" w:eastAsia="en-CA"/>
              </w:rPr>
              <w:t>158</w:t>
            </w:r>
          </w:p>
        </w:tc>
      </w:tr>
      <w:tr w:rsidR="00661352" w:rsidRPr="00E470BA" w14:paraId="67D12ACE"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tcPr>
          <w:p w14:paraId="63C1EBFB" w14:textId="00CEE750" w:rsidR="00661352" w:rsidRPr="00E470BA" w:rsidRDefault="00C95673" w:rsidP="004266BB">
            <w:pPr>
              <w:jc w:val="right"/>
              <w:rPr>
                <w:kern w:val="22"/>
                <w:szCs w:val="22"/>
                <w:lang w:val="fr-CA" w:eastAsia="en-CA"/>
              </w:rPr>
            </w:pPr>
            <w:r>
              <w:rPr>
                <w:kern w:val="22"/>
                <w:szCs w:val="22"/>
                <w:lang w:val="fr-CA" w:eastAsia="en-CA"/>
              </w:rPr>
              <w:t>162</w:t>
            </w:r>
          </w:p>
        </w:tc>
        <w:tc>
          <w:tcPr>
            <w:tcW w:w="3870" w:type="dxa"/>
            <w:tcBorders>
              <w:top w:val="nil"/>
              <w:left w:val="nil"/>
              <w:bottom w:val="single" w:sz="4" w:space="0" w:color="auto"/>
              <w:right w:val="single" w:sz="4" w:space="0" w:color="auto"/>
            </w:tcBorders>
            <w:shd w:val="clear" w:color="auto" w:fill="auto"/>
            <w:vAlign w:val="center"/>
            <w:hideMark/>
          </w:tcPr>
          <w:p w14:paraId="2186DCC5" w14:textId="77777777" w:rsidR="00661352" w:rsidRPr="00E470BA" w:rsidRDefault="00661352" w:rsidP="004266BB">
            <w:pPr>
              <w:jc w:val="left"/>
              <w:rPr>
                <w:kern w:val="22"/>
                <w:szCs w:val="22"/>
                <w:lang w:val="fr-CA" w:eastAsia="en-CA"/>
              </w:rPr>
            </w:pPr>
            <w:r>
              <w:rPr>
                <w:kern w:val="22"/>
                <w:szCs w:val="22"/>
                <w:lang w:val="fr-CA" w:eastAsia="en-CA"/>
              </w:rPr>
              <w:t>Séné</w:t>
            </w:r>
            <w:r w:rsidRPr="00E470BA">
              <w:rPr>
                <w:kern w:val="22"/>
                <w:szCs w:val="22"/>
                <w:lang w:val="fr-CA" w:eastAsia="en-CA"/>
              </w:rPr>
              <w:t>gal</w:t>
            </w:r>
          </w:p>
        </w:tc>
        <w:tc>
          <w:tcPr>
            <w:tcW w:w="1440" w:type="dxa"/>
            <w:tcBorders>
              <w:top w:val="nil"/>
              <w:left w:val="nil"/>
              <w:bottom w:val="single" w:sz="4" w:space="0" w:color="auto"/>
              <w:right w:val="single" w:sz="4" w:space="0" w:color="auto"/>
            </w:tcBorders>
            <w:shd w:val="clear" w:color="auto" w:fill="auto"/>
            <w:vAlign w:val="center"/>
            <w:hideMark/>
          </w:tcPr>
          <w:p w14:paraId="4DD02A36"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007</w:t>
            </w:r>
          </w:p>
        </w:tc>
        <w:tc>
          <w:tcPr>
            <w:tcW w:w="1620" w:type="dxa"/>
            <w:tcBorders>
              <w:top w:val="nil"/>
              <w:left w:val="nil"/>
              <w:bottom w:val="single" w:sz="4" w:space="0" w:color="auto"/>
              <w:right w:val="single" w:sz="4" w:space="0" w:color="auto"/>
            </w:tcBorders>
            <w:shd w:val="clear" w:color="auto" w:fill="auto"/>
            <w:noWrap/>
            <w:vAlign w:val="center"/>
            <w:hideMark/>
          </w:tcPr>
          <w:p w14:paraId="45F03FBF"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009</w:t>
            </w:r>
          </w:p>
        </w:tc>
        <w:tc>
          <w:tcPr>
            <w:tcW w:w="1710" w:type="dxa"/>
            <w:tcBorders>
              <w:top w:val="nil"/>
              <w:left w:val="nil"/>
              <w:bottom w:val="single" w:sz="4" w:space="0" w:color="auto"/>
              <w:right w:val="single" w:sz="4" w:space="0" w:color="auto"/>
            </w:tcBorders>
            <w:shd w:val="clear" w:color="auto" w:fill="auto"/>
            <w:noWrap/>
            <w:vAlign w:val="center"/>
            <w:hideMark/>
          </w:tcPr>
          <w:p w14:paraId="2CCA4BF8" w14:textId="77777777" w:rsidR="00661352" w:rsidRPr="00E470BA" w:rsidRDefault="00661352" w:rsidP="00282AF6">
            <w:pPr>
              <w:ind w:right="144"/>
              <w:jc w:val="right"/>
              <w:rPr>
                <w:kern w:val="22"/>
                <w:szCs w:val="22"/>
                <w:lang w:val="fr-CA" w:eastAsia="en-CA"/>
              </w:rPr>
            </w:pPr>
            <w:r w:rsidRPr="00E470BA">
              <w:rPr>
                <w:kern w:val="22"/>
                <w:szCs w:val="22"/>
                <w:lang w:val="fr-CA" w:eastAsia="en-CA"/>
              </w:rPr>
              <w:t>1 104</w:t>
            </w:r>
          </w:p>
        </w:tc>
      </w:tr>
      <w:tr w:rsidR="00661352" w:rsidRPr="00E470BA" w14:paraId="3FB60FDA"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tcPr>
          <w:p w14:paraId="5E640623" w14:textId="58745799" w:rsidR="00661352" w:rsidRPr="00E470BA" w:rsidRDefault="00C95673" w:rsidP="004266BB">
            <w:pPr>
              <w:jc w:val="right"/>
              <w:rPr>
                <w:kern w:val="22"/>
                <w:szCs w:val="22"/>
                <w:lang w:val="fr-CA" w:eastAsia="en-CA"/>
              </w:rPr>
            </w:pPr>
            <w:r>
              <w:rPr>
                <w:kern w:val="22"/>
                <w:szCs w:val="22"/>
                <w:lang w:val="fr-CA" w:eastAsia="en-CA"/>
              </w:rPr>
              <w:t>163</w:t>
            </w:r>
          </w:p>
        </w:tc>
        <w:tc>
          <w:tcPr>
            <w:tcW w:w="3870" w:type="dxa"/>
            <w:tcBorders>
              <w:top w:val="nil"/>
              <w:left w:val="nil"/>
              <w:bottom w:val="single" w:sz="4" w:space="0" w:color="auto"/>
              <w:right w:val="single" w:sz="4" w:space="0" w:color="auto"/>
            </w:tcBorders>
            <w:shd w:val="clear" w:color="auto" w:fill="auto"/>
            <w:vAlign w:val="center"/>
            <w:hideMark/>
          </w:tcPr>
          <w:p w14:paraId="3E4C5CBC" w14:textId="77777777" w:rsidR="00661352" w:rsidRPr="00E470BA" w:rsidRDefault="00661352" w:rsidP="004266BB">
            <w:pPr>
              <w:jc w:val="left"/>
              <w:rPr>
                <w:kern w:val="22"/>
                <w:szCs w:val="22"/>
                <w:lang w:val="fr-CA" w:eastAsia="en-CA"/>
              </w:rPr>
            </w:pPr>
            <w:r>
              <w:rPr>
                <w:kern w:val="22"/>
                <w:szCs w:val="22"/>
                <w:lang w:val="fr-CA" w:eastAsia="en-CA"/>
              </w:rPr>
              <w:t>Serbie</w:t>
            </w:r>
          </w:p>
        </w:tc>
        <w:tc>
          <w:tcPr>
            <w:tcW w:w="1440" w:type="dxa"/>
            <w:tcBorders>
              <w:top w:val="nil"/>
              <w:left w:val="nil"/>
              <w:bottom w:val="single" w:sz="4" w:space="0" w:color="auto"/>
              <w:right w:val="single" w:sz="4" w:space="0" w:color="auto"/>
            </w:tcBorders>
            <w:shd w:val="clear" w:color="auto" w:fill="auto"/>
            <w:vAlign w:val="center"/>
            <w:hideMark/>
          </w:tcPr>
          <w:p w14:paraId="128E60FB"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028</w:t>
            </w:r>
          </w:p>
        </w:tc>
        <w:tc>
          <w:tcPr>
            <w:tcW w:w="1620" w:type="dxa"/>
            <w:tcBorders>
              <w:top w:val="nil"/>
              <w:left w:val="nil"/>
              <w:bottom w:val="single" w:sz="4" w:space="0" w:color="auto"/>
              <w:right w:val="single" w:sz="4" w:space="0" w:color="auto"/>
            </w:tcBorders>
            <w:shd w:val="clear" w:color="auto" w:fill="auto"/>
            <w:noWrap/>
            <w:vAlign w:val="center"/>
            <w:hideMark/>
          </w:tcPr>
          <w:p w14:paraId="7B2B3800"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035</w:t>
            </w:r>
          </w:p>
        </w:tc>
        <w:tc>
          <w:tcPr>
            <w:tcW w:w="1710" w:type="dxa"/>
            <w:tcBorders>
              <w:top w:val="nil"/>
              <w:left w:val="nil"/>
              <w:bottom w:val="single" w:sz="4" w:space="0" w:color="auto"/>
              <w:right w:val="single" w:sz="4" w:space="0" w:color="auto"/>
            </w:tcBorders>
            <w:shd w:val="clear" w:color="auto" w:fill="auto"/>
            <w:noWrap/>
            <w:vAlign w:val="center"/>
            <w:hideMark/>
          </w:tcPr>
          <w:p w14:paraId="44104864" w14:textId="77777777" w:rsidR="00661352" w:rsidRPr="00E470BA" w:rsidRDefault="00661352" w:rsidP="00282AF6">
            <w:pPr>
              <w:ind w:right="144"/>
              <w:jc w:val="right"/>
              <w:rPr>
                <w:kern w:val="22"/>
                <w:szCs w:val="22"/>
                <w:lang w:val="fr-CA" w:eastAsia="en-CA"/>
              </w:rPr>
            </w:pPr>
            <w:r w:rsidRPr="00E470BA">
              <w:rPr>
                <w:kern w:val="22"/>
                <w:szCs w:val="22"/>
                <w:lang w:val="fr-CA" w:eastAsia="en-CA"/>
              </w:rPr>
              <w:t>4 418</w:t>
            </w:r>
          </w:p>
        </w:tc>
      </w:tr>
      <w:tr w:rsidR="00661352" w:rsidRPr="00E470BA" w14:paraId="0A93EEE6"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tcPr>
          <w:p w14:paraId="468AEAC6" w14:textId="0AA203B2" w:rsidR="00661352" w:rsidRPr="00E470BA" w:rsidRDefault="00C95673" w:rsidP="004266BB">
            <w:pPr>
              <w:jc w:val="right"/>
              <w:rPr>
                <w:kern w:val="22"/>
                <w:szCs w:val="22"/>
                <w:lang w:val="fr-CA" w:eastAsia="en-CA"/>
              </w:rPr>
            </w:pPr>
            <w:r>
              <w:rPr>
                <w:kern w:val="22"/>
                <w:szCs w:val="22"/>
                <w:lang w:val="fr-CA" w:eastAsia="en-CA"/>
              </w:rPr>
              <w:t>164</w:t>
            </w:r>
          </w:p>
        </w:tc>
        <w:tc>
          <w:tcPr>
            <w:tcW w:w="3870" w:type="dxa"/>
            <w:tcBorders>
              <w:top w:val="nil"/>
              <w:left w:val="nil"/>
              <w:bottom w:val="single" w:sz="4" w:space="0" w:color="auto"/>
              <w:right w:val="single" w:sz="4" w:space="0" w:color="auto"/>
            </w:tcBorders>
            <w:shd w:val="clear" w:color="auto" w:fill="auto"/>
            <w:vAlign w:val="center"/>
            <w:hideMark/>
          </w:tcPr>
          <w:p w14:paraId="5A5D79D5" w14:textId="77777777" w:rsidR="00661352" w:rsidRPr="00E470BA" w:rsidRDefault="00661352" w:rsidP="004266BB">
            <w:pPr>
              <w:jc w:val="left"/>
              <w:rPr>
                <w:kern w:val="22"/>
                <w:szCs w:val="22"/>
                <w:lang w:val="fr-CA" w:eastAsia="en-CA"/>
              </w:rPr>
            </w:pPr>
            <w:r w:rsidRPr="00E470BA">
              <w:rPr>
                <w:kern w:val="22"/>
                <w:szCs w:val="22"/>
                <w:lang w:val="fr-CA" w:eastAsia="en-CA"/>
              </w:rPr>
              <w:t>Seychelles</w:t>
            </w:r>
          </w:p>
        </w:tc>
        <w:tc>
          <w:tcPr>
            <w:tcW w:w="1440" w:type="dxa"/>
            <w:tcBorders>
              <w:top w:val="nil"/>
              <w:left w:val="nil"/>
              <w:bottom w:val="single" w:sz="4" w:space="0" w:color="auto"/>
              <w:right w:val="single" w:sz="4" w:space="0" w:color="auto"/>
            </w:tcBorders>
            <w:shd w:val="clear" w:color="auto" w:fill="auto"/>
            <w:vAlign w:val="center"/>
            <w:hideMark/>
          </w:tcPr>
          <w:p w14:paraId="4F17BA4B"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002</w:t>
            </w:r>
          </w:p>
        </w:tc>
        <w:tc>
          <w:tcPr>
            <w:tcW w:w="1620" w:type="dxa"/>
            <w:tcBorders>
              <w:top w:val="nil"/>
              <w:left w:val="nil"/>
              <w:bottom w:val="single" w:sz="4" w:space="0" w:color="auto"/>
              <w:right w:val="single" w:sz="4" w:space="0" w:color="auto"/>
            </w:tcBorders>
            <w:shd w:val="clear" w:color="auto" w:fill="auto"/>
            <w:noWrap/>
            <w:vAlign w:val="center"/>
            <w:hideMark/>
          </w:tcPr>
          <w:p w14:paraId="5C52A7E3"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003</w:t>
            </w:r>
          </w:p>
        </w:tc>
        <w:tc>
          <w:tcPr>
            <w:tcW w:w="1710" w:type="dxa"/>
            <w:tcBorders>
              <w:top w:val="nil"/>
              <w:left w:val="nil"/>
              <w:bottom w:val="single" w:sz="4" w:space="0" w:color="auto"/>
              <w:right w:val="single" w:sz="4" w:space="0" w:color="auto"/>
            </w:tcBorders>
            <w:shd w:val="clear" w:color="auto" w:fill="auto"/>
            <w:noWrap/>
            <w:vAlign w:val="center"/>
            <w:hideMark/>
          </w:tcPr>
          <w:p w14:paraId="69FF84BB" w14:textId="77777777" w:rsidR="00661352" w:rsidRPr="00E470BA" w:rsidRDefault="00661352" w:rsidP="00282AF6">
            <w:pPr>
              <w:ind w:right="144"/>
              <w:jc w:val="right"/>
              <w:rPr>
                <w:kern w:val="22"/>
                <w:szCs w:val="22"/>
                <w:lang w:val="fr-CA" w:eastAsia="en-CA"/>
              </w:rPr>
            </w:pPr>
            <w:r w:rsidRPr="00E470BA">
              <w:rPr>
                <w:kern w:val="22"/>
                <w:szCs w:val="22"/>
                <w:lang w:val="fr-CA" w:eastAsia="en-CA"/>
              </w:rPr>
              <w:t>316</w:t>
            </w:r>
          </w:p>
        </w:tc>
      </w:tr>
      <w:tr w:rsidR="00661352" w:rsidRPr="00E470BA" w14:paraId="29894E7F"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tcPr>
          <w:p w14:paraId="6840B5C9" w14:textId="05C8E931" w:rsidR="00661352" w:rsidRPr="00E470BA" w:rsidRDefault="00C95673" w:rsidP="004266BB">
            <w:pPr>
              <w:jc w:val="right"/>
              <w:rPr>
                <w:kern w:val="22"/>
                <w:szCs w:val="22"/>
                <w:lang w:val="fr-CA" w:eastAsia="en-CA"/>
              </w:rPr>
            </w:pPr>
            <w:r>
              <w:rPr>
                <w:kern w:val="22"/>
                <w:szCs w:val="22"/>
                <w:lang w:val="fr-CA" w:eastAsia="en-CA"/>
              </w:rPr>
              <w:t>165</w:t>
            </w:r>
          </w:p>
        </w:tc>
        <w:tc>
          <w:tcPr>
            <w:tcW w:w="3870" w:type="dxa"/>
            <w:tcBorders>
              <w:top w:val="nil"/>
              <w:left w:val="nil"/>
              <w:bottom w:val="single" w:sz="4" w:space="0" w:color="auto"/>
              <w:right w:val="single" w:sz="4" w:space="0" w:color="auto"/>
            </w:tcBorders>
            <w:shd w:val="clear" w:color="auto" w:fill="auto"/>
            <w:vAlign w:val="center"/>
            <w:hideMark/>
          </w:tcPr>
          <w:p w14:paraId="158ABDC2" w14:textId="77777777" w:rsidR="00661352" w:rsidRPr="00E470BA" w:rsidRDefault="00661352" w:rsidP="004266BB">
            <w:pPr>
              <w:jc w:val="left"/>
              <w:rPr>
                <w:kern w:val="22"/>
                <w:szCs w:val="22"/>
                <w:lang w:val="fr-CA" w:eastAsia="en-CA"/>
              </w:rPr>
            </w:pPr>
            <w:r w:rsidRPr="00E470BA">
              <w:rPr>
                <w:kern w:val="22"/>
                <w:szCs w:val="22"/>
                <w:lang w:val="fr-CA" w:eastAsia="en-CA"/>
              </w:rPr>
              <w:t>Sierra Leone</w:t>
            </w:r>
          </w:p>
        </w:tc>
        <w:tc>
          <w:tcPr>
            <w:tcW w:w="1440" w:type="dxa"/>
            <w:tcBorders>
              <w:top w:val="nil"/>
              <w:left w:val="nil"/>
              <w:bottom w:val="single" w:sz="4" w:space="0" w:color="auto"/>
              <w:right w:val="single" w:sz="4" w:space="0" w:color="auto"/>
            </w:tcBorders>
            <w:shd w:val="clear" w:color="auto" w:fill="auto"/>
            <w:vAlign w:val="center"/>
            <w:hideMark/>
          </w:tcPr>
          <w:p w14:paraId="069E77DF"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001</w:t>
            </w:r>
          </w:p>
        </w:tc>
        <w:tc>
          <w:tcPr>
            <w:tcW w:w="1620" w:type="dxa"/>
            <w:tcBorders>
              <w:top w:val="nil"/>
              <w:left w:val="nil"/>
              <w:bottom w:val="single" w:sz="4" w:space="0" w:color="auto"/>
              <w:right w:val="single" w:sz="4" w:space="0" w:color="auto"/>
            </w:tcBorders>
            <w:shd w:val="clear" w:color="auto" w:fill="auto"/>
            <w:noWrap/>
            <w:vAlign w:val="center"/>
            <w:hideMark/>
          </w:tcPr>
          <w:p w14:paraId="086968ED"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001</w:t>
            </w:r>
          </w:p>
        </w:tc>
        <w:tc>
          <w:tcPr>
            <w:tcW w:w="1710" w:type="dxa"/>
            <w:tcBorders>
              <w:top w:val="nil"/>
              <w:left w:val="nil"/>
              <w:bottom w:val="single" w:sz="4" w:space="0" w:color="auto"/>
              <w:right w:val="single" w:sz="4" w:space="0" w:color="auto"/>
            </w:tcBorders>
            <w:shd w:val="clear" w:color="auto" w:fill="auto"/>
            <w:noWrap/>
            <w:vAlign w:val="center"/>
            <w:hideMark/>
          </w:tcPr>
          <w:p w14:paraId="4EEB0771" w14:textId="77777777" w:rsidR="00661352" w:rsidRPr="00E470BA" w:rsidRDefault="00661352" w:rsidP="00282AF6">
            <w:pPr>
              <w:ind w:right="144"/>
              <w:jc w:val="right"/>
              <w:rPr>
                <w:kern w:val="22"/>
                <w:szCs w:val="22"/>
                <w:lang w:val="fr-CA" w:eastAsia="en-CA"/>
              </w:rPr>
            </w:pPr>
            <w:r w:rsidRPr="00E470BA">
              <w:rPr>
                <w:kern w:val="22"/>
                <w:szCs w:val="22"/>
                <w:lang w:val="fr-CA" w:eastAsia="en-CA"/>
              </w:rPr>
              <w:t>158</w:t>
            </w:r>
          </w:p>
        </w:tc>
      </w:tr>
      <w:tr w:rsidR="00661352" w:rsidRPr="00E470BA" w14:paraId="76036E63"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tcPr>
          <w:p w14:paraId="13952CD1" w14:textId="21984FFA" w:rsidR="00661352" w:rsidRPr="00E470BA" w:rsidRDefault="00C95673" w:rsidP="004266BB">
            <w:pPr>
              <w:jc w:val="right"/>
              <w:rPr>
                <w:kern w:val="22"/>
                <w:szCs w:val="22"/>
                <w:lang w:val="fr-CA" w:eastAsia="en-CA"/>
              </w:rPr>
            </w:pPr>
            <w:r>
              <w:rPr>
                <w:kern w:val="22"/>
                <w:szCs w:val="22"/>
                <w:lang w:val="fr-CA" w:eastAsia="en-CA"/>
              </w:rPr>
              <w:t>166</w:t>
            </w:r>
          </w:p>
        </w:tc>
        <w:tc>
          <w:tcPr>
            <w:tcW w:w="3870" w:type="dxa"/>
            <w:tcBorders>
              <w:top w:val="nil"/>
              <w:left w:val="nil"/>
              <w:bottom w:val="single" w:sz="4" w:space="0" w:color="auto"/>
              <w:right w:val="single" w:sz="4" w:space="0" w:color="auto"/>
            </w:tcBorders>
            <w:shd w:val="clear" w:color="auto" w:fill="auto"/>
            <w:vAlign w:val="center"/>
            <w:hideMark/>
          </w:tcPr>
          <w:p w14:paraId="5CE4F6C3" w14:textId="77777777" w:rsidR="00661352" w:rsidRPr="00E470BA" w:rsidRDefault="00661352" w:rsidP="004266BB">
            <w:pPr>
              <w:jc w:val="left"/>
              <w:rPr>
                <w:kern w:val="22"/>
                <w:szCs w:val="22"/>
                <w:lang w:val="fr-CA" w:eastAsia="en-CA"/>
              </w:rPr>
            </w:pPr>
            <w:r>
              <w:rPr>
                <w:kern w:val="22"/>
                <w:szCs w:val="22"/>
                <w:lang w:val="fr-CA" w:eastAsia="en-CA"/>
              </w:rPr>
              <w:t>Singapour</w:t>
            </w:r>
          </w:p>
        </w:tc>
        <w:tc>
          <w:tcPr>
            <w:tcW w:w="1440" w:type="dxa"/>
            <w:tcBorders>
              <w:top w:val="nil"/>
              <w:left w:val="nil"/>
              <w:bottom w:val="single" w:sz="4" w:space="0" w:color="auto"/>
              <w:right w:val="single" w:sz="4" w:space="0" w:color="auto"/>
            </w:tcBorders>
            <w:shd w:val="clear" w:color="auto" w:fill="auto"/>
            <w:vAlign w:val="center"/>
            <w:hideMark/>
          </w:tcPr>
          <w:p w14:paraId="56DB7074"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485</w:t>
            </w:r>
          </w:p>
        </w:tc>
        <w:tc>
          <w:tcPr>
            <w:tcW w:w="1620" w:type="dxa"/>
            <w:tcBorders>
              <w:top w:val="nil"/>
              <w:left w:val="nil"/>
              <w:bottom w:val="single" w:sz="4" w:space="0" w:color="auto"/>
              <w:right w:val="single" w:sz="4" w:space="0" w:color="auto"/>
            </w:tcBorders>
            <w:shd w:val="clear" w:color="auto" w:fill="auto"/>
            <w:noWrap/>
            <w:vAlign w:val="center"/>
            <w:hideMark/>
          </w:tcPr>
          <w:p w14:paraId="3B75F545"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606</w:t>
            </w:r>
          </w:p>
        </w:tc>
        <w:tc>
          <w:tcPr>
            <w:tcW w:w="1710" w:type="dxa"/>
            <w:tcBorders>
              <w:top w:val="nil"/>
              <w:left w:val="nil"/>
              <w:bottom w:val="single" w:sz="4" w:space="0" w:color="auto"/>
              <w:right w:val="single" w:sz="4" w:space="0" w:color="auto"/>
            </w:tcBorders>
            <w:shd w:val="clear" w:color="auto" w:fill="auto"/>
            <w:noWrap/>
            <w:vAlign w:val="center"/>
            <w:hideMark/>
          </w:tcPr>
          <w:p w14:paraId="374F3DD2" w14:textId="77777777" w:rsidR="00661352" w:rsidRPr="00E470BA" w:rsidRDefault="00661352" w:rsidP="00282AF6">
            <w:pPr>
              <w:ind w:right="144"/>
              <w:jc w:val="right"/>
              <w:rPr>
                <w:kern w:val="22"/>
                <w:szCs w:val="22"/>
                <w:lang w:val="fr-CA" w:eastAsia="en-CA"/>
              </w:rPr>
            </w:pPr>
            <w:r w:rsidRPr="00E470BA">
              <w:rPr>
                <w:kern w:val="22"/>
                <w:szCs w:val="22"/>
                <w:lang w:val="fr-CA" w:eastAsia="en-CA"/>
              </w:rPr>
              <w:t>76 518</w:t>
            </w:r>
          </w:p>
        </w:tc>
      </w:tr>
      <w:tr w:rsidR="00661352" w:rsidRPr="00E470BA" w14:paraId="11DE946B"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tcPr>
          <w:p w14:paraId="7CAEC8A4" w14:textId="36AAA1E0" w:rsidR="00661352" w:rsidRPr="00E470BA" w:rsidRDefault="00C95673" w:rsidP="004266BB">
            <w:pPr>
              <w:jc w:val="right"/>
              <w:rPr>
                <w:kern w:val="22"/>
                <w:szCs w:val="22"/>
                <w:lang w:val="fr-CA" w:eastAsia="en-CA"/>
              </w:rPr>
            </w:pPr>
            <w:r>
              <w:rPr>
                <w:kern w:val="22"/>
                <w:szCs w:val="22"/>
                <w:lang w:val="fr-CA" w:eastAsia="en-CA"/>
              </w:rPr>
              <w:t>167</w:t>
            </w:r>
          </w:p>
        </w:tc>
        <w:tc>
          <w:tcPr>
            <w:tcW w:w="3870" w:type="dxa"/>
            <w:tcBorders>
              <w:top w:val="nil"/>
              <w:left w:val="nil"/>
              <w:bottom w:val="single" w:sz="4" w:space="0" w:color="auto"/>
              <w:right w:val="single" w:sz="4" w:space="0" w:color="auto"/>
            </w:tcBorders>
            <w:shd w:val="clear" w:color="auto" w:fill="auto"/>
            <w:vAlign w:val="center"/>
            <w:hideMark/>
          </w:tcPr>
          <w:p w14:paraId="5854455F" w14:textId="77777777" w:rsidR="00661352" w:rsidRPr="00E470BA" w:rsidRDefault="00661352" w:rsidP="004266BB">
            <w:pPr>
              <w:jc w:val="left"/>
              <w:rPr>
                <w:kern w:val="22"/>
                <w:szCs w:val="22"/>
                <w:lang w:val="fr-CA" w:eastAsia="en-CA"/>
              </w:rPr>
            </w:pPr>
            <w:r>
              <w:rPr>
                <w:kern w:val="22"/>
                <w:szCs w:val="22"/>
                <w:lang w:val="fr-CA" w:eastAsia="en-CA"/>
              </w:rPr>
              <w:t>Slovaquie</w:t>
            </w:r>
          </w:p>
        </w:tc>
        <w:tc>
          <w:tcPr>
            <w:tcW w:w="1440" w:type="dxa"/>
            <w:tcBorders>
              <w:top w:val="nil"/>
              <w:left w:val="nil"/>
              <w:bottom w:val="single" w:sz="4" w:space="0" w:color="auto"/>
              <w:right w:val="single" w:sz="4" w:space="0" w:color="auto"/>
            </w:tcBorders>
            <w:shd w:val="clear" w:color="auto" w:fill="auto"/>
            <w:vAlign w:val="center"/>
            <w:hideMark/>
          </w:tcPr>
          <w:p w14:paraId="33F628DA"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153</w:t>
            </w:r>
          </w:p>
        </w:tc>
        <w:tc>
          <w:tcPr>
            <w:tcW w:w="1620" w:type="dxa"/>
            <w:tcBorders>
              <w:top w:val="nil"/>
              <w:left w:val="nil"/>
              <w:bottom w:val="single" w:sz="4" w:space="0" w:color="auto"/>
              <w:right w:val="single" w:sz="4" w:space="0" w:color="auto"/>
            </w:tcBorders>
            <w:shd w:val="clear" w:color="auto" w:fill="auto"/>
            <w:noWrap/>
            <w:vAlign w:val="center"/>
            <w:hideMark/>
          </w:tcPr>
          <w:p w14:paraId="0589F6C9"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191</w:t>
            </w:r>
          </w:p>
        </w:tc>
        <w:tc>
          <w:tcPr>
            <w:tcW w:w="1710" w:type="dxa"/>
            <w:tcBorders>
              <w:top w:val="nil"/>
              <w:left w:val="nil"/>
              <w:bottom w:val="single" w:sz="4" w:space="0" w:color="auto"/>
              <w:right w:val="single" w:sz="4" w:space="0" w:color="auto"/>
            </w:tcBorders>
            <w:shd w:val="clear" w:color="auto" w:fill="auto"/>
            <w:noWrap/>
            <w:vAlign w:val="center"/>
            <w:hideMark/>
          </w:tcPr>
          <w:p w14:paraId="18CD2A5B" w14:textId="77777777" w:rsidR="00661352" w:rsidRPr="00E470BA" w:rsidRDefault="00661352" w:rsidP="00282AF6">
            <w:pPr>
              <w:ind w:right="144"/>
              <w:jc w:val="right"/>
              <w:rPr>
                <w:kern w:val="22"/>
                <w:szCs w:val="22"/>
                <w:lang w:val="fr-CA" w:eastAsia="en-CA"/>
              </w:rPr>
            </w:pPr>
            <w:r w:rsidRPr="00E470BA">
              <w:rPr>
                <w:kern w:val="22"/>
                <w:szCs w:val="22"/>
                <w:lang w:val="fr-CA" w:eastAsia="en-CA"/>
              </w:rPr>
              <w:t>24 139</w:t>
            </w:r>
          </w:p>
        </w:tc>
      </w:tr>
      <w:tr w:rsidR="00661352" w:rsidRPr="00E470BA" w14:paraId="2E7D5F05"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tcPr>
          <w:p w14:paraId="22F0788E" w14:textId="617E651A" w:rsidR="00661352" w:rsidRPr="00E470BA" w:rsidRDefault="00C95673" w:rsidP="004266BB">
            <w:pPr>
              <w:jc w:val="right"/>
              <w:rPr>
                <w:kern w:val="22"/>
                <w:szCs w:val="22"/>
                <w:lang w:val="fr-CA" w:eastAsia="en-CA"/>
              </w:rPr>
            </w:pPr>
            <w:r>
              <w:rPr>
                <w:kern w:val="22"/>
                <w:szCs w:val="22"/>
                <w:lang w:val="fr-CA" w:eastAsia="en-CA"/>
              </w:rPr>
              <w:t>168</w:t>
            </w:r>
          </w:p>
        </w:tc>
        <w:tc>
          <w:tcPr>
            <w:tcW w:w="3870" w:type="dxa"/>
            <w:tcBorders>
              <w:top w:val="nil"/>
              <w:left w:val="nil"/>
              <w:bottom w:val="single" w:sz="4" w:space="0" w:color="auto"/>
              <w:right w:val="single" w:sz="4" w:space="0" w:color="auto"/>
            </w:tcBorders>
            <w:shd w:val="clear" w:color="auto" w:fill="auto"/>
            <w:vAlign w:val="center"/>
            <w:hideMark/>
          </w:tcPr>
          <w:p w14:paraId="7E4DB573" w14:textId="77777777" w:rsidR="00661352" w:rsidRPr="00E470BA" w:rsidRDefault="00661352" w:rsidP="00E470BA">
            <w:pPr>
              <w:jc w:val="left"/>
              <w:rPr>
                <w:kern w:val="22"/>
                <w:szCs w:val="22"/>
                <w:lang w:val="fr-CA" w:eastAsia="en-CA"/>
              </w:rPr>
            </w:pPr>
            <w:r w:rsidRPr="00E470BA">
              <w:rPr>
                <w:kern w:val="22"/>
                <w:szCs w:val="22"/>
                <w:lang w:val="fr-CA" w:eastAsia="en-CA"/>
              </w:rPr>
              <w:t>Slov</w:t>
            </w:r>
            <w:r>
              <w:rPr>
                <w:kern w:val="22"/>
                <w:szCs w:val="22"/>
                <w:lang w:val="fr-CA" w:eastAsia="en-CA"/>
              </w:rPr>
              <w:t>énie</w:t>
            </w:r>
          </w:p>
        </w:tc>
        <w:tc>
          <w:tcPr>
            <w:tcW w:w="1440" w:type="dxa"/>
            <w:tcBorders>
              <w:top w:val="nil"/>
              <w:left w:val="nil"/>
              <w:bottom w:val="single" w:sz="4" w:space="0" w:color="auto"/>
              <w:right w:val="single" w:sz="4" w:space="0" w:color="auto"/>
            </w:tcBorders>
            <w:shd w:val="clear" w:color="auto" w:fill="auto"/>
            <w:vAlign w:val="center"/>
            <w:hideMark/>
          </w:tcPr>
          <w:p w14:paraId="06370321"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076</w:t>
            </w:r>
          </w:p>
        </w:tc>
        <w:tc>
          <w:tcPr>
            <w:tcW w:w="1620" w:type="dxa"/>
            <w:tcBorders>
              <w:top w:val="nil"/>
              <w:left w:val="nil"/>
              <w:bottom w:val="single" w:sz="4" w:space="0" w:color="auto"/>
              <w:right w:val="single" w:sz="4" w:space="0" w:color="auto"/>
            </w:tcBorders>
            <w:shd w:val="clear" w:color="auto" w:fill="auto"/>
            <w:noWrap/>
            <w:vAlign w:val="center"/>
            <w:hideMark/>
          </w:tcPr>
          <w:p w14:paraId="077FB054"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095</w:t>
            </w:r>
          </w:p>
        </w:tc>
        <w:tc>
          <w:tcPr>
            <w:tcW w:w="1710" w:type="dxa"/>
            <w:tcBorders>
              <w:top w:val="nil"/>
              <w:left w:val="nil"/>
              <w:bottom w:val="single" w:sz="4" w:space="0" w:color="auto"/>
              <w:right w:val="single" w:sz="4" w:space="0" w:color="auto"/>
            </w:tcBorders>
            <w:shd w:val="clear" w:color="auto" w:fill="auto"/>
            <w:noWrap/>
            <w:vAlign w:val="center"/>
            <w:hideMark/>
          </w:tcPr>
          <w:p w14:paraId="489C47DA" w14:textId="77777777" w:rsidR="00661352" w:rsidRPr="00E470BA" w:rsidRDefault="00661352" w:rsidP="00282AF6">
            <w:pPr>
              <w:ind w:right="144"/>
              <w:jc w:val="right"/>
              <w:rPr>
                <w:kern w:val="22"/>
                <w:szCs w:val="22"/>
                <w:lang w:val="fr-CA" w:eastAsia="en-CA"/>
              </w:rPr>
            </w:pPr>
            <w:r w:rsidRPr="00E470BA">
              <w:rPr>
                <w:kern w:val="22"/>
                <w:szCs w:val="22"/>
                <w:lang w:val="fr-CA" w:eastAsia="en-CA"/>
              </w:rPr>
              <w:t>11 990</w:t>
            </w:r>
          </w:p>
        </w:tc>
      </w:tr>
      <w:tr w:rsidR="00661352" w:rsidRPr="00E470BA" w14:paraId="6FFA4803"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tcPr>
          <w:p w14:paraId="1AB32114" w14:textId="25412797" w:rsidR="00661352" w:rsidRPr="00E470BA" w:rsidRDefault="00C95673" w:rsidP="004266BB">
            <w:pPr>
              <w:jc w:val="right"/>
              <w:rPr>
                <w:kern w:val="22"/>
                <w:szCs w:val="22"/>
                <w:lang w:val="fr-CA" w:eastAsia="en-CA"/>
              </w:rPr>
            </w:pPr>
            <w:r>
              <w:rPr>
                <w:kern w:val="22"/>
                <w:szCs w:val="22"/>
                <w:lang w:val="fr-CA" w:eastAsia="en-CA"/>
              </w:rPr>
              <w:t>169</w:t>
            </w:r>
          </w:p>
        </w:tc>
        <w:tc>
          <w:tcPr>
            <w:tcW w:w="3870" w:type="dxa"/>
            <w:tcBorders>
              <w:top w:val="nil"/>
              <w:left w:val="nil"/>
              <w:bottom w:val="single" w:sz="4" w:space="0" w:color="auto"/>
              <w:right w:val="single" w:sz="4" w:space="0" w:color="auto"/>
            </w:tcBorders>
            <w:shd w:val="clear" w:color="auto" w:fill="auto"/>
            <w:vAlign w:val="center"/>
            <w:hideMark/>
          </w:tcPr>
          <w:p w14:paraId="6508C312" w14:textId="77777777" w:rsidR="00661352" w:rsidRPr="00E470BA" w:rsidRDefault="00661352" w:rsidP="004266BB">
            <w:pPr>
              <w:jc w:val="left"/>
              <w:rPr>
                <w:kern w:val="22"/>
                <w:szCs w:val="22"/>
                <w:lang w:val="fr-CA" w:eastAsia="en-CA"/>
              </w:rPr>
            </w:pPr>
            <w:r>
              <w:rPr>
                <w:kern w:val="22"/>
                <w:szCs w:val="22"/>
                <w:lang w:val="fr-CA" w:eastAsia="en-CA"/>
              </w:rPr>
              <w:t>Somalie</w:t>
            </w:r>
          </w:p>
        </w:tc>
        <w:tc>
          <w:tcPr>
            <w:tcW w:w="1440" w:type="dxa"/>
            <w:tcBorders>
              <w:top w:val="nil"/>
              <w:left w:val="nil"/>
              <w:bottom w:val="single" w:sz="4" w:space="0" w:color="auto"/>
              <w:right w:val="single" w:sz="4" w:space="0" w:color="auto"/>
            </w:tcBorders>
            <w:shd w:val="clear" w:color="auto" w:fill="auto"/>
            <w:vAlign w:val="center"/>
            <w:hideMark/>
          </w:tcPr>
          <w:p w14:paraId="1C307C55"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001</w:t>
            </w:r>
          </w:p>
        </w:tc>
        <w:tc>
          <w:tcPr>
            <w:tcW w:w="1620" w:type="dxa"/>
            <w:tcBorders>
              <w:top w:val="nil"/>
              <w:left w:val="nil"/>
              <w:bottom w:val="single" w:sz="4" w:space="0" w:color="auto"/>
              <w:right w:val="single" w:sz="4" w:space="0" w:color="auto"/>
            </w:tcBorders>
            <w:shd w:val="clear" w:color="auto" w:fill="auto"/>
            <w:noWrap/>
            <w:vAlign w:val="center"/>
            <w:hideMark/>
          </w:tcPr>
          <w:p w14:paraId="0B1E86D9"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001</w:t>
            </w:r>
          </w:p>
        </w:tc>
        <w:tc>
          <w:tcPr>
            <w:tcW w:w="1710" w:type="dxa"/>
            <w:tcBorders>
              <w:top w:val="nil"/>
              <w:left w:val="nil"/>
              <w:bottom w:val="single" w:sz="4" w:space="0" w:color="auto"/>
              <w:right w:val="single" w:sz="4" w:space="0" w:color="auto"/>
            </w:tcBorders>
            <w:shd w:val="clear" w:color="auto" w:fill="auto"/>
            <w:noWrap/>
            <w:vAlign w:val="center"/>
            <w:hideMark/>
          </w:tcPr>
          <w:p w14:paraId="2D27EEA0" w14:textId="77777777" w:rsidR="00661352" w:rsidRPr="00E470BA" w:rsidRDefault="00661352" w:rsidP="00282AF6">
            <w:pPr>
              <w:ind w:right="144"/>
              <w:jc w:val="right"/>
              <w:rPr>
                <w:kern w:val="22"/>
                <w:szCs w:val="22"/>
                <w:lang w:val="fr-CA" w:eastAsia="en-CA"/>
              </w:rPr>
            </w:pPr>
            <w:r w:rsidRPr="00E470BA">
              <w:rPr>
                <w:kern w:val="22"/>
                <w:szCs w:val="22"/>
                <w:lang w:val="fr-CA" w:eastAsia="en-CA"/>
              </w:rPr>
              <w:t>158</w:t>
            </w:r>
          </w:p>
        </w:tc>
      </w:tr>
      <w:tr w:rsidR="00661352" w:rsidRPr="00E470BA" w14:paraId="3BE0BDA1"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tcPr>
          <w:p w14:paraId="6FA99DC3" w14:textId="296225A8" w:rsidR="00661352" w:rsidRPr="00E470BA" w:rsidRDefault="00C95673" w:rsidP="004266BB">
            <w:pPr>
              <w:jc w:val="right"/>
              <w:rPr>
                <w:kern w:val="22"/>
                <w:szCs w:val="22"/>
                <w:lang w:val="fr-CA" w:eastAsia="en-CA"/>
              </w:rPr>
            </w:pPr>
            <w:r>
              <w:rPr>
                <w:kern w:val="22"/>
                <w:szCs w:val="22"/>
                <w:lang w:val="fr-CA" w:eastAsia="en-CA"/>
              </w:rPr>
              <w:t>170</w:t>
            </w:r>
          </w:p>
        </w:tc>
        <w:tc>
          <w:tcPr>
            <w:tcW w:w="3870" w:type="dxa"/>
            <w:tcBorders>
              <w:top w:val="nil"/>
              <w:left w:val="nil"/>
              <w:bottom w:val="single" w:sz="4" w:space="0" w:color="auto"/>
              <w:right w:val="single" w:sz="4" w:space="0" w:color="auto"/>
            </w:tcBorders>
            <w:shd w:val="clear" w:color="auto" w:fill="auto"/>
            <w:vAlign w:val="center"/>
            <w:hideMark/>
          </w:tcPr>
          <w:p w14:paraId="591639A6" w14:textId="77777777" w:rsidR="00661352" w:rsidRPr="00E470BA" w:rsidRDefault="00661352" w:rsidP="004266BB">
            <w:pPr>
              <w:jc w:val="left"/>
              <w:rPr>
                <w:kern w:val="22"/>
                <w:szCs w:val="22"/>
                <w:lang w:val="fr-CA" w:eastAsia="en-CA"/>
              </w:rPr>
            </w:pPr>
            <w:r w:rsidRPr="00E470BA">
              <w:rPr>
                <w:kern w:val="22"/>
                <w:szCs w:val="22"/>
                <w:lang w:val="fr-CA" w:eastAsia="en-CA"/>
              </w:rPr>
              <w:t>S</w:t>
            </w:r>
            <w:r>
              <w:rPr>
                <w:kern w:val="22"/>
                <w:szCs w:val="22"/>
                <w:lang w:val="fr-CA" w:eastAsia="en-CA"/>
              </w:rPr>
              <w:t>o</w:t>
            </w:r>
            <w:r w:rsidRPr="00E470BA">
              <w:rPr>
                <w:kern w:val="22"/>
                <w:szCs w:val="22"/>
                <w:lang w:val="fr-CA" w:eastAsia="en-CA"/>
              </w:rPr>
              <w:t>udan</w:t>
            </w:r>
          </w:p>
        </w:tc>
        <w:tc>
          <w:tcPr>
            <w:tcW w:w="1440" w:type="dxa"/>
            <w:tcBorders>
              <w:top w:val="nil"/>
              <w:left w:val="nil"/>
              <w:bottom w:val="single" w:sz="4" w:space="0" w:color="auto"/>
              <w:right w:val="single" w:sz="4" w:space="0" w:color="auto"/>
            </w:tcBorders>
            <w:shd w:val="clear" w:color="auto" w:fill="auto"/>
            <w:vAlign w:val="center"/>
            <w:hideMark/>
          </w:tcPr>
          <w:p w14:paraId="44AE803A"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010</w:t>
            </w:r>
          </w:p>
        </w:tc>
        <w:tc>
          <w:tcPr>
            <w:tcW w:w="1620" w:type="dxa"/>
            <w:tcBorders>
              <w:top w:val="nil"/>
              <w:left w:val="nil"/>
              <w:bottom w:val="single" w:sz="4" w:space="0" w:color="auto"/>
              <w:right w:val="single" w:sz="4" w:space="0" w:color="auto"/>
            </w:tcBorders>
            <w:shd w:val="clear" w:color="auto" w:fill="auto"/>
            <w:noWrap/>
            <w:vAlign w:val="center"/>
            <w:hideMark/>
          </w:tcPr>
          <w:p w14:paraId="757A12A0"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010</w:t>
            </w:r>
          </w:p>
        </w:tc>
        <w:tc>
          <w:tcPr>
            <w:tcW w:w="1710" w:type="dxa"/>
            <w:tcBorders>
              <w:top w:val="nil"/>
              <w:left w:val="nil"/>
              <w:bottom w:val="single" w:sz="4" w:space="0" w:color="auto"/>
              <w:right w:val="single" w:sz="4" w:space="0" w:color="auto"/>
            </w:tcBorders>
            <w:shd w:val="clear" w:color="auto" w:fill="auto"/>
            <w:noWrap/>
            <w:vAlign w:val="center"/>
            <w:hideMark/>
          </w:tcPr>
          <w:p w14:paraId="672970FE" w14:textId="77777777" w:rsidR="00661352" w:rsidRPr="00E470BA" w:rsidRDefault="00661352" w:rsidP="00282AF6">
            <w:pPr>
              <w:ind w:right="144"/>
              <w:jc w:val="right"/>
              <w:rPr>
                <w:kern w:val="22"/>
                <w:szCs w:val="22"/>
                <w:lang w:val="fr-CA" w:eastAsia="en-CA"/>
              </w:rPr>
            </w:pPr>
            <w:r w:rsidRPr="00E470BA">
              <w:rPr>
                <w:kern w:val="22"/>
                <w:szCs w:val="22"/>
                <w:lang w:val="fr-CA" w:eastAsia="en-CA"/>
              </w:rPr>
              <w:t>1 262</w:t>
            </w:r>
          </w:p>
        </w:tc>
      </w:tr>
      <w:tr w:rsidR="00661352" w:rsidRPr="00E470BA" w14:paraId="13794E2A"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tcPr>
          <w:p w14:paraId="37D79EE8" w14:textId="31DFFF4E" w:rsidR="00661352" w:rsidRPr="00E470BA" w:rsidRDefault="00C95673" w:rsidP="004266BB">
            <w:pPr>
              <w:jc w:val="right"/>
              <w:rPr>
                <w:kern w:val="22"/>
                <w:szCs w:val="22"/>
                <w:lang w:val="fr-CA" w:eastAsia="en-CA"/>
              </w:rPr>
            </w:pPr>
            <w:r>
              <w:rPr>
                <w:kern w:val="22"/>
                <w:szCs w:val="22"/>
                <w:lang w:val="fr-CA" w:eastAsia="en-CA"/>
              </w:rPr>
              <w:t>171</w:t>
            </w:r>
          </w:p>
        </w:tc>
        <w:tc>
          <w:tcPr>
            <w:tcW w:w="3870" w:type="dxa"/>
            <w:tcBorders>
              <w:top w:val="nil"/>
              <w:left w:val="nil"/>
              <w:bottom w:val="single" w:sz="4" w:space="0" w:color="auto"/>
              <w:right w:val="single" w:sz="4" w:space="0" w:color="auto"/>
            </w:tcBorders>
            <w:shd w:val="clear" w:color="auto" w:fill="auto"/>
            <w:vAlign w:val="center"/>
            <w:hideMark/>
          </w:tcPr>
          <w:p w14:paraId="65F806D1" w14:textId="77777777" w:rsidR="00661352" w:rsidRPr="00E470BA" w:rsidRDefault="00661352" w:rsidP="004266BB">
            <w:pPr>
              <w:jc w:val="left"/>
              <w:rPr>
                <w:kern w:val="22"/>
                <w:szCs w:val="22"/>
                <w:lang w:val="fr-CA" w:eastAsia="en-CA"/>
              </w:rPr>
            </w:pPr>
            <w:r>
              <w:rPr>
                <w:kern w:val="22"/>
                <w:szCs w:val="22"/>
                <w:lang w:val="fr-CA" w:eastAsia="en-CA"/>
              </w:rPr>
              <w:t>Soudan du Sud</w:t>
            </w:r>
          </w:p>
        </w:tc>
        <w:tc>
          <w:tcPr>
            <w:tcW w:w="1440" w:type="dxa"/>
            <w:tcBorders>
              <w:top w:val="nil"/>
              <w:left w:val="nil"/>
              <w:bottom w:val="single" w:sz="4" w:space="0" w:color="auto"/>
              <w:right w:val="single" w:sz="4" w:space="0" w:color="auto"/>
            </w:tcBorders>
            <w:shd w:val="clear" w:color="auto" w:fill="auto"/>
            <w:vAlign w:val="center"/>
            <w:hideMark/>
          </w:tcPr>
          <w:p w14:paraId="772A6646"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006</w:t>
            </w:r>
          </w:p>
        </w:tc>
        <w:tc>
          <w:tcPr>
            <w:tcW w:w="1620" w:type="dxa"/>
            <w:tcBorders>
              <w:top w:val="nil"/>
              <w:left w:val="nil"/>
              <w:bottom w:val="single" w:sz="4" w:space="0" w:color="auto"/>
              <w:right w:val="single" w:sz="4" w:space="0" w:color="auto"/>
            </w:tcBorders>
            <w:shd w:val="clear" w:color="auto" w:fill="auto"/>
            <w:noWrap/>
            <w:vAlign w:val="center"/>
            <w:hideMark/>
          </w:tcPr>
          <w:p w14:paraId="30A29047"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008</w:t>
            </w:r>
          </w:p>
        </w:tc>
        <w:tc>
          <w:tcPr>
            <w:tcW w:w="1710" w:type="dxa"/>
            <w:tcBorders>
              <w:top w:val="nil"/>
              <w:left w:val="nil"/>
              <w:bottom w:val="single" w:sz="4" w:space="0" w:color="auto"/>
              <w:right w:val="single" w:sz="4" w:space="0" w:color="auto"/>
            </w:tcBorders>
            <w:shd w:val="clear" w:color="auto" w:fill="auto"/>
            <w:noWrap/>
            <w:vAlign w:val="center"/>
            <w:hideMark/>
          </w:tcPr>
          <w:p w14:paraId="6785CF94" w14:textId="77777777" w:rsidR="00661352" w:rsidRPr="00E470BA" w:rsidRDefault="00661352" w:rsidP="00282AF6">
            <w:pPr>
              <w:ind w:right="144"/>
              <w:jc w:val="right"/>
              <w:rPr>
                <w:kern w:val="22"/>
                <w:szCs w:val="22"/>
                <w:lang w:val="fr-CA" w:eastAsia="en-CA"/>
              </w:rPr>
            </w:pPr>
            <w:r w:rsidRPr="00E470BA">
              <w:rPr>
                <w:kern w:val="22"/>
                <w:szCs w:val="22"/>
                <w:lang w:val="fr-CA" w:eastAsia="en-CA"/>
              </w:rPr>
              <w:t>947</w:t>
            </w:r>
          </w:p>
        </w:tc>
      </w:tr>
      <w:tr w:rsidR="00661352" w:rsidRPr="00E470BA" w14:paraId="04F699B3"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tcPr>
          <w:p w14:paraId="2FB85C3A" w14:textId="5F9374EA" w:rsidR="00661352" w:rsidRPr="00E470BA" w:rsidRDefault="00C95673" w:rsidP="004266BB">
            <w:pPr>
              <w:jc w:val="right"/>
              <w:rPr>
                <w:kern w:val="22"/>
                <w:szCs w:val="22"/>
                <w:lang w:val="fr-CA" w:eastAsia="en-CA"/>
              </w:rPr>
            </w:pPr>
            <w:r>
              <w:rPr>
                <w:kern w:val="22"/>
                <w:szCs w:val="22"/>
                <w:lang w:val="fr-CA" w:eastAsia="en-CA"/>
              </w:rPr>
              <w:t>172</w:t>
            </w:r>
          </w:p>
        </w:tc>
        <w:tc>
          <w:tcPr>
            <w:tcW w:w="3870" w:type="dxa"/>
            <w:tcBorders>
              <w:top w:val="nil"/>
              <w:left w:val="nil"/>
              <w:bottom w:val="single" w:sz="4" w:space="0" w:color="auto"/>
              <w:right w:val="single" w:sz="4" w:space="0" w:color="auto"/>
            </w:tcBorders>
            <w:shd w:val="clear" w:color="auto" w:fill="auto"/>
            <w:vAlign w:val="center"/>
            <w:hideMark/>
          </w:tcPr>
          <w:p w14:paraId="4EB6F509" w14:textId="77777777" w:rsidR="00661352" w:rsidRPr="00E470BA" w:rsidRDefault="00661352" w:rsidP="004266BB">
            <w:pPr>
              <w:jc w:val="left"/>
              <w:rPr>
                <w:kern w:val="22"/>
                <w:szCs w:val="22"/>
                <w:lang w:val="fr-CA" w:eastAsia="en-CA"/>
              </w:rPr>
            </w:pPr>
            <w:r w:rsidRPr="00E470BA">
              <w:rPr>
                <w:kern w:val="22"/>
                <w:szCs w:val="22"/>
                <w:lang w:val="fr-CA" w:eastAsia="en-CA"/>
              </w:rPr>
              <w:t>Sri Lanka</w:t>
            </w:r>
          </w:p>
        </w:tc>
        <w:tc>
          <w:tcPr>
            <w:tcW w:w="1440" w:type="dxa"/>
            <w:tcBorders>
              <w:top w:val="nil"/>
              <w:left w:val="nil"/>
              <w:bottom w:val="single" w:sz="4" w:space="0" w:color="auto"/>
              <w:right w:val="single" w:sz="4" w:space="0" w:color="auto"/>
            </w:tcBorders>
            <w:shd w:val="clear" w:color="auto" w:fill="auto"/>
            <w:vAlign w:val="center"/>
            <w:hideMark/>
          </w:tcPr>
          <w:p w14:paraId="5BE33D8C"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044</w:t>
            </w:r>
          </w:p>
        </w:tc>
        <w:tc>
          <w:tcPr>
            <w:tcW w:w="1620" w:type="dxa"/>
            <w:tcBorders>
              <w:top w:val="nil"/>
              <w:left w:val="nil"/>
              <w:bottom w:val="single" w:sz="4" w:space="0" w:color="auto"/>
              <w:right w:val="single" w:sz="4" w:space="0" w:color="auto"/>
            </w:tcBorders>
            <w:shd w:val="clear" w:color="auto" w:fill="auto"/>
            <w:noWrap/>
            <w:vAlign w:val="center"/>
            <w:hideMark/>
          </w:tcPr>
          <w:p w14:paraId="37BD178D"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055</w:t>
            </w:r>
          </w:p>
        </w:tc>
        <w:tc>
          <w:tcPr>
            <w:tcW w:w="1710" w:type="dxa"/>
            <w:tcBorders>
              <w:top w:val="nil"/>
              <w:left w:val="nil"/>
              <w:bottom w:val="single" w:sz="4" w:space="0" w:color="auto"/>
              <w:right w:val="single" w:sz="4" w:space="0" w:color="auto"/>
            </w:tcBorders>
            <w:shd w:val="clear" w:color="auto" w:fill="auto"/>
            <w:noWrap/>
            <w:vAlign w:val="center"/>
            <w:hideMark/>
          </w:tcPr>
          <w:p w14:paraId="6C3D4114" w14:textId="77777777" w:rsidR="00661352" w:rsidRPr="00E470BA" w:rsidRDefault="00661352" w:rsidP="00282AF6">
            <w:pPr>
              <w:ind w:right="144"/>
              <w:jc w:val="right"/>
              <w:rPr>
                <w:kern w:val="22"/>
                <w:szCs w:val="22"/>
                <w:lang w:val="fr-CA" w:eastAsia="en-CA"/>
              </w:rPr>
            </w:pPr>
            <w:r w:rsidRPr="00E470BA">
              <w:rPr>
                <w:kern w:val="22"/>
                <w:szCs w:val="22"/>
                <w:lang w:val="fr-CA" w:eastAsia="en-CA"/>
              </w:rPr>
              <w:t>6 942</w:t>
            </w:r>
          </w:p>
        </w:tc>
      </w:tr>
      <w:tr w:rsidR="00661352" w:rsidRPr="00E470BA" w14:paraId="2674F9F5"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tcPr>
          <w:p w14:paraId="03731E34" w14:textId="10C33292" w:rsidR="00661352" w:rsidRPr="00E470BA" w:rsidRDefault="00C95673" w:rsidP="004266BB">
            <w:pPr>
              <w:jc w:val="right"/>
              <w:rPr>
                <w:kern w:val="22"/>
                <w:szCs w:val="22"/>
                <w:lang w:val="fr-CA" w:eastAsia="en-CA"/>
              </w:rPr>
            </w:pPr>
            <w:r>
              <w:rPr>
                <w:kern w:val="22"/>
                <w:szCs w:val="22"/>
                <w:lang w:val="fr-CA" w:eastAsia="en-CA"/>
              </w:rPr>
              <w:t>173</w:t>
            </w:r>
          </w:p>
        </w:tc>
        <w:tc>
          <w:tcPr>
            <w:tcW w:w="3870" w:type="dxa"/>
            <w:tcBorders>
              <w:top w:val="nil"/>
              <w:left w:val="nil"/>
              <w:bottom w:val="single" w:sz="4" w:space="0" w:color="auto"/>
              <w:right w:val="single" w:sz="4" w:space="0" w:color="auto"/>
            </w:tcBorders>
            <w:shd w:val="clear" w:color="auto" w:fill="auto"/>
            <w:vAlign w:val="center"/>
            <w:hideMark/>
          </w:tcPr>
          <w:p w14:paraId="725A70E0" w14:textId="77777777" w:rsidR="00661352" w:rsidRPr="00E470BA" w:rsidRDefault="00661352" w:rsidP="004266BB">
            <w:pPr>
              <w:jc w:val="left"/>
              <w:rPr>
                <w:kern w:val="22"/>
                <w:szCs w:val="22"/>
                <w:lang w:val="fr-CA" w:eastAsia="en-CA"/>
              </w:rPr>
            </w:pPr>
            <w:r>
              <w:rPr>
                <w:kern w:val="22"/>
                <w:szCs w:val="22"/>
                <w:lang w:val="fr-CA" w:eastAsia="en-CA"/>
              </w:rPr>
              <w:t>Suède</w:t>
            </w:r>
          </w:p>
        </w:tc>
        <w:tc>
          <w:tcPr>
            <w:tcW w:w="1440" w:type="dxa"/>
            <w:tcBorders>
              <w:top w:val="nil"/>
              <w:left w:val="nil"/>
              <w:bottom w:val="single" w:sz="4" w:space="0" w:color="auto"/>
              <w:right w:val="single" w:sz="4" w:space="0" w:color="auto"/>
            </w:tcBorders>
            <w:shd w:val="clear" w:color="auto" w:fill="auto"/>
            <w:vAlign w:val="center"/>
            <w:hideMark/>
          </w:tcPr>
          <w:p w14:paraId="12A9463A"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906</w:t>
            </w:r>
          </w:p>
        </w:tc>
        <w:tc>
          <w:tcPr>
            <w:tcW w:w="1620" w:type="dxa"/>
            <w:tcBorders>
              <w:top w:val="nil"/>
              <w:left w:val="nil"/>
              <w:bottom w:val="single" w:sz="4" w:space="0" w:color="auto"/>
              <w:right w:val="single" w:sz="4" w:space="0" w:color="auto"/>
            </w:tcBorders>
            <w:shd w:val="clear" w:color="auto" w:fill="auto"/>
            <w:noWrap/>
            <w:vAlign w:val="center"/>
            <w:hideMark/>
          </w:tcPr>
          <w:p w14:paraId="02F7D480" w14:textId="77777777" w:rsidR="00661352" w:rsidRPr="00E470BA" w:rsidRDefault="00661352" w:rsidP="00282AF6">
            <w:pPr>
              <w:ind w:right="144"/>
              <w:jc w:val="right"/>
              <w:rPr>
                <w:kern w:val="22"/>
                <w:szCs w:val="22"/>
                <w:lang w:val="fr-CA" w:eastAsia="en-CA"/>
              </w:rPr>
            </w:pPr>
            <w:r w:rsidRPr="00E470BA">
              <w:rPr>
                <w:kern w:val="22"/>
                <w:szCs w:val="22"/>
                <w:lang w:val="fr-CA" w:eastAsia="en-CA"/>
              </w:rPr>
              <w:t>1</w:t>
            </w:r>
            <w:r>
              <w:rPr>
                <w:kern w:val="22"/>
                <w:szCs w:val="22"/>
                <w:lang w:val="fr-CA" w:eastAsia="en-CA"/>
              </w:rPr>
              <w:t>,</w:t>
            </w:r>
            <w:r w:rsidRPr="00E470BA">
              <w:rPr>
                <w:kern w:val="22"/>
                <w:szCs w:val="22"/>
                <w:lang w:val="fr-CA" w:eastAsia="en-CA"/>
              </w:rPr>
              <w:t>133</w:t>
            </w:r>
          </w:p>
        </w:tc>
        <w:tc>
          <w:tcPr>
            <w:tcW w:w="1710" w:type="dxa"/>
            <w:tcBorders>
              <w:top w:val="nil"/>
              <w:left w:val="nil"/>
              <w:bottom w:val="single" w:sz="4" w:space="0" w:color="auto"/>
              <w:right w:val="single" w:sz="4" w:space="0" w:color="auto"/>
            </w:tcBorders>
            <w:shd w:val="clear" w:color="auto" w:fill="auto"/>
            <w:noWrap/>
            <w:vAlign w:val="center"/>
            <w:hideMark/>
          </w:tcPr>
          <w:p w14:paraId="789FD32A" w14:textId="77777777" w:rsidR="00661352" w:rsidRPr="00E470BA" w:rsidRDefault="00661352" w:rsidP="00282AF6">
            <w:pPr>
              <w:ind w:right="144"/>
              <w:jc w:val="right"/>
              <w:rPr>
                <w:kern w:val="22"/>
                <w:szCs w:val="22"/>
                <w:lang w:val="fr-CA" w:eastAsia="en-CA"/>
              </w:rPr>
            </w:pPr>
            <w:r w:rsidRPr="00E470BA">
              <w:rPr>
                <w:kern w:val="22"/>
                <w:szCs w:val="22"/>
                <w:lang w:val="fr-CA" w:eastAsia="en-CA"/>
              </w:rPr>
              <w:t>142 938</w:t>
            </w:r>
          </w:p>
        </w:tc>
      </w:tr>
      <w:tr w:rsidR="00661352" w:rsidRPr="00E470BA" w14:paraId="5849E17E"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tcPr>
          <w:p w14:paraId="70A5F49B" w14:textId="2B0B68AE" w:rsidR="00661352" w:rsidRPr="00E470BA" w:rsidRDefault="00C95673" w:rsidP="004266BB">
            <w:pPr>
              <w:jc w:val="right"/>
              <w:rPr>
                <w:kern w:val="22"/>
                <w:szCs w:val="22"/>
                <w:lang w:val="fr-CA" w:eastAsia="en-CA"/>
              </w:rPr>
            </w:pPr>
            <w:r>
              <w:rPr>
                <w:kern w:val="22"/>
                <w:szCs w:val="22"/>
                <w:lang w:val="fr-CA" w:eastAsia="en-CA"/>
              </w:rPr>
              <w:t>174</w:t>
            </w:r>
          </w:p>
        </w:tc>
        <w:tc>
          <w:tcPr>
            <w:tcW w:w="3870" w:type="dxa"/>
            <w:tcBorders>
              <w:top w:val="nil"/>
              <w:left w:val="nil"/>
              <w:bottom w:val="single" w:sz="4" w:space="0" w:color="auto"/>
              <w:right w:val="single" w:sz="4" w:space="0" w:color="auto"/>
            </w:tcBorders>
            <w:shd w:val="clear" w:color="auto" w:fill="auto"/>
            <w:vAlign w:val="center"/>
            <w:hideMark/>
          </w:tcPr>
          <w:p w14:paraId="29A5DEE3" w14:textId="77777777" w:rsidR="00661352" w:rsidRPr="00E470BA" w:rsidRDefault="00661352" w:rsidP="004266BB">
            <w:pPr>
              <w:jc w:val="left"/>
              <w:rPr>
                <w:kern w:val="22"/>
                <w:szCs w:val="22"/>
                <w:lang w:val="fr-CA" w:eastAsia="en-CA"/>
              </w:rPr>
            </w:pPr>
            <w:r>
              <w:rPr>
                <w:kern w:val="22"/>
                <w:szCs w:val="22"/>
                <w:lang w:val="fr-CA" w:eastAsia="en-CA"/>
              </w:rPr>
              <w:t>Suisse</w:t>
            </w:r>
          </w:p>
        </w:tc>
        <w:tc>
          <w:tcPr>
            <w:tcW w:w="1440" w:type="dxa"/>
            <w:tcBorders>
              <w:top w:val="nil"/>
              <w:left w:val="nil"/>
              <w:bottom w:val="single" w:sz="4" w:space="0" w:color="auto"/>
              <w:right w:val="single" w:sz="4" w:space="0" w:color="auto"/>
            </w:tcBorders>
            <w:shd w:val="clear" w:color="auto" w:fill="auto"/>
            <w:vAlign w:val="center"/>
            <w:hideMark/>
          </w:tcPr>
          <w:p w14:paraId="5B64789D" w14:textId="77777777" w:rsidR="00661352" w:rsidRPr="00E470BA" w:rsidRDefault="00661352" w:rsidP="00282AF6">
            <w:pPr>
              <w:ind w:right="144"/>
              <w:jc w:val="right"/>
              <w:rPr>
                <w:kern w:val="22"/>
                <w:szCs w:val="22"/>
                <w:lang w:val="fr-CA" w:eastAsia="en-CA"/>
              </w:rPr>
            </w:pPr>
            <w:r w:rsidRPr="00E470BA">
              <w:rPr>
                <w:kern w:val="22"/>
                <w:szCs w:val="22"/>
                <w:lang w:val="fr-CA" w:eastAsia="en-CA"/>
              </w:rPr>
              <w:t>1</w:t>
            </w:r>
            <w:r>
              <w:rPr>
                <w:kern w:val="22"/>
                <w:szCs w:val="22"/>
                <w:lang w:val="fr-CA" w:eastAsia="en-CA"/>
              </w:rPr>
              <w:t>,</w:t>
            </w:r>
            <w:r w:rsidRPr="00E470BA">
              <w:rPr>
                <w:kern w:val="22"/>
                <w:szCs w:val="22"/>
                <w:lang w:val="fr-CA" w:eastAsia="en-CA"/>
              </w:rPr>
              <w:t>151</w:t>
            </w:r>
          </w:p>
        </w:tc>
        <w:tc>
          <w:tcPr>
            <w:tcW w:w="1620" w:type="dxa"/>
            <w:tcBorders>
              <w:top w:val="nil"/>
              <w:left w:val="nil"/>
              <w:bottom w:val="single" w:sz="4" w:space="0" w:color="auto"/>
              <w:right w:val="single" w:sz="4" w:space="0" w:color="auto"/>
            </w:tcBorders>
            <w:shd w:val="clear" w:color="auto" w:fill="auto"/>
            <w:noWrap/>
            <w:vAlign w:val="center"/>
            <w:hideMark/>
          </w:tcPr>
          <w:p w14:paraId="38740A2F" w14:textId="77777777" w:rsidR="00661352" w:rsidRPr="00E470BA" w:rsidRDefault="00661352" w:rsidP="00282AF6">
            <w:pPr>
              <w:ind w:right="144"/>
              <w:jc w:val="right"/>
              <w:rPr>
                <w:kern w:val="22"/>
                <w:szCs w:val="22"/>
                <w:lang w:val="fr-CA" w:eastAsia="en-CA"/>
              </w:rPr>
            </w:pPr>
            <w:r w:rsidRPr="00E470BA">
              <w:rPr>
                <w:kern w:val="22"/>
                <w:szCs w:val="22"/>
                <w:lang w:val="fr-CA" w:eastAsia="en-CA"/>
              </w:rPr>
              <w:t>1</w:t>
            </w:r>
            <w:r>
              <w:rPr>
                <w:kern w:val="22"/>
                <w:szCs w:val="22"/>
                <w:lang w:val="fr-CA" w:eastAsia="en-CA"/>
              </w:rPr>
              <w:t>,</w:t>
            </w:r>
            <w:r w:rsidRPr="00E470BA">
              <w:rPr>
                <w:kern w:val="22"/>
                <w:szCs w:val="22"/>
                <w:lang w:val="fr-CA" w:eastAsia="en-CA"/>
              </w:rPr>
              <w:t>439</w:t>
            </w:r>
          </w:p>
        </w:tc>
        <w:tc>
          <w:tcPr>
            <w:tcW w:w="1710" w:type="dxa"/>
            <w:tcBorders>
              <w:top w:val="nil"/>
              <w:left w:val="nil"/>
              <w:bottom w:val="single" w:sz="4" w:space="0" w:color="auto"/>
              <w:right w:val="single" w:sz="4" w:space="0" w:color="auto"/>
            </w:tcBorders>
            <w:shd w:val="clear" w:color="auto" w:fill="auto"/>
            <w:noWrap/>
            <w:vAlign w:val="center"/>
            <w:hideMark/>
          </w:tcPr>
          <w:p w14:paraId="56B77D2C" w14:textId="77777777" w:rsidR="00661352" w:rsidRPr="00E470BA" w:rsidRDefault="00661352" w:rsidP="00282AF6">
            <w:pPr>
              <w:ind w:right="144"/>
              <w:jc w:val="right"/>
              <w:rPr>
                <w:kern w:val="22"/>
                <w:szCs w:val="22"/>
                <w:lang w:val="fr-CA" w:eastAsia="en-CA"/>
              </w:rPr>
            </w:pPr>
            <w:r w:rsidRPr="00E470BA">
              <w:rPr>
                <w:kern w:val="22"/>
                <w:szCs w:val="22"/>
                <w:lang w:val="fr-CA" w:eastAsia="en-CA"/>
              </w:rPr>
              <w:t>181 591</w:t>
            </w:r>
          </w:p>
        </w:tc>
      </w:tr>
      <w:tr w:rsidR="00661352" w:rsidRPr="00E470BA" w14:paraId="6AAAA498"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tcPr>
          <w:p w14:paraId="255C76D1" w14:textId="0C4925FD" w:rsidR="00661352" w:rsidRPr="00E470BA" w:rsidRDefault="00C95673" w:rsidP="004266BB">
            <w:pPr>
              <w:jc w:val="right"/>
              <w:rPr>
                <w:kern w:val="22"/>
                <w:szCs w:val="22"/>
                <w:lang w:val="fr-CA" w:eastAsia="en-CA"/>
              </w:rPr>
            </w:pPr>
            <w:r>
              <w:rPr>
                <w:kern w:val="22"/>
                <w:szCs w:val="22"/>
                <w:lang w:val="fr-CA" w:eastAsia="en-CA"/>
              </w:rPr>
              <w:t>175</w:t>
            </w:r>
          </w:p>
        </w:tc>
        <w:tc>
          <w:tcPr>
            <w:tcW w:w="3870" w:type="dxa"/>
            <w:tcBorders>
              <w:top w:val="nil"/>
              <w:left w:val="nil"/>
              <w:bottom w:val="single" w:sz="4" w:space="0" w:color="auto"/>
              <w:right w:val="single" w:sz="4" w:space="0" w:color="auto"/>
            </w:tcBorders>
            <w:shd w:val="clear" w:color="auto" w:fill="auto"/>
            <w:vAlign w:val="center"/>
            <w:hideMark/>
          </w:tcPr>
          <w:p w14:paraId="6746F3CF" w14:textId="77777777" w:rsidR="00661352" w:rsidRPr="00E470BA" w:rsidRDefault="00661352" w:rsidP="004266BB">
            <w:pPr>
              <w:jc w:val="left"/>
              <w:rPr>
                <w:kern w:val="22"/>
                <w:szCs w:val="22"/>
                <w:lang w:val="fr-CA" w:eastAsia="en-CA"/>
              </w:rPr>
            </w:pPr>
            <w:r w:rsidRPr="00E470BA">
              <w:rPr>
                <w:kern w:val="22"/>
                <w:szCs w:val="22"/>
                <w:lang w:val="fr-CA" w:eastAsia="en-CA"/>
              </w:rPr>
              <w:t>Suriname</w:t>
            </w:r>
          </w:p>
        </w:tc>
        <w:tc>
          <w:tcPr>
            <w:tcW w:w="1440" w:type="dxa"/>
            <w:tcBorders>
              <w:top w:val="nil"/>
              <w:left w:val="nil"/>
              <w:bottom w:val="single" w:sz="4" w:space="0" w:color="auto"/>
              <w:right w:val="single" w:sz="4" w:space="0" w:color="auto"/>
            </w:tcBorders>
            <w:shd w:val="clear" w:color="auto" w:fill="auto"/>
            <w:vAlign w:val="center"/>
            <w:hideMark/>
          </w:tcPr>
          <w:p w14:paraId="28043BC5"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005</w:t>
            </w:r>
          </w:p>
        </w:tc>
        <w:tc>
          <w:tcPr>
            <w:tcW w:w="1620" w:type="dxa"/>
            <w:tcBorders>
              <w:top w:val="nil"/>
              <w:left w:val="nil"/>
              <w:bottom w:val="single" w:sz="4" w:space="0" w:color="auto"/>
              <w:right w:val="single" w:sz="4" w:space="0" w:color="auto"/>
            </w:tcBorders>
            <w:shd w:val="clear" w:color="auto" w:fill="auto"/>
            <w:noWrap/>
            <w:vAlign w:val="center"/>
            <w:hideMark/>
          </w:tcPr>
          <w:p w14:paraId="4575B9CD"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006</w:t>
            </w:r>
          </w:p>
        </w:tc>
        <w:tc>
          <w:tcPr>
            <w:tcW w:w="1710" w:type="dxa"/>
            <w:tcBorders>
              <w:top w:val="nil"/>
              <w:left w:val="nil"/>
              <w:bottom w:val="single" w:sz="4" w:space="0" w:color="auto"/>
              <w:right w:val="single" w:sz="4" w:space="0" w:color="auto"/>
            </w:tcBorders>
            <w:shd w:val="clear" w:color="auto" w:fill="auto"/>
            <w:noWrap/>
            <w:vAlign w:val="center"/>
            <w:hideMark/>
          </w:tcPr>
          <w:p w14:paraId="5065C104" w14:textId="77777777" w:rsidR="00661352" w:rsidRPr="00E470BA" w:rsidRDefault="00661352" w:rsidP="00282AF6">
            <w:pPr>
              <w:ind w:right="144"/>
              <w:jc w:val="right"/>
              <w:rPr>
                <w:kern w:val="22"/>
                <w:szCs w:val="22"/>
                <w:lang w:val="fr-CA" w:eastAsia="en-CA"/>
              </w:rPr>
            </w:pPr>
            <w:r w:rsidRPr="00E470BA">
              <w:rPr>
                <w:kern w:val="22"/>
                <w:szCs w:val="22"/>
                <w:lang w:val="fr-CA" w:eastAsia="en-CA"/>
              </w:rPr>
              <w:t>789</w:t>
            </w:r>
          </w:p>
        </w:tc>
      </w:tr>
      <w:tr w:rsidR="00661352" w:rsidRPr="00E470BA" w14:paraId="31A6796E"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tcPr>
          <w:p w14:paraId="2F795BDF" w14:textId="40E7B980" w:rsidR="00661352" w:rsidRPr="00E470BA" w:rsidRDefault="00C95673" w:rsidP="004266BB">
            <w:pPr>
              <w:jc w:val="right"/>
              <w:rPr>
                <w:kern w:val="22"/>
                <w:szCs w:val="22"/>
                <w:lang w:val="fr-CA" w:eastAsia="en-CA"/>
              </w:rPr>
            </w:pPr>
            <w:r>
              <w:rPr>
                <w:kern w:val="22"/>
                <w:szCs w:val="22"/>
                <w:lang w:val="fr-CA" w:eastAsia="en-CA"/>
              </w:rPr>
              <w:t>176</w:t>
            </w:r>
          </w:p>
        </w:tc>
        <w:tc>
          <w:tcPr>
            <w:tcW w:w="3870" w:type="dxa"/>
            <w:tcBorders>
              <w:top w:val="nil"/>
              <w:left w:val="nil"/>
              <w:bottom w:val="single" w:sz="4" w:space="0" w:color="auto"/>
              <w:right w:val="single" w:sz="4" w:space="0" w:color="auto"/>
            </w:tcBorders>
            <w:shd w:val="clear" w:color="auto" w:fill="auto"/>
            <w:vAlign w:val="center"/>
            <w:hideMark/>
          </w:tcPr>
          <w:p w14:paraId="5DC64F21" w14:textId="77777777" w:rsidR="00661352" w:rsidRPr="00E470BA" w:rsidRDefault="00661352" w:rsidP="00B123B8">
            <w:pPr>
              <w:jc w:val="left"/>
              <w:rPr>
                <w:kern w:val="22"/>
                <w:szCs w:val="22"/>
                <w:lang w:val="fr-CA" w:eastAsia="en-CA"/>
              </w:rPr>
            </w:pPr>
            <w:r w:rsidRPr="00E470BA">
              <w:rPr>
                <w:kern w:val="22"/>
                <w:szCs w:val="22"/>
                <w:lang w:val="fr-CA" w:eastAsia="en-CA"/>
              </w:rPr>
              <w:t>Ta</w:t>
            </w:r>
            <w:r>
              <w:rPr>
                <w:kern w:val="22"/>
                <w:szCs w:val="22"/>
                <w:lang w:val="fr-CA" w:eastAsia="en-CA"/>
              </w:rPr>
              <w:t>dji</w:t>
            </w:r>
            <w:r w:rsidRPr="00E470BA">
              <w:rPr>
                <w:kern w:val="22"/>
                <w:szCs w:val="22"/>
                <w:lang w:val="fr-CA" w:eastAsia="en-CA"/>
              </w:rPr>
              <w:t>kistan</w:t>
            </w:r>
          </w:p>
        </w:tc>
        <w:tc>
          <w:tcPr>
            <w:tcW w:w="1440" w:type="dxa"/>
            <w:tcBorders>
              <w:top w:val="nil"/>
              <w:left w:val="nil"/>
              <w:bottom w:val="single" w:sz="4" w:space="0" w:color="auto"/>
              <w:right w:val="single" w:sz="4" w:space="0" w:color="auto"/>
            </w:tcBorders>
            <w:shd w:val="clear" w:color="auto" w:fill="auto"/>
            <w:vAlign w:val="center"/>
            <w:hideMark/>
          </w:tcPr>
          <w:p w14:paraId="1BD68C04"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004</w:t>
            </w:r>
          </w:p>
        </w:tc>
        <w:tc>
          <w:tcPr>
            <w:tcW w:w="1620" w:type="dxa"/>
            <w:tcBorders>
              <w:top w:val="nil"/>
              <w:left w:val="nil"/>
              <w:bottom w:val="single" w:sz="4" w:space="0" w:color="auto"/>
              <w:right w:val="single" w:sz="4" w:space="0" w:color="auto"/>
            </w:tcBorders>
            <w:shd w:val="clear" w:color="auto" w:fill="auto"/>
            <w:noWrap/>
            <w:vAlign w:val="center"/>
            <w:hideMark/>
          </w:tcPr>
          <w:p w14:paraId="10C645EE"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005</w:t>
            </w:r>
          </w:p>
        </w:tc>
        <w:tc>
          <w:tcPr>
            <w:tcW w:w="1710" w:type="dxa"/>
            <w:tcBorders>
              <w:top w:val="nil"/>
              <w:left w:val="nil"/>
              <w:bottom w:val="single" w:sz="4" w:space="0" w:color="auto"/>
              <w:right w:val="single" w:sz="4" w:space="0" w:color="auto"/>
            </w:tcBorders>
            <w:shd w:val="clear" w:color="auto" w:fill="auto"/>
            <w:noWrap/>
            <w:vAlign w:val="center"/>
            <w:hideMark/>
          </w:tcPr>
          <w:p w14:paraId="21757216" w14:textId="77777777" w:rsidR="00661352" w:rsidRPr="00E470BA" w:rsidRDefault="00661352" w:rsidP="00282AF6">
            <w:pPr>
              <w:ind w:right="144"/>
              <w:jc w:val="right"/>
              <w:rPr>
                <w:kern w:val="22"/>
                <w:szCs w:val="22"/>
                <w:lang w:val="fr-CA" w:eastAsia="en-CA"/>
              </w:rPr>
            </w:pPr>
            <w:r w:rsidRPr="00E470BA">
              <w:rPr>
                <w:kern w:val="22"/>
                <w:szCs w:val="22"/>
                <w:lang w:val="fr-CA" w:eastAsia="en-CA"/>
              </w:rPr>
              <w:t>631</w:t>
            </w:r>
          </w:p>
        </w:tc>
      </w:tr>
      <w:tr w:rsidR="00661352" w:rsidRPr="003C7831" w14:paraId="7CA71FC0"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8D36B8" w14:textId="44E2A1C3" w:rsidR="00661352" w:rsidRPr="003C7831" w:rsidRDefault="00C95673" w:rsidP="00120F79">
            <w:pPr>
              <w:jc w:val="right"/>
              <w:rPr>
                <w:kern w:val="22"/>
                <w:szCs w:val="22"/>
                <w:lang w:val="fr-CA" w:eastAsia="en-CA"/>
              </w:rPr>
            </w:pPr>
            <w:r>
              <w:rPr>
                <w:kern w:val="22"/>
                <w:szCs w:val="22"/>
                <w:lang w:val="fr-CA" w:eastAsia="en-CA"/>
              </w:rPr>
              <w:t>177</w:t>
            </w:r>
          </w:p>
        </w:tc>
        <w:tc>
          <w:tcPr>
            <w:tcW w:w="3870" w:type="dxa"/>
            <w:tcBorders>
              <w:top w:val="nil"/>
              <w:left w:val="nil"/>
              <w:bottom w:val="single" w:sz="4" w:space="0" w:color="auto"/>
              <w:right w:val="single" w:sz="4" w:space="0" w:color="auto"/>
            </w:tcBorders>
            <w:shd w:val="clear" w:color="auto" w:fill="auto"/>
            <w:vAlign w:val="center"/>
            <w:hideMark/>
          </w:tcPr>
          <w:p w14:paraId="76790ECD" w14:textId="77777777" w:rsidR="00661352" w:rsidRPr="003C7831" w:rsidRDefault="00661352" w:rsidP="00120F79">
            <w:pPr>
              <w:jc w:val="left"/>
              <w:rPr>
                <w:kern w:val="22"/>
                <w:szCs w:val="22"/>
                <w:lang w:val="fr-CA" w:eastAsia="en-CA"/>
              </w:rPr>
            </w:pPr>
            <w:r w:rsidRPr="003C7831">
              <w:rPr>
                <w:kern w:val="22"/>
                <w:szCs w:val="22"/>
                <w:lang w:val="fr-CA" w:eastAsia="en-CA"/>
              </w:rPr>
              <w:t>Tchad</w:t>
            </w:r>
          </w:p>
        </w:tc>
        <w:tc>
          <w:tcPr>
            <w:tcW w:w="1440" w:type="dxa"/>
            <w:tcBorders>
              <w:top w:val="nil"/>
              <w:left w:val="nil"/>
              <w:bottom w:val="single" w:sz="4" w:space="0" w:color="auto"/>
              <w:right w:val="single" w:sz="4" w:space="0" w:color="auto"/>
            </w:tcBorders>
            <w:shd w:val="clear" w:color="auto" w:fill="auto"/>
            <w:vAlign w:val="center"/>
            <w:hideMark/>
          </w:tcPr>
          <w:p w14:paraId="1D39C623"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004</w:t>
            </w:r>
          </w:p>
        </w:tc>
        <w:tc>
          <w:tcPr>
            <w:tcW w:w="1620" w:type="dxa"/>
            <w:tcBorders>
              <w:top w:val="nil"/>
              <w:left w:val="nil"/>
              <w:bottom w:val="single" w:sz="4" w:space="0" w:color="auto"/>
              <w:right w:val="single" w:sz="4" w:space="0" w:color="auto"/>
            </w:tcBorders>
            <w:shd w:val="clear" w:color="auto" w:fill="auto"/>
            <w:noWrap/>
            <w:vAlign w:val="center"/>
            <w:hideMark/>
          </w:tcPr>
          <w:p w14:paraId="4C72E356"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005</w:t>
            </w:r>
          </w:p>
        </w:tc>
        <w:tc>
          <w:tcPr>
            <w:tcW w:w="1710" w:type="dxa"/>
            <w:tcBorders>
              <w:top w:val="nil"/>
              <w:left w:val="nil"/>
              <w:bottom w:val="single" w:sz="4" w:space="0" w:color="auto"/>
              <w:right w:val="single" w:sz="4" w:space="0" w:color="auto"/>
            </w:tcBorders>
            <w:shd w:val="clear" w:color="auto" w:fill="auto"/>
            <w:noWrap/>
            <w:vAlign w:val="center"/>
            <w:hideMark/>
          </w:tcPr>
          <w:p w14:paraId="6E88440A" w14:textId="77777777" w:rsidR="00661352" w:rsidRPr="003C7831" w:rsidRDefault="00661352" w:rsidP="00282AF6">
            <w:pPr>
              <w:adjustRightInd w:val="0"/>
              <w:snapToGrid w:val="0"/>
              <w:ind w:right="144"/>
              <w:jc w:val="right"/>
              <w:rPr>
                <w:kern w:val="22"/>
                <w:szCs w:val="22"/>
                <w:lang w:val="fr-CA" w:eastAsia="en-CA"/>
              </w:rPr>
            </w:pPr>
            <w:r w:rsidRPr="003C7831">
              <w:rPr>
                <w:kern w:val="22"/>
                <w:szCs w:val="22"/>
                <w:lang w:val="fr-CA" w:eastAsia="en-CA"/>
              </w:rPr>
              <w:t>631</w:t>
            </w:r>
          </w:p>
        </w:tc>
      </w:tr>
      <w:tr w:rsidR="00661352" w:rsidRPr="003C7831" w14:paraId="1DC0E907"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7A0D26" w14:textId="40ABF812" w:rsidR="00661352" w:rsidRPr="003C7831" w:rsidRDefault="00C95673" w:rsidP="00120F79">
            <w:pPr>
              <w:jc w:val="right"/>
              <w:rPr>
                <w:kern w:val="22"/>
                <w:szCs w:val="22"/>
                <w:lang w:val="fr-CA" w:eastAsia="en-CA"/>
              </w:rPr>
            </w:pPr>
            <w:r>
              <w:rPr>
                <w:kern w:val="22"/>
                <w:szCs w:val="22"/>
                <w:lang w:val="fr-CA" w:eastAsia="en-CA"/>
              </w:rPr>
              <w:t>178</w:t>
            </w:r>
          </w:p>
        </w:tc>
        <w:tc>
          <w:tcPr>
            <w:tcW w:w="3870" w:type="dxa"/>
            <w:tcBorders>
              <w:top w:val="nil"/>
              <w:left w:val="nil"/>
              <w:bottom w:val="single" w:sz="4" w:space="0" w:color="auto"/>
              <w:right w:val="single" w:sz="4" w:space="0" w:color="auto"/>
            </w:tcBorders>
            <w:shd w:val="clear" w:color="auto" w:fill="auto"/>
            <w:vAlign w:val="center"/>
            <w:hideMark/>
          </w:tcPr>
          <w:p w14:paraId="0F574326" w14:textId="77777777" w:rsidR="00661352" w:rsidRPr="003C7831" w:rsidRDefault="00661352" w:rsidP="00120F79">
            <w:pPr>
              <w:jc w:val="left"/>
              <w:rPr>
                <w:kern w:val="22"/>
                <w:szCs w:val="22"/>
                <w:lang w:val="fr-CA" w:eastAsia="en-CA"/>
              </w:rPr>
            </w:pPr>
            <w:r w:rsidRPr="003C7831">
              <w:rPr>
                <w:kern w:val="22"/>
                <w:szCs w:val="22"/>
                <w:lang w:val="fr-CA" w:eastAsia="en-CA"/>
              </w:rPr>
              <w:t>Tchéquie</w:t>
            </w:r>
          </w:p>
        </w:tc>
        <w:tc>
          <w:tcPr>
            <w:tcW w:w="1440" w:type="dxa"/>
            <w:tcBorders>
              <w:top w:val="nil"/>
              <w:left w:val="nil"/>
              <w:bottom w:val="single" w:sz="4" w:space="0" w:color="auto"/>
              <w:right w:val="single" w:sz="4" w:space="0" w:color="auto"/>
            </w:tcBorders>
            <w:shd w:val="clear" w:color="auto" w:fill="auto"/>
            <w:vAlign w:val="center"/>
            <w:hideMark/>
          </w:tcPr>
          <w:p w14:paraId="21B7C234"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311</w:t>
            </w:r>
          </w:p>
        </w:tc>
        <w:tc>
          <w:tcPr>
            <w:tcW w:w="1620" w:type="dxa"/>
            <w:tcBorders>
              <w:top w:val="nil"/>
              <w:left w:val="nil"/>
              <w:bottom w:val="single" w:sz="4" w:space="0" w:color="auto"/>
              <w:right w:val="single" w:sz="4" w:space="0" w:color="auto"/>
            </w:tcBorders>
            <w:shd w:val="clear" w:color="auto" w:fill="auto"/>
            <w:noWrap/>
            <w:vAlign w:val="center"/>
            <w:hideMark/>
          </w:tcPr>
          <w:p w14:paraId="21A1FD9D"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389</w:t>
            </w:r>
          </w:p>
        </w:tc>
        <w:tc>
          <w:tcPr>
            <w:tcW w:w="1710" w:type="dxa"/>
            <w:tcBorders>
              <w:top w:val="nil"/>
              <w:left w:val="nil"/>
              <w:bottom w:val="single" w:sz="4" w:space="0" w:color="auto"/>
              <w:right w:val="single" w:sz="4" w:space="0" w:color="auto"/>
            </w:tcBorders>
            <w:shd w:val="clear" w:color="auto" w:fill="auto"/>
            <w:noWrap/>
            <w:vAlign w:val="center"/>
            <w:hideMark/>
          </w:tcPr>
          <w:p w14:paraId="5E8B36C4" w14:textId="77777777" w:rsidR="00661352" w:rsidRPr="003C7831" w:rsidRDefault="00661352" w:rsidP="00282AF6">
            <w:pPr>
              <w:ind w:right="144"/>
              <w:jc w:val="right"/>
              <w:rPr>
                <w:kern w:val="22"/>
                <w:szCs w:val="22"/>
                <w:lang w:val="fr-CA" w:eastAsia="en-CA"/>
              </w:rPr>
            </w:pPr>
            <w:r w:rsidRPr="003C7831">
              <w:rPr>
                <w:kern w:val="22"/>
                <w:szCs w:val="22"/>
                <w:lang w:val="fr-CA" w:eastAsia="en-CA"/>
              </w:rPr>
              <w:t>49 066</w:t>
            </w:r>
          </w:p>
        </w:tc>
      </w:tr>
      <w:tr w:rsidR="00661352" w:rsidRPr="00E470BA" w14:paraId="228EFD43"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tcPr>
          <w:p w14:paraId="0CB873A2" w14:textId="01230BE2" w:rsidR="00661352" w:rsidRPr="00E470BA" w:rsidRDefault="00C95673" w:rsidP="004266BB">
            <w:pPr>
              <w:jc w:val="right"/>
              <w:rPr>
                <w:kern w:val="22"/>
                <w:szCs w:val="22"/>
                <w:lang w:val="fr-CA" w:eastAsia="en-CA"/>
              </w:rPr>
            </w:pPr>
            <w:r>
              <w:rPr>
                <w:kern w:val="22"/>
                <w:szCs w:val="22"/>
                <w:lang w:val="fr-CA" w:eastAsia="en-CA"/>
              </w:rPr>
              <w:t>179</w:t>
            </w:r>
          </w:p>
        </w:tc>
        <w:tc>
          <w:tcPr>
            <w:tcW w:w="3870" w:type="dxa"/>
            <w:tcBorders>
              <w:top w:val="nil"/>
              <w:left w:val="nil"/>
              <w:bottom w:val="single" w:sz="4" w:space="0" w:color="auto"/>
              <w:right w:val="single" w:sz="4" w:space="0" w:color="auto"/>
            </w:tcBorders>
            <w:shd w:val="clear" w:color="auto" w:fill="auto"/>
            <w:vAlign w:val="center"/>
            <w:hideMark/>
          </w:tcPr>
          <w:p w14:paraId="1B38C946" w14:textId="77777777" w:rsidR="00661352" w:rsidRPr="00E470BA" w:rsidRDefault="00661352" w:rsidP="004266BB">
            <w:pPr>
              <w:jc w:val="left"/>
              <w:rPr>
                <w:kern w:val="22"/>
                <w:szCs w:val="22"/>
                <w:lang w:val="fr-CA" w:eastAsia="en-CA"/>
              </w:rPr>
            </w:pPr>
            <w:r>
              <w:rPr>
                <w:kern w:val="22"/>
                <w:szCs w:val="22"/>
                <w:lang w:val="fr-CA" w:eastAsia="en-CA"/>
              </w:rPr>
              <w:t>Thaï</w:t>
            </w:r>
            <w:r w:rsidRPr="00E470BA">
              <w:rPr>
                <w:kern w:val="22"/>
                <w:szCs w:val="22"/>
                <w:lang w:val="fr-CA" w:eastAsia="en-CA"/>
              </w:rPr>
              <w:t>land</w:t>
            </w:r>
            <w:r>
              <w:rPr>
                <w:kern w:val="22"/>
                <w:szCs w:val="22"/>
                <w:lang w:val="fr-CA" w:eastAsia="en-CA"/>
              </w:rPr>
              <w:t>e</w:t>
            </w:r>
          </w:p>
        </w:tc>
        <w:tc>
          <w:tcPr>
            <w:tcW w:w="1440" w:type="dxa"/>
            <w:tcBorders>
              <w:top w:val="nil"/>
              <w:left w:val="nil"/>
              <w:bottom w:val="single" w:sz="4" w:space="0" w:color="auto"/>
              <w:right w:val="single" w:sz="4" w:space="0" w:color="auto"/>
            </w:tcBorders>
            <w:shd w:val="clear" w:color="auto" w:fill="auto"/>
            <w:vAlign w:val="center"/>
            <w:hideMark/>
          </w:tcPr>
          <w:p w14:paraId="6C8E377A"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307</w:t>
            </w:r>
          </w:p>
        </w:tc>
        <w:tc>
          <w:tcPr>
            <w:tcW w:w="1620" w:type="dxa"/>
            <w:tcBorders>
              <w:top w:val="nil"/>
              <w:left w:val="nil"/>
              <w:bottom w:val="single" w:sz="4" w:space="0" w:color="auto"/>
              <w:right w:val="single" w:sz="4" w:space="0" w:color="auto"/>
            </w:tcBorders>
            <w:shd w:val="clear" w:color="auto" w:fill="auto"/>
            <w:noWrap/>
            <w:vAlign w:val="center"/>
            <w:hideMark/>
          </w:tcPr>
          <w:p w14:paraId="26F3343D" w14:textId="77777777" w:rsidR="00661352" w:rsidRPr="00E470BA" w:rsidRDefault="00661352" w:rsidP="00282AF6">
            <w:pPr>
              <w:ind w:right="144"/>
              <w:jc w:val="right"/>
              <w:rPr>
                <w:kern w:val="22"/>
                <w:szCs w:val="22"/>
                <w:lang w:val="fr-CA" w:eastAsia="en-CA"/>
              </w:rPr>
            </w:pPr>
            <w:r w:rsidRPr="00E470BA">
              <w:rPr>
                <w:kern w:val="22"/>
                <w:szCs w:val="22"/>
                <w:lang w:val="fr-CA" w:eastAsia="en-CA"/>
              </w:rPr>
              <w:t>0</w:t>
            </w:r>
            <w:r>
              <w:rPr>
                <w:kern w:val="22"/>
                <w:szCs w:val="22"/>
                <w:lang w:val="fr-CA" w:eastAsia="en-CA"/>
              </w:rPr>
              <w:t>,</w:t>
            </w:r>
            <w:r w:rsidRPr="00E470BA">
              <w:rPr>
                <w:kern w:val="22"/>
                <w:szCs w:val="22"/>
                <w:lang w:val="fr-CA" w:eastAsia="en-CA"/>
              </w:rPr>
              <w:t>384</w:t>
            </w:r>
          </w:p>
        </w:tc>
        <w:tc>
          <w:tcPr>
            <w:tcW w:w="1710" w:type="dxa"/>
            <w:tcBorders>
              <w:top w:val="nil"/>
              <w:left w:val="nil"/>
              <w:bottom w:val="single" w:sz="4" w:space="0" w:color="auto"/>
              <w:right w:val="single" w:sz="4" w:space="0" w:color="auto"/>
            </w:tcBorders>
            <w:shd w:val="clear" w:color="auto" w:fill="auto"/>
            <w:noWrap/>
            <w:vAlign w:val="center"/>
            <w:hideMark/>
          </w:tcPr>
          <w:p w14:paraId="5B27D7CF" w14:textId="77777777" w:rsidR="00661352" w:rsidRPr="00E470BA" w:rsidRDefault="00661352" w:rsidP="00282AF6">
            <w:pPr>
              <w:ind w:right="144"/>
              <w:jc w:val="right"/>
              <w:rPr>
                <w:kern w:val="22"/>
                <w:szCs w:val="22"/>
                <w:lang w:val="fr-CA" w:eastAsia="en-CA"/>
              </w:rPr>
            </w:pPr>
            <w:r w:rsidRPr="00E470BA">
              <w:rPr>
                <w:kern w:val="22"/>
                <w:szCs w:val="22"/>
                <w:lang w:val="fr-CA" w:eastAsia="en-CA"/>
              </w:rPr>
              <w:t>48 435</w:t>
            </w:r>
          </w:p>
        </w:tc>
      </w:tr>
      <w:tr w:rsidR="00661352" w:rsidRPr="00B123B8" w14:paraId="429FD9DD" w14:textId="77777777" w:rsidTr="00661352">
        <w:trPr>
          <w:trHeight w:val="260"/>
          <w:jc w:val="center"/>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6296BDBE" w14:textId="5D810C13" w:rsidR="00661352" w:rsidRPr="00B123B8" w:rsidRDefault="00C95673" w:rsidP="00120F79">
            <w:pPr>
              <w:jc w:val="right"/>
              <w:rPr>
                <w:kern w:val="22"/>
                <w:szCs w:val="22"/>
                <w:lang w:val="fr-CA" w:eastAsia="en-CA"/>
              </w:rPr>
            </w:pPr>
            <w:r>
              <w:rPr>
                <w:kern w:val="22"/>
                <w:szCs w:val="22"/>
                <w:lang w:val="fr-CA" w:eastAsia="en-CA"/>
              </w:rPr>
              <w:t>180</w:t>
            </w:r>
          </w:p>
        </w:tc>
        <w:tc>
          <w:tcPr>
            <w:tcW w:w="3885" w:type="dxa"/>
            <w:gridSpan w:val="2"/>
            <w:tcBorders>
              <w:top w:val="nil"/>
              <w:left w:val="nil"/>
              <w:bottom w:val="single" w:sz="4" w:space="0" w:color="auto"/>
              <w:right w:val="single" w:sz="4" w:space="0" w:color="auto"/>
            </w:tcBorders>
            <w:shd w:val="clear" w:color="auto" w:fill="auto"/>
            <w:vAlign w:val="center"/>
            <w:hideMark/>
          </w:tcPr>
          <w:p w14:paraId="4BFA0A06" w14:textId="77777777" w:rsidR="00661352" w:rsidRPr="00B123B8" w:rsidRDefault="00661352" w:rsidP="00120F79">
            <w:pPr>
              <w:jc w:val="left"/>
              <w:rPr>
                <w:kern w:val="22"/>
                <w:szCs w:val="22"/>
                <w:lang w:val="fr-CA" w:eastAsia="en-CA"/>
              </w:rPr>
            </w:pPr>
            <w:r w:rsidRPr="00B123B8">
              <w:rPr>
                <w:kern w:val="22"/>
                <w:szCs w:val="22"/>
                <w:lang w:val="fr-CA" w:eastAsia="en-CA"/>
              </w:rPr>
              <w:t>Timor-Leste</w:t>
            </w:r>
          </w:p>
        </w:tc>
        <w:tc>
          <w:tcPr>
            <w:tcW w:w="1440" w:type="dxa"/>
            <w:tcBorders>
              <w:top w:val="nil"/>
              <w:left w:val="nil"/>
              <w:bottom w:val="single" w:sz="4" w:space="0" w:color="auto"/>
              <w:right w:val="single" w:sz="4" w:space="0" w:color="auto"/>
            </w:tcBorders>
            <w:shd w:val="clear" w:color="auto" w:fill="auto"/>
            <w:vAlign w:val="center"/>
            <w:hideMark/>
          </w:tcPr>
          <w:p w14:paraId="525F6683" w14:textId="77777777" w:rsidR="00661352" w:rsidRPr="00B123B8" w:rsidRDefault="00661352" w:rsidP="00282AF6">
            <w:pPr>
              <w:ind w:right="144"/>
              <w:jc w:val="right"/>
              <w:rPr>
                <w:kern w:val="22"/>
                <w:szCs w:val="22"/>
                <w:lang w:val="fr-CA" w:eastAsia="en-CA"/>
              </w:rPr>
            </w:pPr>
            <w:r w:rsidRPr="00B123B8">
              <w:rPr>
                <w:kern w:val="22"/>
                <w:szCs w:val="22"/>
                <w:lang w:val="fr-CA" w:eastAsia="en-CA"/>
              </w:rPr>
              <w:t>0</w:t>
            </w:r>
            <w:r>
              <w:rPr>
                <w:kern w:val="22"/>
                <w:szCs w:val="22"/>
                <w:lang w:val="fr-CA" w:eastAsia="en-CA"/>
              </w:rPr>
              <w:t>,</w:t>
            </w:r>
            <w:r w:rsidRPr="00B123B8">
              <w:rPr>
                <w:kern w:val="22"/>
                <w:szCs w:val="22"/>
                <w:lang w:val="fr-CA" w:eastAsia="en-CA"/>
              </w:rPr>
              <w:t>002</w:t>
            </w:r>
          </w:p>
        </w:tc>
        <w:tc>
          <w:tcPr>
            <w:tcW w:w="1620" w:type="dxa"/>
            <w:tcBorders>
              <w:top w:val="nil"/>
              <w:left w:val="nil"/>
              <w:bottom w:val="single" w:sz="4" w:space="0" w:color="auto"/>
              <w:right w:val="single" w:sz="4" w:space="0" w:color="auto"/>
            </w:tcBorders>
            <w:shd w:val="clear" w:color="auto" w:fill="auto"/>
            <w:noWrap/>
            <w:vAlign w:val="center"/>
            <w:hideMark/>
          </w:tcPr>
          <w:p w14:paraId="30ECA3BB" w14:textId="77777777" w:rsidR="00661352" w:rsidRPr="00B123B8" w:rsidRDefault="00661352" w:rsidP="00282AF6">
            <w:pPr>
              <w:ind w:right="144"/>
              <w:jc w:val="right"/>
              <w:rPr>
                <w:kern w:val="22"/>
                <w:szCs w:val="22"/>
                <w:lang w:val="fr-CA" w:eastAsia="en-CA"/>
              </w:rPr>
            </w:pPr>
            <w:r w:rsidRPr="00B123B8">
              <w:rPr>
                <w:kern w:val="22"/>
                <w:szCs w:val="22"/>
                <w:lang w:val="fr-CA" w:eastAsia="en-CA"/>
              </w:rPr>
              <w:t>0</w:t>
            </w:r>
            <w:r>
              <w:rPr>
                <w:kern w:val="22"/>
                <w:szCs w:val="22"/>
                <w:lang w:val="fr-CA" w:eastAsia="en-CA"/>
              </w:rPr>
              <w:t>,</w:t>
            </w:r>
            <w:r w:rsidRPr="00B123B8">
              <w:rPr>
                <w:kern w:val="22"/>
                <w:szCs w:val="22"/>
                <w:lang w:val="fr-CA" w:eastAsia="en-CA"/>
              </w:rPr>
              <w:t>003</w:t>
            </w:r>
          </w:p>
        </w:tc>
        <w:tc>
          <w:tcPr>
            <w:tcW w:w="1710" w:type="dxa"/>
            <w:tcBorders>
              <w:top w:val="nil"/>
              <w:left w:val="nil"/>
              <w:bottom w:val="single" w:sz="4" w:space="0" w:color="auto"/>
              <w:right w:val="single" w:sz="4" w:space="0" w:color="auto"/>
            </w:tcBorders>
            <w:shd w:val="clear" w:color="auto" w:fill="auto"/>
            <w:noWrap/>
            <w:vAlign w:val="center"/>
            <w:hideMark/>
          </w:tcPr>
          <w:p w14:paraId="0152053E" w14:textId="77777777" w:rsidR="00661352" w:rsidRPr="00B123B8" w:rsidRDefault="00661352" w:rsidP="00282AF6">
            <w:pPr>
              <w:ind w:right="144"/>
              <w:jc w:val="right"/>
              <w:rPr>
                <w:kern w:val="22"/>
                <w:szCs w:val="22"/>
                <w:lang w:val="fr-CA" w:eastAsia="en-CA"/>
              </w:rPr>
            </w:pPr>
            <w:r w:rsidRPr="00B123B8">
              <w:rPr>
                <w:kern w:val="22"/>
                <w:szCs w:val="22"/>
                <w:lang w:val="fr-CA" w:eastAsia="en-CA"/>
              </w:rPr>
              <w:t>316</w:t>
            </w:r>
          </w:p>
        </w:tc>
      </w:tr>
      <w:tr w:rsidR="00661352" w:rsidRPr="00B123B8" w14:paraId="3D82ACF8" w14:textId="77777777" w:rsidTr="00661352">
        <w:trPr>
          <w:trHeight w:val="260"/>
          <w:jc w:val="center"/>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0975D1ED" w14:textId="6B4E9FF9" w:rsidR="00661352" w:rsidRPr="00B123B8" w:rsidRDefault="00C95673" w:rsidP="00120F79">
            <w:pPr>
              <w:jc w:val="right"/>
              <w:rPr>
                <w:kern w:val="22"/>
                <w:szCs w:val="22"/>
                <w:lang w:val="fr-CA" w:eastAsia="en-CA"/>
              </w:rPr>
            </w:pPr>
            <w:r>
              <w:rPr>
                <w:kern w:val="22"/>
                <w:szCs w:val="22"/>
                <w:lang w:val="fr-CA" w:eastAsia="en-CA"/>
              </w:rPr>
              <w:t>181</w:t>
            </w:r>
          </w:p>
        </w:tc>
        <w:tc>
          <w:tcPr>
            <w:tcW w:w="3885" w:type="dxa"/>
            <w:gridSpan w:val="2"/>
            <w:tcBorders>
              <w:top w:val="nil"/>
              <w:left w:val="nil"/>
              <w:bottom w:val="single" w:sz="4" w:space="0" w:color="auto"/>
              <w:right w:val="single" w:sz="4" w:space="0" w:color="auto"/>
            </w:tcBorders>
            <w:shd w:val="clear" w:color="auto" w:fill="auto"/>
            <w:vAlign w:val="center"/>
            <w:hideMark/>
          </w:tcPr>
          <w:p w14:paraId="0803197D" w14:textId="77777777" w:rsidR="00661352" w:rsidRPr="00B123B8" w:rsidRDefault="00661352" w:rsidP="00120F79">
            <w:pPr>
              <w:jc w:val="left"/>
              <w:rPr>
                <w:kern w:val="22"/>
                <w:szCs w:val="22"/>
                <w:lang w:val="fr-CA" w:eastAsia="en-CA"/>
              </w:rPr>
            </w:pPr>
            <w:r w:rsidRPr="00B123B8">
              <w:rPr>
                <w:kern w:val="22"/>
                <w:szCs w:val="22"/>
                <w:lang w:val="fr-CA" w:eastAsia="en-CA"/>
              </w:rPr>
              <w:t>Togo</w:t>
            </w:r>
          </w:p>
        </w:tc>
        <w:tc>
          <w:tcPr>
            <w:tcW w:w="1440" w:type="dxa"/>
            <w:tcBorders>
              <w:top w:val="nil"/>
              <w:left w:val="nil"/>
              <w:bottom w:val="single" w:sz="4" w:space="0" w:color="auto"/>
              <w:right w:val="single" w:sz="4" w:space="0" w:color="auto"/>
            </w:tcBorders>
            <w:shd w:val="clear" w:color="auto" w:fill="auto"/>
            <w:vAlign w:val="center"/>
            <w:hideMark/>
          </w:tcPr>
          <w:p w14:paraId="79F58036" w14:textId="77777777" w:rsidR="00661352" w:rsidRPr="00B123B8" w:rsidRDefault="00661352" w:rsidP="00282AF6">
            <w:pPr>
              <w:ind w:right="144"/>
              <w:jc w:val="right"/>
              <w:rPr>
                <w:kern w:val="22"/>
                <w:szCs w:val="22"/>
                <w:lang w:val="fr-CA" w:eastAsia="en-CA"/>
              </w:rPr>
            </w:pPr>
            <w:r w:rsidRPr="00B123B8">
              <w:rPr>
                <w:kern w:val="22"/>
                <w:szCs w:val="22"/>
                <w:lang w:val="fr-CA" w:eastAsia="en-CA"/>
              </w:rPr>
              <w:t>0</w:t>
            </w:r>
            <w:r>
              <w:rPr>
                <w:kern w:val="22"/>
                <w:szCs w:val="22"/>
                <w:lang w:val="fr-CA" w:eastAsia="en-CA"/>
              </w:rPr>
              <w:t>,</w:t>
            </w:r>
            <w:r w:rsidRPr="00B123B8">
              <w:rPr>
                <w:kern w:val="22"/>
                <w:szCs w:val="22"/>
                <w:lang w:val="fr-CA" w:eastAsia="en-CA"/>
              </w:rPr>
              <w:t>002</w:t>
            </w:r>
          </w:p>
        </w:tc>
        <w:tc>
          <w:tcPr>
            <w:tcW w:w="1620" w:type="dxa"/>
            <w:tcBorders>
              <w:top w:val="nil"/>
              <w:left w:val="nil"/>
              <w:bottom w:val="single" w:sz="4" w:space="0" w:color="auto"/>
              <w:right w:val="single" w:sz="4" w:space="0" w:color="auto"/>
            </w:tcBorders>
            <w:shd w:val="clear" w:color="auto" w:fill="auto"/>
            <w:noWrap/>
            <w:vAlign w:val="center"/>
            <w:hideMark/>
          </w:tcPr>
          <w:p w14:paraId="5A449379" w14:textId="77777777" w:rsidR="00661352" w:rsidRPr="00B123B8" w:rsidRDefault="00661352" w:rsidP="00282AF6">
            <w:pPr>
              <w:ind w:right="144"/>
              <w:jc w:val="right"/>
              <w:rPr>
                <w:kern w:val="22"/>
                <w:szCs w:val="22"/>
                <w:lang w:val="fr-CA" w:eastAsia="en-CA"/>
              </w:rPr>
            </w:pPr>
            <w:r w:rsidRPr="00B123B8">
              <w:rPr>
                <w:kern w:val="22"/>
                <w:szCs w:val="22"/>
                <w:lang w:val="fr-CA" w:eastAsia="en-CA"/>
              </w:rPr>
              <w:t>0</w:t>
            </w:r>
            <w:r>
              <w:rPr>
                <w:kern w:val="22"/>
                <w:szCs w:val="22"/>
                <w:lang w:val="fr-CA" w:eastAsia="en-CA"/>
              </w:rPr>
              <w:t>,</w:t>
            </w:r>
            <w:r w:rsidRPr="00B123B8">
              <w:rPr>
                <w:kern w:val="22"/>
                <w:szCs w:val="22"/>
                <w:lang w:val="fr-CA" w:eastAsia="en-CA"/>
              </w:rPr>
              <w:t>003</w:t>
            </w:r>
          </w:p>
        </w:tc>
        <w:tc>
          <w:tcPr>
            <w:tcW w:w="1710" w:type="dxa"/>
            <w:tcBorders>
              <w:top w:val="nil"/>
              <w:left w:val="nil"/>
              <w:bottom w:val="single" w:sz="4" w:space="0" w:color="auto"/>
              <w:right w:val="single" w:sz="4" w:space="0" w:color="auto"/>
            </w:tcBorders>
            <w:shd w:val="clear" w:color="auto" w:fill="auto"/>
            <w:noWrap/>
            <w:vAlign w:val="center"/>
            <w:hideMark/>
          </w:tcPr>
          <w:p w14:paraId="13DA6C8A" w14:textId="77777777" w:rsidR="00661352" w:rsidRPr="00B123B8" w:rsidRDefault="00661352" w:rsidP="00282AF6">
            <w:pPr>
              <w:ind w:right="144"/>
              <w:jc w:val="right"/>
              <w:rPr>
                <w:kern w:val="22"/>
                <w:szCs w:val="22"/>
                <w:lang w:val="fr-CA" w:eastAsia="en-CA"/>
              </w:rPr>
            </w:pPr>
            <w:r w:rsidRPr="00B123B8">
              <w:rPr>
                <w:kern w:val="22"/>
                <w:szCs w:val="22"/>
                <w:lang w:val="fr-CA" w:eastAsia="en-CA"/>
              </w:rPr>
              <w:t>316</w:t>
            </w:r>
          </w:p>
        </w:tc>
      </w:tr>
      <w:tr w:rsidR="00661352" w:rsidRPr="00B123B8" w14:paraId="1107B83B" w14:textId="77777777" w:rsidTr="00661352">
        <w:trPr>
          <w:trHeight w:val="260"/>
          <w:jc w:val="center"/>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593280D5" w14:textId="605438C2" w:rsidR="00661352" w:rsidRPr="00B123B8" w:rsidRDefault="00C95673" w:rsidP="00120F79">
            <w:pPr>
              <w:jc w:val="right"/>
              <w:rPr>
                <w:kern w:val="22"/>
                <w:szCs w:val="22"/>
                <w:lang w:val="fr-CA" w:eastAsia="en-CA"/>
              </w:rPr>
            </w:pPr>
            <w:r>
              <w:rPr>
                <w:kern w:val="22"/>
                <w:szCs w:val="22"/>
                <w:lang w:val="fr-CA" w:eastAsia="en-CA"/>
              </w:rPr>
              <w:t>182</w:t>
            </w:r>
          </w:p>
        </w:tc>
        <w:tc>
          <w:tcPr>
            <w:tcW w:w="3885" w:type="dxa"/>
            <w:gridSpan w:val="2"/>
            <w:tcBorders>
              <w:top w:val="nil"/>
              <w:left w:val="nil"/>
              <w:bottom w:val="single" w:sz="4" w:space="0" w:color="auto"/>
              <w:right w:val="single" w:sz="4" w:space="0" w:color="auto"/>
            </w:tcBorders>
            <w:shd w:val="clear" w:color="auto" w:fill="auto"/>
            <w:vAlign w:val="center"/>
            <w:hideMark/>
          </w:tcPr>
          <w:p w14:paraId="018543F3" w14:textId="77777777" w:rsidR="00661352" w:rsidRPr="00B123B8" w:rsidRDefault="00661352" w:rsidP="00120F79">
            <w:pPr>
              <w:jc w:val="left"/>
              <w:rPr>
                <w:kern w:val="22"/>
                <w:szCs w:val="22"/>
                <w:lang w:val="fr-CA" w:eastAsia="en-CA"/>
              </w:rPr>
            </w:pPr>
            <w:r w:rsidRPr="00B123B8">
              <w:rPr>
                <w:kern w:val="22"/>
                <w:szCs w:val="22"/>
                <w:lang w:val="fr-CA" w:eastAsia="en-CA"/>
              </w:rPr>
              <w:t>Tonga</w:t>
            </w:r>
          </w:p>
        </w:tc>
        <w:tc>
          <w:tcPr>
            <w:tcW w:w="1440" w:type="dxa"/>
            <w:tcBorders>
              <w:top w:val="nil"/>
              <w:left w:val="nil"/>
              <w:bottom w:val="single" w:sz="4" w:space="0" w:color="auto"/>
              <w:right w:val="single" w:sz="4" w:space="0" w:color="auto"/>
            </w:tcBorders>
            <w:shd w:val="clear" w:color="auto" w:fill="auto"/>
            <w:vAlign w:val="center"/>
            <w:hideMark/>
          </w:tcPr>
          <w:p w14:paraId="708C6936" w14:textId="77777777" w:rsidR="00661352" w:rsidRPr="00B123B8" w:rsidRDefault="00661352" w:rsidP="00282AF6">
            <w:pPr>
              <w:ind w:right="144"/>
              <w:jc w:val="right"/>
              <w:rPr>
                <w:kern w:val="22"/>
                <w:szCs w:val="22"/>
                <w:lang w:val="fr-CA" w:eastAsia="en-CA"/>
              </w:rPr>
            </w:pPr>
            <w:r w:rsidRPr="00B123B8">
              <w:rPr>
                <w:kern w:val="22"/>
                <w:szCs w:val="22"/>
                <w:lang w:val="fr-CA" w:eastAsia="en-CA"/>
              </w:rPr>
              <w:t>0</w:t>
            </w:r>
            <w:r>
              <w:rPr>
                <w:kern w:val="22"/>
                <w:szCs w:val="22"/>
                <w:lang w:val="fr-CA" w:eastAsia="en-CA"/>
              </w:rPr>
              <w:t>,</w:t>
            </w:r>
            <w:r w:rsidRPr="00B123B8">
              <w:rPr>
                <w:kern w:val="22"/>
                <w:szCs w:val="22"/>
                <w:lang w:val="fr-CA" w:eastAsia="en-CA"/>
              </w:rPr>
              <w:t>001</w:t>
            </w:r>
          </w:p>
        </w:tc>
        <w:tc>
          <w:tcPr>
            <w:tcW w:w="1620" w:type="dxa"/>
            <w:tcBorders>
              <w:top w:val="nil"/>
              <w:left w:val="nil"/>
              <w:bottom w:val="single" w:sz="4" w:space="0" w:color="auto"/>
              <w:right w:val="single" w:sz="4" w:space="0" w:color="auto"/>
            </w:tcBorders>
            <w:shd w:val="clear" w:color="auto" w:fill="auto"/>
            <w:noWrap/>
            <w:vAlign w:val="center"/>
            <w:hideMark/>
          </w:tcPr>
          <w:p w14:paraId="55AD35B4" w14:textId="77777777" w:rsidR="00661352" w:rsidRPr="00B123B8" w:rsidRDefault="00661352" w:rsidP="00282AF6">
            <w:pPr>
              <w:ind w:right="144"/>
              <w:jc w:val="right"/>
              <w:rPr>
                <w:kern w:val="22"/>
                <w:szCs w:val="22"/>
                <w:lang w:val="fr-CA" w:eastAsia="en-CA"/>
              </w:rPr>
            </w:pPr>
            <w:r w:rsidRPr="00B123B8">
              <w:rPr>
                <w:kern w:val="22"/>
                <w:szCs w:val="22"/>
                <w:lang w:val="fr-CA" w:eastAsia="en-CA"/>
              </w:rPr>
              <w:t>0</w:t>
            </w:r>
            <w:r>
              <w:rPr>
                <w:kern w:val="22"/>
                <w:szCs w:val="22"/>
                <w:lang w:val="fr-CA" w:eastAsia="en-CA"/>
              </w:rPr>
              <w:t>,</w:t>
            </w:r>
            <w:r w:rsidRPr="00B123B8">
              <w:rPr>
                <w:kern w:val="22"/>
                <w:szCs w:val="22"/>
                <w:lang w:val="fr-CA" w:eastAsia="en-CA"/>
              </w:rPr>
              <w:t>001</w:t>
            </w:r>
          </w:p>
        </w:tc>
        <w:tc>
          <w:tcPr>
            <w:tcW w:w="1710" w:type="dxa"/>
            <w:tcBorders>
              <w:top w:val="nil"/>
              <w:left w:val="nil"/>
              <w:bottom w:val="single" w:sz="4" w:space="0" w:color="auto"/>
              <w:right w:val="single" w:sz="4" w:space="0" w:color="auto"/>
            </w:tcBorders>
            <w:shd w:val="clear" w:color="auto" w:fill="auto"/>
            <w:noWrap/>
            <w:vAlign w:val="center"/>
            <w:hideMark/>
          </w:tcPr>
          <w:p w14:paraId="70F20DC8" w14:textId="77777777" w:rsidR="00661352" w:rsidRPr="00B123B8" w:rsidRDefault="00661352" w:rsidP="00282AF6">
            <w:pPr>
              <w:ind w:right="144"/>
              <w:jc w:val="right"/>
              <w:rPr>
                <w:kern w:val="22"/>
                <w:szCs w:val="22"/>
                <w:lang w:val="fr-CA" w:eastAsia="en-CA"/>
              </w:rPr>
            </w:pPr>
            <w:r w:rsidRPr="00B123B8">
              <w:rPr>
                <w:kern w:val="22"/>
                <w:szCs w:val="22"/>
                <w:lang w:val="fr-CA" w:eastAsia="en-CA"/>
              </w:rPr>
              <w:t>158</w:t>
            </w:r>
          </w:p>
        </w:tc>
      </w:tr>
      <w:tr w:rsidR="00661352" w:rsidRPr="00B123B8" w14:paraId="29F3747D" w14:textId="77777777" w:rsidTr="00661352">
        <w:trPr>
          <w:trHeight w:val="260"/>
          <w:jc w:val="center"/>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463711EF" w14:textId="183461F4" w:rsidR="00661352" w:rsidRPr="00B123B8" w:rsidRDefault="00EF4C61" w:rsidP="00120F79">
            <w:pPr>
              <w:jc w:val="right"/>
              <w:rPr>
                <w:kern w:val="22"/>
                <w:szCs w:val="22"/>
                <w:lang w:val="fr-CA" w:eastAsia="en-CA"/>
              </w:rPr>
            </w:pPr>
            <w:r>
              <w:rPr>
                <w:kern w:val="22"/>
                <w:szCs w:val="22"/>
                <w:lang w:val="fr-CA" w:eastAsia="en-CA"/>
              </w:rPr>
              <w:t>183</w:t>
            </w:r>
          </w:p>
        </w:tc>
        <w:tc>
          <w:tcPr>
            <w:tcW w:w="3885" w:type="dxa"/>
            <w:gridSpan w:val="2"/>
            <w:tcBorders>
              <w:top w:val="nil"/>
              <w:left w:val="nil"/>
              <w:bottom w:val="single" w:sz="4" w:space="0" w:color="auto"/>
              <w:right w:val="single" w:sz="4" w:space="0" w:color="auto"/>
            </w:tcBorders>
            <w:shd w:val="clear" w:color="auto" w:fill="auto"/>
            <w:vAlign w:val="center"/>
            <w:hideMark/>
          </w:tcPr>
          <w:p w14:paraId="49B7C9A7" w14:textId="77777777" w:rsidR="00661352" w:rsidRPr="00B123B8" w:rsidRDefault="00661352" w:rsidP="00120F79">
            <w:pPr>
              <w:jc w:val="left"/>
              <w:rPr>
                <w:kern w:val="22"/>
                <w:szCs w:val="22"/>
                <w:lang w:val="fr-CA" w:eastAsia="en-CA"/>
              </w:rPr>
            </w:pPr>
            <w:r>
              <w:rPr>
                <w:kern w:val="22"/>
                <w:szCs w:val="22"/>
                <w:lang w:val="fr-CA" w:eastAsia="en-CA"/>
              </w:rPr>
              <w:t>Trinité-et-Tobago</w:t>
            </w:r>
          </w:p>
        </w:tc>
        <w:tc>
          <w:tcPr>
            <w:tcW w:w="1440" w:type="dxa"/>
            <w:tcBorders>
              <w:top w:val="nil"/>
              <w:left w:val="nil"/>
              <w:bottom w:val="single" w:sz="4" w:space="0" w:color="auto"/>
              <w:right w:val="single" w:sz="4" w:space="0" w:color="auto"/>
            </w:tcBorders>
            <w:shd w:val="clear" w:color="auto" w:fill="auto"/>
            <w:vAlign w:val="center"/>
            <w:hideMark/>
          </w:tcPr>
          <w:p w14:paraId="2ABFDE9D" w14:textId="77777777" w:rsidR="00661352" w:rsidRPr="00B123B8" w:rsidRDefault="00661352" w:rsidP="00282AF6">
            <w:pPr>
              <w:ind w:right="144"/>
              <w:jc w:val="right"/>
              <w:rPr>
                <w:kern w:val="22"/>
                <w:szCs w:val="22"/>
                <w:lang w:val="fr-CA" w:eastAsia="en-CA"/>
              </w:rPr>
            </w:pPr>
            <w:r w:rsidRPr="00B123B8">
              <w:rPr>
                <w:kern w:val="22"/>
                <w:szCs w:val="22"/>
                <w:lang w:val="fr-CA" w:eastAsia="en-CA"/>
              </w:rPr>
              <w:t>0</w:t>
            </w:r>
            <w:r>
              <w:rPr>
                <w:kern w:val="22"/>
                <w:szCs w:val="22"/>
                <w:lang w:val="fr-CA" w:eastAsia="en-CA"/>
              </w:rPr>
              <w:t>,</w:t>
            </w:r>
            <w:r w:rsidRPr="00B123B8">
              <w:rPr>
                <w:kern w:val="22"/>
                <w:szCs w:val="22"/>
                <w:lang w:val="fr-CA" w:eastAsia="en-CA"/>
              </w:rPr>
              <w:t>040</w:t>
            </w:r>
          </w:p>
        </w:tc>
        <w:tc>
          <w:tcPr>
            <w:tcW w:w="1620" w:type="dxa"/>
            <w:tcBorders>
              <w:top w:val="nil"/>
              <w:left w:val="nil"/>
              <w:bottom w:val="single" w:sz="4" w:space="0" w:color="auto"/>
              <w:right w:val="single" w:sz="4" w:space="0" w:color="auto"/>
            </w:tcBorders>
            <w:shd w:val="clear" w:color="auto" w:fill="auto"/>
            <w:noWrap/>
            <w:vAlign w:val="center"/>
            <w:hideMark/>
          </w:tcPr>
          <w:p w14:paraId="1DCC09CC" w14:textId="77777777" w:rsidR="00661352" w:rsidRPr="00B123B8" w:rsidRDefault="00661352" w:rsidP="00282AF6">
            <w:pPr>
              <w:ind w:right="144"/>
              <w:jc w:val="right"/>
              <w:rPr>
                <w:kern w:val="22"/>
                <w:szCs w:val="22"/>
                <w:lang w:val="fr-CA" w:eastAsia="en-CA"/>
              </w:rPr>
            </w:pPr>
            <w:r w:rsidRPr="00B123B8">
              <w:rPr>
                <w:kern w:val="22"/>
                <w:szCs w:val="22"/>
                <w:lang w:val="fr-CA" w:eastAsia="en-CA"/>
              </w:rPr>
              <w:t>0</w:t>
            </w:r>
            <w:r>
              <w:rPr>
                <w:kern w:val="22"/>
                <w:szCs w:val="22"/>
                <w:lang w:val="fr-CA" w:eastAsia="en-CA"/>
              </w:rPr>
              <w:t>,</w:t>
            </w:r>
            <w:r w:rsidRPr="00B123B8">
              <w:rPr>
                <w:kern w:val="22"/>
                <w:szCs w:val="22"/>
                <w:lang w:val="fr-CA" w:eastAsia="en-CA"/>
              </w:rPr>
              <w:t>050</w:t>
            </w:r>
          </w:p>
        </w:tc>
        <w:tc>
          <w:tcPr>
            <w:tcW w:w="1710" w:type="dxa"/>
            <w:tcBorders>
              <w:top w:val="nil"/>
              <w:left w:val="nil"/>
              <w:bottom w:val="single" w:sz="4" w:space="0" w:color="auto"/>
              <w:right w:val="single" w:sz="4" w:space="0" w:color="auto"/>
            </w:tcBorders>
            <w:shd w:val="clear" w:color="auto" w:fill="auto"/>
            <w:noWrap/>
            <w:vAlign w:val="center"/>
            <w:hideMark/>
          </w:tcPr>
          <w:p w14:paraId="37A0AC01" w14:textId="77777777" w:rsidR="00661352" w:rsidRPr="00B123B8" w:rsidRDefault="00661352" w:rsidP="00282AF6">
            <w:pPr>
              <w:ind w:right="144"/>
              <w:jc w:val="right"/>
              <w:rPr>
                <w:kern w:val="22"/>
                <w:szCs w:val="22"/>
                <w:lang w:val="fr-CA" w:eastAsia="en-CA"/>
              </w:rPr>
            </w:pPr>
            <w:r w:rsidRPr="00B123B8">
              <w:rPr>
                <w:kern w:val="22"/>
                <w:szCs w:val="22"/>
                <w:lang w:val="fr-CA" w:eastAsia="en-CA"/>
              </w:rPr>
              <w:t>6 311</w:t>
            </w:r>
          </w:p>
        </w:tc>
      </w:tr>
      <w:tr w:rsidR="00661352" w:rsidRPr="00B123B8" w14:paraId="11C7B9D3" w14:textId="77777777" w:rsidTr="00661352">
        <w:trPr>
          <w:trHeight w:val="260"/>
          <w:jc w:val="center"/>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7BC895E1" w14:textId="5BE27E7F" w:rsidR="00661352" w:rsidRPr="00B123B8" w:rsidRDefault="00EF4C61" w:rsidP="00120F79">
            <w:pPr>
              <w:jc w:val="right"/>
              <w:rPr>
                <w:kern w:val="22"/>
                <w:szCs w:val="22"/>
                <w:lang w:val="fr-CA" w:eastAsia="en-CA"/>
              </w:rPr>
            </w:pPr>
            <w:r>
              <w:rPr>
                <w:kern w:val="22"/>
                <w:szCs w:val="22"/>
                <w:lang w:val="fr-CA" w:eastAsia="en-CA"/>
              </w:rPr>
              <w:t>184</w:t>
            </w:r>
          </w:p>
        </w:tc>
        <w:tc>
          <w:tcPr>
            <w:tcW w:w="3885" w:type="dxa"/>
            <w:gridSpan w:val="2"/>
            <w:tcBorders>
              <w:top w:val="nil"/>
              <w:left w:val="nil"/>
              <w:bottom w:val="single" w:sz="4" w:space="0" w:color="auto"/>
              <w:right w:val="single" w:sz="4" w:space="0" w:color="auto"/>
            </w:tcBorders>
            <w:shd w:val="clear" w:color="auto" w:fill="auto"/>
            <w:vAlign w:val="center"/>
            <w:hideMark/>
          </w:tcPr>
          <w:p w14:paraId="592ADAF6" w14:textId="77777777" w:rsidR="00661352" w:rsidRPr="00B123B8" w:rsidRDefault="00661352" w:rsidP="00120F79">
            <w:pPr>
              <w:jc w:val="left"/>
              <w:rPr>
                <w:kern w:val="22"/>
                <w:szCs w:val="22"/>
                <w:lang w:val="fr-CA" w:eastAsia="en-CA"/>
              </w:rPr>
            </w:pPr>
            <w:r>
              <w:rPr>
                <w:kern w:val="22"/>
                <w:szCs w:val="22"/>
                <w:lang w:val="fr-CA" w:eastAsia="en-CA"/>
              </w:rPr>
              <w:t>Tunisie</w:t>
            </w:r>
          </w:p>
        </w:tc>
        <w:tc>
          <w:tcPr>
            <w:tcW w:w="1440" w:type="dxa"/>
            <w:tcBorders>
              <w:top w:val="nil"/>
              <w:left w:val="nil"/>
              <w:bottom w:val="single" w:sz="4" w:space="0" w:color="auto"/>
              <w:right w:val="single" w:sz="4" w:space="0" w:color="auto"/>
            </w:tcBorders>
            <w:shd w:val="clear" w:color="auto" w:fill="auto"/>
            <w:vAlign w:val="center"/>
            <w:hideMark/>
          </w:tcPr>
          <w:p w14:paraId="5C1F03E1" w14:textId="77777777" w:rsidR="00661352" w:rsidRPr="00B123B8" w:rsidRDefault="00661352" w:rsidP="00282AF6">
            <w:pPr>
              <w:ind w:right="144"/>
              <w:jc w:val="right"/>
              <w:rPr>
                <w:kern w:val="22"/>
                <w:szCs w:val="22"/>
                <w:lang w:val="fr-CA" w:eastAsia="en-CA"/>
              </w:rPr>
            </w:pPr>
            <w:r w:rsidRPr="00B123B8">
              <w:rPr>
                <w:kern w:val="22"/>
                <w:szCs w:val="22"/>
                <w:lang w:val="fr-CA" w:eastAsia="en-CA"/>
              </w:rPr>
              <w:t>0</w:t>
            </w:r>
            <w:r>
              <w:rPr>
                <w:kern w:val="22"/>
                <w:szCs w:val="22"/>
                <w:lang w:val="fr-CA" w:eastAsia="en-CA"/>
              </w:rPr>
              <w:t>,</w:t>
            </w:r>
            <w:r w:rsidRPr="00B123B8">
              <w:rPr>
                <w:kern w:val="22"/>
                <w:szCs w:val="22"/>
                <w:lang w:val="fr-CA" w:eastAsia="en-CA"/>
              </w:rPr>
              <w:t>025</w:t>
            </w:r>
          </w:p>
        </w:tc>
        <w:tc>
          <w:tcPr>
            <w:tcW w:w="1620" w:type="dxa"/>
            <w:tcBorders>
              <w:top w:val="nil"/>
              <w:left w:val="nil"/>
              <w:bottom w:val="single" w:sz="4" w:space="0" w:color="auto"/>
              <w:right w:val="single" w:sz="4" w:space="0" w:color="auto"/>
            </w:tcBorders>
            <w:shd w:val="clear" w:color="auto" w:fill="auto"/>
            <w:noWrap/>
            <w:vAlign w:val="center"/>
            <w:hideMark/>
          </w:tcPr>
          <w:p w14:paraId="2CE4B9E3" w14:textId="77777777" w:rsidR="00661352" w:rsidRPr="00B123B8" w:rsidRDefault="00661352" w:rsidP="00282AF6">
            <w:pPr>
              <w:ind w:right="144"/>
              <w:jc w:val="right"/>
              <w:rPr>
                <w:kern w:val="22"/>
                <w:szCs w:val="22"/>
                <w:lang w:val="fr-CA" w:eastAsia="en-CA"/>
              </w:rPr>
            </w:pPr>
            <w:r w:rsidRPr="00B123B8">
              <w:rPr>
                <w:kern w:val="22"/>
                <w:szCs w:val="22"/>
                <w:lang w:val="fr-CA" w:eastAsia="en-CA"/>
              </w:rPr>
              <w:t>0</w:t>
            </w:r>
            <w:r>
              <w:rPr>
                <w:kern w:val="22"/>
                <w:szCs w:val="22"/>
                <w:lang w:val="fr-CA" w:eastAsia="en-CA"/>
              </w:rPr>
              <w:t>,</w:t>
            </w:r>
            <w:r w:rsidRPr="00B123B8">
              <w:rPr>
                <w:kern w:val="22"/>
                <w:szCs w:val="22"/>
                <w:lang w:val="fr-CA" w:eastAsia="en-CA"/>
              </w:rPr>
              <w:t>031</w:t>
            </w:r>
          </w:p>
        </w:tc>
        <w:tc>
          <w:tcPr>
            <w:tcW w:w="1710" w:type="dxa"/>
            <w:tcBorders>
              <w:top w:val="nil"/>
              <w:left w:val="nil"/>
              <w:bottom w:val="single" w:sz="4" w:space="0" w:color="auto"/>
              <w:right w:val="single" w:sz="4" w:space="0" w:color="auto"/>
            </w:tcBorders>
            <w:shd w:val="clear" w:color="auto" w:fill="auto"/>
            <w:noWrap/>
            <w:vAlign w:val="center"/>
            <w:hideMark/>
          </w:tcPr>
          <w:p w14:paraId="5DBC0990" w14:textId="77777777" w:rsidR="00661352" w:rsidRPr="00B123B8" w:rsidRDefault="00661352" w:rsidP="00282AF6">
            <w:pPr>
              <w:ind w:right="144"/>
              <w:jc w:val="right"/>
              <w:rPr>
                <w:kern w:val="22"/>
                <w:szCs w:val="22"/>
                <w:lang w:val="fr-CA" w:eastAsia="en-CA"/>
              </w:rPr>
            </w:pPr>
            <w:r w:rsidRPr="00B123B8">
              <w:rPr>
                <w:kern w:val="22"/>
                <w:szCs w:val="22"/>
                <w:lang w:val="fr-CA" w:eastAsia="en-CA"/>
              </w:rPr>
              <w:t>3 944</w:t>
            </w:r>
          </w:p>
        </w:tc>
      </w:tr>
      <w:tr w:rsidR="00661352" w:rsidRPr="00B123B8" w14:paraId="09A36EB2" w14:textId="77777777" w:rsidTr="00661352">
        <w:trPr>
          <w:trHeight w:val="260"/>
          <w:jc w:val="center"/>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36308555" w14:textId="0E613AFF" w:rsidR="00661352" w:rsidRPr="00B123B8" w:rsidRDefault="00EF4C61" w:rsidP="00120F79">
            <w:pPr>
              <w:jc w:val="right"/>
              <w:rPr>
                <w:kern w:val="22"/>
                <w:szCs w:val="22"/>
                <w:lang w:val="fr-CA" w:eastAsia="en-CA"/>
              </w:rPr>
            </w:pPr>
            <w:r>
              <w:rPr>
                <w:kern w:val="22"/>
                <w:szCs w:val="22"/>
                <w:lang w:val="fr-CA" w:eastAsia="en-CA"/>
              </w:rPr>
              <w:t>185</w:t>
            </w:r>
          </w:p>
        </w:tc>
        <w:tc>
          <w:tcPr>
            <w:tcW w:w="3885" w:type="dxa"/>
            <w:gridSpan w:val="2"/>
            <w:tcBorders>
              <w:top w:val="nil"/>
              <w:left w:val="nil"/>
              <w:bottom w:val="single" w:sz="4" w:space="0" w:color="auto"/>
              <w:right w:val="single" w:sz="4" w:space="0" w:color="auto"/>
            </w:tcBorders>
            <w:shd w:val="clear" w:color="auto" w:fill="auto"/>
            <w:vAlign w:val="center"/>
            <w:hideMark/>
          </w:tcPr>
          <w:p w14:paraId="7E77D1C3" w14:textId="77777777" w:rsidR="00661352" w:rsidRPr="00B123B8" w:rsidRDefault="00661352" w:rsidP="00B123B8">
            <w:pPr>
              <w:jc w:val="left"/>
              <w:rPr>
                <w:kern w:val="22"/>
                <w:szCs w:val="22"/>
                <w:lang w:val="fr-CA" w:eastAsia="en-CA"/>
              </w:rPr>
            </w:pPr>
            <w:r w:rsidRPr="00B123B8">
              <w:rPr>
                <w:kern w:val="22"/>
                <w:szCs w:val="22"/>
                <w:lang w:val="fr-CA" w:eastAsia="en-CA"/>
              </w:rPr>
              <w:t>Turkm</w:t>
            </w:r>
            <w:r>
              <w:rPr>
                <w:kern w:val="22"/>
                <w:szCs w:val="22"/>
                <w:lang w:val="fr-CA" w:eastAsia="en-CA"/>
              </w:rPr>
              <w:t>é</w:t>
            </w:r>
            <w:r w:rsidRPr="00B123B8">
              <w:rPr>
                <w:kern w:val="22"/>
                <w:szCs w:val="22"/>
                <w:lang w:val="fr-CA" w:eastAsia="en-CA"/>
              </w:rPr>
              <w:t>nistan</w:t>
            </w:r>
          </w:p>
        </w:tc>
        <w:tc>
          <w:tcPr>
            <w:tcW w:w="1440" w:type="dxa"/>
            <w:tcBorders>
              <w:top w:val="nil"/>
              <w:left w:val="nil"/>
              <w:bottom w:val="single" w:sz="4" w:space="0" w:color="auto"/>
              <w:right w:val="single" w:sz="4" w:space="0" w:color="auto"/>
            </w:tcBorders>
            <w:shd w:val="clear" w:color="auto" w:fill="auto"/>
            <w:vAlign w:val="center"/>
            <w:hideMark/>
          </w:tcPr>
          <w:p w14:paraId="55B71568" w14:textId="77777777" w:rsidR="00661352" w:rsidRPr="00B123B8" w:rsidRDefault="00661352" w:rsidP="00282AF6">
            <w:pPr>
              <w:ind w:right="144"/>
              <w:jc w:val="right"/>
              <w:rPr>
                <w:kern w:val="22"/>
                <w:szCs w:val="22"/>
                <w:lang w:val="fr-CA" w:eastAsia="en-CA"/>
              </w:rPr>
            </w:pPr>
            <w:r w:rsidRPr="00B123B8">
              <w:rPr>
                <w:kern w:val="22"/>
                <w:szCs w:val="22"/>
                <w:lang w:val="fr-CA" w:eastAsia="en-CA"/>
              </w:rPr>
              <w:t>0</w:t>
            </w:r>
            <w:r>
              <w:rPr>
                <w:kern w:val="22"/>
                <w:szCs w:val="22"/>
                <w:lang w:val="fr-CA" w:eastAsia="en-CA"/>
              </w:rPr>
              <w:t>,</w:t>
            </w:r>
            <w:r w:rsidRPr="00B123B8">
              <w:rPr>
                <w:kern w:val="22"/>
                <w:szCs w:val="22"/>
                <w:lang w:val="fr-CA" w:eastAsia="en-CA"/>
              </w:rPr>
              <w:t>033</w:t>
            </w:r>
          </w:p>
        </w:tc>
        <w:tc>
          <w:tcPr>
            <w:tcW w:w="1620" w:type="dxa"/>
            <w:tcBorders>
              <w:top w:val="nil"/>
              <w:left w:val="nil"/>
              <w:bottom w:val="single" w:sz="4" w:space="0" w:color="auto"/>
              <w:right w:val="single" w:sz="4" w:space="0" w:color="auto"/>
            </w:tcBorders>
            <w:shd w:val="clear" w:color="auto" w:fill="auto"/>
            <w:noWrap/>
            <w:vAlign w:val="center"/>
            <w:hideMark/>
          </w:tcPr>
          <w:p w14:paraId="6BBD2273" w14:textId="77777777" w:rsidR="00661352" w:rsidRPr="00B123B8" w:rsidRDefault="00661352" w:rsidP="00282AF6">
            <w:pPr>
              <w:ind w:right="144"/>
              <w:jc w:val="right"/>
              <w:rPr>
                <w:kern w:val="22"/>
                <w:szCs w:val="22"/>
                <w:lang w:val="fr-CA" w:eastAsia="en-CA"/>
              </w:rPr>
            </w:pPr>
            <w:r w:rsidRPr="00B123B8">
              <w:rPr>
                <w:kern w:val="22"/>
                <w:szCs w:val="22"/>
                <w:lang w:val="fr-CA" w:eastAsia="en-CA"/>
              </w:rPr>
              <w:t>0</w:t>
            </w:r>
            <w:r>
              <w:rPr>
                <w:kern w:val="22"/>
                <w:szCs w:val="22"/>
                <w:lang w:val="fr-CA" w:eastAsia="en-CA"/>
              </w:rPr>
              <w:t>,</w:t>
            </w:r>
            <w:r w:rsidRPr="00B123B8">
              <w:rPr>
                <w:kern w:val="22"/>
                <w:szCs w:val="22"/>
                <w:lang w:val="fr-CA" w:eastAsia="en-CA"/>
              </w:rPr>
              <w:t>041</w:t>
            </w:r>
          </w:p>
        </w:tc>
        <w:tc>
          <w:tcPr>
            <w:tcW w:w="1710" w:type="dxa"/>
            <w:tcBorders>
              <w:top w:val="nil"/>
              <w:left w:val="nil"/>
              <w:bottom w:val="single" w:sz="4" w:space="0" w:color="auto"/>
              <w:right w:val="single" w:sz="4" w:space="0" w:color="auto"/>
            </w:tcBorders>
            <w:shd w:val="clear" w:color="auto" w:fill="auto"/>
            <w:noWrap/>
            <w:vAlign w:val="center"/>
            <w:hideMark/>
          </w:tcPr>
          <w:p w14:paraId="51DF96A7" w14:textId="77777777" w:rsidR="00661352" w:rsidRPr="00B123B8" w:rsidRDefault="00661352" w:rsidP="00282AF6">
            <w:pPr>
              <w:ind w:right="144"/>
              <w:jc w:val="right"/>
              <w:rPr>
                <w:kern w:val="22"/>
                <w:szCs w:val="22"/>
                <w:lang w:val="fr-CA" w:eastAsia="en-CA"/>
              </w:rPr>
            </w:pPr>
            <w:r w:rsidRPr="00B123B8">
              <w:rPr>
                <w:kern w:val="22"/>
                <w:szCs w:val="22"/>
                <w:lang w:val="fr-CA" w:eastAsia="en-CA"/>
              </w:rPr>
              <w:t>5 206</w:t>
            </w:r>
          </w:p>
        </w:tc>
      </w:tr>
      <w:tr w:rsidR="00661352" w:rsidRPr="00B123B8" w14:paraId="649FE42C" w14:textId="77777777" w:rsidTr="00661352">
        <w:trPr>
          <w:trHeight w:val="260"/>
          <w:jc w:val="center"/>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5DDA56F6" w14:textId="64B6A7B8" w:rsidR="00661352" w:rsidRPr="00B123B8" w:rsidRDefault="00EF4C61" w:rsidP="00120F79">
            <w:pPr>
              <w:jc w:val="right"/>
              <w:rPr>
                <w:kern w:val="22"/>
                <w:szCs w:val="22"/>
                <w:lang w:val="fr-CA" w:eastAsia="en-CA"/>
              </w:rPr>
            </w:pPr>
            <w:r>
              <w:rPr>
                <w:kern w:val="22"/>
                <w:szCs w:val="22"/>
                <w:lang w:val="fr-CA" w:eastAsia="en-CA"/>
              </w:rPr>
              <w:t>186</w:t>
            </w:r>
          </w:p>
        </w:tc>
        <w:tc>
          <w:tcPr>
            <w:tcW w:w="3885" w:type="dxa"/>
            <w:gridSpan w:val="2"/>
            <w:tcBorders>
              <w:top w:val="nil"/>
              <w:left w:val="nil"/>
              <w:bottom w:val="single" w:sz="4" w:space="0" w:color="auto"/>
              <w:right w:val="single" w:sz="4" w:space="0" w:color="auto"/>
            </w:tcBorders>
            <w:shd w:val="clear" w:color="auto" w:fill="auto"/>
            <w:vAlign w:val="center"/>
            <w:hideMark/>
          </w:tcPr>
          <w:p w14:paraId="1C471354" w14:textId="77777777" w:rsidR="00661352" w:rsidRPr="00B123B8" w:rsidRDefault="00661352" w:rsidP="00120F79">
            <w:pPr>
              <w:jc w:val="left"/>
              <w:rPr>
                <w:kern w:val="22"/>
                <w:szCs w:val="22"/>
                <w:lang w:val="fr-CA" w:eastAsia="en-CA"/>
              </w:rPr>
            </w:pPr>
            <w:r>
              <w:rPr>
                <w:kern w:val="22"/>
                <w:szCs w:val="22"/>
                <w:lang w:val="fr-CA" w:eastAsia="en-CA"/>
              </w:rPr>
              <w:t>Turquie</w:t>
            </w:r>
          </w:p>
        </w:tc>
        <w:tc>
          <w:tcPr>
            <w:tcW w:w="1440" w:type="dxa"/>
            <w:tcBorders>
              <w:top w:val="nil"/>
              <w:left w:val="nil"/>
              <w:bottom w:val="single" w:sz="4" w:space="0" w:color="auto"/>
              <w:right w:val="single" w:sz="4" w:space="0" w:color="auto"/>
            </w:tcBorders>
            <w:shd w:val="clear" w:color="auto" w:fill="auto"/>
            <w:vAlign w:val="center"/>
            <w:hideMark/>
          </w:tcPr>
          <w:p w14:paraId="6DBD4FEF" w14:textId="77777777" w:rsidR="00661352" w:rsidRPr="00B123B8" w:rsidRDefault="00661352" w:rsidP="00282AF6">
            <w:pPr>
              <w:ind w:right="144"/>
              <w:jc w:val="right"/>
              <w:rPr>
                <w:kern w:val="22"/>
                <w:szCs w:val="22"/>
                <w:lang w:val="fr-CA" w:eastAsia="en-CA"/>
              </w:rPr>
            </w:pPr>
            <w:r w:rsidRPr="00B123B8">
              <w:rPr>
                <w:kern w:val="22"/>
                <w:szCs w:val="22"/>
                <w:lang w:val="fr-CA" w:eastAsia="en-CA"/>
              </w:rPr>
              <w:t>1</w:t>
            </w:r>
            <w:r>
              <w:rPr>
                <w:kern w:val="22"/>
                <w:szCs w:val="22"/>
                <w:lang w:val="fr-CA" w:eastAsia="en-CA"/>
              </w:rPr>
              <w:t>,</w:t>
            </w:r>
            <w:r w:rsidRPr="00B123B8">
              <w:rPr>
                <w:kern w:val="22"/>
                <w:szCs w:val="22"/>
                <w:lang w:val="fr-CA" w:eastAsia="en-CA"/>
              </w:rPr>
              <w:t>371</w:t>
            </w:r>
          </w:p>
        </w:tc>
        <w:tc>
          <w:tcPr>
            <w:tcW w:w="1620" w:type="dxa"/>
            <w:tcBorders>
              <w:top w:val="nil"/>
              <w:left w:val="nil"/>
              <w:bottom w:val="single" w:sz="4" w:space="0" w:color="auto"/>
              <w:right w:val="single" w:sz="4" w:space="0" w:color="auto"/>
            </w:tcBorders>
            <w:shd w:val="clear" w:color="auto" w:fill="auto"/>
            <w:noWrap/>
            <w:vAlign w:val="center"/>
            <w:hideMark/>
          </w:tcPr>
          <w:p w14:paraId="12B07C89" w14:textId="77777777" w:rsidR="00661352" w:rsidRPr="00B123B8" w:rsidRDefault="00661352" w:rsidP="00282AF6">
            <w:pPr>
              <w:ind w:right="144"/>
              <w:jc w:val="right"/>
              <w:rPr>
                <w:kern w:val="22"/>
                <w:szCs w:val="22"/>
                <w:lang w:val="fr-CA" w:eastAsia="en-CA"/>
              </w:rPr>
            </w:pPr>
            <w:r w:rsidRPr="00B123B8">
              <w:rPr>
                <w:kern w:val="22"/>
                <w:szCs w:val="22"/>
                <w:lang w:val="fr-CA" w:eastAsia="en-CA"/>
              </w:rPr>
              <w:t>1</w:t>
            </w:r>
            <w:r>
              <w:rPr>
                <w:kern w:val="22"/>
                <w:szCs w:val="22"/>
                <w:lang w:val="fr-CA" w:eastAsia="en-CA"/>
              </w:rPr>
              <w:t>,</w:t>
            </w:r>
            <w:r w:rsidRPr="00B123B8">
              <w:rPr>
                <w:kern w:val="22"/>
                <w:szCs w:val="22"/>
                <w:lang w:val="fr-CA" w:eastAsia="en-CA"/>
              </w:rPr>
              <w:t>714</w:t>
            </w:r>
          </w:p>
        </w:tc>
        <w:tc>
          <w:tcPr>
            <w:tcW w:w="1710" w:type="dxa"/>
            <w:tcBorders>
              <w:top w:val="nil"/>
              <w:left w:val="nil"/>
              <w:bottom w:val="single" w:sz="4" w:space="0" w:color="auto"/>
              <w:right w:val="single" w:sz="4" w:space="0" w:color="auto"/>
            </w:tcBorders>
            <w:shd w:val="clear" w:color="auto" w:fill="auto"/>
            <w:noWrap/>
            <w:vAlign w:val="center"/>
            <w:hideMark/>
          </w:tcPr>
          <w:p w14:paraId="17A65F3A" w14:textId="77777777" w:rsidR="00661352" w:rsidRPr="00B123B8" w:rsidRDefault="00661352" w:rsidP="00282AF6">
            <w:pPr>
              <w:ind w:right="144"/>
              <w:jc w:val="right"/>
              <w:rPr>
                <w:kern w:val="22"/>
                <w:szCs w:val="22"/>
                <w:lang w:val="fr-CA" w:eastAsia="en-CA"/>
              </w:rPr>
            </w:pPr>
            <w:r w:rsidRPr="00B123B8">
              <w:rPr>
                <w:kern w:val="22"/>
                <w:szCs w:val="22"/>
                <w:lang w:val="fr-CA" w:eastAsia="en-CA"/>
              </w:rPr>
              <w:t>216 300</w:t>
            </w:r>
          </w:p>
        </w:tc>
      </w:tr>
      <w:tr w:rsidR="00661352" w:rsidRPr="00B123B8" w14:paraId="26CFCD30" w14:textId="77777777" w:rsidTr="00661352">
        <w:trPr>
          <w:trHeight w:val="260"/>
          <w:jc w:val="center"/>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65015D59" w14:textId="0412E6E1" w:rsidR="00661352" w:rsidRPr="00B123B8" w:rsidRDefault="00EF4C61" w:rsidP="00120F79">
            <w:pPr>
              <w:jc w:val="right"/>
              <w:rPr>
                <w:kern w:val="22"/>
                <w:szCs w:val="22"/>
                <w:lang w:val="fr-CA" w:eastAsia="en-CA"/>
              </w:rPr>
            </w:pPr>
            <w:r>
              <w:rPr>
                <w:kern w:val="22"/>
                <w:szCs w:val="22"/>
                <w:lang w:val="fr-CA" w:eastAsia="en-CA"/>
              </w:rPr>
              <w:t>187</w:t>
            </w:r>
          </w:p>
        </w:tc>
        <w:tc>
          <w:tcPr>
            <w:tcW w:w="3885" w:type="dxa"/>
            <w:gridSpan w:val="2"/>
            <w:tcBorders>
              <w:top w:val="nil"/>
              <w:left w:val="nil"/>
              <w:bottom w:val="single" w:sz="4" w:space="0" w:color="auto"/>
              <w:right w:val="single" w:sz="4" w:space="0" w:color="auto"/>
            </w:tcBorders>
            <w:shd w:val="clear" w:color="auto" w:fill="auto"/>
            <w:vAlign w:val="center"/>
            <w:hideMark/>
          </w:tcPr>
          <w:p w14:paraId="006718B8" w14:textId="77777777" w:rsidR="00661352" w:rsidRPr="00B123B8" w:rsidRDefault="00661352" w:rsidP="00120F79">
            <w:pPr>
              <w:jc w:val="left"/>
              <w:rPr>
                <w:kern w:val="22"/>
                <w:szCs w:val="22"/>
                <w:lang w:val="fr-CA" w:eastAsia="en-CA"/>
              </w:rPr>
            </w:pPr>
            <w:r w:rsidRPr="00B123B8">
              <w:rPr>
                <w:kern w:val="22"/>
                <w:szCs w:val="22"/>
                <w:lang w:val="fr-CA" w:eastAsia="en-CA"/>
              </w:rPr>
              <w:t>Tuvalu</w:t>
            </w:r>
          </w:p>
        </w:tc>
        <w:tc>
          <w:tcPr>
            <w:tcW w:w="1440" w:type="dxa"/>
            <w:tcBorders>
              <w:top w:val="nil"/>
              <w:left w:val="nil"/>
              <w:bottom w:val="single" w:sz="4" w:space="0" w:color="auto"/>
              <w:right w:val="single" w:sz="4" w:space="0" w:color="auto"/>
            </w:tcBorders>
            <w:shd w:val="clear" w:color="auto" w:fill="auto"/>
            <w:vAlign w:val="center"/>
            <w:hideMark/>
          </w:tcPr>
          <w:p w14:paraId="0E2C0837" w14:textId="77777777" w:rsidR="00661352" w:rsidRPr="00B123B8" w:rsidRDefault="00661352" w:rsidP="00282AF6">
            <w:pPr>
              <w:ind w:right="144"/>
              <w:jc w:val="right"/>
              <w:rPr>
                <w:kern w:val="22"/>
                <w:szCs w:val="22"/>
                <w:lang w:val="fr-CA" w:eastAsia="en-CA"/>
              </w:rPr>
            </w:pPr>
            <w:r w:rsidRPr="00B123B8">
              <w:rPr>
                <w:kern w:val="22"/>
                <w:szCs w:val="22"/>
                <w:lang w:val="fr-CA" w:eastAsia="en-CA"/>
              </w:rPr>
              <w:t>0</w:t>
            </w:r>
            <w:r>
              <w:rPr>
                <w:kern w:val="22"/>
                <w:szCs w:val="22"/>
                <w:lang w:val="fr-CA" w:eastAsia="en-CA"/>
              </w:rPr>
              <w:t>,</w:t>
            </w:r>
            <w:r w:rsidRPr="00B123B8">
              <w:rPr>
                <w:kern w:val="22"/>
                <w:szCs w:val="22"/>
                <w:lang w:val="fr-CA" w:eastAsia="en-CA"/>
              </w:rPr>
              <w:t>001</w:t>
            </w:r>
          </w:p>
        </w:tc>
        <w:tc>
          <w:tcPr>
            <w:tcW w:w="1620" w:type="dxa"/>
            <w:tcBorders>
              <w:top w:val="nil"/>
              <w:left w:val="nil"/>
              <w:bottom w:val="single" w:sz="4" w:space="0" w:color="auto"/>
              <w:right w:val="single" w:sz="4" w:space="0" w:color="auto"/>
            </w:tcBorders>
            <w:shd w:val="clear" w:color="auto" w:fill="auto"/>
            <w:noWrap/>
            <w:vAlign w:val="center"/>
            <w:hideMark/>
          </w:tcPr>
          <w:p w14:paraId="4A43D064" w14:textId="77777777" w:rsidR="00661352" w:rsidRPr="00B123B8" w:rsidRDefault="00661352" w:rsidP="00282AF6">
            <w:pPr>
              <w:ind w:right="144"/>
              <w:jc w:val="right"/>
              <w:rPr>
                <w:kern w:val="22"/>
                <w:szCs w:val="22"/>
                <w:lang w:val="fr-CA" w:eastAsia="en-CA"/>
              </w:rPr>
            </w:pPr>
            <w:r w:rsidRPr="00B123B8">
              <w:rPr>
                <w:kern w:val="22"/>
                <w:szCs w:val="22"/>
                <w:lang w:val="fr-CA" w:eastAsia="en-CA"/>
              </w:rPr>
              <w:t>0</w:t>
            </w:r>
            <w:r>
              <w:rPr>
                <w:kern w:val="22"/>
                <w:szCs w:val="22"/>
                <w:lang w:val="fr-CA" w:eastAsia="en-CA"/>
              </w:rPr>
              <w:t>,</w:t>
            </w:r>
            <w:r w:rsidRPr="00B123B8">
              <w:rPr>
                <w:kern w:val="22"/>
                <w:szCs w:val="22"/>
                <w:lang w:val="fr-CA" w:eastAsia="en-CA"/>
              </w:rPr>
              <w:t>001</w:t>
            </w:r>
          </w:p>
        </w:tc>
        <w:tc>
          <w:tcPr>
            <w:tcW w:w="1710" w:type="dxa"/>
            <w:tcBorders>
              <w:top w:val="nil"/>
              <w:left w:val="nil"/>
              <w:bottom w:val="single" w:sz="4" w:space="0" w:color="auto"/>
              <w:right w:val="single" w:sz="4" w:space="0" w:color="auto"/>
            </w:tcBorders>
            <w:shd w:val="clear" w:color="auto" w:fill="auto"/>
            <w:noWrap/>
            <w:vAlign w:val="center"/>
            <w:hideMark/>
          </w:tcPr>
          <w:p w14:paraId="269E6D32" w14:textId="77777777" w:rsidR="00661352" w:rsidRPr="00B123B8" w:rsidRDefault="00661352" w:rsidP="00282AF6">
            <w:pPr>
              <w:ind w:right="144"/>
              <w:jc w:val="right"/>
              <w:rPr>
                <w:kern w:val="22"/>
                <w:szCs w:val="22"/>
                <w:lang w:val="fr-CA" w:eastAsia="en-CA"/>
              </w:rPr>
            </w:pPr>
            <w:r w:rsidRPr="00B123B8">
              <w:rPr>
                <w:kern w:val="22"/>
                <w:szCs w:val="22"/>
                <w:lang w:val="fr-CA" w:eastAsia="en-CA"/>
              </w:rPr>
              <w:t>158</w:t>
            </w:r>
          </w:p>
        </w:tc>
      </w:tr>
      <w:tr w:rsidR="00661352" w:rsidRPr="00B123B8" w14:paraId="1AB89784" w14:textId="77777777" w:rsidTr="00661352">
        <w:trPr>
          <w:trHeight w:val="260"/>
          <w:jc w:val="center"/>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0CFF82DB" w14:textId="217DED60" w:rsidR="00661352" w:rsidRPr="00B123B8" w:rsidRDefault="00EF4C61" w:rsidP="00120F79">
            <w:pPr>
              <w:jc w:val="right"/>
              <w:rPr>
                <w:kern w:val="22"/>
                <w:szCs w:val="22"/>
                <w:lang w:val="fr-CA" w:eastAsia="en-CA"/>
              </w:rPr>
            </w:pPr>
            <w:r>
              <w:rPr>
                <w:kern w:val="22"/>
                <w:szCs w:val="22"/>
                <w:lang w:val="fr-CA" w:eastAsia="en-CA"/>
              </w:rPr>
              <w:t>188</w:t>
            </w:r>
          </w:p>
        </w:tc>
        <w:tc>
          <w:tcPr>
            <w:tcW w:w="3885" w:type="dxa"/>
            <w:gridSpan w:val="2"/>
            <w:tcBorders>
              <w:top w:val="nil"/>
              <w:left w:val="nil"/>
              <w:bottom w:val="single" w:sz="4" w:space="0" w:color="auto"/>
              <w:right w:val="single" w:sz="4" w:space="0" w:color="auto"/>
            </w:tcBorders>
            <w:shd w:val="clear" w:color="auto" w:fill="auto"/>
            <w:vAlign w:val="center"/>
            <w:hideMark/>
          </w:tcPr>
          <w:p w14:paraId="414BCBEC" w14:textId="77777777" w:rsidR="00661352" w:rsidRPr="00B123B8" w:rsidRDefault="00661352" w:rsidP="00120F79">
            <w:pPr>
              <w:jc w:val="left"/>
              <w:rPr>
                <w:kern w:val="22"/>
                <w:szCs w:val="22"/>
                <w:lang w:val="fr-CA" w:eastAsia="en-CA"/>
              </w:rPr>
            </w:pPr>
            <w:r w:rsidRPr="00B123B8">
              <w:rPr>
                <w:kern w:val="22"/>
                <w:szCs w:val="22"/>
                <w:lang w:val="fr-CA" w:eastAsia="en-CA"/>
              </w:rPr>
              <w:t>Ukraine</w:t>
            </w:r>
          </w:p>
        </w:tc>
        <w:tc>
          <w:tcPr>
            <w:tcW w:w="1440" w:type="dxa"/>
            <w:tcBorders>
              <w:top w:val="nil"/>
              <w:left w:val="nil"/>
              <w:bottom w:val="single" w:sz="4" w:space="0" w:color="auto"/>
              <w:right w:val="single" w:sz="4" w:space="0" w:color="auto"/>
            </w:tcBorders>
            <w:shd w:val="clear" w:color="auto" w:fill="auto"/>
            <w:vAlign w:val="center"/>
            <w:hideMark/>
          </w:tcPr>
          <w:p w14:paraId="13DAF7B3" w14:textId="77777777" w:rsidR="00661352" w:rsidRPr="00B123B8" w:rsidRDefault="00661352" w:rsidP="00282AF6">
            <w:pPr>
              <w:ind w:right="144"/>
              <w:jc w:val="right"/>
              <w:rPr>
                <w:kern w:val="22"/>
                <w:szCs w:val="22"/>
                <w:lang w:val="fr-CA" w:eastAsia="en-CA"/>
              </w:rPr>
            </w:pPr>
            <w:r w:rsidRPr="00B123B8">
              <w:rPr>
                <w:kern w:val="22"/>
                <w:szCs w:val="22"/>
                <w:lang w:val="fr-CA" w:eastAsia="en-CA"/>
              </w:rPr>
              <w:t>0</w:t>
            </w:r>
            <w:r>
              <w:rPr>
                <w:kern w:val="22"/>
                <w:szCs w:val="22"/>
                <w:lang w:val="fr-CA" w:eastAsia="en-CA"/>
              </w:rPr>
              <w:t>,</w:t>
            </w:r>
            <w:r w:rsidRPr="00B123B8">
              <w:rPr>
                <w:kern w:val="22"/>
                <w:szCs w:val="22"/>
                <w:lang w:val="fr-CA" w:eastAsia="en-CA"/>
              </w:rPr>
              <w:t>057</w:t>
            </w:r>
          </w:p>
        </w:tc>
        <w:tc>
          <w:tcPr>
            <w:tcW w:w="1620" w:type="dxa"/>
            <w:tcBorders>
              <w:top w:val="nil"/>
              <w:left w:val="nil"/>
              <w:bottom w:val="single" w:sz="4" w:space="0" w:color="auto"/>
              <w:right w:val="single" w:sz="4" w:space="0" w:color="auto"/>
            </w:tcBorders>
            <w:shd w:val="clear" w:color="auto" w:fill="auto"/>
            <w:noWrap/>
            <w:vAlign w:val="center"/>
            <w:hideMark/>
          </w:tcPr>
          <w:p w14:paraId="525D5522" w14:textId="77777777" w:rsidR="00661352" w:rsidRPr="00B123B8" w:rsidRDefault="00661352" w:rsidP="00282AF6">
            <w:pPr>
              <w:ind w:right="144"/>
              <w:jc w:val="right"/>
              <w:rPr>
                <w:kern w:val="22"/>
                <w:szCs w:val="22"/>
                <w:lang w:val="fr-CA" w:eastAsia="en-CA"/>
              </w:rPr>
            </w:pPr>
            <w:r w:rsidRPr="00B123B8">
              <w:rPr>
                <w:kern w:val="22"/>
                <w:szCs w:val="22"/>
                <w:lang w:val="fr-CA" w:eastAsia="en-CA"/>
              </w:rPr>
              <w:t>0</w:t>
            </w:r>
            <w:r>
              <w:rPr>
                <w:kern w:val="22"/>
                <w:szCs w:val="22"/>
                <w:lang w:val="fr-CA" w:eastAsia="en-CA"/>
              </w:rPr>
              <w:t>,</w:t>
            </w:r>
            <w:r w:rsidRPr="00B123B8">
              <w:rPr>
                <w:kern w:val="22"/>
                <w:szCs w:val="22"/>
                <w:lang w:val="fr-CA" w:eastAsia="en-CA"/>
              </w:rPr>
              <w:t>071</w:t>
            </w:r>
          </w:p>
        </w:tc>
        <w:tc>
          <w:tcPr>
            <w:tcW w:w="1710" w:type="dxa"/>
            <w:tcBorders>
              <w:top w:val="nil"/>
              <w:left w:val="nil"/>
              <w:bottom w:val="single" w:sz="4" w:space="0" w:color="auto"/>
              <w:right w:val="single" w:sz="4" w:space="0" w:color="auto"/>
            </w:tcBorders>
            <w:shd w:val="clear" w:color="auto" w:fill="auto"/>
            <w:noWrap/>
            <w:vAlign w:val="center"/>
            <w:hideMark/>
          </w:tcPr>
          <w:p w14:paraId="6197E1A6" w14:textId="77777777" w:rsidR="00661352" w:rsidRPr="00B123B8" w:rsidRDefault="00661352" w:rsidP="00282AF6">
            <w:pPr>
              <w:ind w:right="144"/>
              <w:jc w:val="right"/>
              <w:rPr>
                <w:kern w:val="22"/>
                <w:szCs w:val="22"/>
                <w:lang w:val="fr-CA" w:eastAsia="en-CA"/>
              </w:rPr>
            </w:pPr>
            <w:r w:rsidRPr="00B123B8">
              <w:rPr>
                <w:kern w:val="22"/>
                <w:szCs w:val="22"/>
                <w:lang w:val="fr-CA" w:eastAsia="en-CA"/>
              </w:rPr>
              <w:t>8 993</w:t>
            </w:r>
          </w:p>
        </w:tc>
      </w:tr>
      <w:tr w:rsidR="00661352" w:rsidRPr="003C7831" w14:paraId="3DE4DD75" w14:textId="77777777" w:rsidTr="00661352">
        <w:trPr>
          <w:trHeight w:val="260"/>
          <w:jc w:val="center"/>
        </w:trPr>
        <w:tc>
          <w:tcPr>
            <w:tcW w:w="625"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99603F" w14:textId="13CD762D" w:rsidR="00661352" w:rsidRPr="003C7831" w:rsidRDefault="00EF4C61" w:rsidP="00120F79">
            <w:pPr>
              <w:jc w:val="right"/>
              <w:rPr>
                <w:kern w:val="22"/>
                <w:szCs w:val="22"/>
                <w:lang w:val="fr-CA" w:eastAsia="en-CA"/>
              </w:rPr>
            </w:pPr>
            <w:r>
              <w:rPr>
                <w:kern w:val="22"/>
                <w:szCs w:val="22"/>
                <w:lang w:val="fr-CA" w:eastAsia="en-CA"/>
              </w:rPr>
              <w:t>189</w:t>
            </w:r>
          </w:p>
        </w:tc>
        <w:tc>
          <w:tcPr>
            <w:tcW w:w="3870" w:type="dxa"/>
            <w:tcBorders>
              <w:top w:val="nil"/>
              <w:left w:val="nil"/>
              <w:bottom w:val="single" w:sz="4" w:space="0" w:color="auto"/>
              <w:right w:val="single" w:sz="4" w:space="0" w:color="auto"/>
            </w:tcBorders>
            <w:shd w:val="clear" w:color="auto" w:fill="auto"/>
            <w:vAlign w:val="center"/>
            <w:hideMark/>
          </w:tcPr>
          <w:p w14:paraId="350E1AB1" w14:textId="77777777" w:rsidR="00661352" w:rsidRPr="003C7831" w:rsidRDefault="00661352" w:rsidP="00120F79">
            <w:pPr>
              <w:jc w:val="left"/>
              <w:rPr>
                <w:kern w:val="22"/>
                <w:szCs w:val="22"/>
                <w:lang w:val="fr-CA" w:eastAsia="en-CA"/>
              </w:rPr>
            </w:pPr>
            <w:r w:rsidRPr="003C7831">
              <w:rPr>
                <w:kern w:val="22"/>
                <w:szCs w:val="22"/>
                <w:lang w:val="fr-CA" w:eastAsia="en-CA"/>
              </w:rPr>
              <w:t>Union européenne</w:t>
            </w:r>
          </w:p>
        </w:tc>
        <w:tc>
          <w:tcPr>
            <w:tcW w:w="1440" w:type="dxa"/>
            <w:tcBorders>
              <w:top w:val="nil"/>
              <w:left w:val="nil"/>
              <w:bottom w:val="single" w:sz="4" w:space="0" w:color="auto"/>
              <w:right w:val="single" w:sz="4" w:space="0" w:color="auto"/>
            </w:tcBorders>
            <w:shd w:val="clear" w:color="auto" w:fill="auto"/>
            <w:vAlign w:val="center"/>
            <w:hideMark/>
          </w:tcPr>
          <w:p w14:paraId="7922CEEA" w14:textId="77777777" w:rsidR="00661352" w:rsidRPr="003C7831" w:rsidRDefault="00661352" w:rsidP="00282AF6">
            <w:pPr>
              <w:ind w:right="144"/>
              <w:jc w:val="right"/>
              <w:rPr>
                <w:kern w:val="22"/>
                <w:szCs w:val="22"/>
                <w:lang w:val="fr-CA" w:eastAsia="en-CA"/>
              </w:rPr>
            </w:pPr>
            <w:r w:rsidRPr="003C7831">
              <w:rPr>
                <w:kern w:val="22"/>
                <w:szCs w:val="22"/>
                <w:lang w:val="fr-CA" w:eastAsia="en-CA"/>
              </w:rPr>
              <w:t>0</w:t>
            </w:r>
            <w:r>
              <w:rPr>
                <w:kern w:val="22"/>
                <w:szCs w:val="22"/>
                <w:lang w:val="fr-CA" w:eastAsia="en-CA"/>
              </w:rPr>
              <w:t>,</w:t>
            </w:r>
            <w:r w:rsidRPr="003C7831">
              <w:rPr>
                <w:kern w:val="22"/>
                <w:szCs w:val="22"/>
                <w:lang w:val="fr-CA" w:eastAsia="en-CA"/>
              </w:rPr>
              <w:t>000</w:t>
            </w:r>
          </w:p>
        </w:tc>
        <w:tc>
          <w:tcPr>
            <w:tcW w:w="1620" w:type="dxa"/>
            <w:tcBorders>
              <w:top w:val="nil"/>
              <w:left w:val="nil"/>
              <w:bottom w:val="single" w:sz="4" w:space="0" w:color="auto"/>
              <w:right w:val="single" w:sz="4" w:space="0" w:color="auto"/>
            </w:tcBorders>
            <w:shd w:val="clear" w:color="auto" w:fill="auto"/>
            <w:noWrap/>
            <w:vAlign w:val="center"/>
            <w:hideMark/>
          </w:tcPr>
          <w:p w14:paraId="4768E650" w14:textId="77777777" w:rsidR="00661352" w:rsidRPr="003C7831" w:rsidRDefault="00661352" w:rsidP="00282AF6">
            <w:pPr>
              <w:ind w:right="144"/>
              <w:jc w:val="right"/>
              <w:rPr>
                <w:kern w:val="22"/>
                <w:szCs w:val="22"/>
                <w:lang w:val="fr-CA" w:eastAsia="en-CA"/>
              </w:rPr>
            </w:pPr>
            <w:r w:rsidRPr="003C7831">
              <w:rPr>
                <w:kern w:val="22"/>
                <w:szCs w:val="22"/>
                <w:lang w:val="fr-CA" w:eastAsia="en-CA"/>
              </w:rPr>
              <w:t>2</w:t>
            </w:r>
            <w:r>
              <w:rPr>
                <w:kern w:val="22"/>
                <w:szCs w:val="22"/>
                <w:lang w:val="fr-CA" w:eastAsia="en-CA"/>
              </w:rPr>
              <w:t>,</w:t>
            </w:r>
            <w:r w:rsidRPr="003C7831">
              <w:rPr>
                <w:kern w:val="22"/>
                <w:szCs w:val="22"/>
                <w:lang w:val="fr-CA" w:eastAsia="en-CA"/>
              </w:rPr>
              <w:t>500</w:t>
            </w:r>
          </w:p>
        </w:tc>
        <w:tc>
          <w:tcPr>
            <w:tcW w:w="1710" w:type="dxa"/>
            <w:tcBorders>
              <w:top w:val="nil"/>
              <w:left w:val="nil"/>
              <w:bottom w:val="single" w:sz="4" w:space="0" w:color="auto"/>
              <w:right w:val="single" w:sz="4" w:space="0" w:color="auto"/>
            </w:tcBorders>
            <w:shd w:val="clear" w:color="auto" w:fill="auto"/>
            <w:noWrap/>
            <w:vAlign w:val="center"/>
            <w:hideMark/>
          </w:tcPr>
          <w:p w14:paraId="1E5855EB" w14:textId="77777777" w:rsidR="00661352" w:rsidRPr="003C7831" w:rsidRDefault="00661352" w:rsidP="00282AF6">
            <w:pPr>
              <w:ind w:right="144"/>
              <w:jc w:val="right"/>
              <w:rPr>
                <w:kern w:val="22"/>
                <w:szCs w:val="22"/>
                <w:lang w:val="fr-CA" w:eastAsia="en-CA"/>
              </w:rPr>
            </w:pPr>
            <w:r w:rsidRPr="003C7831">
              <w:rPr>
                <w:kern w:val="22"/>
                <w:szCs w:val="22"/>
                <w:lang w:val="fr-CA" w:eastAsia="en-CA"/>
              </w:rPr>
              <w:t>315 480</w:t>
            </w:r>
          </w:p>
        </w:tc>
      </w:tr>
      <w:tr w:rsidR="00661352" w:rsidRPr="00B123B8" w14:paraId="6C94BBBA" w14:textId="77777777" w:rsidTr="00661352">
        <w:trPr>
          <w:trHeight w:val="260"/>
          <w:jc w:val="center"/>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1010971E" w14:textId="1B131C16" w:rsidR="00661352" w:rsidRPr="00B123B8" w:rsidRDefault="00EF4C61" w:rsidP="00120F79">
            <w:pPr>
              <w:jc w:val="right"/>
              <w:rPr>
                <w:kern w:val="22"/>
                <w:szCs w:val="22"/>
                <w:lang w:val="fr-CA" w:eastAsia="en-CA"/>
              </w:rPr>
            </w:pPr>
            <w:r>
              <w:rPr>
                <w:kern w:val="22"/>
                <w:szCs w:val="22"/>
                <w:lang w:val="fr-CA" w:eastAsia="en-CA"/>
              </w:rPr>
              <w:t>190</w:t>
            </w:r>
          </w:p>
        </w:tc>
        <w:tc>
          <w:tcPr>
            <w:tcW w:w="3885" w:type="dxa"/>
            <w:gridSpan w:val="2"/>
            <w:tcBorders>
              <w:top w:val="nil"/>
              <w:left w:val="nil"/>
              <w:bottom w:val="single" w:sz="4" w:space="0" w:color="auto"/>
              <w:right w:val="single" w:sz="4" w:space="0" w:color="auto"/>
            </w:tcBorders>
            <w:shd w:val="clear" w:color="auto" w:fill="auto"/>
            <w:vAlign w:val="center"/>
            <w:hideMark/>
          </w:tcPr>
          <w:p w14:paraId="6782038E" w14:textId="77777777" w:rsidR="00661352" w:rsidRPr="00B123B8" w:rsidRDefault="00661352" w:rsidP="00120F79">
            <w:pPr>
              <w:jc w:val="left"/>
              <w:rPr>
                <w:kern w:val="22"/>
                <w:szCs w:val="22"/>
                <w:lang w:val="fr-CA" w:eastAsia="en-CA"/>
              </w:rPr>
            </w:pPr>
            <w:r w:rsidRPr="00B123B8">
              <w:rPr>
                <w:kern w:val="22"/>
                <w:szCs w:val="22"/>
                <w:lang w:val="fr-CA" w:eastAsia="en-CA"/>
              </w:rPr>
              <w:t>Uruguay</w:t>
            </w:r>
          </w:p>
        </w:tc>
        <w:tc>
          <w:tcPr>
            <w:tcW w:w="1440" w:type="dxa"/>
            <w:tcBorders>
              <w:top w:val="nil"/>
              <w:left w:val="nil"/>
              <w:bottom w:val="single" w:sz="4" w:space="0" w:color="auto"/>
              <w:right w:val="single" w:sz="4" w:space="0" w:color="auto"/>
            </w:tcBorders>
            <w:shd w:val="clear" w:color="auto" w:fill="auto"/>
            <w:vAlign w:val="center"/>
            <w:hideMark/>
          </w:tcPr>
          <w:p w14:paraId="01CF5E7E" w14:textId="77777777" w:rsidR="00661352" w:rsidRPr="00B123B8" w:rsidRDefault="00661352" w:rsidP="00282AF6">
            <w:pPr>
              <w:ind w:right="144"/>
              <w:jc w:val="right"/>
              <w:rPr>
                <w:kern w:val="22"/>
                <w:szCs w:val="22"/>
                <w:lang w:val="fr-CA" w:eastAsia="en-CA"/>
              </w:rPr>
            </w:pPr>
            <w:r w:rsidRPr="00B123B8">
              <w:rPr>
                <w:kern w:val="22"/>
                <w:szCs w:val="22"/>
                <w:lang w:val="fr-CA" w:eastAsia="en-CA"/>
              </w:rPr>
              <w:t>0</w:t>
            </w:r>
            <w:r>
              <w:rPr>
                <w:kern w:val="22"/>
                <w:szCs w:val="22"/>
                <w:lang w:val="fr-CA" w:eastAsia="en-CA"/>
              </w:rPr>
              <w:t>,</w:t>
            </w:r>
            <w:r w:rsidRPr="00B123B8">
              <w:rPr>
                <w:kern w:val="22"/>
                <w:szCs w:val="22"/>
                <w:lang w:val="fr-CA" w:eastAsia="en-CA"/>
              </w:rPr>
              <w:t>087</w:t>
            </w:r>
          </w:p>
        </w:tc>
        <w:tc>
          <w:tcPr>
            <w:tcW w:w="1620" w:type="dxa"/>
            <w:tcBorders>
              <w:top w:val="nil"/>
              <w:left w:val="nil"/>
              <w:bottom w:val="single" w:sz="4" w:space="0" w:color="auto"/>
              <w:right w:val="single" w:sz="4" w:space="0" w:color="auto"/>
            </w:tcBorders>
            <w:shd w:val="clear" w:color="auto" w:fill="auto"/>
            <w:noWrap/>
            <w:vAlign w:val="center"/>
            <w:hideMark/>
          </w:tcPr>
          <w:p w14:paraId="0B68BD93" w14:textId="77777777" w:rsidR="00661352" w:rsidRPr="00B123B8" w:rsidRDefault="00661352" w:rsidP="00282AF6">
            <w:pPr>
              <w:ind w:right="144"/>
              <w:jc w:val="right"/>
              <w:rPr>
                <w:kern w:val="22"/>
                <w:szCs w:val="22"/>
                <w:lang w:val="fr-CA" w:eastAsia="en-CA"/>
              </w:rPr>
            </w:pPr>
            <w:r w:rsidRPr="00B123B8">
              <w:rPr>
                <w:kern w:val="22"/>
                <w:szCs w:val="22"/>
                <w:lang w:val="fr-CA" w:eastAsia="en-CA"/>
              </w:rPr>
              <w:t>0</w:t>
            </w:r>
            <w:r>
              <w:rPr>
                <w:kern w:val="22"/>
                <w:szCs w:val="22"/>
                <w:lang w:val="fr-CA" w:eastAsia="en-CA"/>
              </w:rPr>
              <w:t>,</w:t>
            </w:r>
            <w:r w:rsidRPr="00B123B8">
              <w:rPr>
                <w:kern w:val="22"/>
                <w:szCs w:val="22"/>
                <w:lang w:val="fr-CA" w:eastAsia="en-CA"/>
              </w:rPr>
              <w:t>109</w:t>
            </w:r>
          </w:p>
        </w:tc>
        <w:tc>
          <w:tcPr>
            <w:tcW w:w="1710" w:type="dxa"/>
            <w:tcBorders>
              <w:top w:val="nil"/>
              <w:left w:val="nil"/>
              <w:bottom w:val="single" w:sz="4" w:space="0" w:color="auto"/>
              <w:right w:val="single" w:sz="4" w:space="0" w:color="auto"/>
            </w:tcBorders>
            <w:shd w:val="clear" w:color="auto" w:fill="auto"/>
            <w:noWrap/>
            <w:vAlign w:val="center"/>
            <w:hideMark/>
          </w:tcPr>
          <w:p w14:paraId="4C3D73EA" w14:textId="77777777" w:rsidR="00661352" w:rsidRPr="00B123B8" w:rsidRDefault="00661352" w:rsidP="00282AF6">
            <w:pPr>
              <w:ind w:right="144"/>
              <w:jc w:val="right"/>
              <w:rPr>
                <w:kern w:val="22"/>
                <w:szCs w:val="22"/>
                <w:lang w:val="fr-CA" w:eastAsia="en-CA"/>
              </w:rPr>
            </w:pPr>
            <w:r w:rsidRPr="00B123B8">
              <w:rPr>
                <w:kern w:val="22"/>
                <w:szCs w:val="22"/>
                <w:lang w:val="fr-CA" w:eastAsia="en-CA"/>
              </w:rPr>
              <w:t>13 726</w:t>
            </w:r>
          </w:p>
        </w:tc>
      </w:tr>
      <w:tr w:rsidR="00661352" w:rsidRPr="00B123B8" w14:paraId="22018875" w14:textId="77777777" w:rsidTr="00661352">
        <w:trPr>
          <w:trHeight w:val="260"/>
          <w:jc w:val="center"/>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20F2B66C" w14:textId="114D2E14" w:rsidR="00661352" w:rsidRPr="00B123B8" w:rsidRDefault="00EF4C61" w:rsidP="00120F79">
            <w:pPr>
              <w:jc w:val="right"/>
              <w:rPr>
                <w:kern w:val="22"/>
                <w:szCs w:val="22"/>
                <w:lang w:val="fr-CA" w:eastAsia="en-CA"/>
              </w:rPr>
            </w:pPr>
            <w:r>
              <w:rPr>
                <w:kern w:val="22"/>
                <w:szCs w:val="22"/>
                <w:lang w:val="fr-CA" w:eastAsia="en-CA"/>
              </w:rPr>
              <w:t>191</w:t>
            </w:r>
          </w:p>
        </w:tc>
        <w:tc>
          <w:tcPr>
            <w:tcW w:w="3885" w:type="dxa"/>
            <w:gridSpan w:val="2"/>
            <w:tcBorders>
              <w:top w:val="nil"/>
              <w:left w:val="nil"/>
              <w:bottom w:val="single" w:sz="4" w:space="0" w:color="auto"/>
              <w:right w:val="single" w:sz="4" w:space="0" w:color="auto"/>
            </w:tcBorders>
            <w:shd w:val="clear" w:color="auto" w:fill="auto"/>
            <w:vAlign w:val="center"/>
            <w:hideMark/>
          </w:tcPr>
          <w:p w14:paraId="1A4D1DC9" w14:textId="77777777" w:rsidR="00661352" w:rsidRPr="00B123B8" w:rsidRDefault="00661352" w:rsidP="00120F79">
            <w:pPr>
              <w:jc w:val="left"/>
              <w:rPr>
                <w:kern w:val="22"/>
                <w:szCs w:val="22"/>
                <w:lang w:val="fr-CA" w:eastAsia="en-CA"/>
              </w:rPr>
            </w:pPr>
            <w:r w:rsidRPr="00B123B8">
              <w:rPr>
                <w:kern w:val="22"/>
                <w:szCs w:val="22"/>
                <w:lang w:val="fr-CA" w:eastAsia="en-CA"/>
              </w:rPr>
              <w:t>Vanuatu</w:t>
            </w:r>
          </w:p>
        </w:tc>
        <w:tc>
          <w:tcPr>
            <w:tcW w:w="1440" w:type="dxa"/>
            <w:tcBorders>
              <w:top w:val="nil"/>
              <w:left w:val="nil"/>
              <w:bottom w:val="single" w:sz="4" w:space="0" w:color="auto"/>
              <w:right w:val="single" w:sz="4" w:space="0" w:color="auto"/>
            </w:tcBorders>
            <w:shd w:val="clear" w:color="auto" w:fill="auto"/>
            <w:vAlign w:val="center"/>
            <w:hideMark/>
          </w:tcPr>
          <w:p w14:paraId="1B7C659D" w14:textId="77777777" w:rsidR="00661352" w:rsidRPr="00B123B8" w:rsidRDefault="00661352" w:rsidP="00282AF6">
            <w:pPr>
              <w:ind w:right="144"/>
              <w:jc w:val="right"/>
              <w:rPr>
                <w:kern w:val="22"/>
                <w:szCs w:val="22"/>
                <w:lang w:val="fr-CA" w:eastAsia="en-CA"/>
              </w:rPr>
            </w:pPr>
            <w:r w:rsidRPr="00B123B8">
              <w:rPr>
                <w:kern w:val="22"/>
                <w:szCs w:val="22"/>
                <w:lang w:val="fr-CA" w:eastAsia="en-CA"/>
              </w:rPr>
              <w:t>0</w:t>
            </w:r>
            <w:r>
              <w:rPr>
                <w:kern w:val="22"/>
                <w:szCs w:val="22"/>
                <w:lang w:val="fr-CA" w:eastAsia="en-CA"/>
              </w:rPr>
              <w:t>,</w:t>
            </w:r>
            <w:r w:rsidRPr="00B123B8">
              <w:rPr>
                <w:kern w:val="22"/>
                <w:szCs w:val="22"/>
                <w:lang w:val="fr-CA" w:eastAsia="en-CA"/>
              </w:rPr>
              <w:t>001</w:t>
            </w:r>
          </w:p>
        </w:tc>
        <w:tc>
          <w:tcPr>
            <w:tcW w:w="1620" w:type="dxa"/>
            <w:tcBorders>
              <w:top w:val="nil"/>
              <w:left w:val="nil"/>
              <w:bottom w:val="single" w:sz="4" w:space="0" w:color="auto"/>
              <w:right w:val="single" w:sz="4" w:space="0" w:color="auto"/>
            </w:tcBorders>
            <w:shd w:val="clear" w:color="auto" w:fill="auto"/>
            <w:noWrap/>
            <w:vAlign w:val="center"/>
            <w:hideMark/>
          </w:tcPr>
          <w:p w14:paraId="0E52F75A" w14:textId="77777777" w:rsidR="00661352" w:rsidRPr="00B123B8" w:rsidRDefault="00661352" w:rsidP="00282AF6">
            <w:pPr>
              <w:ind w:right="144"/>
              <w:jc w:val="right"/>
              <w:rPr>
                <w:kern w:val="22"/>
                <w:szCs w:val="22"/>
                <w:lang w:val="fr-CA" w:eastAsia="en-CA"/>
              </w:rPr>
            </w:pPr>
            <w:r w:rsidRPr="00B123B8">
              <w:rPr>
                <w:kern w:val="22"/>
                <w:szCs w:val="22"/>
                <w:lang w:val="fr-CA" w:eastAsia="en-CA"/>
              </w:rPr>
              <w:t>0</w:t>
            </w:r>
            <w:r>
              <w:rPr>
                <w:kern w:val="22"/>
                <w:szCs w:val="22"/>
                <w:lang w:val="fr-CA" w:eastAsia="en-CA"/>
              </w:rPr>
              <w:t>,</w:t>
            </w:r>
            <w:r w:rsidRPr="00B123B8">
              <w:rPr>
                <w:kern w:val="22"/>
                <w:szCs w:val="22"/>
                <w:lang w:val="fr-CA" w:eastAsia="en-CA"/>
              </w:rPr>
              <w:t>001</w:t>
            </w:r>
          </w:p>
        </w:tc>
        <w:tc>
          <w:tcPr>
            <w:tcW w:w="1710" w:type="dxa"/>
            <w:tcBorders>
              <w:top w:val="nil"/>
              <w:left w:val="nil"/>
              <w:bottom w:val="single" w:sz="4" w:space="0" w:color="auto"/>
              <w:right w:val="single" w:sz="4" w:space="0" w:color="auto"/>
            </w:tcBorders>
            <w:shd w:val="clear" w:color="auto" w:fill="auto"/>
            <w:noWrap/>
            <w:vAlign w:val="center"/>
            <w:hideMark/>
          </w:tcPr>
          <w:p w14:paraId="1FE7FDD5" w14:textId="77777777" w:rsidR="00661352" w:rsidRPr="00B123B8" w:rsidRDefault="00661352" w:rsidP="00282AF6">
            <w:pPr>
              <w:ind w:right="144"/>
              <w:jc w:val="right"/>
              <w:rPr>
                <w:kern w:val="22"/>
                <w:szCs w:val="22"/>
                <w:lang w:val="fr-CA" w:eastAsia="en-CA"/>
              </w:rPr>
            </w:pPr>
            <w:r w:rsidRPr="00B123B8">
              <w:rPr>
                <w:kern w:val="22"/>
                <w:szCs w:val="22"/>
                <w:lang w:val="fr-CA" w:eastAsia="en-CA"/>
              </w:rPr>
              <w:t>158</w:t>
            </w:r>
          </w:p>
        </w:tc>
      </w:tr>
      <w:tr w:rsidR="00661352" w:rsidRPr="00B123B8" w14:paraId="2DC83DDF" w14:textId="77777777" w:rsidTr="00661352">
        <w:trPr>
          <w:trHeight w:val="260"/>
          <w:jc w:val="center"/>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2FDCAD32" w14:textId="77777777" w:rsidR="00661352" w:rsidRPr="00B123B8" w:rsidRDefault="00661352" w:rsidP="00120F79">
            <w:pPr>
              <w:jc w:val="right"/>
              <w:rPr>
                <w:kern w:val="22"/>
                <w:szCs w:val="22"/>
                <w:lang w:val="fr-CA" w:eastAsia="en-CA"/>
              </w:rPr>
            </w:pPr>
            <w:r w:rsidRPr="00B123B8">
              <w:rPr>
                <w:kern w:val="22"/>
                <w:szCs w:val="22"/>
                <w:lang w:val="fr-CA" w:eastAsia="en-CA"/>
              </w:rPr>
              <w:t>192</w:t>
            </w:r>
          </w:p>
        </w:tc>
        <w:tc>
          <w:tcPr>
            <w:tcW w:w="3885" w:type="dxa"/>
            <w:gridSpan w:val="2"/>
            <w:tcBorders>
              <w:top w:val="nil"/>
              <w:left w:val="nil"/>
              <w:bottom w:val="single" w:sz="4" w:space="0" w:color="auto"/>
              <w:right w:val="single" w:sz="4" w:space="0" w:color="auto"/>
            </w:tcBorders>
            <w:shd w:val="clear" w:color="auto" w:fill="auto"/>
            <w:vAlign w:val="center"/>
            <w:hideMark/>
          </w:tcPr>
          <w:p w14:paraId="3FED35F3" w14:textId="77777777" w:rsidR="00661352" w:rsidRPr="00B123B8" w:rsidRDefault="00661352" w:rsidP="00120F79">
            <w:pPr>
              <w:jc w:val="left"/>
              <w:rPr>
                <w:kern w:val="22"/>
                <w:szCs w:val="22"/>
                <w:lang w:val="fr-CA" w:eastAsia="en-CA"/>
              </w:rPr>
            </w:pPr>
            <w:r w:rsidRPr="00B123B8">
              <w:rPr>
                <w:kern w:val="22"/>
                <w:szCs w:val="22"/>
                <w:lang w:val="fr-CA" w:eastAsia="en-CA"/>
              </w:rPr>
              <w:t>Venezuela</w:t>
            </w:r>
          </w:p>
        </w:tc>
        <w:tc>
          <w:tcPr>
            <w:tcW w:w="1440" w:type="dxa"/>
            <w:tcBorders>
              <w:top w:val="nil"/>
              <w:left w:val="nil"/>
              <w:bottom w:val="single" w:sz="4" w:space="0" w:color="auto"/>
              <w:right w:val="single" w:sz="4" w:space="0" w:color="auto"/>
            </w:tcBorders>
            <w:shd w:val="clear" w:color="auto" w:fill="auto"/>
            <w:vAlign w:val="center"/>
            <w:hideMark/>
          </w:tcPr>
          <w:p w14:paraId="0A3B7C81" w14:textId="77777777" w:rsidR="00661352" w:rsidRPr="00B123B8" w:rsidRDefault="00661352" w:rsidP="00282AF6">
            <w:pPr>
              <w:ind w:right="144"/>
              <w:jc w:val="right"/>
              <w:rPr>
                <w:kern w:val="22"/>
                <w:szCs w:val="22"/>
                <w:lang w:val="fr-CA" w:eastAsia="en-CA"/>
              </w:rPr>
            </w:pPr>
            <w:r w:rsidRPr="00B123B8">
              <w:rPr>
                <w:kern w:val="22"/>
                <w:szCs w:val="22"/>
                <w:lang w:val="fr-CA" w:eastAsia="en-CA"/>
              </w:rPr>
              <w:t>0</w:t>
            </w:r>
            <w:r>
              <w:rPr>
                <w:kern w:val="22"/>
                <w:szCs w:val="22"/>
                <w:lang w:val="fr-CA" w:eastAsia="en-CA"/>
              </w:rPr>
              <w:t>,</w:t>
            </w:r>
            <w:r w:rsidRPr="00B123B8">
              <w:rPr>
                <w:kern w:val="22"/>
                <w:szCs w:val="22"/>
                <w:lang w:val="fr-CA" w:eastAsia="en-CA"/>
              </w:rPr>
              <w:t>728</w:t>
            </w:r>
          </w:p>
        </w:tc>
        <w:tc>
          <w:tcPr>
            <w:tcW w:w="1620" w:type="dxa"/>
            <w:tcBorders>
              <w:top w:val="nil"/>
              <w:left w:val="nil"/>
              <w:bottom w:val="single" w:sz="4" w:space="0" w:color="auto"/>
              <w:right w:val="single" w:sz="4" w:space="0" w:color="auto"/>
            </w:tcBorders>
            <w:shd w:val="clear" w:color="auto" w:fill="auto"/>
            <w:noWrap/>
            <w:vAlign w:val="center"/>
            <w:hideMark/>
          </w:tcPr>
          <w:p w14:paraId="27241072" w14:textId="77777777" w:rsidR="00661352" w:rsidRPr="00B123B8" w:rsidRDefault="00661352" w:rsidP="00282AF6">
            <w:pPr>
              <w:ind w:right="144"/>
              <w:jc w:val="right"/>
              <w:rPr>
                <w:kern w:val="22"/>
                <w:szCs w:val="22"/>
                <w:lang w:val="fr-CA" w:eastAsia="en-CA"/>
              </w:rPr>
            </w:pPr>
            <w:r w:rsidRPr="00B123B8">
              <w:rPr>
                <w:kern w:val="22"/>
                <w:szCs w:val="22"/>
                <w:lang w:val="fr-CA" w:eastAsia="en-CA"/>
              </w:rPr>
              <w:t>0</w:t>
            </w:r>
            <w:r>
              <w:rPr>
                <w:kern w:val="22"/>
                <w:szCs w:val="22"/>
                <w:lang w:val="fr-CA" w:eastAsia="en-CA"/>
              </w:rPr>
              <w:t>,</w:t>
            </w:r>
            <w:r w:rsidRPr="00B123B8">
              <w:rPr>
                <w:kern w:val="22"/>
                <w:szCs w:val="22"/>
                <w:lang w:val="fr-CA" w:eastAsia="en-CA"/>
              </w:rPr>
              <w:t>910</w:t>
            </w:r>
          </w:p>
        </w:tc>
        <w:tc>
          <w:tcPr>
            <w:tcW w:w="1710" w:type="dxa"/>
            <w:tcBorders>
              <w:top w:val="nil"/>
              <w:left w:val="nil"/>
              <w:bottom w:val="single" w:sz="4" w:space="0" w:color="auto"/>
              <w:right w:val="single" w:sz="4" w:space="0" w:color="auto"/>
            </w:tcBorders>
            <w:shd w:val="clear" w:color="auto" w:fill="auto"/>
            <w:noWrap/>
            <w:vAlign w:val="center"/>
            <w:hideMark/>
          </w:tcPr>
          <w:p w14:paraId="2D97A601" w14:textId="77777777" w:rsidR="00661352" w:rsidRPr="00B123B8" w:rsidRDefault="00661352" w:rsidP="00282AF6">
            <w:pPr>
              <w:ind w:right="144"/>
              <w:jc w:val="right"/>
              <w:rPr>
                <w:kern w:val="22"/>
                <w:szCs w:val="22"/>
                <w:lang w:val="fr-CA" w:eastAsia="en-CA"/>
              </w:rPr>
            </w:pPr>
            <w:r w:rsidRPr="00B123B8">
              <w:rPr>
                <w:kern w:val="22"/>
                <w:szCs w:val="22"/>
                <w:lang w:val="fr-CA" w:eastAsia="en-CA"/>
              </w:rPr>
              <w:t>114 855</w:t>
            </w:r>
          </w:p>
        </w:tc>
      </w:tr>
      <w:tr w:rsidR="00661352" w:rsidRPr="00B123B8" w14:paraId="289199DB" w14:textId="77777777" w:rsidTr="00661352">
        <w:trPr>
          <w:trHeight w:val="260"/>
          <w:jc w:val="center"/>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75FA4EC1" w14:textId="77777777" w:rsidR="00661352" w:rsidRPr="00B123B8" w:rsidRDefault="00661352" w:rsidP="00120F79">
            <w:pPr>
              <w:jc w:val="right"/>
              <w:rPr>
                <w:kern w:val="22"/>
                <w:szCs w:val="22"/>
                <w:lang w:val="fr-CA" w:eastAsia="en-CA"/>
              </w:rPr>
            </w:pPr>
            <w:r w:rsidRPr="00B123B8">
              <w:rPr>
                <w:kern w:val="22"/>
                <w:szCs w:val="22"/>
                <w:lang w:val="fr-CA" w:eastAsia="en-CA"/>
              </w:rPr>
              <w:t>193</w:t>
            </w:r>
          </w:p>
        </w:tc>
        <w:tc>
          <w:tcPr>
            <w:tcW w:w="3885" w:type="dxa"/>
            <w:gridSpan w:val="2"/>
            <w:tcBorders>
              <w:top w:val="nil"/>
              <w:left w:val="nil"/>
              <w:bottom w:val="single" w:sz="4" w:space="0" w:color="auto"/>
              <w:right w:val="single" w:sz="4" w:space="0" w:color="auto"/>
            </w:tcBorders>
            <w:shd w:val="clear" w:color="auto" w:fill="auto"/>
            <w:vAlign w:val="center"/>
            <w:hideMark/>
          </w:tcPr>
          <w:p w14:paraId="1EAC2B8A" w14:textId="77777777" w:rsidR="00661352" w:rsidRPr="00B123B8" w:rsidRDefault="00661352" w:rsidP="00120F79">
            <w:pPr>
              <w:jc w:val="left"/>
              <w:rPr>
                <w:kern w:val="22"/>
                <w:szCs w:val="22"/>
                <w:lang w:val="fr-CA" w:eastAsia="en-CA"/>
              </w:rPr>
            </w:pPr>
            <w:r w:rsidRPr="00B123B8">
              <w:rPr>
                <w:kern w:val="22"/>
                <w:szCs w:val="22"/>
                <w:lang w:val="fr-CA" w:eastAsia="en-CA"/>
              </w:rPr>
              <w:t>Viet Nam</w:t>
            </w:r>
          </w:p>
        </w:tc>
        <w:tc>
          <w:tcPr>
            <w:tcW w:w="1440" w:type="dxa"/>
            <w:tcBorders>
              <w:top w:val="nil"/>
              <w:left w:val="nil"/>
              <w:bottom w:val="single" w:sz="4" w:space="0" w:color="auto"/>
              <w:right w:val="single" w:sz="4" w:space="0" w:color="auto"/>
            </w:tcBorders>
            <w:shd w:val="clear" w:color="auto" w:fill="auto"/>
            <w:vAlign w:val="center"/>
            <w:hideMark/>
          </w:tcPr>
          <w:p w14:paraId="4E0F167D" w14:textId="77777777" w:rsidR="00661352" w:rsidRPr="00B123B8" w:rsidRDefault="00661352" w:rsidP="00282AF6">
            <w:pPr>
              <w:ind w:right="144"/>
              <w:jc w:val="right"/>
              <w:rPr>
                <w:kern w:val="22"/>
                <w:szCs w:val="22"/>
                <w:lang w:val="fr-CA" w:eastAsia="en-CA"/>
              </w:rPr>
            </w:pPr>
            <w:r w:rsidRPr="00B123B8">
              <w:rPr>
                <w:kern w:val="22"/>
                <w:szCs w:val="22"/>
                <w:lang w:val="fr-CA" w:eastAsia="en-CA"/>
              </w:rPr>
              <w:t>0</w:t>
            </w:r>
            <w:r>
              <w:rPr>
                <w:kern w:val="22"/>
                <w:szCs w:val="22"/>
                <w:lang w:val="fr-CA" w:eastAsia="en-CA"/>
              </w:rPr>
              <w:t>,</w:t>
            </w:r>
            <w:r w:rsidRPr="00B123B8">
              <w:rPr>
                <w:kern w:val="22"/>
                <w:szCs w:val="22"/>
                <w:lang w:val="fr-CA" w:eastAsia="en-CA"/>
              </w:rPr>
              <w:t>077</w:t>
            </w:r>
          </w:p>
        </w:tc>
        <w:tc>
          <w:tcPr>
            <w:tcW w:w="1620" w:type="dxa"/>
            <w:tcBorders>
              <w:top w:val="nil"/>
              <w:left w:val="nil"/>
              <w:bottom w:val="single" w:sz="4" w:space="0" w:color="auto"/>
              <w:right w:val="single" w:sz="4" w:space="0" w:color="auto"/>
            </w:tcBorders>
            <w:shd w:val="clear" w:color="auto" w:fill="auto"/>
            <w:noWrap/>
            <w:vAlign w:val="center"/>
            <w:hideMark/>
          </w:tcPr>
          <w:p w14:paraId="33DE8C95" w14:textId="77777777" w:rsidR="00661352" w:rsidRPr="00B123B8" w:rsidRDefault="00661352" w:rsidP="00282AF6">
            <w:pPr>
              <w:ind w:right="144"/>
              <w:jc w:val="right"/>
              <w:rPr>
                <w:kern w:val="22"/>
                <w:szCs w:val="22"/>
                <w:lang w:val="fr-CA" w:eastAsia="en-CA"/>
              </w:rPr>
            </w:pPr>
            <w:r w:rsidRPr="00B123B8">
              <w:rPr>
                <w:kern w:val="22"/>
                <w:szCs w:val="22"/>
                <w:lang w:val="fr-CA" w:eastAsia="en-CA"/>
              </w:rPr>
              <w:t>0</w:t>
            </w:r>
            <w:r>
              <w:rPr>
                <w:kern w:val="22"/>
                <w:szCs w:val="22"/>
                <w:lang w:val="fr-CA" w:eastAsia="en-CA"/>
              </w:rPr>
              <w:t>,</w:t>
            </w:r>
            <w:r w:rsidRPr="00B123B8">
              <w:rPr>
                <w:kern w:val="22"/>
                <w:szCs w:val="22"/>
                <w:lang w:val="fr-CA" w:eastAsia="en-CA"/>
              </w:rPr>
              <w:t>096</w:t>
            </w:r>
          </w:p>
        </w:tc>
        <w:tc>
          <w:tcPr>
            <w:tcW w:w="1710" w:type="dxa"/>
            <w:tcBorders>
              <w:top w:val="nil"/>
              <w:left w:val="nil"/>
              <w:bottom w:val="single" w:sz="4" w:space="0" w:color="auto"/>
              <w:right w:val="single" w:sz="4" w:space="0" w:color="auto"/>
            </w:tcBorders>
            <w:shd w:val="clear" w:color="auto" w:fill="auto"/>
            <w:noWrap/>
            <w:vAlign w:val="center"/>
            <w:hideMark/>
          </w:tcPr>
          <w:p w14:paraId="7BC3FB6E" w14:textId="77777777" w:rsidR="00661352" w:rsidRPr="00B123B8" w:rsidRDefault="00661352" w:rsidP="00282AF6">
            <w:pPr>
              <w:ind w:right="144"/>
              <w:jc w:val="right"/>
              <w:rPr>
                <w:kern w:val="22"/>
                <w:szCs w:val="22"/>
                <w:lang w:val="fr-CA" w:eastAsia="en-CA"/>
              </w:rPr>
            </w:pPr>
            <w:r w:rsidRPr="00B123B8">
              <w:rPr>
                <w:kern w:val="22"/>
                <w:szCs w:val="22"/>
                <w:lang w:val="fr-CA" w:eastAsia="en-CA"/>
              </w:rPr>
              <w:t>12 148</w:t>
            </w:r>
          </w:p>
        </w:tc>
      </w:tr>
      <w:tr w:rsidR="00661352" w:rsidRPr="00B123B8" w14:paraId="58D02789" w14:textId="77777777" w:rsidTr="00661352">
        <w:trPr>
          <w:trHeight w:val="260"/>
          <w:jc w:val="center"/>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74C839CD" w14:textId="77777777" w:rsidR="00661352" w:rsidRPr="00B123B8" w:rsidRDefault="00661352" w:rsidP="00120F79">
            <w:pPr>
              <w:jc w:val="right"/>
              <w:rPr>
                <w:kern w:val="22"/>
                <w:szCs w:val="22"/>
                <w:lang w:val="fr-CA" w:eastAsia="en-CA"/>
              </w:rPr>
            </w:pPr>
            <w:r w:rsidRPr="00B123B8">
              <w:rPr>
                <w:kern w:val="22"/>
                <w:szCs w:val="22"/>
                <w:lang w:val="fr-CA" w:eastAsia="en-CA"/>
              </w:rPr>
              <w:t>194</w:t>
            </w:r>
          </w:p>
        </w:tc>
        <w:tc>
          <w:tcPr>
            <w:tcW w:w="3885" w:type="dxa"/>
            <w:gridSpan w:val="2"/>
            <w:tcBorders>
              <w:top w:val="nil"/>
              <w:left w:val="nil"/>
              <w:bottom w:val="single" w:sz="4" w:space="0" w:color="auto"/>
              <w:right w:val="single" w:sz="4" w:space="0" w:color="auto"/>
            </w:tcBorders>
            <w:shd w:val="clear" w:color="auto" w:fill="auto"/>
            <w:vAlign w:val="center"/>
            <w:hideMark/>
          </w:tcPr>
          <w:p w14:paraId="405E661C" w14:textId="77777777" w:rsidR="00661352" w:rsidRPr="00B123B8" w:rsidRDefault="00661352" w:rsidP="00120F79">
            <w:pPr>
              <w:jc w:val="left"/>
              <w:rPr>
                <w:kern w:val="22"/>
                <w:szCs w:val="22"/>
                <w:lang w:val="fr-CA" w:eastAsia="en-CA"/>
              </w:rPr>
            </w:pPr>
            <w:r>
              <w:rPr>
                <w:kern w:val="22"/>
                <w:szCs w:val="22"/>
                <w:lang w:val="fr-CA" w:eastAsia="en-CA"/>
              </w:rPr>
              <w:t>Yé</w:t>
            </w:r>
            <w:r w:rsidRPr="00B123B8">
              <w:rPr>
                <w:kern w:val="22"/>
                <w:szCs w:val="22"/>
                <w:lang w:val="fr-CA" w:eastAsia="en-CA"/>
              </w:rPr>
              <w:t>men</w:t>
            </w:r>
          </w:p>
        </w:tc>
        <w:tc>
          <w:tcPr>
            <w:tcW w:w="1440" w:type="dxa"/>
            <w:tcBorders>
              <w:top w:val="nil"/>
              <w:left w:val="nil"/>
              <w:bottom w:val="single" w:sz="4" w:space="0" w:color="auto"/>
              <w:right w:val="single" w:sz="4" w:space="0" w:color="auto"/>
            </w:tcBorders>
            <w:shd w:val="clear" w:color="auto" w:fill="auto"/>
            <w:vAlign w:val="center"/>
            <w:hideMark/>
          </w:tcPr>
          <w:p w14:paraId="008004BC" w14:textId="77777777" w:rsidR="00661352" w:rsidRPr="00B123B8" w:rsidRDefault="00661352" w:rsidP="00282AF6">
            <w:pPr>
              <w:ind w:right="144"/>
              <w:jc w:val="right"/>
              <w:rPr>
                <w:kern w:val="22"/>
                <w:szCs w:val="22"/>
                <w:lang w:val="fr-CA" w:eastAsia="en-CA"/>
              </w:rPr>
            </w:pPr>
            <w:r w:rsidRPr="00B123B8">
              <w:rPr>
                <w:kern w:val="22"/>
                <w:szCs w:val="22"/>
                <w:lang w:val="fr-CA" w:eastAsia="en-CA"/>
              </w:rPr>
              <w:t>0</w:t>
            </w:r>
            <w:r>
              <w:rPr>
                <w:kern w:val="22"/>
                <w:szCs w:val="22"/>
                <w:lang w:val="fr-CA" w:eastAsia="en-CA"/>
              </w:rPr>
              <w:t>,</w:t>
            </w:r>
            <w:r w:rsidRPr="00B123B8">
              <w:rPr>
                <w:kern w:val="22"/>
                <w:szCs w:val="22"/>
                <w:lang w:val="fr-CA" w:eastAsia="en-CA"/>
              </w:rPr>
              <w:t>010</w:t>
            </w:r>
          </w:p>
        </w:tc>
        <w:tc>
          <w:tcPr>
            <w:tcW w:w="1620" w:type="dxa"/>
            <w:tcBorders>
              <w:top w:val="nil"/>
              <w:left w:val="nil"/>
              <w:bottom w:val="single" w:sz="4" w:space="0" w:color="auto"/>
              <w:right w:val="single" w:sz="4" w:space="0" w:color="auto"/>
            </w:tcBorders>
            <w:shd w:val="clear" w:color="auto" w:fill="auto"/>
            <w:noWrap/>
            <w:vAlign w:val="center"/>
            <w:hideMark/>
          </w:tcPr>
          <w:p w14:paraId="4A425B7D" w14:textId="77777777" w:rsidR="00661352" w:rsidRPr="00B123B8" w:rsidRDefault="00661352" w:rsidP="00282AF6">
            <w:pPr>
              <w:ind w:right="144"/>
              <w:jc w:val="right"/>
              <w:rPr>
                <w:kern w:val="22"/>
                <w:szCs w:val="22"/>
                <w:lang w:val="fr-CA" w:eastAsia="en-CA"/>
              </w:rPr>
            </w:pPr>
            <w:r w:rsidRPr="00B123B8">
              <w:rPr>
                <w:kern w:val="22"/>
                <w:szCs w:val="22"/>
                <w:lang w:val="fr-CA" w:eastAsia="en-CA"/>
              </w:rPr>
              <w:t>0</w:t>
            </w:r>
            <w:r>
              <w:rPr>
                <w:kern w:val="22"/>
                <w:szCs w:val="22"/>
                <w:lang w:val="fr-CA" w:eastAsia="en-CA"/>
              </w:rPr>
              <w:t>,</w:t>
            </w:r>
            <w:r w:rsidRPr="00B123B8">
              <w:rPr>
                <w:kern w:val="22"/>
                <w:szCs w:val="22"/>
                <w:lang w:val="fr-CA" w:eastAsia="en-CA"/>
              </w:rPr>
              <w:t>010</w:t>
            </w:r>
          </w:p>
        </w:tc>
        <w:tc>
          <w:tcPr>
            <w:tcW w:w="1710" w:type="dxa"/>
            <w:tcBorders>
              <w:top w:val="nil"/>
              <w:left w:val="nil"/>
              <w:bottom w:val="single" w:sz="4" w:space="0" w:color="auto"/>
              <w:right w:val="single" w:sz="4" w:space="0" w:color="auto"/>
            </w:tcBorders>
            <w:shd w:val="clear" w:color="auto" w:fill="auto"/>
            <w:noWrap/>
            <w:vAlign w:val="center"/>
            <w:hideMark/>
          </w:tcPr>
          <w:p w14:paraId="6EBCB748" w14:textId="77777777" w:rsidR="00661352" w:rsidRPr="00B123B8" w:rsidRDefault="00661352" w:rsidP="00282AF6">
            <w:pPr>
              <w:ind w:right="144"/>
              <w:jc w:val="right"/>
              <w:rPr>
                <w:kern w:val="22"/>
                <w:szCs w:val="22"/>
                <w:lang w:val="fr-CA" w:eastAsia="en-CA"/>
              </w:rPr>
            </w:pPr>
            <w:r w:rsidRPr="00B123B8">
              <w:rPr>
                <w:kern w:val="22"/>
                <w:szCs w:val="22"/>
                <w:lang w:val="fr-CA" w:eastAsia="en-CA"/>
              </w:rPr>
              <w:t>1 262</w:t>
            </w:r>
          </w:p>
        </w:tc>
      </w:tr>
      <w:tr w:rsidR="00661352" w:rsidRPr="00B123B8" w14:paraId="45BA7D8E" w14:textId="77777777" w:rsidTr="00661352">
        <w:trPr>
          <w:trHeight w:val="260"/>
          <w:jc w:val="center"/>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44899FA4" w14:textId="77777777" w:rsidR="00661352" w:rsidRPr="00B123B8" w:rsidRDefault="00661352" w:rsidP="00120F79">
            <w:pPr>
              <w:jc w:val="right"/>
              <w:rPr>
                <w:kern w:val="22"/>
                <w:szCs w:val="22"/>
                <w:lang w:val="fr-CA" w:eastAsia="en-CA"/>
              </w:rPr>
            </w:pPr>
            <w:r w:rsidRPr="00B123B8">
              <w:rPr>
                <w:kern w:val="22"/>
                <w:szCs w:val="22"/>
                <w:lang w:val="fr-CA" w:eastAsia="en-CA"/>
              </w:rPr>
              <w:t>195</w:t>
            </w:r>
          </w:p>
        </w:tc>
        <w:tc>
          <w:tcPr>
            <w:tcW w:w="3885" w:type="dxa"/>
            <w:gridSpan w:val="2"/>
            <w:tcBorders>
              <w:top w:val="nil"/>
              <w:left w:val="nil"/>
              <w:bottom w:val="single" w:sz="4" w:space="0" w:color="auto"/>
              <w:right w:val="single" w:sz="4" w:space="0" w:color="auto"/>
            </w:tcBorders>
            <w:shd w:val="clear" w:color="auto" w:fill="auto"/>
            <w:vAlign w:val="center"/>
            <w:hideMark/>
          </w:tcPr>
          <w:p w14:paraId="6EBE2D7E" w14:textId="77777777" w:rsidR="00661352" w:rsidRPr="00B123B8" w:rsidRDefault="00661352" w:rsidP="00120F79">
            <w:pPr>
              <w:jc w:val="left"/>
              <w:rPr>
                <w:kern w:val="22"/>
                <w:szCs w:val="22"/>
                <w:lang w:val="fr-CA" w:eastAsia="en-CA"/>
              </w:rPr>
            </w:pPr>
            <w:r>
              <w:rPr>
                <w:kern w:val="22"/>
                <w:szCs w:val="22"/>
                <w:lang w:val="fr-CA" w:eastAsia="en-CA"/>
              </w:rPr>
              <w:t>Zambie</w:t>
            </w:r>
          </w:p>
        </w:tc>
        <w:tc>
          <w:tcPr>
            <w:tcW w:w="1440" w:type="dxa"/>
            <w:tcBorders>
              <w:top w:val="nil"/>
              <w:left w:val="nil"/>
              <w:bottom w:val="single" w:sz="4" w:space="0" w:color="auto"/>
              <w:right w:val="single" w:sz="4" w:space="0" w:color="auto"/>
            </w:tcBorders>
            <w:shd w:val="clear" w:color="auto" w:fill="auto"/>
            <w:vAlign w:val="center"/>
            <w:hideMark/>
          </w:tcPr>
          <w:p w14:paraId="10E42F97" w14:textId="77777777" w:rsidR="00661352" w:rsidRPr="00B123B8" w:rsidRDefault="00661352" w:rsidP="00282AF6">
            <w:pPr>
              <w:ind w:right="144"/>
              <w:jc w:val="right"/>
              <w:rPr>
                <w:kern w:val="22"/>
                <w:szCs w:val="22"/>
                <w:lang w:val="fr-CA" w:eastAsia="en-CA"/>
              </w:rPr>
            </w:pPr>
            <w:r w:rsidRPr="00B123B8">
              <w:rPr>
                <w:kern w:val="22"/>
                <w:szCs w:val="22"/>
                <w:lang w:val="fr-CA" w:eastAsia="en-CA"/>
              </w:rPr>
              <w:t>0</w:t>
            </w:r>
            <w:r>
              <w:rPr>
                <w:kern w:val="22"/>
                <w:szCs w:val="22"/>
                <w:lang w:val="fr-CA" w:eastAsia="en-CA"/>
              </w:rPr>
              <w:t>,</w:t>
            </w:r>
            <w:r w:rsidRPr="00B123B8">
              <w:rPr>
                <w:kern w:val="22"/>
                <w:szCs w:val="22"/>
                <w:lang w:val="fr-CA" w:eastAsia="en-CA"/>
              </w:rPr>
              <w:t>009</w:t>
            </w:r>
          </w:p>
        </w:tc>
        <w:tc>
          <w:tcPr>
            <w:tcW w:w="1620" w:type="dxa"/>
            <w:tcBorders>
              <w:top w:val="nil"/>
              <w:left w:val="nil"/>
              <w:bottom w:val="single" w:sz="4" w:space="0" w:color="auto"/>
              <w:right w:val="single" w:sz="4" w:space="0" w:color="auto"/>
            </w:tcBorders>
            <w:shd w:val="clear" w:color="auto" w:fill="auto"/>
            <w:noWrap/>
            <w:vAlign w:val="center"/>
            <w:hideMark/>
          </w:tcPr>
          <w:p w14:paraId="1D026E3A" w14:textId="77777777" w:rsidR="00661352" w:rsidRPr="00B123B8" w:rsidRDefault="00661352" w:rsidP="00282AF6">
            <w:pPr>
              <w:ind w:right="144"/>
              <w:jc w:val="right"/>
              <w:rPr>
                <w:kern w:val="22"/>
                <w:szCs w:val="22"/>
                <w:lang w:val="fr-CA" w:eastAsia="en-CA"/>
              </w:rPr>
            </w:pPr>
            <w:r w:rsidRPr="00B123B8">
              <w:rPr>
                <w:kern w:val="22"/>
                <w:szCs w:val="22"/>
                <w:lang w:val="fr-CA" w:eastAsia="en-CA"/>
              </w:rPr>
              <w:t>0</w:t>
            </w:r>
            <w:r>
              <w:rPr>
                <w:kern w:val="22"/>
                <w:szCs w:val="22"/>
                <w:lang w:val="fr-CA" w:eastAsia="en-CA"/>
              </w:rPr>
              <w:t>,</w:t>
            </w:r>
            <w:r w:rsidRPr="00B123B8">
              <w:rPr>
                <w:kern w:val="22"/>
                <w:szCs w:val="22"/>
                <w:lang w:val="fr-CA" w:eastAsia="en-CA"/>
              </w:rPr>
              <w:t>011</w:t>
            </w:r>
          </w:p>
        </w:tc>
        <w:tc>
          <w:tcPr>
            <w:tcW w:w="1710" w:type="dxa"/>
            <w:tcBorders>
              <w:top w:val="nil"/>
              <w:left w:val="nil"/>
              <w:bottom w:val="single" w:sz="4" w:space="0" w:color="auto"/>
              <w:right w:val="single" w:sz="4" w:space="0" w:color="auto"/>
            </w:tcBorders>
            <w:shd w:val="clear" w:color="auto" w:fill="auto"/>
            <w:noWrap/>
            <w:vAlign w:val="center"/>
            <w:hideMark/>
          </w:tcPr>
          <w:p w14:paraId="014B6DA8" w14:textId="77777777" w:rsidR="00661352" w:rsidRPr="00B123B8" w:rsidRDefault="00661352" w:rsidP="00282AF6">
            <w:pPr>
              <w:ind w:right="144"/>
              <w:jc w:val="right"/>
              <w:rPr>
                <w:kern w:val="22"/>
                <w:szCs w:val="22"/>
                <w:lang w:val="fr-CA" w:eastAsia="en-CA"/>
              </w:rPr>
            </w:pPr>
            <w:r w:rsidRPr="00B123B8">
              <w:rPr>
                <w:kern w:val="22"/>
                <w:szCs w:val="22"/>
                <w:lang w:val="fr-CA" w:eastAsia="en-CA"/>
              </w:rPr>
              <w:t>1 420</w:t>
            </w:r>
          </w:p>
        </w:tc>
      </w:tr>
      <w:tr w:rsidR="00661352" w:rsidRPr="00B123B8" w14:paraId="22CDC5BD" w14:textId="77777777" w:rsidTr="00EF4C61">
        <w:trPr>
          <w:trHeight w:val="260"/>
          <w:jc w:val="center"/>
        </w:trPr>
        <w:tc>
          <w:tcPr>
            <w:tcW w:w="610" w:type="dxa"/>
            <w:tcBorders>
              <w:top w:val="nil"/>
              <w:left w:val="single" w:sz="4" w:space="0" w:color="auto"/>
              <w:bottom w:val="nil"/>
              <w:right w:val="single" w:sz="4" w:space="0" w:color="auto"/>
            </w:tcBorders>
            <w:shd w:val="clear" w:color="auto" w:fill="auto"/>
            <w:noWrap/>
            <w:vAlign w:val="center"/>
            <w:hideMark/>
          </w:tcPr>
          <w:p w14:paraId="1E6F7AEB" w14:textId="77777777" w:rsidR="00661352" w:rsidRPr="00B123B8" w:rsidRDefault="00661352" w:rsidP="00120F79">
            <w:pPr>
              <w:jc w:val="right"/>
              <w:rPr>
                <w:kern w:val="22"/>
                <w:szCs w:val="22"/>
                <w:lang w:val="fr-CA" w:eastAsia="en-CA"/>
              </w:rPr>
            </w:pPr>
            <w:r w:rsidRPr="00B123B8">
              <w:rPr>
                <w:kern w:val="22"/>
                <w:szCs w:val="22"/>
                <w:lang w:val="fr-CA" w:eastAsia="en-CA"/>
              </w:rPr>
              <w:t>196</w:t>
            </w:r>
          </w:p>
        </w:tc>
        <w:tc>
          <w:tcPr>
            <w:tcW w:w="3885" w:type="dxa"/>
            <w:gridSpan w:val="2"/>
            <w:tcBorders>
              <w:top w:val="nil"/>
              <w:left w:val="nil"/>
              <w:bottom w:val="nil"/>
              <w:right w:val="single" w:sz="4" w:space="0" w:color="auto"/>
            </w:tcBorders>
            <w:shd w:val="clear" w:color="auto" w:fill="auto"/>
            <w:vAlign w:val="center"/>
            <w:hideMark/>
          </w:tcPr>
          <w:p w14:paraId="35CB4F81" w14:textId="77777777" w:rsidR="00661352" w:rsidRPr="00B123B8" w:rsidRDefault="00661352" w:rsidP="00120F79">
            <w:pPr>
              <w:jc w:val="left"/>
              <w:rPr>
                <w:kern w:val="22"/>
                <w:szCs w:val="22"/>
                <w:lang w:val="fr-CA" w:eastAsia="en-CA"/>
              </w:rPr>
            </w:pPr>
            <w:r w:rsidRPr="00B123B8">
              <w:rPr>
                <w:kern w:val="22"/>
                <w:szCs w:val="22"/>
                <w:lang w:val="fr-CA" w:eastAsia="en-CA"/>
              </w:rPr>
              <w:t>Zimbabwe</w:t>
            </w:r>
          </w:p>
        </w:tc>
        <w:tc>
          <w:tcPr>
            <w:tcW w:w="1440" w:type="dxa"/>
            <w:tcBorders>
              <w:top w:val="nil"/>
              <w:left w:val="nil"/>
              <w:bottom w:val="nil"/>
              <w:right w:val="single" w:sz="4" w:space="0" w:color="auto"/>
            </w:tcBorders>
            <w:shd w:val="clear" w:color="auto" w:fill="auto"/>
            <w:vAlign w:val="center"/>
            <w:hideMark/>
          </w:tcPr>
          <w:p w14:paraId="53B5E24D" w14:textId="77777777" w:rsidR="00661352" w:rsidRPr="00B123B8" w:rsidRDefault="00661352" w:rsidP="00282AF6">
            <w:pPr>
              <w:ind w:right="144"/>
              <w:jc w:val="right"/>
              <w:rPr>
                <w:kern w:val="22"/>
                <w:szCs w:val="22"/>
                <w:lang w:val="fr-CA" w:eastAsia="en-CA"/>
              </w:rPr>
            </w:pPr>
            <w:r w:rsidRPr="00B123B8">
              <w:rPr>
                <w:kern w:val="22"/>
                <w:szCs w:val="22"/>
                <w:lang w:val="fr-CA" w:eastAsia="en-CA"/>
              </w:rPr>
              <w:t>0</w:t>
            </w:r>
            <w:r>
              <w:rPr>
                <w:kern w:val="22"/>
                <w:szCs w:val="22"/>
                <w:lang w:val="fr-CA" w:eastAsia="en-CA"/>
              </w:rPr>
              <w:t>,</w:t>
            </w:r>
            <w:r w:rsidRPr="00B123B8">
              <w:rPr>
                <w:kern w:val="22"/>
                <w:szCs w:val="22"/>
                <w:lang w:val="fr-CA" w:eastAsia="en-CA"/>
              </w:rPr>
              <w:t>005</w:t>
            </w:r>
          </w:p>
        </w:tc>
        <w:tc>
          <w:tcPr>
            <w:tcW w:w="1620" w:type="dxa"/>
            <w:tcBorders>
              <w:top w:val="nil"/>
              <w:left w:val="nil"/>
              <w:bottom w:val="nil"/>
              <w:right w:val="single" w:sz="4" w:space="0" w:color="auto"/>
            </w:tcBorders>
            <w:shd w:val="clear" w:color="auto" w:fill="auto"/>
            <w:noWrap/>
            <w:vAlign w:val="center"/>
            <w:hideMark/>
          </w:tcPr>
          <w:p w14:paraId="03B78708" w14:textId="77777777" w:rsidR="00661352" w:rsidRPr="00B123B8" w:rsidRDefault="00661352" w:rsidP="00282AF6">
            <w:pPr>
              <w:ind w:right="144"/>
              <w:jc w:val="right"/>
              <w:rPr>
                <w:kern w:val="22"/>
                <w:szCs w:val="22"/>
                <w:lang w:val="fr-CA" w:eastAsia="en-CA"/>
              </w:rPr>
            </w:pPr>
            <w:r w:rsidRPr="00B123B8">
              <w:rPr>
                <w:kern w:val="22"/>
                <w:szCs w:val="22"/>
                <w:lang w:val="fr-CA" w:eastAsia="en-CA"/>
              </w:rPr>
              <w:t>0</w:t>
            </w:r>
            <w:r>
              <w:rPr>
                <w:kern w:val="22"/>
                <w:szCs w:val="22"/>
                <w:lang w:val="fr-CA" w:eastAsia="en-CA"/>
              </w:rPr>
              <w:t>,</w:t>
            </w:r>
            <w:r w:rsidRPr="00B123B8">
              <w:rPr>
                <w:kern w:val="22"/>
                <w:szCs w:val="22"/>
                <w:lang w:val="fr-CA" w:eastAsia="en-CA"/>
              </w:rPr>
              <w:t>006</w:t>
            </w:r>
          </w:p>
        </w:tc>
        <w:tc>
          <w:tcPr>
            <w:tcW w:w="1710" w:type="dxa"/>
            <w:tcBorders>
              <w:top w:val="nil"/>
              <w:left w:val="nil"/>
              <w:bottom w:val="nil"/>
              <w:right w:val="single" w:sz="4" w:space="0" w:color="auto"/>
            </w:tcBorders>
            <w:shd w:val="clear" w:color="auto" w:fill="auto"/>
            <w:noWrap/>
            <w:vAlign w:val="center"/>
            <w:hideMark/>
          </w:tcPr>
          <w:p w14:paraId="32C3F654" w14:textId="77777777" w:rsidR="00661352" w:rsidRPr="00B123B8" w:rsidRDefault="00661352" w:rsidP="00282AF6">
            <w:pPr>
              <w:ind w:right="144"/>
              <w:jc w:val="right"/>
              <w:rPr>
                <w:kern w:val="22"/>
                <w:szCs w:val="22"/>
                <w:lang w:val="fr-CA" w:eastAsia="en-CA"/>
              </w:rPr>
            </w:pPr>
            <w:r w:rsidRPr="00B123B8">
              <w:rPr>
                <w:kern w:val="22"/>
                <w:szCs w:val="22"/>
                <w:lang w:val="fr-CA" w:eastAsia="en-CA"/>
              </w:rPr>
              <w:t>789</w:t>
            </w:r>
          </w:p>
        </w:tc>
      </w:tr>
      <w:tr w:rsidR="00EF4C61" w:rsidRPr="00B123B8" w14:paraId="12772F14" w14:textId="77777777" w:rsidTr="00661352">
        <w:trPr>
          <w:trHeight w:val="260"/>
          <w:jc w:val="center"/>
        </w:trPr>
        <w:tc>
          <w:tcPr>
            <w:tcW w:w="610" w:type="dxa"/>
            <w:tcBorders>
              <w:top w:val="nil"/>
              <w:left w:val="single" w:sz="4" w:space="0" w:color="auto"/>
              <w:bottom w:val="single" w:sz="4" w:space="0" w:color="auto"/>
              <w:right w:val="single" w:sz="4" w:space="0" w:color="auto"/>
            </w:tcBorders>
            <w:shd w:val="clear" w:color="auto" w:fill="auto"/>
            <w:noWrap/>
            <w:vAlign w:val="center"/>
          </w:tcPr>
          <w:p w14:paraId="5D1C1B9D" w14:textId="77777777" w:rsidR="00EF4C61" w:rsidRPr="00B123B8" w:rsidRDefault="00EF4C61" w:rsidP="00EF4C61">
            <w:pPr>
              <w:jc w:val="right"/>
              <w:rPr>
                <w:kern w:val="22"/>
                <w:szCs w:val="22"/>
                <w:lang w:val="fr-CA" w:eastAsia="en-CA"/>
              </w:rPr>
            </w:pPr>
          </w:p>
        </w:tc>
        <w:tc>
          <w:tcPr>
            <w:tcW w:w="3885" w:type="dxa"/>
            <w:gridSpan w:val="2"/>
            <w:tcBorders>
              <w:top w:val="nil"/>
              <w:left w:val="nil"/>
              <w:bottom w:val="single" w:sz="4" w:space="0" w:color="auto"/>
              <w:right w:val="single" w:sz="4" w:space="0" w:color="auto"/>
            </w:tcBorders>
            <w:shd w:val="clear" w:color="auto" w:fill="auto"/>
            <w:vAlign w:val="center"/>
          </w:tcPr>
          <w:p w14:paraId="1A5C2CBB" w14:textId="1BBE2711" w:rsidR="00EF4C61" w:rsidRPr="00B123B8" w:rsidRDefault="00EF4C61" w:rsidP="00EF4C61">
            <w:pPr>
              <w:jc w:val="left"/>
              <w:rPr>
                <w:kern w:val="22"/>
                <w:szCs w:val="22"/>
                <w:lang w:val="fr-CA" w:eastAsia="en-CA"/>
              </w:rPr>
            </w:pPr>
            <w:r w:rsidRPr="00B123B8">
              <w:rPr>
                <w:b/>
                <w:bCs/>
                <w:kern w:val="22"/>
                <w:szCs w:val="22"/>
                <w:lang w:val="fr-CA" w:eastAsia="en-CA"/>
              </w:rPr>
              <w:t>Total</w:t>
            </w:r>
          </w:p>
        </w:tc>
        <w:tc>
          <w:tcPr>
            <w:tcW w:w="1440" w:type="dxa"/>
            <w:tcBorders>
              <w:top w:val="nil"/>
              <w:left w:val="nil"/>
              <w:bottom w:val="single" w:sz="4" w:space="0" w:color="auto"/>
              <w:right w:val="single" w:sz="4" w:space="0" w:color="auto"/>
            </w:tcBorders>
            <w:shd w:val="clear" w:color="auto" w:fill="auto"/>
            <w:vAlign w:val="center"/>
          </w:tcPr>
          <w:p w14:paraId="5D2CBB7A" w14:textId="68ED7058" w:rsidR="00EF4C61" w:rsidRPr="00B123B8" w:rsidRDefault="00EF4C61" w:rsidP="00EF4C61">
            <w:pPr>
              <w:ind w:right="144"/>
              <w:jc w:val="right"/>
              <w:rPr>
                <w:kern w:val="22"/>
                <w:szCs w:val="22"/>
                <w:lang w:val="fr-CA" w:eastAsia="en-CA"/>
              </w:rPr>
            </w:pPr>
            <w:r w:rsidRPr="00B123B8">
              <w:rPr>
                <w:b/>
                <w:bCs/>
                <w:kern w:val="22"/>
                <w:szCs w:val="22"/>
                <w:lang w:val="fr-CA" w:eastAsia="en-CA"/>
              </w:rPr>
              <w:t>78</w:t>
            </w:r>
            <w:r>
              <w:rPr>
                <w:b/>
                <w:bCs/>
                <w:kern w:val="22"/>
                <w:szCs w:val="22"/>
                <w:lang w:val="fr-CA" w:eastAsia="en-CA"/>
              </w:rPr>
              <w:t>,</w:t>
            </w:r>
            <w:r w:rsidRPr="00B123B8">
              <w:rPr>
                <w:b/>
                <w:bCs/>
                <w:kern w:val="22"/>
                <w:szCs w:val="22"/>
                <w:lang w:val="fr-CA" w:eastAsia="en-CA"/>
              </w:rPr>
              <w:t>010</w:t>
            </w:r>
          </w:p>
        </w:tc>
        <w:tc>
          <w:tcPr>
            <w:tcW w:w="1620" w:type="dxa"/>
            <w:tcBorders>
              <w:top w:val="nil"/>
              <w:left w:val="nil"/>
              <w:bottom w:val="single" w:sz="4" w:space="0" w:color="auto"/>
              <w:right w:val="single" w:sz="4" w:space="0" w:color="auto"/>
            </w:tcBorders>
            <w:shd w:val="clear" w:color="auto" w:fill="auto"/>
            <w:noWrap/>
            <w:vAlign w:val="center"/>
          </w:tcPr>
          <w:p w14:paraId="18212458" w14:textId="77FBD082" w:rsidR="00EF4C61" w:rsidRPr="00B123B8" w:rsidRDefault="00EF4C61" w:rsidP="00EF4C61">
            <w:pPr>
              <w:ind w:right="144"/>
              <w:jc w:val="right"/>
              <w:rPr>
                <w:kern w:val="22"/>
                <w:szCs w:val="22"/>
                <w:lang w:val="fr-CA" w:eastAsia="en-CA"/>
              </w:rPr>
            </w:pPr>
            <w:r w:rsidRPr="00B123B8">
              <w:rPr>
                <w:b/>
                <w:bCs/>
                <w:kern w:val="22"/>
                <w:szCs w:val="22"/>
                <w:lang w:val="fr-CA" w:eastAsia="en-CA"/>
              </w:rPr>
              <w:t>100</w:t>
            </w:r>
            <w:r>
              <w:rPr>
                <w:b/>
                <w:bCs/>
                <w:kern w:val="22"/>
                <w:szCs w:val="22"/>
                <w:lang w:val="fr-CA" w:eastAsia="en-CA"/>
              </w:rPr>
              <w:t>,</w:t>
            </w:r>
            <w:r w:rsidRPr="00B123B8">
              <w:rPr>
                <w:b/>
                <w:bCs/>
                <w:kern w:val="22"/>
                <w:szCs w:val="22"/>
                <w:lang w:val="fr-CA" w:eastAsia="en-CA"/>
              </w:rPr>
              <w:t>000</w:t>
            </w:r>
          </w:p>
        </w:tc>
        <w:tc>
          <w:tcPr>
            <w:tcW w:w="1710" w:type="dxa"/>
            <w:tcBorders>
              <w:top w:val="nil"/>
              <w:left w:val="nil"/>
              <w:bottom w:val="single" w:sz="4" w:space="0" w:color="auto"/>
              <w:right w:val="single" w:sz="4" w:space="0" w:color="auto"/>
            </w:tcBorders>
            <w:shd w:val="clear" w:color="auto" w:fill="auto"/>
            <w:noWrap/>
            <w:vAlign w:val="center"/>
          </w:tcPr>
          <w:p w14:paraId="4A7C0275" w14:textId="127B04B0" w:rsidR="00EF4C61" w:rsidRPr="00B123B8" w:rsidRDefault="00EF4C61" w:rsidP="00EF4C61">
            <w:pPr>
              <w:ind w:right="144"/>
              <w:jc w:val="right"/>
              <w:rPr>
                <w:kern w:val="22"/>
                <w:szCs w:val="22"/>
                <w:lang w:val="fr-CA" w:eastAsia="en-CA"/>
              </w:rPr>
            </w:pPr>
            <w:r w:rsidRPr="00B123B8">
              <w:rPr>
                <w:b/>
                <w:bCs/>
                <w:kern w:val="22"/>
                <w:szCs w:val="22"/>
                <w:lang w:val="fr-CA" w:eastAsia="en-CA"/>
              </w:rPr>
              <w:t>12 619 185</w:t>
            </w:r>
          </w:p>
        </w:tc>
      </w:tr>
    </w:tbl>
    <w:p w14:paraId="785EBB19" w14:textId="653CABE2" w:rsidR="00120F79" w:rsidRPr="00282AF6" w:rsidRDefault="00120F79" w:rsidP="009708EC">
      <w:pPr>
        <w:jc w:val="left"/>
        <w:rPr>
          <w:bCs/>
          <w:kern w:val="22"/>
        </w:rPr>
      </w:pPr>
    </w:p>
    <w:p w14:paraId="639AFC67" w14:textId="77777777" w:rsidR="00120F79" w:rsidRPr="00282AF6" w:rsidRDefault="00120F79" w:rsidP="009708EC">
      <w:pPr>
        <w:jc w:val="left"/>
        <w:rPr>
          <w:bCs/>
          <w:kern w:val="22"/>
        </w:rPr>
      </w:pPr>
    </w:p>
    <w:p w14:paraId="7711D838" w14:textId="63DD2376" w:rsidR="006560A3" w:rsidRPr="00282AF6" w:rsidRDefault="006560A3">
      <w:pPr>
        <w:spacing w:after="160" w:line="259" w:lineRule="auto"/>
        <w:jc w:val="left"/>
        <w:rPr>
          <w:rFonts w:eastAsiaTheme="minorEastAsia"/>
          <w:bCs/>
          <w:kern w:val="22"/>
          <w:szCs w:val="22"/>
        </w:rPr>
      </w:pPr>
      <w:r w:rsidRPr="00282AF6">
        <w:rPr>
          <w:rFonts w:eastAsiaTheme="minorEastAsia"/>
          <w:bCs/>
          <w:kern w:val="22"/>
          <w:szCs w:val="22"/>
        </w:rPr>
        <w:br w:type="page"/>
      </w:r>
    </w:p>
    <w:p w14:paraId="2EEAB5D8" w14:textId="2C9C22B0" w:rsidR="3D866B7A" w:rsidRPr="002C51E7" w:rsidRDefault="3D866B7A" w:rsidP="025C64B4">
      <w:pPr>
        <w:spacing w:after="120"/>
        <w:jc w:val="left"/>
        <w:rPr>
          <w:rFonts w:eastAsiaTheme="minorEastAsia"/>
          <w:b/>
          <w:kern w:val="22"/>
          <w:lang w:val="fr-CA"/>
        </w:rPr>
      </w:pPr>
      <w:bookmarkStart w:id="5" w:name="_GoBack"/>
      <w:bookmarkEnd w:id="5"/>
      <w:r w:rsidRPr="002C51E7">
        <w:rPr>
          <w:rFonts w:eastAsiaTheme="minorEastAsia"/>
          <w:b/>
          <w:bCs/>
          <w:kern w:val="22"/>
          <w:lang w:val="fr-CA"/>
        </w:rPr>
        <w:t>Table</w:t>
      </w:r>
      <w:r w:rsidR="002C51E7" w:rsidRPr="002C51E7">
        <w:rPr>
          <w:rFonts w:eastAsiaTheme="minorEastAsia"/>
          <w:b/>
          <w:bCs/>
          <w:kern w:val="22"/>
          <w:lang w:val="fr-CA"/>
        </w:rPr>
        <w:t>au</w:t>
      </w:r>
      <w:r w:rsidRPr="002C51E7">
        <w:rPr>
          <w:rFonts w:eastAsiaTheme="minorEastAsia"/>
          <w:b/>
          <w:bCs/>
          <w:kern w:val="22"/>
          <w:lang w:val="fr-CA"/>
        </w:rPr>
        <w:t xml:space="preserve"> </w:t>
      </w:r>
      <w:r w:rsidR="00F575B3" w:rsidRPr="002C51E7">
        <w:rPr>
          <w:rFonts w:eastAsiaTheme="minorEastAsia"/>
          <w:b/>
          <w:bCs/>
          <w:kern w:val="22"/>
          <w:lang w:val="fr-CA"/>
        </w:rPr>
        <w:t>8</w:t>
      </w:r>
      <w:r w:rsidRPr="002C51E7">
        <w:rPr>
          <w:b/>
          <w:bCs/>
          <w:kern w:val="22"/>
          <w:lang w:val="fr-CA"/>
        </w:rPr>
        <w:br/>
      </w:r>
      <w:r w:rsidR="002C51E7" w:rsidRPr="002C51E7">
        <w:rPr>
          <w:rFonts w:eastAsiaTheme="minorEastAsia"/>
          <w:b/>
          <w:bCs/>
          <w:kern w:val="22"/>
          <w:lang w:val="fr-CA"/>
        </w:rPr>
        <w:t>Contributions au fonds d’affectation spéciale du Protocole de Cartagena sur la pr</w:t>
      </w:r>
      <w:r w:rsidR="002C51E7">
        <w:rPr>
          <w:rFonts w:eastAsiaTheme="minorEastAsia"/>
          <w:b/>
          <w:bCs/>
          <w:kern w:val="22"/>
          <w:lang w:val="fr-CA"/>
        </w:rPr>
        <w:t>é</w:t>
      </w:r>
      <w:r w:rsidR="002C51E7" w:rsidRPr="002C51E7">
        <w:rPr>
          <w:rFonts w:eastAsiaTheme="minorEastAsia"/>
          <w:b/>
          <w:bCs/>
          <w:kern w:val="22"/>
          <w:lang w:val="fr-CA"/>
        </w:rPr>
        <w:t>vention des risques biotechnologiques pour 2022</w:t>
      </w:r>
      <w:r w:rsidRPr="002C51E7">
        <w:rPr>
          <w:rFonts w:eastAsiaTheme="minorEastAsia"/>
          <w:b/>
          <w:bCs/>
          <w:kern w:val="22"/>
          <w:lang w:val="fr-CA"/>
        </w:rPr>
        <w:t xml:space="preserve"> </w:t>
      </w:r>
    </w:p>
    <w:tbl>
      <w:tblPr>
        <w:tblW w:w="9317" w:type="dxa"/>
        <w:jc w:val="center"/>
        <w:tblLook w:val="04A0" w:firstRow="1" w:lastRow="0" w:firstColumn="1" w:lastColumn="0" w:noHBand="0" w:noVBand="1"/>
      </w:tblPr>
      <w:tblGrid>
        <w:gridCol w:w="546"/>
        <w:gridCol w:w="3966"/>
        <w:gridCol w:w="1605"/>
        <w:gridCol w:w="1610"/>
        <w:gridCol w:w="1590"/>
      </w:tblGrid>
      <w:tr w:rsidR="007B546B" w:rsidRPr="005C598A" w14:paraId="259111A8" w14:textId="77777777" w:rsidTr="007B546B">
        <w:trPr>
          <w:trHeight w:val="1040"/>
          <w:tblHeader/>
          <w:jc w:val="center"/>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C6824" w14:textId="77777777" w:rsidR="007B546B" w:rsidRPr="005C598A" w:rsidRDefault="007B546B" w:rsidP="002C51E7">
            <w:pPr>
              <w:jc w:val="left"/>
              <w:rPr>
                <w:kern w:val="22"/>
                <w:szCs w:val="22"/>
                <w:lang w:val="fr-CA" w:eastAsia="en-CA"/>
              </w:rPr>
            </w:pPr>
          </w:p>
        </w:tc>
        <w:tc>
          <w:tcPr>
            <w:tcW w:w="3966" w:type="dxa"/>
            <w:tcBorders>
              <w:top w:val="single" w:sz="4" w:space="0" w:color="auto"/>
              <w:left w:val="nil"/>
              <w:bottom w:val="single" w:sz="4" w:space="0" w:color="auto"/>
              <w:right w:val="single" w:sz="4" w:space="0" w:color="auto"/>
            </w:tcBorders>
            <w:shd w:val="clear" w:color="auto" w:fill="auto"/>
            <w:noWrap/>
            <w:vAlign w:val="center"/>
            <w:hideMark/>
          </w:tcPr>
          <w:p w14:paraId="64E3DD1B" w14:textId="77777777" w:rsidR="007B546B" w:rsidRPr="005C598A" w:rsidRDefault="007B546B" w:rsidP="002C51E7">
            <w:pPr>
              <w:jc w:val="center"/>
              <w:rPr>
                <w:b/>
                <w:bCs/>
                <w:kern w:val="22"/>
                <w:szCs w:val="22"/>
                <w:lang w:val="fr-CA" w:eastAsia="en-CA"/>
              </w:rPr>
            </w:pPr>
            <w:r w:rsidRPr="005C598A">
              <w:rPr>
                <w:b/>
                <w:bCs/>
                <w:kern w:val="22"/>
                <w:szCs w:val="22"/>
                <w:lang w:val="fr-CA" w:eastAsia="en-CA"/>
              </w:rPr>
              <w:t>Partie</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14A63F36" w14:textId="77777777" w:rsidR="007B546B" w:rsidRPr="005C598A" w:rsidRDefault="007B546B" w:rsidP="002C51E7">
            <w:pPr>
              <w:jc w:val="center"/>
              <w:rPr>
                <w:b/>
                <w:bCs/>
                <w:color w:val="000000"/>
                <w:kern w:val="22"/>
                <w:szCs w:val="22"/>
                <w:lang w:val="fr-CA" w:eastAsia="en-CA"/>
              </w:rPr>
            </w:pPr>
            <w:r w:rsidRPr="005C598A">
              <w:rPr>
                <w:b/>
                <w:bCs/>
                <w:kern w:val="22"/>
                <w:szCs w:val="22"/>
                <w:lang w:val="fr-CA" w:eastAsia="en-CA"/>
              </w:rPr>
              <w:t>Barème de contribution 2019-2021</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14:paraId="48D3AB65" w14:textId="77777777" w:rsidR="007B546B" w:rsidRPr="005C598A" w:rsidRDefault="007B546B" w:rsidP="002C51E7">
            <w:pPr>
              <w:jc w:val="center"/>
              <w:rPr>
                <w:b/>
                <w:bCs/>
                <w:color w:val="000000"/>
                <w:kern w:val="22"/>
                <w:szCs w:val="22"/>
                <w:lang w:val="fr-CA" w:eastAsia="en-CA"/>
              </w:rPr>
            </w:pPr>
            <w:r w:rsidRPr="005C598A">
              <w:rPr>
                <w:b/>
                <w:bCs/>
                <w:kern w:val="22"/>
                <w:szCs w:val="22"/>
                <w:lang w:val="fr-CA" w:eastAsia="en-CA"/>
              </w:rPr>
              <w:t>Barème prévoyant un plafond de 22 %, sans PMA payant plus de 0,01 %</w:t>
            </w:r>
          </w:p>
        </w:tc>
        <w:tc>
          <w:tcPr>
            <w:tcW w:w="1590" w:type="dxa"/>
            <w:tcBorders>
              <w:top w:val="single" w:sz="4" w:space="0" w:color="auto"/>
              <w:left w:val="nil"/>
              <w:bottom w:val="single" w:sz="4" w:space="0" w:color="auto"/>
              <w:right w:val="single" w:sz="4" w:space="0" w:color="auto"/>
            </w:tcBorders>
            <w:shd w:val="clear" w:color="auto" w:fill="auto"/>
            <w:vAlign w:val="center"/>
            <w:hideMark/>
          </w:tcPr>
          <w:p w14:paraId="7B63250B" w14:textId="77777777" w:rsidR="007B546B" w:rsidRPr="005C598A" w:rsidRDefault="007B546B" w:rsidP="002C51E7">
            <w:pPr>
              <w:jc w:val="center"/>
              <w:rPr>
                <w:b/>
                <w:bCs/>
                <w:color w:val="000000"/>
                <w:kern w:val="22"/>
                <w:szCs w:val="22"/>
                <w:lang w:val="fr-CA" w:eastAsia="en-CA"/>
              </w:rPr>
            </w:pPr>
            <w:r w:rsidRPr="005C598A">
              <w:rPr>
                <w:b/>
                <w:bCs/>
                <w:kern w:val="22"/>
                <w:szCs w:val="22"/>
                <w:lang w:val="fr-CA" w:eastAsia="en-CA"/>
              </w:rPr>
              <w:t>Contributions au 1</w:t>
            </w:r>
            <w:r w:rsidRPr="005C598A">
              <w:rPr>
                <w:b/>
                <w:bCs/>
                <w:kern w:val="22"/>
                <w:szCs w:val="22"/>
                <w:vertAlign w:val="superscript"/>
                <w:lang w:val="fr-CA" w:eastAsia="en-CA"/>
              </w:rPr>
              <w:t>er</w:t>
            </w:r>
            <w:r w:rsidRPr="005C598A">
              <w:rPr>
                <w:b/>
                <w:bCs/>
                <w:kern w:val="22"/>
                <w:szCs w:val="22"/>
                <w:lang w:val="fr-CA" w:eastAsia="en-CA"/>
              </w:rPr>
              <w:t xml:space="preserve"> janvier 2022</w:t>
            </w:r>
          </w:p>
        </w:tc>
      </w:tr>
      <w:tr w:rsidR="007B546B" w:rsidRPr="005C598A" w14:paraId="1FBD73B4"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495F1AD8" w14:textId="77777777" w:rsidR="007B546B" w:rsidRPr="005C598A" w:rsidRDefault="007B546B" w:rsidP="00120F79">
            <w:pPr>
              <w:jc w:val="right"/>
              <w:rPr>
                <w:kern w:val="22"/>
                <w:szCs w:val="22"/>
                <w:lang w:val="fr-CA" w:eastAsia="en-CA"/>
              </w:rPr>
            </w:pPr>
            <w:r w:rsidRPr="005C598A">
              <w:rPr>
                <w:kern w:val="22"/>
                <w:szCs w:val="22"/>
                <w:lang w:val="fr-CA" w:eastAsia="en-CA"/>
              </w:rPr>
              <w:t>1</w:t>
            </w:r>
          </w:p>
        </w:tc>
        <w:tc>
          <w:tcPr>
            <w:tcW w:w="3966" w:type="dxa"/>
            <w:tcBorders>
              <w:top w:val="nil"/>
              <w:left w:val="nil"/>
              <w:bottom w:val="single" w:sz="4" w:space="0" w:color="auto"/>
              <w:right w:val="single" w:sz="4" w:space="0" w:color="auto"/>
            </w:tcBorders>
            <w:shd w:val="clear" w:color="auto" w:fill="auto"/>
            <w:vAlign w:val="center"/>
            <w:hideMark/>
          </w:tcPr>
          <w:p w14:paraId="6095AEE0" w14:textId="77777777" w:rsidR="007B546B" w:rsidRPr="005C598A" w:rsidRDefault="007B546B" w:rsidP="00120F79">
            <w:pPr>
              <w:jc w:val="left"/>
              <w:rPr>
                <w:kern w:val="22"/>
                <w:szCs w:val="22"/>
                <w:lang w:val="fr-CA" w:eastAsia="en-CA"/>
              </w:rPr>
            </w:pPr>
            <w:r w:rsidRPr="005C598A">
              <w:rPr>
                <w:kern w:val="22"/>
                <w:szCs w:val="22"/>
                <w:lang w:val="fr-CA" w:eastAsia="en-CA"/>
              </w:rPr>
              <w:t>Afghanistan</w:t>
            </w:r>
          </w:p>
        </w:tc>
        <w:tc>
          <w:tcPr>
            <w:tcW w:w="1605" w:type="dxa"/>
            <w:tcBorders>
              <w:top w:val="nil"/>
              <w:left w:val="nil"/>
              <w:bottom w:val="single" w:sz="4" w:space="0" w:color="auto"/>
              <w:right w:val="single" w:sz="4" w:space="0" w:color="auto"/>
            </w:tcBorders>
            <w:shd w:val="clear" w:color="auto" w:fill="auto"/>
            <w:vAlign w:val="center"/>
            <w:hideMark/>
          </w:tcPr>
          <w:p w14:paraId="6962C27B"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007</w:t>
            </w:r>
          </w:p>
        </w:tc>
        <w:tc>
          <w:tcPr>
            <w:tcW w:w="1610" w:type="dxa"/>
            <w:tcBorders>
              <w:top w:val="nil"/>
              <w:left w:val="nil"/>
              <w:bottom w:val="single" w:sz="4" w:space="0" w:color="auto"/>
              <w:right w:val="single" w:sz="4" w:space="0" w:color="auto"/>
            </w:tcBorders>
            <w:shd w:val="clear" w:color="auto" w:fill="auto"/>
            <w:vAlign w:val="center"/>
            <w:hideMark/>
          </w:tcPr>
          <w:p w14:paraId="0CCBD33C"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010</w:t>
            </w:r>
          </w:p>
        </w:tc>
        <w:tc>
          <w:tcPr>
            <w:tcW w:w="1590" w:type="dxa"/>
            <w:tcBorders>
              <w:top w:val="nil"/>
              <w:left w:val="nil"/>
              <w:bottom w:val="single" w:sz="4" w:space="0" w:color="auto"/>
              <w:right w:val="single" w:sz="4" w:space="0" w:color="auto"/>
            </w:tcBorders>
            <w:shd w:val="clear" w:color="auto" w:fill="auto"/>
            <w:vAlign w:val="center"/>
            <w:hideMark/>
          </w:tcPr>
          <w:p w14:paraId="02736384" w14:textId="77777777" w:rsidR="007B546B" w:rsidRPr="005C598A" w:rsidRDefault="007B546B" w:rsidP="007B546B">
            <w:pPr>
              <w:ind w:right="144"/>
              <w:jc w:val="right"/>
              <w:rPr>
                <w:kern w:val="22"/>
                <w:szCs w:val="22"/>
                <w:lang w:val="fr-CA" w:eastAsia="en-CA"/>
              </w:rPr>
            </w:pPr>
            <w:r w:rsidRPr="005C598A">
              <w:rPr>
                <w:kern w:val="22"/>
                <w:szCs w:val="22"/>
                <w:lang w:val="fr-CA" w:eastAsia="en-CA"/>
              </w:rPr>
              <w:t>256</w:t>
            </w:r>
          </w:p>
        </w:tc>
      </w:tr>
      <w:tr w:rsidR="007B546B" w:rsidRPr="00095A13" w14:paraId="6CB59DE5"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tcPr>
          <w:p w14:paraId="420C9570" w14:textId="013997C1" w:rsidR="007B546B" w:rsidRPr="00095A13" w:rsidRDefault="007B546B" w:rsidP="005066EB">
            <w:pPr>
              <w:jc w:val="right"/>
              <w:rPr>
                <w:kern w:val="22"/>
                <w:szCs w:val="22"/>
                <w:lang w:val="fr-CA" w:eastAsia="en-CA"/>
              </w:rPr>
            </w:pPr>
            <w:r>
              <w:rPr>
                <w:kern w:val="22"/>
                <w:szCs w:val="22"/>
                <w:lang w:val="fr-CA" w:eastAsia="en-CA"/>
              </w:rPr>
              <w:t>2</w:t>
            </w:r>
          </w:p>
        </w:tc>
        <w:tc>
          <w:tcPr>
            <w:tcW w:w="3966" w:type="dxa"/>
            <w:tcBorders>
              <w:top w:val="nil"/>
              <w:left w:val="nil"/>
              <w:bottom w:val="single" w:sz="4" w:space="0" w:color="auto"/>
              <w:right w:val="single" w:sz="4" w:space="0" w:color="auto"/>
            </w:tcBorders>
            <w:shd w:val="clear" w:color="auto" w:fill="auto"/>
            <w:vAlign w:val="center"/>
            <w:hideMark/>
          </w:tcPr>
          <w:p w14:paraId="77CDBA62" w14:textId="77777777" w:rsidR="007B546B" w:rsidRPr="00095A13" w:rsidRDefault="007B546B" w:rsidP="005066EB">
            <w:pPr>
              <w:jc w:val="left"/>
              <w:rPr>
                <w:kern w:val="22"/>
                <w:szCs w:val="22"/>
                <w:lang w:val="fr-CA" w:eastAsia="en-CA"/>
              </w:rPr>
            </w:pPr>
            <w:r>
              <w:rPr>
                <w:kern w:val="22"/>
                <w:szCs w:val="22"/>
                <w:lang w:val="fr-CA" w:eastAsia="en-CA"/>
              </w:rPr>
              <w:t>Afrique du Sud</w:t>
            </w:r>
          </w:p>
        </w:tc>
        <w:tc>
          <w:tcPr>
            <w:tcW w:w="1605" w:type="dxa"/>
            <w:tcBorders>
              <w:top w:val="nil"/>
              <w:left w:val="nil"/>
              <w:bottom w:val="single" w:sz="4" w:space="0" w:color="auto"/>
              <w:right w:val="single" w:sz="4" w:space="0" w:color="auto"/>
            </w:tcBorders>
            <w:shd w:val="clear" w:color="auto" w:fill="auto"/>
            <w:vAlign w:val="center"/>
            <w:hideMark/>
          </w:tcPr>
          <w:p w14:paraId="2A74337F"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272</w:t>
            </w:r>
          </w:p>
        </w:tc>
        <w:tc>
          <w:tcPr>
            <w:tcW w:w="1610" w:type="dxa"/>
            <w:tcBorders>
              <w:top w:val="nil"/>
              <w:left w:val="nil"/>
              <w:bottom w:val="single" w:sz="4" w:space="0" w:color="auto"/>
              <w:right w:val="single" w:sz="4" w:space="0" w:color="auto"/>
            </w:tcBorders>
            <w:shd w:val="clear" w:color="auto" w:fill="auto"/>
            <w:vAlign w:val="center"/>
            <w:hideMark/>
          </w:tcPr>
          <w:p w14:paraId="46E84635"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389</w:t>
            </w:r>
          </w:p>
        </w:tc>
        <w:tc>
          <w:tcPr>
            <w:tcW w:w="1590" w:type="dxa"/>
            <w:tcBorders>
              <w:top w:val="nil"/>
              <w:left w:val="nil"/>
              <w:bottom w:val="single" w:sz="4" w:space="0" w:color="auto"/>
              <w:right w:val="single" w:sz="4" w:space="0" w:color="auto"/>
            </w:tcBorders>
            <w:shd w:val="clear" w:color="auto" w:fill="auto"/>
            <w:vAlign w:val="center"/>
            <w:hideMark/>
          </w:tcPr>
          <w:p w14:paraId="57DA4C80" w14:textId="77777777" w:rsidR="007B546B" w:rsidRPr="00095A13" w:rsidRDefault="007B546B" w:rsidP="007B546B">
            <w:pPr>
              <w:ind w:right="144"/>
              <w:jc w:val="right"/>
              <w:rPr>
                <w:kern w:val="22"/>
                <w:szCs w:val="22"/>
                <w:lang w:val="fr-CA" w:eastAsia="en-CA"/>
              </w:rPr>
            </w:pPr>
            <w:r w:rsidRPr="00095A13">
              <w:rPr>
                <w:kern w:val="22"/>
                <w:szCs w:val="22"/>
                <w:lang w:val="fr-CA" w:eastAsia="en-CA"/>
              </w:rPr>
              <w:t>9 941</w:t>
            </w:r>
          </w:p>
        </w:tc>
      </w:tr>
      <w:tr w:rsidR="007B546B" w:rsidRPr="005C598A" w14:paraId="3B513775"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E773A67" w14:textId="49A8CEE0" w:rsidR="007B546B" w:rsidRPr="005C598A" w:rsidRDefault="007B546B" w:rsidP="00120F79">
            <w:pPr>
              <w:jc w:val="right"/>
              <w:rPr>
                <w:kern w:val="22"/>
                <w:szCs w:val="22"/>
                <w:lang w:val="fr-CA" w:eastAsia="en-CA"/>
              </w:rPr>
            </w:pPr>
            <w:r>
              <w:rPr>
                <w:kern w:val="22"/>
                <w:szCs w:val="22"/>
                <w:lang w:val="fr-CA" w:eastAsia="en-CA"/>
              </w:rPr>
              <w:t>3</w:t>
            </w:r>
          </w:p>
        </w:tc>
        <w:tc>
          <w:tcPr>
            <w:tcW w:w="3966" w:type="dxa"/>
            <w:tcBorders>
              <w:top w:val="nil"/>
              <w:left w:val="nil"/>
              <w:bottom w:val="single" w:sz="4" w:space="0" w:color="auto"/>
              <w:right w:val="single" w:sz="4" w:space="0" w:color="auto"/>
            </w:tcBorders>
            <w:shd w:val="clear" w:color="auto" w:fill="auto"/>
            <w:vAlign w:val="center"/>
            <w:hideMark/>
          </w:tcPr>
          <w:p w14:paraId="0F083D97" w14:textId="77777777" w:rsidR="007B546B" w:rsidRPr="005C598A" w:rsidRDefault="007B546B" w:rsidP="00120F79">
            <w:pPr>
              <w:jc w:val="left"/>
              <w:rPr>
                <w:kern w:val="22"/>
                <w:szCs w:val="22"/>
                <w:lang w:val="fr-CA" w:eastAsia="en-CA"/>
              </w:rPr>
            </w:pPr>
            <w:r>
              <w:rPr>
                <w:kern w:val="22"/>
                <w:szCs w:val="22"/>
                <w:lang w:val="fr-CA" w:eastAsia="en-CA"/>
              </w:rPr>
              <w:t>Albanie</w:t>
            </w:r>
          </w:p>
        </w:tc>
        <w:tc>
          <w:tcPr>
            <w:tcW w:w="1605" w:type="dxa"/>
            <w:tcBorders>
              <w:top w:val="nil"/>
              <w:left w:val="nil"/>
              <w:bottom w:val="single" w:sz="4" w:space="0" w:color="auto"/>
              <w:right w:val="single" w:sz="4" w:space="0" w:color="auto"/>
            </w:tcBorders>
            <w:shd w:val="clear" w:color="auto" w:fill="auto"/>
            <w:vAlign w:val="center"/>
            <w:hideMark/>
          </w:tcPr>
          <w:p w14:paraId="4A2F77DC"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008</w:t>
            </w:r>
          </w:p>
        </w:tc>
        <w:tc>
          <w:tcPr>
            <w:tcW w:w="1610" w:type="dxa"/>
            <w:tcBorders>
              <w:top w:val="nil"/>
              <w:left w:val="nil"/>
              <w:bottom w:val="single" w:sz="4" w:space="0" w:color="auto"/>
              <w:right w:val="single" w:sz="4" w:space="0" w:color="auto"/>
            </w:tcBorders>
            <w:shd w:val="clear" w:color="auto" w:fill="auto"/>
            <w:vAlign w:val="center"/>
            <w:hideMark/>
          </w:tcPr>
          <w:p w14:paraId="1A1620FF"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011</w:t>
            </w:r>
          </w:p>
        </w:tc>
        <w:tc>
          <w:tcPr>
            <w:tcW w:w="1590" w:type="dxa"/>
            <w:tcBorders>
              <w:top w:val="nil"/>
              <w:left w:val="nil"/>
              <w:bottom w:val="single" w:sz="4" w:space="0" w:color="auto"/>
              <w:right w:val="single" w:sz="4" w:space="0" w:color="auto"/>
            </w:tcBorders>
            <w:shd w:val="clear" w:color="auto" w:fill="auto"/>
            <w:vAlign w:val="center"/>
            <w:hideMark/>
          </w:tcPr>
          <w:p w14:paraId="5DFC8398" w14:textId="77777777" w:rsidR="007B546B" w:rsidRPr="005C598A" w:rsidRDefault="007B546B" w:rsidP="007B546B">
            <w:pPr>
              <w:ind w:right="144"/>
              <w:jc w:val="right"/>
              <w:rPr>
                <w:kern w:val="22"/>
                <w:szCs w:val="22"/>
                <w:lang w:val="fr-CA" w:eastAsia="en-CA"/>
              </w:rPr>
            </w:pPr>
            <w:r w:rsidRPr="005C598A">
              <w:rPr>
                <w:kern w:val="22"/>
                <w:szCs w:val="22"/>
                <w:lang w:val="fr-CA" w:eastAsia="en-CA"/>
              </w:rPr>
              <w:t>292</w:t>
            </w:r>
          </w:p>
        </w:tc>
      </w:tr>
      <w:tr w:rsidR="007B546B" w:rsidRPr="005C598A" w14:paraId="2F72B0A0"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5C96A28" w14:textId="05C5C485" w:rsidR="007B546B" w:rsidRPr="005C598A" w:rsidRDefault="007B546B" w:rsidP="00120F79">
            <w:pPr>
              <w:jc w:val="right"/>
              <w:rPr>
                <w:kern w:val="22"/>
                <w:szCs w:val="22"/>
                <w:lang w:val="fr-CA" w:eastAsia="en-CA"/>
              </w:rPr>
            </w:pPr>
            <w:r>
              <w:rPr>
                <w:kern w:val="22"/>
                <w:szCs w:val="22"/>
                <w:lang w:val="fr-CA" w:eastAsia="en-CA"/>
              </w:rPr>
              <w:t>4</w:t>
            </w:r>
          </w:p>
        </w:tc>
        <w:tc>
          <w:tcPr>
            <w:tcW w:w="3966" w:type="dxa"/>
            <w:tcBorders>
              <w:top w:val="nil"/>
              <w:left w:val="nil"/>
              <w:bottom w:val="single" w:sz="4" w:space="0" w:color="auto"/>
              <w:right w:val="single" w:sz="4" w:space="0" w:color="auto"/>
            </w:tcBorders>
            <w:shd w:val="clear" w:color="auto" w:fill="auto"/>
            <w:vAlign w:val="center"/>
            <w:hideMark/>
          </w:tcPr>
          <w:p w14:paraId="0AFA5488" w14:textId="77777777" w:rsidR="007B546B" w:rsidRPr="005C598A" w:rsidRDefault="007B546B" w:rsidP="00120F79">
            <w:pPr>
              <w:jc w:val="left"/>
              <w:rPr>
                <w:kern w:val="22"/>
                <w:szCs w:val="22"/>
                <w:lang w:val="fr-CA" w:eastAsia="en-CA"/>
              </w:rPr>
            </w:pPr>
            <w:r>
              <w:rPr>
                <w:kern w:val="22"/>
                <w:szCs w:val="22"/>
                <w:lang w:val="fr-CA" w:eastAsia="en-CA"/>
              </w:rPr>
              <w:t>Algérie</w:t>
            </w:r>
          </w:p>
        </w:tc>
        <w:tc>
          <w:tcPr>
            <w:tcW w:w="1605" w:type="dxa"/>
            <w:tcBorders>
              <w:top w:val="nil"/>
              <w:left w:val="nil"/>
              <w:bottom w:val="single" w:sz="4" w:space="0" w:color="auto"/>
              <w:right w:val="single" w:sz="4" w:space="0" w:color="auto"/>
            </w:tcBorders>
            <w:shd w:val="clear" w:color="auto" w:fill="auto"/>
            <w:vAlign w:val="center"/>
            <w:hideMark/>
          </w:tcPr>
          <w:p w14:paraId="40898A45"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138</w:t>
            </w:r>
          </w:p>
        </w:tc>
        <w:tc>
          <w:tcPr>
            <w:tcW w:w="1610" w:type="dxa"/>
            <w:tcBorders>
              <w:top w:val="nil"/>
              <w:left w:val="nil"/>
              <w:bottom w:val="single" w:sz="4" w:space="0" w:color="auto"/>
              <w:right w:val="single" w:sz="4" w:space="0" w:color="auto"/>
            </w:tcBorders>
            <w:shd w:val="clear" w:color="auto" w:fill="auto"/>
            <w:vAlign w:val="center"/>
            <w:hideMark/>
          </w:tcPr>
          <w:p w14:paraId="778A60FD"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197</w:t>
            </w:r>
          </w:p>
        </w:tc>
        <w:tc>
          <w:tcPr>
            <w:tcW w:w="1590" w:type="dxa"/>
            <w:tcBorders>
              <w:top w:val="nil"/>
              <w:left w:val="nil"/>
              <w:bottom w:val="single" w:sz="4" w:space="0" w:color="auto"/>
              <w:right w:val="single" w:sz="4" w:space="0" w:color="auto"/>
            </w:tcBorders>
            <w:shd w:val="clear" w:color="auto" w:fill="auto"/>
            <w:vAlign w:val="center"/>
            <w:hideMark/>
          </w:tcPr>
          <w:p w14:paraId="12B7C7A5" w14:textId="77777777" w:rsidR="007B546B" w:rsidRPr="005C598A" w:rsidRDefault="007B546B" w:rsidP="007B546B">
            <w:pPr>
              <w:ind w:right="144"/>
              <w:jc w:val="right"/>
              <w:rPr>
                <w:kern w:val="22"/>
                <w:szCs w:val="22"/>
                <w:lang w:val="fr-CA" w:eastAsia="en-CA"/>
              </w:rPr>
            </w:pPr>
            <w:r w:rsidRPr="005C598A">
              <w:rPr>
                <w:kern w:val="22"/>
                <w:szCs w:val="22"/>
                <w:lang w:val="fr-CA" w:eastAsia="en-CA"/>
              </w:rPr>
              <w:t>5 044</w:t>
            </w:r>
          </w:p>
        </w:tc>
      </w:tr>
      <w:tr w:rsidR="007B546B" w:rsidRPr="00095A13" w14:paraId="1706EAA2"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DEEBFFE" w14:textId="1179BA5B" w:rsidR="007B546B" w:rsidRPr="00095A13" w:rsidRDefault="007B546B" w:rsidP="00120F79">
            <w:pPr>
              <w:jc w:val="right"/>
              <w:rPr>
                <w:kern w:val="22"/>
                <w:szCs w:val="22"/>
                <w:lang w:val="fr-CA" w:eastAsia="en-CA"/>
              </w:rPr>
            </w:pPr>
            <w:r>
              <w:rPr>
                <w:kern w:val="22"/>
                <w:szCs w:val="22"/>
                <w:lang w:val="fr-CA" w:eastAsia="en-CA"/>
              </w:rPr>
              <w:t>5</w:t>
            </w:r>
          </w:p>
        </w:tc>
        <w:tc>
          <w:tcPr>
            <w:tcW w:w="3966" w:type="dxa"/>
            <w:tcBorders>
              <w:top w:val="nil"/>
              <w:left w:val="nil"/>
              <w:bottom w:val="single" w:sz="4" w:space="0" w:color="auto"/>
              <w:right w:val="single" w:sz="4" w:space="0" w:color="auto"/>
            </w:tcBorders>
            <w:shd w:val="clear" w:color="auto" w:fill="auto"/>
            <w:vAlign w:val="center"/>
            <w:hideMark/>
          </w:tcPr>
          <w:p w14:paraId="2B485342" w14:textId="77777777" w:rsidR="007B546B" w:rsidRPr="00095A13" w:rsidRDefault="007B546B" w:rsidP="00120F79">
            <w:pPr>
              <w:jc w:val="left"/>
              <w:rPr>
                <w:kern w:val="22"/>
                <w:szCs w:val="22"/>
                <w:lang w:val="fr-CA" w:eastAsia="en-CA"/>
              </w:rPr>
            </w:pPr>
            <w:r>
              <w:rPr>
                <w:kern w:val="22"/>
                <w:szCs w:val="22"/>
                <w:lang w:val="fr-CA" w:eastAsia="en-CA"/>
              </w:rPr>
              <w:t>Allemagne</w:t>
            </w:r>
          </w:p>
        </w:tc>
        <w:tc>
          <w:tcPr>
            <w:tcW w:w="1605" w:type="dxa"/>
            <w:tcBorders>
              <w:top w:val="nil"/>
              <w:left w:val="nil"/>
              <w:bottom w:val="single" w:sz="4" w:space="0" w:color="auto"/>
              <w:right w:val="single" w:sz="4" w:space="0" w:color="auto"/>
            </w:tcBorders>
            <w:shd w:val="clear" w:color="auto" w:fill="auto"/>
            <w:vAlign w:val="center"/>
            <w:hideMark/>
          </w:tcPr>
          <w:p w14:paraId="10AED89B" w14:textId="77777777" w:rsidR="007B546B" w:rsidRPr="00095A13" w:rsidRDefault="007B546B" w:rsidP="007B546B">
            <w:pPr>
              <w:ind w:right="144"/>
              <w:jc w:val="right"/>
              <w:rPr>
                <w:kern w:val="22"/>
                <w:szCs w:val="22"/>
                <w:lang w:val="fr-CA" w:eastAsia="en-CA"/>
              </w:rPr>
            </w:pPr>
            <w:r w:rsidRPr="00095A13">
              <w:rPr>
                <w:kern w:val="22"/>
                <w:szCs w:val="22"/>
                <w:lang w:val="fr-CA" w:eastAsia="en-CA"/>
              </w:rPr>
              <w:t>6</w:t>
            </w:r>
            <w:r>
              <w:rPr>
                <w:kern w:val="22"/>
                <w:szCs w:val="22"/>
                <w:lang w:val="fr-CA" w:eastAsia="en-CA"/>
              </w:rPr>
              <w:t>,</w:t>
            </w:r>
            <w:r w:rsidRPr="00095A13">
              <w:rPr>
                <w:kern w:val="22"/>
                <w:szCs w:val="22"/>
                <w:lang w:val="fr-CA" w:eastAsia="en-CA"/>
              </w:rPr>
              <w:t>090</w:t>
            </w:r>
          </w:p>
        </w:tc>
        <w:tc>
          <w:tcPr>
            <w:tcW w:w="1610" w:type="dxa"/>
            <w:tcBorders>
              <w:top w:val="nil"/>
              <w:left w:val="nil"/>
              <w:bottom w:val="single" w:sz="4" w:space="0" w:color="auto"/>
              <w:right w:val="single" w:sz="4" w:space="0" w:color="auto"/>
            </w:tcBorders>
            <w:shd w:val="clear" w:color="auto" w:fill="auto"/>
            <w:vAlign w:val="center"/>
            <w:hideMark/>
          </w:tcPr>
          <w:p w14:paraId="1EB86CAE" w14:textId="77777777" w:rsidR="007B546B" w:rsidRPr="00095A13" w:rsidRDefault="007B546B" w:rsidP="007B546B">
            <w:pPr>
              <w:ind w:right="144"/>
              <w:jc w:val="right"/>
              <w:rPr>
                <w:kern w:val="22"/>
                <w:szCs w:val="22"/>
                <w:lang w:val="fr-CA" w:eastAsia="en-CA"/>
              </w:rPr>
            </w:pPr>
            <w:r w:rsidRPr="00095A13">
              <w:rPr>
                <w:kern w:val="22"/>
                <w:szCs w:val="22"/>
                <w:lang w:val="fr-CA" w:eastAsia="en-CA"/>
              </w:rPr>
              <w:t>8</w:t>
            </w:r>
            <w:r>
              <w:rPr>
                <w:kern w:val="22"/>
                <w:szCs w:val="22"/>
                <w:lang w:val="fr-CA" w:eastAsia="en-CA"/>
              </w:rPr>
              <w:t>,</w:t>
            </w:r>
            <w:r w:rsidRPr="00095A13">
              <w:rPr>
                <w:kern w:val="22"/>
                <w:szCs w:val="22"/>
                <w:lang w:val="fr-CA" w:eastAsia="en-CA"/>
              </w:rPr>
              <w:t>702</w:t>
            </w:r>
          </w:p>
        </w:tc>
        <w:tc>
          <w:tcPr>
            <w:tcW w:w="1590" w:type="dxa"/>
            <w:tcBorders>
              <w:top w:val="nil"/>
              <w:left w:val="nil"/>
              <w:bottom w:val="single" w:sz="4" w:space="0" w:color="auto"/>
              <w:right w:val="single" w:sz="4" w:space="0" w:color="auto"/>
            </w:tcBorders>
            <w:shd w:val="clear" w:color="auto" w:fill="auto"/>
            <w:vAlign w:val="center"/>
            <w:hideMark/>
          </w:tcPr>
          <w:p w14:paraId="242E15CC" w14:textId="77777777" w:rsidR="007B546B" w:rsidRPr="00095A13" w:rsidRDefault="007B546B" w:rsidP="007B546B">
            <w:pPr>
              <w:ind w:right="144"/>
              <w:jc w:val="right"/>
              <w:rPr>
                <w:kern w:val="22"/>
                <w:szCs w:val="22"/>
                <w:lang w:val="fr-CA" w:eastAsia="en-CA"/>
              </w:rPr>
            </w:pPr>
            <w:r w:rsidRPr="00095A13">
              <w:rPr>
                <w:kern w:val="22"/>
                <w:szCs w:val="22"/>
                <w:lang w:val="fr-CA" w:eastAsia="en-CA"/>
              </w:rPr>
              <w:t>222 580</w:t>
            </w:r>
          </w:p>
        </w:tc>
      </w:tr>
      <w:tr w:rsidR="007B546B" w:rsidRPr="005C598A" w14:paraId="547A052E"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F64132D" w14:textId="3A7554C5" w:rsidR="007B546B" w:rsidRPr="005C598A" w:rsidRDefault="007B546B" w:rsidP="00120F79">
            <w:pPr>
              <w:jc w:val="right"/>
              <w:rPr>
                <w:kern w:val="22"/>
                <w:szCs w:val="22"/>
                <w:lang w:val="fr-CA" w:eastAsia="en-CA"/>
              </w:rPr>
            </w:pPr>
            <w:r>
              <w:rPr>
                <w:kern w:val="22"/>
                <w:szCs w:val="22"/>
                <w:lang w:val="fr-CA" w:eastAsia="en-CA"/>
              </w:rPr>
              <w:t>6</w:t>
            </w:r>
          </w:p>
        </w:tc>
        <w:tc>
          <w:tcPr>
            <w:tcW w:w="3966" w:type="dxa"/>
            <w:tcBorders>
              <w:top w:val="nil"/>
              <w:left w:val="nil"/>
              <w:bottom w:val="single" w:sz="4" w:space="0" w:color="auto"/>
              <w:right w:val="single" w:sz="4" w:space="0" w:color="auto"/>
            </w:tcBorders>
            <w:shd w:val="clear" w:color="auto" w:fill="auto"/>
            <w:vAlign w:val="center"/>
            <w:hideMark/>
          </w:tcPr>
          <w:p w14:paraId="3D40ACBE" w14:textId="77777777" w:rsidR="007B546B" w:rsidRPr="005C598A" w:rsidRDefault="007B546B" w:rsidP="00120F79">
            <w:pPr>
              <w:jc w:val="left"/>
              <w:rPr>
                <w:kern w:val="22"/>
                <w:szCs w:val="22"/>
                <w:lang w:val="fr-CA" w:eastAsia="en-CA"/>
              </w:rPr>
            </w:pPr>
            <w:r w:rsidRPr="005C598A">
              <w:rPr>
                <w:kern w:val="22"/>
                <w:szCs w:val="22"/>
                <w:lang w:val="fr-CA" w:eastAsia="en-CA"/>
              </w:rPr>
              <w:t>Angola</w:t>
            </w:r>
          </w:p>
        </w:tc>
        <w:tc>
          <w:tcPr>
            <w:tcW w:w="1605" w:type="dxa"/>
            <w:tcBorders>
              <w:top w:val="nil"/>
              <w:left w:val="nil"/>
              <w:bottom w:val="single" w:sz="4" w:space="0" w:color="auto"/>
              <w:right w:val="single" w:sz="4" w:space="0" w:color="auto"/>
            </w:tcBorders>
            <w:shd w:val="clear" w:color="auto" w:fill="auto"/>
            <w:vAlign w:val="center"/>
            <w:hideMark/>
          </w:tcPr>
          <w:p w14:paraId="752FD78D"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010</w:t>
            </w:r>
          </w:p>
        </w:tc>
        <w:tc>
          <w:tcPr>
            <w:tcW w:w="1610" w:type="dxa"/>
            <w:tcBorders>
              <w:top w:val="nil"/>
              <w:left w:val="nil"/>
              <w:bottom w:val="single" w:sz="4" w:space="0" w:color="auto"/>
              <w:right w:val="single" w:sz="4" w:space="0" w:color="auto"/>
            </w:tcBorders>
            <w:shd w:val="clear" w:color="auto" w:fill="auto"/>
            <w:vAlign w:val="center"/>
            <w:hideMark/>
          </w:tcPr>
          <w:p w14:paraId="476D36F5"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010</w:t>
            </w:r>
          </w:p>
        </w:tc>
        <w:tc>
          <w:tcPr>
            <w:tcW w:w="1590" w:type="dxa"/>
            <w:tcBorders>
              <w:top w:val="nil"/>
              <w:left w:val="nil"/>
              <w:bottom w:val="single" w:sz="4" w:space="0" w:color="auto"/>
              <w:right w:val="single" w:sz="4" w:space="0" w:color="auto"/>
            </w:tcBorders>
            <w:shd w:val="clear" w:color="auto" w:fill="auto"/>
            <w:vAlign w:val="center"/>
            <w:hideMark/>
          </w:tcPr>
          <w:p w14:paraId="43E21CDC" w14:textId="77777777" w:rsidR="007B546B" w:rsidRPr="005C598A" w:rsidRDefault="007B546B" w:rsidP="007B546B">
            <w:pPr>
              <w:ind w:right="144"/>
              <w:jc w:val="right"/>
              <w:rPr>
                <w:kern w:val="22"/>
                <w:szCs w:val="22"/>
                <w:lang w:val="fr-CA" w:eastAsia="en-CA"/>
              </w:rPr>
            </w:pPr>
            <w:r w:rsidRPr="005C598A">
              <w:rPr>
                <w:kern w:val="22"/>
                <w:szCs w:val="22"/>
                <w:lang w:val="fr-CA" w:eastAsia="en-CA"/>
              </w:rPr>
              <w:t>256</w:t>
            </w:r>
          </w:p>
        </w:tc>
      </w:tr>
      <w:tr w:rsidR="007B546B" w:rsidRPr="005C598A" w14:paraId="60B307E0"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82586B5" w14:textId="71A48225" w:rsidR="007B546B" w:rsidRPr="005C598A" w:rsidRDefault="007B546B" w:rsidP="00120F79">
            <w:pPr>
              <w:jc w:val="right"/>
              <w:rPr>
                <w:kern w:val="22"/>
                <w:szCs w:val="22"/>
                <w:lang w:val="fr-CA" w:eastAsia="en-CA"/>
              </w:rPr>
            </w:pPr>
            <w:r>
              <w:rPr>
                <w:kern w:val="22"/>
                <w:szCs w:val="22"/>
                <w:lang w:val="fr-CA" w:eastAsia="en-CA"/>
              </w:rPr>
              <w:t>7</w:t>
            </w:r>
          </w:p>
        </w:tc>
        <w:tc>
          <w:tcPr>
            <w:tcW w:w="3966" w:type="dxa"/>
            <w:tcBorders>
              <w:top w:val="nil"/>
              <w:left w:val="nil"/>
              <w:bottom w:val="single" w:sz="4" w:space="0" w:color="auto"/>
              <w:right w:val="single" w:sz="4" w:space="0" w:color="auto"/>
            </w:tcBorders>
            <w:shd w:val="clear" w:color="auto" w:fill="auto"/>
            <w:vAlign w:val="center"/>
            <w:hideMark/>
          </w:tcPr>
          <w:p w14:paraId="02ADB529" w14:textId="77777777" w:rsidR="007B546B" w:rsidRPr="005C598A" w:rsidRDefault="007B546B" w:rsidP="00120F79">
            <w:pPr>
              <w:jc w:val="left"/>
              <w:rPr>
                <w:kern w:val="22"/>
                <w:szCs w:val="22"/>
                <w:lang w:val="fr-CA" w:eastAsia="en-CA"/>
              </w:rPr>
            </w:pPr>
            <w:r w:rsidRPr="005C598A">
              <w:rPr>
                <w:kern w:val="22"/>
                <w:szCs w:val="22"/>
                <w:lang w:val="fr-CA" w:eastAsia="en-CA"/>
              </w:rPr>
              <w:t>Antigua and Barbuda</w:t>
            </w:r>
          </w:p>
        </w:tc>
        <w:tc>
          <w:tcPr>
            <w:tcW w:w="1605" w:type="dxa"/>
            <w:tcBorders>
              <w:top w:val="nil"/>
              <w:left w:val="nil"/>
              <w:bottom w:val="single" w:sz="4" w:space="0" w:color="auto"/>
              <w:right w:val="single" w:sz="4" w:space="0" w:color="auto"/>
            </w:tcBorders>
            <w:shd w:val="clear" w:color="auto" w:fill="auto"/>
            <w:vAlign w:val="center"/>
            <w:hideMark/>
          </w:tcPr>
          <w:p w14:paraId="5D0B8C7B"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002</w:t>
            </w:r>
          </w:p>
        </w:tc>
        <w:tc>
          <w:tcPr>
            <w:tcW w:w="1610" w:type="dxa"/>
            <w:tcBorders>
              <w:top w:val="nil"/>
              <w:left w:val="nil"/>
              <w:bottom w:val="single" w:sz="4" w:space="0" w:color="auto"/>
              <w:right w:val="single" w:sz="4" w:space="0" w:color="auto"/>
            </w:tcBorders>
            <w:shd w:val="clear" w:color="auto" w:fill="auto"/>
            <w:vAlign w:val="center"/>
            <w:hideMark/>
          </w:tcPr>
          <w:p w14:paraId="1F19396F"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003</w:t>
            </w:r>
          </w:p>
        </w:tc>
        <w:tc>
          <w:tcPr>
            <w:tcW w:w="1590" w:type="dxa"/>
            <w:tcBorders>
              <w:top w:val="nil"/>
              <w:left w:val="nil"/>
              <w:bottom w:val="single" w:sz="4" w:space="0" w:color="auto"/>
              <w:right w:val="single" w:sz="4" w:space="0" w:color="auto"/>
            </w:tcBorders>
            <w:shd w:val="clear" w:color="auto" w:fill="auto"/>
            <w:vAlign w:val="center"/>
            <w:hideMark/>
          </w:tcPr>
          <w:p w14:paraId="25BD0D46" w14:textId="77777777" w:rsidR="007B546B" w:rsidRPr="005C598A" w:rsidRDefault="007B546B" w:rsidP="007B546B">
            <w:pPr>
              <w:ind w:right="144"/>
              <w:jc w:val="right"/>
              <w:rPr>
                <w:kern w:val="22"/>
                <w:szCs w:val="22"/>
                <w:lang w:val="fr-CA" w:eastAsia="en-CA"/>
              </w:rPr>
            </w:pPr>
            <w:r w:rsidRPr="005C598A">
              <w:rPr>
                <w:kern w:val="22"/>
                <w:szCs w:val="22"/>
                <w:lang w:val="fr-CA" w:eastAsia="en-CA"/>
              </w:rPr>
              <w:t>73</w:t>
            </w:r>
          </w:p>
        </w:tc>
      </w:tr>
      <w:tr w:rsidR="007B546B" w:rsidRPr="00095A13" w14:paraId="314C9DB0"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tcPr>
          <w:p w14:paraId="4F420739" w14:textId="5B9174BE" w:rsidR="007B546B" w:rsidRPr="00095A13" w:rsidRDefault="007B546B" w:rsidP="00541CDC">
            <w:pPr>
              <w:jc w:val="right"/>
              <w:rPr>
                <w:kern w:val="22"/>
                <w:szCs w:val="22"/>
                <w:lang w:val="fr-CA" w:eastAsia="en-CA"/>
              </w:rPr>
            </w:pPr>
            <w:r>
              <w:rPr>
                <w:kern w:val="22"/>
                <w:szCs w:val="22"/>
                <w:lang w:val="fr-CA" w:eastAsia="en-CA"/>
              </w:rPr>
              <w:t>8</w:t>
            </w:r>
          </w:p>
        </w:tc>
        <w:tc>
          <w:tcPr>
            <w:tcW w:w="3966" w:type="dxa"/>
            <w:tcBorders>
              <w:top w:val="nil"/>
              <w:left w:val="nil"/>
              <w:bottom w:val="single" w:sz="4" w:space="0" w:color="auto"/>
              <w:right w:val="single" w:sz="4" w:space="0" w:color="auto"/>
            </w:tcBorders>
            <w:shd w:val="clear" w:color="auto" w:fill="auto"/>
            <w:vAlign w:val="center"/>
            <w:hideMark/>
          </w:tcPr>
          <w:p w14:paraId="331BF04C" w14:textId="77777777" w:rsidR="007B546B" w:rsidRPr="00095A13" w:rsidRDefault="007B546B" w:rsidP="00541CDC">
            <w:pPr>
              <w:jc w:val="left"/>
              <w:rPr>
                <w:kern w:val="22"/>
                <w:szCs w:val="22"/>
                <w:lang w:val="fr-CA" w:eastAsia="en-CA"/>
              </w:rPr>
            </w:pPr>
            <w:r>
              <w:rPr>
                <w:kern w:val="22"/>
                <w:szCs w:val="22"/>
                <w:lang w:val="fr-CA" w:eastAsia="en-CA"/>
              </w:rPr>
              <w:t>Arabie saoudite</w:t>
            </w:r>
          </w:p>
        </w:tc>
        <w:tc>
          <w:tcPr>
            <w:tcW w:w="1605" w:type="dxa"/>
            <w:tcBorders>
              <w:top w:val="nil"/>
              <w:left w:val="nil"/>
              <w:bottom w:val="single" w:sz="4" w:space="0" w:color="auto"/>
              <w:right w:val="single" w:sz="4" w:space="0" w:color="auto"/>
            </w:tcBorders>
            <w:shd w:val="clear" w:color="auto" w:fill="auto"/>
            <w:vAlign w:val="center"/>
            <w:hideMark/>
          </w:tcPr>
          <w:p w14:paraId="51DE5E3D" w14:textId="77777777" w:rsidR="007B546B" w:rsidRPr="00095A13" w:rsidRDefault="007B546B" w:rsidP="007B546B">
            <w:pPr>
              <w:ind w:right="144"/>
              <w:jc w:val="right"/>
              <w:rPr>
                <w:kern w:val="22"/>
                <w:szCs w:val="22"/>
                <w:lang w:val="fr-CA" w:eastAsia="en-CA"/>
              </w:rPr>
            </w:pPr>
            <w:r w:rsidRPr="00095A13">
              <w:rPr>
                <w:kern w:val="22"/>
                <w:szCs w:val="22"/>
                <w:lang w:val="fr-CA" w:eastAsia="en-CA"/>
              </w:rPr>
              <w:t>1</w:t>
            </w:r>
            <w:r>
              <w:rPr>
                <w:kern w:val="22"/>
                <w:szCs w:val="22"/>
                <w:lang w:val="fr-CA" w:eastAsia="en-CA"/>
              </w:rPr>
              <w:t>,</w:t>
            </w:r>
            <w:r w:rsidRPr="00095A13">
              <w:rPr>
                <w:kern w:val="22"/>
                <w:szCs w:val="22"/>
                <w:lang w:val="fr-CA" w:eastAsia="en-CA"/>
              </w:rPr>
              <w:t>172</w:t>
            </w:r>
          </w:p>
        </w:tc>
        <w:tc>
          <w:tcPr>
            <w:tcW w:w="1610" w:type="dxa"/>
            <w:tcBorders>
              <w:top w:val="nil"/>
              <w:left w:val="nil"/>
              <w:bottom w:val="single" w:sz="4" w:space="0" w:color="auto"/>
              <w:right w:val="single" w:sz="4" w:space="0" w:color="auto"/>
            </w:tcBorders>
            <w:shd w:val="clear" w:color="auto" w:fill="auto"/>
            <w:vAlign w:val="center"/>
            <w:hideMark/>
          </w:tcPr>
          <w:p w14:paraId="5AD220B3" w14:textId="77777777" w:rsidR="007B546B" w:rsidRPr="00095A13" w:rsidRDefault="007B546B" w:rsidP="007B546B">
            <w:pPr>
              <w:ind w:right="144"/>
              <w:jc w:val="right"/>
              <w:rPr>
                <w:kern w:val="22"/>
                <w:szCs w:val="22"/>
                <w:lang w:val="fr-CA" w:eastAsia="en-CA"/>
              </w:rPr>
            </w:pPr>
            <w:r w:rsidRPr="00095A13">
              <w:rPr>
                <w:kern w:val="22"/>
                <w:szCs w:val="22"/>
                <w:lang w:val="fr-CA" w:eastAsia="en-CA"/>
              </w:rPr>
              <w:t>1</w:t>
            </w:r>
            <w:r>
              <w:rPr>
                <w:kern w:val="22"/>
                <w:szCs w:val="22"/>
                <w:lang w:val="fr-CA" w:eastAsia="en-CA"/>
              </w:rPr>
              <w:t>,</w:t>
            </w:r>
            <w:r w:rsidRPr="00095A13">
              <w:rPr>
                <w:kern w:val="22"/>
                <w:szCs w:val="22"/>
                <w:lang w:val="fr-CA" w:eastAsia="en-CA"/>
              </w:rPr>
              <w:t>675</w:t>
            </w:r>
          </w:p>
        </w:tc>
        <w:tc>
          <w:tcPr>
            <w:tcW w:w="1590" w:type="dxa"/>
            <w:tcBorders>
              <w:top w:val="nil"/>
              <w:left w:val="nil"/>
              <w:bottom w:val="single" w:sz="4" w:space="0" w:color="auto"/>
              <w:right w:val="single" w:sz="4" w:space="0" w:color="auto"/>
            </w:tcBorders>
            <w:shd w:val="clear" w:color="auto" w:fill="auto"/>
            <w:vAlign w:val="center"/>
            <w:hideMark/>
          </w:tcPr>
          <w:p w14:paraId="4A3D6B5D" w14:textId="77777777" w:rsidR="007B546B" w:rsidRPr="00095A13" w:rsidRDefault="007B546B" w:rsidP="007B546B">
            <w:pPr>
              <w:ind w:right="144"/>
              <w:jc w:val="right"/>
              <w:rPr>
                <w:kern w:val="22"/>
                <w:szCs w:val="22"/>
                <w:lang w:val="fr-CA" w:eastAsia="en-CA"/>
              </w:rPr>
            </w:pPr>
            <w:r w:rsidRPr="00095A13">
              <w:rPr>
                <w:kern w:val="22"/>
                <w:szCs w:val="22"/>
                <w:lang w:val="fr-CA" w:eastAsia="en-CA"/>
              </w:rPr>
              <w:t>42 835</w:t>
            </w:r>
          </w:p>
        </w:tc>
      </w:tr>
      <w:tr w:rsidR="007B546B" w:rsidRPr="005C598A" w14:paraId="2E9BE952"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34A26AD" w14:textId="701223FF" w:rsidR="007B546B" w:rsidRPr="005C598A" w:rsidRDefault="007B546B" w:rsidP="00120F79">
            <w:pPr>
              <w:jc w:val="right"/>
              <w:rPr>
                <w:kern w:val="22"/>
                <w:szCs w:val="22"/>
                <w:lang w:val="fr-CA" w:eastAsia="en-CA"/>
              </w:rPr>
            </w:pPr>
            <w:r>
              <w:rPr>
                <w:kern w:val="22"/>
                <w:szCs w:val="22"/>
                <w:lang w:val="fr-CA" w:eastAsia="en-CA"/>
              </w:rPr>
              <w:t>9</w:t>
            </w:r>
          </w:p>
        </w:tc>
        <w:tc>
          <w:tcPr>
            <w:tcW w:w="3966" w:type="dxa"/>
            <w:tcBorders>
              <w:top w:val="nil"/>
              <w:left w:val="nil"/>
              <w:bottom w:val="single" w:sz="4" w:space="0" w:color="auto"/>
              <w:right w:val="single" w:sz="4" w:space="0" w:color="auto"/>
            </w:tcBorders>
            <w:shd w:val="clear" w:color="auto" w:fill="auto"/>
            <w:vAlign w:val="center"/>
            <w:hideMark/>
          </w:tcPr>
          <w:p w14:paraId="2EBAAE77" w14:textId="77777777" w:rsidR="007B546B" w:rsidRPr="005C598A" w:rsidRDefault="007B546B" w:rsidP="00120F79">
            <w:pPr>
              <w:jc w:val="left"/>
              <w:rPr>
                <w:kern w:val="22"/>
                <w:szCs w:val="22"/>
                <w:lang w:val="fr-CA" w:eastAsia="en-CA"/>
              </w:rPr>
            </w:pPr>
            <w:r>
              <w:rPr>
                <w:kern w:val="22"/>
                <w:szCs w:val="22"/>
                <w:lang w:val="fr-CA" w:eastAsia="en-CA"/>
              </w:rPr>
              <w:t>Arménie</w:t>
            </w:r>
          </w:p>
        </w:tc>
        <w:tc>
          <w:tcPr>
            <w:tcW w:w="1605" w:type="dxa"/>
            <w:tcBorders>
              <w:top w:val="nil"/>
              <w:left w:val="nil"/>
              <w:bottom w:val="single" w:sz="4" w:space="0" w:color="auto"/>
              <w:right w:val="single" w:sz="4" w:space="0" w:color="auto"/>
            </w:tcBorders>
            <w:shd w:val="clear" w:color="auto" w:fill="auto"/>
            <w:vAlign w:val="center"/>
            <w:hideMark/>
          </w:tcPr>
          <w:p w14:paraId="4AC3C91F"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007</w:t>
            </w:r>
          </w:p>
        </w:tc>
        <w:tc>
          <w:tcPr>
            <w:tcW w:w="1610" w:type="dxa"/>
            <w:tcBorders>
              <w:top w:val="nil"/>
              <w:left w:val="nil"/>
              <w:bottom w:val="single" w:sz="4" w:space="0" w:color="auto"/>
              <w:right w:val="single" w:sz="4" w:space="0" w:color="auto"/>
            </w:tcBorders>
            <w:shd w:val="clear" w:color="auto" w:fill="auto"/>
            <w:vAlign w:val="center"/>
            <w:hideMark/>
          </w:tcPr>
          <w:p w14:paraId="54078573"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010</w:t>
            </w:r>
          </w:p>
        </w:tc>
        <w:tc>
          <w:tcPr>
            <w:tcW w:w="1590" w:type="dxa"/>
            <w:tcBorders>
              <w:top w:val="nil"/>
              <w:left w:val="nil"/>
              <w:bottom w:val="single" w:sz="4" w:space="0" w:color="auto"/>
              <w:right w:val="single" w:sz="4" w:space="0" w:color="auto"/>
            </w:tcBorders>
            <w:shd w:val="clear" w:color="auto" w:fill="auto"/>
            <w:vAlign w:val="center"/>
            <w:hideMark/>
          </w:tcPr>
          <w:p w14:paraId="3F9768CA" w14:textId="77777777" w:rsidR="007B546B" w:rsidRPr="005C598A" w:rsidRDefault="007B546B" w:rsidP="007B546B">
            <w:pPr>
              <w:ind w:right="144"/>
              <w:jc w:val="right"/>
              <w:rPr>
                <w:kern w:val="22"/>
                <w:szCs w:val="22"/>
                <w:lang w:val="fr-CA" w:eastAsia="en-CA"/>
              </w:rPr>
            </w:pPr>
            <w:r w:rsidRPr="005C598A">
              <w:rPr>
                <w:kern w:val="22"/>
                <w:szCs w:val="22"/>
                <w:lang w:val="fr-CA" w:eastAsia="en-CA"/>
              </w:rPr>
              <w:t>256</w:t>
            </w:r>
          </w:p>
        </w:tc>
      </w:tr>
      <w:tr w:rsidR="007B546B" w:rsidRPr="005C598A" w14:paraId="67CCF149"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2E52C3C2" w14:textId="1442357A" w:rsidR="007B546B" w:rsidRPr="005C598A" w:rsidRDefault="007B546B" w:rsidP="00120F79">
            <w:pPr>
              <w:jc w:val="right"/>
              <w:rPr>
                <w:kern w:val="22"/>
                <w:szCs w:val="22"/>
                <w:lang w:val="fr-CA" w:eastAsia="en-CA"/>
              </w:rPr>
            </w:pPr>
            <w:r>
              <w:rPr>
                <w:kern w:val="22"/>
                <w:szCs w:val="22"/>
                <w:lang w:val="fr-CA" w:eastAsia="en-CA"/>
              </w:rPr>
              <w:t>10</w:t>
            </w:r>
          </w:p>
        </w:tc>
        <w:tc>
          <w:tcPr>
            <w:tcW w:w="3966" w:type="dxa"/>
            <w:tcBorders>
              <w:top w:val="nil"/>
              <w:left w:val="nil"/>
              <w:bottom w:val="single" w:sz="4" w:space="0" w:color="auto"/>
              <w:right w:val="single" w:sz="4" w:space="0" w:color="auto"/>
            </w:tcBorders>
            <w:shd w:val="clear" w:color="auto" w:fill="auto"/>
            <w:vAlign w:val="center"/>
            <w:hideMark/>
          </w:tcPr>
          <w:p w14:paraId="382CC291" w14:textId="77777777" w:rsidR="007B546B" w:rsidRPr="005C598A" w:rsidRDefault="007B546B" w:rsidP="00120F79">
            <w:pPr>
              <w:jc w:val="left"/>
              <w:rPr>
                <w:kern w:val="22"/>
                <w:szCs w:val="22"/>
                <w:lang w:val="fr-CA" w:eastAsia="en-CA"/>
              </w:rPr>
            </w:pPr>
            <w:r>
              <w:rPr>
                <w:kern w:val="22"/>
                <w:szCs w:val="22"/>
                <w:lang w:val="fr-CA" w:eastAsia="en-CA"/>
              </w:rPr>
              <w:t>Autriche</w:t>
            </w:r>
          </w:p>
        </w:tc>
        <w:tc>
          <w:tcPr>
            <w:tcW w:w="1605" w:type="dxa"/>
            <w:tcBorders>
              <w:top w:val="nil"/>
              <w:left w:val="nil"/>
              <w:bottom w:val="single" w:sz="4" w:space="0" w:color="auto"/>
              <w:right w:val="single" w:sz="4" w:space="0" w:color="auto"/>
            </w:tcBorders>
            <w:shd w:val="clear" w:color="auto" w:fill="auto"/>
            <w:vAlign w:val="center"/>
            <w:hideMark/>
          </w:tcPr>
          <w:p w14:paraId="28310D65"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677</w:t>
            </w:r>
          </w:p>
        </w:tc>
        <w:tc>
          <w:tcPr>
            <w:tcW w:w="1610" w:type="dxa"/>
            <w:tcBorders>
              <w:top w:val="nil"/>
              <w:left w:val="nil"/>
              <w:bottom w:val="single" w:sz="4" w:space="0" w:color="auto"/>
              <w:right w:val="single" w:sz="4" w:space="0" w:color="auto"/>
            </w:tcBorders>
            <w:shd w:val="clear" w:color="auto" w:fill="auto"/>
            <w:vAlign w:val="center"/>
            <w:hideMark/>
          </w:tcPr>
          <w:p w14:paraId="7CDB9190"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967</w:t>
            </w:r>
          </w:p>
        </w:tc>
        <w:tc>
          <w:tcPr>
            <w:tcW w:w="1590" w:type="dxa"/>
            <w:tcBorders>
              <w:top w:val="nil"/>
              <w:left w:val="nil"/>
              <w:bottom w:val="single" w:sz="4" w:space="0" w:color="auto"/>
              <w:right w:val="single" w:sz="4" w:space="0" w:color="auto"/>
            </w:tcBorders>
            <w:shd w:val="clear" w:color="auto" w:fill="auto"/>
            <w:vAlign w:val="center"/>
            <w:hideMark/>
          </w:tcPr>
          <w:p w14:paraId="0E6C3228" w14:textId="77777777" w:rsidR="007B546B" w:rsidRPr="005C598A" w:rsidRDefault="007B546B" w:rsidP="007B546B">
            <w:pPr>
              <w:ind w:right="144"/>
              <w:jc w:val="right"/>
              <w:rPr>
                <w:kern w:val="22"/>
                <w:szCs w:val="22"/>
                <w:lang w:val="fr-CA" w:eastAsia="en-CA"/>
              </w:rPr>
            </w:pPr>
            <w:r w:rsidRPr="005C598A">
              <w:rPr>
                <w:kern w:val="22"/>
                <w:szCs w:val="22"/>
                <w:lang w:val="fr-CA" w:eastAsia="en-CA"/>
              </w:rPr>
              <w:t>24 743</w:t>
            </w:r>
          </w:p>
        </w:tc>
      </w:tr>
      <w:tr w:rsidR="007B546B" w:rsidRPr="005C598A" w14:paraId="31A8302E"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C5165AC" w14:textId="66773C7E" w:rsidR="007B546B" w:rsidRPr="005C598A" w:rsidRDefault="007B546B" w:rsidP="00120F79">
            <w:pPr>
              <w:jc w:val="right"/>
              <w:rPr>
                <w:kern w:val="22"/>
                <w:szCs w:val="22"/>
                <w:lang w:val="fr-CA" w:eastAsia="en-CA"/>
              </w:rPr>
            </w:pPr>
            <w:r>
              <w:rPr>
                <w:kern w:val="22"/>
                <w:szCs w:val="22"/>
                <w:lang w:val="fr-CA" w:eastAsia="en-CA"/>
              </w:rPr>
              <w:t>11</w:t>
            </w:r>
          </w:p>
        </w:tc>
        <w:tc>
          <w:tcPr>
            <w:tcW w:w="3966" w:type="dxa"/>
            <w:tcBorders>
              <w:top w:val="nil"/>
              <w:left w:val="nil"/>
              <w:bottom w:val="single" w:sz="4" w:space="0" w:color="auto"/>
              <w:right w:val="single" w:sz="4" w:space="0" w:color="auto"/>
            </w:tcBorders>
            <w:shd w:val="clear" w:color="auto" w:fill="auto"/>
            <w:vAlign w:val="center"/>
            <w:hideMark/>
          </w:tcPr>
          <w:p w14:paraId="19B63D65" w14:textId="77777777" w:rsidR="007B546B" w:rsidRPr="005C598A" w:rsidRDefault="007B546B" w:rsidP="00120F79">
            <w:pPr>
              <w:jc w:val="left"/>
              <w:rPr>
                <w:kern w:val="22"/>
                <w:szCs w:val="22"/>
                <w:lang w:val="fr-CA" w:eastAsia="en-CA"/>
              </w:rPr>
            </w:pPr>
            <w:r>
              <w:rPr>
                <w:kern w:val="22"/>
                <w:szCs w:val="22"/>
                <w:lang w:val="fr-CA" w:eastAsia="en-CA"/>
              </w:rPr>
              <w:t>Azerbaïd</w:t>
            </w:r>
            <w:r w:rsidRPr="005C598A">
              <w:rPr>
                <w:kern w:val="22"/>
                <w:szCs w:val="22"/>
                <w:lang w:val="fr-CA" w:eastAsia="en-CA"/>
              </w:rPr>
              <w:t>jan</w:t>
            </w:r>
          </w:p>
        </w:tc>
        <w:tc>
          <w:tcPr>
            <w:tcW w:w="1605" w:type="dxa"/>
            <w:tcBorders>
              <w:top w:val="nil"/>
              <w:left w:val="nil"/>
              <w:bottom w:val="single" w:sz="4" w:space="0" w:color="auto"/>
              <w:right w:val="single" w:sz="4" w:space="0" w:color="auto"/>
            </w:tcBorders>
            <w:shd w:val="clear" w:color="auto" w:fill="auto"/>
            <w:vAlign w:val="center"/>
            <w:hideMark/>
          </w:tcPr>
          <w:p w14:paraId="7F5E1139"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049</w:t>
            </w:r>
          </w:p>
        </w:tc>
        <w:tc>
          <w:tcPr>
            <w:tcW w:w="1610" w:type="dxa"/>
            <w:tcBorders>
              <w:top w:val="nil"/>
              <w:left w:val="nil"/>
              <w:bottom w:val="single" w:sz="4" w:space="0" w:color="auto"/>
              <w:right w:val="single" w:sz="4" w:space="0" w:color="auto"/>
            </w:tcBorders>
            <w:shd w:val="clear" w:color="auto" w:fill="auto"/>
            <w:vAlign w:val="center"/>
            <w:hideMark/>
          </w:tcPr>
          <w:p w14:paraId="56C7A720"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070</w:t>
            </w:r>
          </w:p>
        </w:tc>
        <w:tc>
          <w:tcPr>
            <w:tcW w:w="1590" w:type="dxa"/>
            <w:tcBorders>
              <w:top w:val="nil"/>
              <w:left w:val="nil"/>
              <w:bottom w:val="single" w:sz="4" w:space="0" w:color="auto"/>
              <w:right w:val="single" w:sz="4" w:space="0" w:color="auto"/>
            </w:tcBorders>
            <w:shd w:val="clear" w:color="auto" w:fill="auto"/>
            <w:vAlign w:val="center"/>
            <w:hideMark/>
          </w:tcPr>
          <w:p w14:paraId="4463545C" w14:textId="77777777" w:rsidR="007B546B" w:rsidRPr="005C598A" w:rsidRDefault="007B546B" w:rsidP="007B546B">
            <w:pPr>
              <w:ind w:right="144"/>
              <w:jc w:val="right"/>
              <w:rPr>
                <w:kern w:val="22"/>
                <w:szCs w:val="22"/>
                <w:lang w:val="fr-CA" w:eastAsia="en-CA"/>
              </w:rPr>
            </w:pPr>
            <w:r w:rsidRPr="005C598A">
              <w:rPr>
                <w:kern w:val="22"/>
                <w:szCs w:val="22"/>
                <w:lang w:val="fr-CA" w:eastAsia="en-CA"/>
              </w:rPr>
              <w:t>1 791</w:t>
            </w:r>
          </w:p>
        </w:tc>
      </w:tr>
      <w:tr w:rsidR="007B546B" w:rsidRPr="005C598A" w14:paraId="2599A02C"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C4D17A0" w14:textId="6DEF3A52" w:rsidR="007B546B" w:rsidRPr="005C598A" w:rsidRDefault="007B546B" w:rsidP="00120F79">
            <w:pPr>
              <w:jc w:val="right"/>
              <w:rPr>
                <w:kern w:val="22"/>
                <w:szCs w:val="22"/>
                <w:lang w:val="fr-CA" w:eastAsia="en-CA"/>
              </w:rPr>
            </w:pPr>
            <w:r>
              <w:rPr>
                <w:kern w:val="22"/>
                <w:szCs w:val="22"/>
                <w:lang w:val="fr-CA" w:eastAsia="en-CA"/>
              </w:rPr>
              <w:t>12</w:t>
            </w:r>
          </w:p>
        </w:tc>
        <w:tc>
          <w:tcPr>
            <w:tcW w:w="3966" w:type="dxa"/>
            <w:tcBorders>
              <w:top w:val="nil"/>
              <w:left w:val="nil"/>
              <w:bottom w:val="single" w:sz="4" w:space="0" w:color="auto"/>
              <w:right w:val="single" w:sz="4" w:space="0" w:color="auto"/>
            </w:tcBorders>
            <w:shd w:val="clear" w:color="auto" w:fill="auto"/>
            <w:vAlign w:val="center"/>
            <w:hideMark/>
          </w:tcPr>
          <w:p w14:paraId="54901078" w14:textId="77777777" w:rsidR="007B546B" w:rsidRPr="005C598A" w:rsidRDefault="007B546B" w:rsidP="00120F79">
            <w:pPr>
              <w:jc w:val="left"/>
              <w:rPr>
                <w:kern w:val="22"/>
                <w:szCs w:val="22"/>
                <w:lang w:val="fr-CA" w:eastAsia="en-CA"/>
              </w:rPr>
            </w:pPr>
            <w:r w:rsidRPr="005C598A">
              <w:rPr>
                <w:kern w:val="22"/>
                <w:szCs w:val="22"/>
                <w:lang w:val="fr-CA" w:eastAsia="en-CA"/>
              </w:rPr>
              <w:t>Bahamas</w:t>
            </w:r>
          </w:p>
        </w:tc>
        <w:tc>
          <w:tcPr>
            <w:tcW w:w="1605" w:type="dxa"/>
            <w:tcBorders>
              <w:top w:val="nil"/>
              <w:left w:val="nil"/>
              <w:bottom w:val="single" w:sz="4" w:space="0" w:color="auto"/>
              <w:right w:val="single" w:sz="4" w:space="0" w:color="auto"/>
            </w:tcBorders>
            <w:shd w:val="clear" w:color="auto" w:fill="auto"/>
            <w:vAlign w:val="center"/>
            <w:hideMark/>
          </w:tcPr>
          <w:p w14:paraId="35D4A00A"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018</w:t>
            </w:r>
          </w:p>
        </w:tc>
        <w:tc>
          <w:tcPr>
            <w:tcW w:w="1610" w:type="dxa"/>
            <w:tcBorders>
              <w:top w:val="nil"/>
              <w:left w:val="nil"/>
              <w:bottom w:val="single" w:sz="4" w:space="0" w:color="auto"/>
              <w:right w:val="single" w:sz="4" w:space="0" w:color="auto"/>
            </w:tcBorders>
            <w:shd w:val="clear" w:color="auto" w:fill="auto"/>
            <w:vAlign w:val="center"/>
            <w:hideMark/>
          </w:tcPr>
          <w:p w14:paraId="390C6E4F"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026</w:t>
            </w:r>
          </w:p>
        </w:tc>
        <w:tc>
          <w:tcPr>
            <w:tcW w:w="1590" w:type="dxa"/>
            <w:tcBorders>
              <w:top w:val="nil"/>
              <w:left w:val="nil"/>
              <w:bottom w:val="single" w:sz="4" w:space="0" w:color="auto"/>
              <w:right w:val="single" w:sz="4" w:space="0" w:color="auto"/>
            </w:tcBorders>
            <w:shd w:val="clear" w:color="auto" w:fill="auto"/>
            <w:vAlign w:val="center"/>
            <w:hideMark/>
          </w:tcPr>
          <w:p w14:paraId="2CF09BE6" w14:textId="77777777" w:rsidR="007B546B" w:rsidRPr="005C598A" w:rsidRDefault="007B546B" w:rsidP="007B546B">
            <w:pPr>
              <w:ind w:right="144"/>
              <w:jc w:val="right"/>
              <w:rPr>
                <w:kern w:val="22"/>
                <w:szCs w:val="22"/>
                <w:lang w:val="fr-CA" w:eastAsia="en-CA"/>
              </w:rPr>
            </w:pPr>
            <w:r w:rsidRPr="005C598A">
              <w:rPr>
                <w:kern w:val="22"/>
                <w:szCs w:val="22"/>
                <w:lang w:val="fr-CA" w:eastAsia="en-CA"/>
              </w:rPr>
              <w:t>658</w:t>
            </w:r>
          </w:p>
        </w:tc>
      </w:tr>
      <w:tr w:rsidR="007B546B" w:rsidRPr="005C598A" w14:paraId="096081A6"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1A274C1" w14:textId="66A5CAA0" w:rsidR="007B546B" w:rsidRPr="005C598A" w:rsidRDefault="007B546B" w:rsidP="00120F79">
            <w:pPr>
              <w:jc w:val="right"/>
              <w:rPr>
                <w:kern w:val="22"/>
                <w:szCs w:val="22"/>
                <w:lang w:val="fr-CA" w:eastAsia="en-CA"/>
              </w:rPr>
            </w:pPr>
            <w:r>
              <w:rPr>
                <w:kern w:val="22"/>
                <w:szCs w:val="22"/>
                <w:lang w:val="fr-CA" w:eastAsia="en-CA"/>
              </w:rPr>
              <w:t>13</w:t>
            </w:r>
          </w:p>
        </w:tc>
        <w:tc>
          <w:tcPr>
            <w:tcW w:w="3966" w:type="dxa"/>
            <w:tcBorders>
              <w:top w:val="nil"/>
              <w:left w:val="nil"/>
              <w:bottom w:val="single" w:sz="4" w:space="0" w:color="auto"/>
              <w:right w:val="single" w:sz="4" w:space="0" w:color="auto"/>
            </w:tcBorders>
            <w:shd w:val="clear" w:color="auto" w:fill="auto"/>
            <w:vAlign w:val="center"/>
            <w:hideMark/>
          </w:tcPr>
          <w:p w14:paraId="2065CF81" w14:textId="77777777" w:rsidR="007B546B" w:rsidRPr="005C598A" w:rsidRDefault="007B546B" w:rsidP="003B783E">
            <w:pPr>
              <w:jc w:val="left"/>
              <w:rPr>
                <w:kern w:val="22"/>
                <w:szCs w:val="22"/>
                <w:lang w:val="fr-CA" w:eastAsia="en-CA"/>
              </w:rPr>
            </w:pPr>
            <w:r>
              <w:rPr>
                <w:kern w:val="22"/>
                <w:szCs w:val="22"/>
                <w:lang w:val="fr-CA" w:eastAsia="en-CA"/>
              </w:rPr>
              <w:t>Bahreï</w:t>
            </w:r>
            <w:r w:rsidRPr="005C598A">
              <w:rPr>
                <w:kern w:val="22"/>
                <w:szCs w:val="22"/>
                <w:lang w:val="fr-CA" w:eastAsia="en-CA"/>
              </w:rPr>
              <w:t>n</w:t>
            </w:r>
          </w:p>
        </w:tc>
        <w:tc>
          <w:tcPr>
            <w:tcW w:w="1605" w:type="dxa"/>
            <w:tcBorders>
              <w:top w:val="nil"/>
              <w:left w:val="nil"/>
              <w:bottom w:val="single" w:sz="4" w:space="0" w:color="auto"/>
              <w:right w:val="single" w:sz="4" w:space="0" w:color="auto"/>
            </w:tcBorders>
            <w:shd w:val="clear" w:color="auto" w:fill="auto"/>
            <w:vAlign w:val="center"/>
            <w:hideMark/>
          </w:tcPr>
          <w:p w14:paraId="7CD654F6"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050</w:t>
            </w:r>
          </w:p>
        </w:tc>
        <w:tc>
          <w:tcPr>
            <w:tcW w:w="1610" w:type="dxa"/>
            <w:tcBorders>
              <w:top w:val="nil"/>
              <w:left w:val="nil"/>
              <w:bottom w:val="single" w:sz="4" w:space="0" w:color="auto"/>
              <w:right w:val="single" w:sz="4" w:space="0" w:color="auto"/>
            </w:tcBorders>
            <w:shd w:val="clear" w:color="auto" w:fill="auto"/>
            <w:vAlign w:val="center"/>
            <w:hideMark/>
          </w:tcPr>
          <w:p w14:paraId="45865E0C"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071</w:t>
            </w:r>
          </w:p>
        </w:tc>
        <w:tc>
          <w:tcPr>
            <w:tcW w:w="1590" w:type="dxa"/>
            <w:tcBorders>
              <w:top w:val="nil"/>
              <w:left w:val="nil"/>
              <w:bottom w:val="single" w:sz="4" w:space="0" w:color="auto"/>
              <w:right w:val="single" w:sz="4" w:space="0" w:color="auto"/>
            </w:tcBorders>
            <w:shd w:val="clear" w:color="auto" w:fill="auto"/>
            <w:vAlign w:val="center"/>
            <w:hideMark/>
          </w:tcPr>
          <w:p w14:paraId="4ED2D5CA" w14:textId="77777777" w:rsidR="007B546B" w:rsidRPr="005C598A" w:rsidRDefault="007B546B" w:rsidP="007B546B">
            <w:pPr>
              <w:ind w:right="144"/>
              <w:jc w:val="right"/>
              <w:rPr>
                <w:kern w:val="22"/>
                <w:szCs w:val="22"/>
                <w:lang w:val="fr-CA" w:eastAsia="en-CA"/>
              </w:rPr>
            </w:pPr>
            <w:r w:rsidRPr="005C598A">
              <w:rPr>
                <w:kern w:val="22"/>
                <w:szCs w:val="22"/>
                <w:lang w:val="fr-CA" w:eastAsia="en-CA"/>
              </w:rPr>
              <w:t>1 827</w:t>
            </w:r>
          </w:p>
        </w:tc>
      </w:tr>
      <w:tr w:rsidR="007B546B" w:rsidRPr="005C598A" w14:paraId="2A9537C0"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65A79EC" w14:textId="25B8D94E" w:rsidR="007B546B" w:rsidRPr="005C598A" w:rsidRDefault="007B546B" w:rsidP="00120F79">
            <w:pPr>
              <w:jc w:val="right"/>
              <w:rPr>
                <w:kern w:val="22"/>
                <w:szCs w:val="22"/>
                <w:lang w:val="fr-CA" w:eastAsia="en-CA"/>
              </w:rPr>
            </w:pPr>
            <w:r>
              <w:rPr>
                <w:kern w:val="22"/>
                <w:szCs w:val="22"/>
                <w:lang w:val="fr-CA" w:eastAsia="en-CA"/>
              </w:rPr>
              <w:t>14</w:t>
            </w:r>
          </w:p>
        </w:tc>
        <w:tc>
          <w:tcPr>
            <w:tcW w:w="3966" w:type="dxa"/>
            <w:tcBorders>
              <w:top w:val="nil"/>
              <w:left w:val="nil"/>
              <w:bottom w:val="single" w:sz="4" w:space="0" w:color="auto"/>
              <w:right w:val="single" w:sz="4" w:space="0" w:color="auto"/>
            </w:tcBorders>
            <w:shd w:val="clear" w:color="auto" w:fill="auto"/>
            <w:vAlign w:val="center"/>
            <w:hideMark/>
          </w:tcPr>
          <w:p w14:paraId="68042A8C" w14:textId="77777777" w:rsidR="007B546B" w:rsidRPr="005C598A" w:rsidRDefault="007B546B" w:rsidP="00120F79">
            <w:pPr>
              <w:jc w:val="left"/>
              <w:rPr>
                <w:kern w:val="22"/>
                <w:szCs w:val="22"/>
                <w:lang w:val="fr-CA" w:eastAsia="en-CA"/>
              </w:rPr>
            </w:pPr>
            <w:r w:rsidRPr="005C598A">
              <w:rPr>
                <w:kern w:val="22"/>
                <w:szCs w:val="22"/>
                <w:lang w:val="fr-CA" w:eastAsia="en-CA"/>
              </w:rPr>
              <w:t>Bangladesh</w:t>
            </w:r>
          </w:p>
        </w:tc>
        <w:tc>
          <w:tcPr>
            <w:tcW w:w="1605" w:type="dxa"/>
            <w:tcBorders>
              <w:top w:val="nil"/>
              <w:left w:val="nil"/>
              <w:bottom w:val="single" w:sz="4" w:space="0" w:color="auto"/>
              <w:right w:val="single" w:sz="4" w:space="0" w:color="auto"/>
            </w:tcBorders>
            <w:shd w:val="clear" w:color="auto" w:fill="auto"/>
            <w:vAlign w:val="center"/>
            <w:hideMark/>
          </w:tcPr>
          <w:p w14:paraId="02E13892"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010</w:t>
            </w:r>
          </w:p>
        </w:tc>
        <w:tc>
          <w:tcPr>
            <w:tcW w:w="1610" w:type="dxa"/>
            <w:tcBorders>
              <w:top w:val="nil"/>
              <w:left w:val="nil"/>
              <w:bottom w:val="single" w:sz="4" w:space="0" w:color="auto"/>
              <w:right w:val="single" w:sz="4" w:space="0" w:color="auto"/>
            </w:tcBorders>
            <w:shd w:val="clear" w:color="auto" w:fill="auto"/>
            <w:vAlign w:val="center"/>
            <w:hideMark/>
          </w:tcPr>
          <w:p w14:paraId="1543E83F"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010</w:t>
            </w:r>
          </w:p>
        </w:tc>
        <w:tc>
          <w:tcPr>
            <w:tcW w:w="1590" w:type="dxa"/>
            <w:tcBorders>
              <w:top w:val="nil"/>
              <w:left w:val="nil"/>
              <w:bottom w:val="single" w:sz="4" w:space="0" w:color="auto"/>
              <w:right w:val="single" w:sz="4" w:space="0" w:color="auto"/>
            </w:tcBorders>
            <w:shd w:val="clear" w:color="auto" w:fill="auto"/>
            <w:vAlign w:val="center"/>
            <w:hideMark/>
          </w:tcPr>
          <w:p w14:paraId="69317CFF" w14:textId="77777777" w:rsidR="007B546B" w:rsidRPr="005C598A" w:rsidRDefault="007B546B" w:rsidP="007B546B">
            <w:pPr>
              <w:ind w:right="144"/>
              <w:jc w:val="right"/>
              <w:rPr>
                <w:kern w:val="22"/>
                <w:szCs w:val="22"/>
                <w:lang w:val="fr-CA" w:eastAsia="en-CA"/>
              </w:rPr>
            </w:pPr>
            <w:r w:rsidRPr="005C598A">
              <w:rPr>
                <w:kern w:val="22"/>
                <w:szCs w:val="22"/>
                <w:lang w:val="fr-CA" w:eastAsia="en-CA"/>
              </w:rPr>
              <w:t>256</w:t>
            </w:r>
          </w:p>
        </w:tc>
      </w:tr>
      <w:tr w:rsidR="007B546B" w:rsidRPr="005C598A" w14:paraId="00692863"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98896EB" w14:textId="13C5CA8D" w:rsidR="007B546B" w:rsidRPr="005C598A" w:rsidRDefault="007B546B" w:rsidP="00120F79">
            <w:pPr>
              <w:jc w:val="right"/>
              <w:rPr>
                <w:kern w:val="22"/>
                <w:szCs w:val="22"/>
                <w:lang w:val="fr-CA" w:eastAsia="en-CA"/>
              </w:rPr>
            </w:pPr>
            <w:r>
              <w:rPr>
                <w:kern w:val="22"/>
                <w:szCs w:val="22"/>
                <w:lang w:val="fr-CA" w:eastAsia="en-CA"/>
              </w:rPr>
              <w:t>15</w:t>
            </w:r>
          </w:p>
        </w:tc>
        <w:tc>
          <w:tcPr>
            <w:tcW w:w="3966" w:type="dxa"/>
            <w:tcBorders>
              <w:top w:val="nil"/>
              <w:left w:val="nil"/>
              <w:bottom w:val="single" w:sz="4" w:space="0" w:color="auto"/>
              <w:right w:val="single" w:sz="4" w:space="0" w:color="auto"/>
            </w:tcBorders>
            <w:shd w:val="clear" w:color="auto" w:fill="auto"/>
            <w:vAlign w:val="center"/>
            <w:hideMark/>
          </w:tcPr>
          <w:p w14:paraId="48128ADD" w14:textId="77777777" w:rsidR="007B546B" w:rsidRPr="005C598A" w:rsidRDefault="007B546B" w:rsidP="003B783E">
            <w:pPr>
              <w:jc w:val="left"/>
              <w:rPr>
                <w:kern w:val="22"/>
                <w:szCs w:val="22"/>
                <w:lang w:val="fr-CA" w:eastAsia="en-CA"/>
              </w:rPr>
            </w:pPr>
            <w:r w:rsidRPr="005C598A">
              <w:rPr>
                <w:kern w:val="22"/>
                <w:szCs w:val="22"/>
                <w:lang w:val="fr-CA" w:eastAsia="en-CA"/>
              </w:rPr>
              <w:t>Barbad</w:t>
            </w:r>
            <w:r>
              <w:rPr>
                <w:kern w:val="22"/>
                <w:szCs w:val="22"/>
                <w:lang w:val="fr-CA" w:eastAsia="en-CA"/>
              </w:rPr>
              <w:t>e</w:t>
            </w:r>
          </w:p>
        </w:tc>
        <w:tc>
          <w:tcPr>
            <w:tcW w:w="1605" w:type="dxa"/>
            <w:tcBorders>
              <w:top w:val="nil"/>
              <w:left w:val="nil"/>
              <w:bottom w:val="single" w:sz="4" w:space="0" w:color="auto"/>
              <w:right w:val="single" w:sz="4" w:space="0" w:color="auto"/>
            </w:tcBorders>
            <w:shd w:val="clear" w:color="auto" w:fill="auto"/>
            <w:vAlign w:val="center"/>
            <w:hideMark/>
          </w:tcPr>
          <w:p w14:paraId="0A6623CB"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007</w:t>
            </w:r>
          </w:p>
        </w:tc>
        <w:tc>
          <w:tcPr>
            <w:tcW w:w="1610" w:type="dxa"/>
            <w:tcBorders>
              <w:top w:val="nil"/>
              <w:left w:val="nil"/>
              <w:bottom w:val="single" w:sz="4" w:space="0" w:color="auto"/>
              <w:right w:val="single" w:sz="4" w:space="0" w:color="auto"/>
            </w:tcBorders>
            <w:shd w:val="clear" w:color="auto" w:fill="auto"/>
            <w:vAlign w:val="center"/>
            <w:hideMark/>
          </w:tcPr>
          <w:p w14:paraId="0B77DE9E"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010</w:t>
            </w:r>
          </w:p>
        </w:tc>
        <w:tc>
          <w:tcPr>
            <w:tcW w:w="1590" w:type="dxa"/>
            <w:tcBorders>
              <w:top w:val="nil"/>
              <w:left w:val="nil"/>
              <w:bottom w:val="single" w:sz="4" w:space="0" w:color="auto"/>
              <w:right w:val="single" w:sz="4" w:space="0" w:color="auto"/>
            </w:tcBorders>
            <w:shd w:val="clear" w:color="auto" w:fill="auto"/>
            <w:vAlign w:val="center"/>
            <w:hideMark/>
          </w:tcPr>
          <w:p w14:paraId="10A40BE6" w14:textId="77777777" w:rsidR="007B546B" w:rsidRPr="005C598A" w:rsidRDefault="007B546B" w:rsidP="007B546B">
            <w:pPr>
              <w:ind w:right="144"/>
              <w:jc w:val="right"/>
              <w:rPr>
                <w:kern w:val="22"/>
                <w:szCs w:val="22"/>
                <w:lang w:val="fr-CA" w:eastAsia="en-CA"/>
              </w:rPr>
            </w:pPr>
            <w:r w:rsidRPr="005C598A">
              <w:rPr>
                <w:kern w:val="22"/>
                <w:szCs w:val="22"/>
                <w:lang w:val="fr-CA" w:eastAsia="en-CA"/>
              </w:rPr>
              <w:t>256</w:t>
            </w:r>
          </w:p>
        </w:tc>
      </w:tr>
      <w:tr w:rsidR="007B546B" w:rsidRPr="005C598A" w14:paraId="43DA468F"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D3F096C" w14:textId="406B0AC6" w:rsidR="007B546B" w:rsidRPr="005C598A" w:rsidRDefault="007B546B" w:rsidP="00120F79">
            <w:pPr>
              <w:jc w:val="right"/>
              <w:rPr>
                <w:kern w:val="22"/>
                <w:szCs w:val="22"/>
                <w:lang w:val="fr-CA" w:eastAsia="en-CA"/>
              </w:rPr>
            </w:pPr>
            <w:r>
              <w:rPr>
                <w:kern w:val="22"/>
                <w:szCs w:val="22"/>
                <w:lang w:val="fr-CA" w:eastAsia="en-CA"/>
              </w:rPr>
              <w:t>16</w:t>
            </w:r>
          </w:p>
        </w:tc>
        <w:tc>
          <w:tcPr>
            <w:tcW w:w="3966" w:type="dxa"/>
            <w:tcBorders>
              <w:top w:val="nil"/>
              <w:left w:val="nil"/>
              <w:bottom w:val="single" w:sz="4" w:space="0" w:color="auto"/>
              <w:right w:val="single" w:sz="4" w:space="0" w:color="auto"/>
            </w:tcBorders>
            <w:shd w:val="clear" w:color="auto" w:fill="auto"/>
            <w:vAlign w:val="center"/>
            <w:hideMark/>
          </w:tcPr>
          <w:p w14:paraId="56595B90" w14:textId="77777777" w:rsidR="007B546B" w:rsidRPr="005C598A" w:rsidRDefault="007B546B" w:rsidP="00120F79">
            <w:pPr>
              <w:jc w:val="left"/>
              <w:rPr>
                <w:kern w:val="22"/>
                <w:szCs w:val="22"/>
                <w:lang w:val="fr-CA" w:eastAsia="en-CA"/>
              </w:rPr>
            </w:pPr>
            <w:r w:rsidRPr="005C598A">
              <w:rPr>
                <w:kern w:val="22"/>
                <w:szCs w:val="22"/>
                <w:lang w:val="fr-CA" w:eastAsia="en-CA"/>
              </w:rPr>
              <w:t>Belarus</w:t>
            </w:r>
          </w:p>
        </w:tc>
        <w:tc>
          <w:tcPr>
            <w:tcW w:w="1605" w:type="dxa"/>
            <w:tcBorders>
              <w:top w:val="nil"/>
              <w:left w:val="nil"/>
              <w:bottom w:val="single" w:sz="4" w:space="0" w:color="auto"/>
              <w:right w:val="single" w:sz="4" w:space="0" w:color="auto"/>
            </w:tcBorders>
            <w:shd w:val="clear" w:color="auto" w:fill="auto"/>
            <w:vAlign w:val="center"/>
            <w:hideMark/>
          </w:tcPr>
          <w:p w14:paraId="3D1A77AF"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049</w:t>
            </w:r>
          </w:p>
        </w:tc>
        <w:tc>
          <w:tcPr>
            <w:tcW w:w="1610" w:type="dxa"/>
            <w:tcBorders>
              <w:top w:val="nil"/>
              <w:left w:val="nil"/>
              <w:bottom w:val="single" w:sz="4" w:space="0" w:color="auto"/>
              <w:right w:val="single" w:sz="4" w:space="0" w:color="auto"/>
            </w:tcBorders>
            <w:shd w:val="clear" w:color="auto" w:fill="auto"/>
            <w:vAlign w:val="center"/>
            <w:hideMark/>
          </w:tcPr>
          <w:p w14:paraId="3B6E3C48"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070</w:t>
            </w:r>
          </w:p>
        </w:tc>
        <w:tc>
          <w:tcPr>
            <w:tcW w:w="1590" w:type="dxa"/>
            <w:tcBorders>
              <w:top w:val="nil"/>
              <w:left w:val="nil"/>
              <w:bottom w:val="single" w:sz="4" w:space="0" w:color="auto"/>
              <w:right w:val="single" w:sz="4" w:space="0" w:color="auto"/>
            </w:tcBorders>
            <w:shd w:val="clear" w:color="auto" w:fill="auto"/>
            <w:vAlign w:val="center"/>
            <w:hideMark/>
          </w:tcPr>
          <w:p w14:paraId="0F0B697B" w14:textId="77777777" w:rsidR="007B546B" w:rsidRPr="005C598A" w:rsidRDefault="007B546B" w:rsidP="007B546B">
            <w:pPr>
              <w:ind w:right="144"/>
              <w:jc w:val="right"/>
              <w:rPr>
                <w:kern w:val="22"/>
                <w:szCs w:val="22"/>
                <w:lang w:val="fr-CA" w:eastAsia="en-CA"/>
              </w:rPr>
            </w:pPr>
            <w:r w:rsidRPr="005C598A">
              <w:rPr>
                <w:kern w:val="22"/>
                <w:szCs w:val="22"/>
                <w:lang w:val="fr-CA" w:eastAsia="en-CA"/>
              </w:rPr>
              <w:t>1 791</w:t>
            </w:r>
          </w:p>
        </w:tc>
      </w:tr>
      <w:tr w:rsidR="007B546B" w:rsidRPr="005C598A" w14:paraId="719C4A29"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27D1C29A" w14:textId="5A711A9B" w:rsidR="007B546B" w:rsidRPr="005C598A" w:rsidRDefault="007B546B" w:rsidP="00120F79">
            <w:pPr>
              <w:jc w:val="right"/>
              <w:rPr>
                <w:kern w:val="22"/>
                <w:szCs w:val="22"/>
                <w:lang w:val="fr-CA" w:eastAsia="en-CA"/>
              </w:rPr>
            </w:pPr>
            <w:r>
              <w:rPr>
                <w:kern w:val="22"/>
                <w:szCs w:val="22"/>
                <w:lang w:val="fr-CA" w:eastAsia="en-CA"/>
              </w:rPr>
              <w:t>17</w:t>
            </w:r>
          </w:p>
        </w:tc>
        <w:tc>
          <w:tcPr>
            <w:tcW w:w="3966" w:type="dxa"/>
            <w:tcBorders>
              <w:top w:val="nil"/>
              <w:left w:val="nil"/>
              <w:bottom w:val="single" w:sz="4" w:space="0" w:color="auto"/>
              <w:right w:val="single" w:sz="4" w:space="0" w:color="auto"/>
            </w:tcBorders>
            <w:shd w:val="clear" w:color="auto" w:fill="auto"/>
            <w:vAlign w:val="center"/>
            <w:hideMark/>
          </w:tcPr>
          <w:p w14:paraId="352361F1" w14:textId="77777777" w:rsidR="007B546B" w:rsidRPr="005C598A" w:rsidRDefault="007B546B" w:rsidP="003B783E">
            <w:pPr>
              <w:jc w:val="left"/>
              <w:rPr>
                <w:kern w:val="22"/>
                <w:szCs w:val="22"/>
                <w:lang w:val="fr-CA" w:eastAsia="en-CA"/>
              </w:rPr>
            </w:pPr>
            <w:r w:rsidRPr="005C598A">
              <w:rPr>
                <w:kern w:val="22"/>
                <w:szCs w:val="22"/>
                <w:lang w:val="fr-CA" w:eastAsia="en-CA"/>
              </w:rPr>
              <w:t>Belgi</w:t>
            </w:r>
            <w:r>
              <w:rPr>
                <w:kern w:val="22"/>
                <w:szCs w:val="22"/>
                <w:lang w:val="fr-CA" w:eastAsia="en-CA"/>
              </w:rPr>
              <w:t>que</w:t>
            </w:r>
          </w:p>
        </w:tc>
        <w:tc>
          <w:tcPr>
            <w:tcW w:w="1605" w:type="dxa"/>
            <w:tcBorders>
              <w:top w:val="nil"/>
              <w:left w:val="nil"/>
              <w:bottom w:val="single" w:sz="4" w:space="0" w:color="auto"/>
              <w:right w:val="single" w:sz="4" w:space="0" w:color="auto"/>
            </w:tcBorders>
            <w:shd w:val="clear" w:color="auto" w:fill="auto"/>
            <w:vAlign w:val="center"/>
            <w:hideMark/>
          </w:tcPr>
          <w:p w14:paraId="297125C8"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821</w:t>
            </w:r>
          </w:p>
        </w:tc>
        <w:tc>
          <w:tcPr>
            <w:tcW w:w="1610" w:type="dxa"/>
            <w:tcBorders>
              <w:top w:val="nil"/>
              <w:left w:val="nil"/>
              <w:bottom w:val="single" w:sz="4" w:space="0" w:color="auto"/>
              <w:right w:val="single" w:sz="4" w:space="0" w:color="auto"/>
            </w:tcBorders>
            <w:shd w:val="clear" w:color="auto" w:fill="auto"/>
            <w:vAlign w:val="center"/>
            <w:hideMark/>
          </w:tcPr>
          <w:p w14:paraId="74C32B37" w14:textId="77777777" w:rsidR="007B546B" w:rsidRPr="005C598A" w:rsidRDefault="007B546B" w:rsidP="007B546B">
            <w:pPr>
              <w:ind w:right="144"/>
              <w:jc w:val="right"/>
              <w:rPr>
                <w:kern w:val="22"/>
                <w:szCs w:val="22"/>
                <w:lang w:val="fr-CA" w:eastAsia="en-CA"/>
              </w:rPr>
            </w:pPr>
            <w:r w:rsidRPr="005C598A">
              <w:rPr>
                <w:kern w:val="22"/>
                <w:szCs w:val="22"/>
                <w:lang w:val="fr-CA" w:eastAsia="en-CA"/>
              </w:rPr>
              <w:t>1</w:t>
            </w:r>
            <w:r>
              <w:rPr>
                <w:kern w:val="22"/>
                <w:szCs w:val="22"/>
                <w:lang w:val="fr-CA" w:eastAsia="en-CA"/>
              </w:rPr>
              <w:t>,</w:t>
            </w:r>
            <w:r w:rsidRPr="005C598A">
              <w:rPr>
                <w:kern w:val="22"/>
                <w:szCs w:val="22"/>
                <w:lang w:val="fr-CA" w:eastAsia="en-CA"/>
              </w:rPr>
              <w:t>173</w:t>
            </w:r>
          </w:p>
        </w:tc>
        <w:tc>
          <w:tcPr>
            <w:tcW w:w="1590" w:type="dxa"/>
            <w:tcBorders>
              <w:top w:val="nil"/>
              <w:left w:val="nil"/>
              <w:bottom w:val="single" w:sz="4" w:space="0" w:color="auto"/>
              <w:right w:val="single" w:sz="4" w:space="0" w:color="auto"/>
            </w:tcBorders>
            <w:shd w:val="clear" w:color="auto" w:fill="auto"/>
            <w:vAlign w:val="center"/>
            <w:hideMark/>
          </w:tcPr>
          <w:p w14:paraId="7E5DDAB5" w14:textId="77777777" w:rsidR="007B546B" w:rsidRPr="005C598A" w:rsidRDefault="007B546B" w:rsidP="007B546B">
            <w:pPr>
              <w:ind w:right="144"/>
              <w:jc w:val="right"/>
              <w:rPr>
                <w:kern w:val="22"/>
                <w:szCs w:val="22"/>
                <w:lang w:val="fr-CA" w:eastAsia="en-CA"/>
              </w:rPr>
            </w:pPr>
            <w:r w:rsidRPr="005C598A">
              <w:rPr>
                <w:kern w:val="22"/>
                <w:szCs w:val="22"/>
                <w:lang w:val="fr-CA" w:eastAsia="en-CA"/>
              </w:rPr>
              <w:t>30 006</w:t>
            </w:r>
          </w:p>
        </w:tc>
      </w:tr>
      <w:tr w:rsidR="007B546B" w:rsidRPr="005C598A" w14:paraId="65902362"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3D60334" w14:textId="3EE26669" w:rsidR="007B546B" w:rsidRPr="005C598A" w:rsidRDefault="007B546B" w:rsidP="00120F79">
            <w:pPr>
              <w:jc w:val="right"/>
              <w:rPr>
                <w:kern w:val="22"/>
                <w:szCs w:val="22"/>
                <w:lang w:val="fr-CA" w:eastAsia="en-CA"/>
              </w:rPr>
            </w:pPr>
            <w:r>
              <w:rPr>
                <w:kern w:val="22"/>
                <w:szCs w:val="22"/>
                <w:lang w:val="fr-CA" w:eastAsia="en-CA"/>
              </w:rPr>
              <w:t>18</w:t>
            </w:r>
          </w:p>
        </w:tc>
        <w:tc>
          <w:tcPr>
            <w:tcW w:w="3966" w:type="dxa"/>
            <w:tcBorders>
              <w:top w:val="nil"/>
              <w:left w:val="nil"/>
              <w:bottom w:val="single" w:sz="4" w:space="0" w:color="auto"/>
              <w:right w:val="single" w:sz="4" w:space="0" w:color="auto"/>
            </w:tcBorders>
            <w:shd w:val="clear" w:color="auto" w:fill="auto"/>
            <w:vAlign w:val="center"/>
            <w:hideMark/>
          </w:tcPr>
          <w:p w14:paraId="1445A28F" w14:textId="77777777" w:rsidR="007B546B" w:rsidRPr="005C598A" w:rsidRDefault="007B546B" w:rsidP="00120F79">
            <w:pPr>
              <w:jc w:val="left"/>
              <w:rPr>
                <w:kern w:val="22"/>
                <w:szCs w:val="22"/>
                <w:lang w:val="fr-CA" w:eastAsia="en-CA"/>
              </w:rPr>
            </w:pPr>
            <w:r w:rsidRPr="005C598A">
              <w:rPr>
                <w:kern w:val="22"/>
                <w:szCs w:val="22"/>
                <w:lang w:val="fr-CA" w:eastAsia="en-CA"/>
              </w:rPr>
              <w:t>Belize</w:t>
            </w:r>
          </w:p>
        </w:tc>
        <w:tc>
          <w:tcPr>
            <w:tcW w:w="1605" w:type="dxa"/>
            <w:tcBorders>
              <w:top w:val="nil"/>
              <w:left w:val="nil"/>
              <w:bottom w:val="single" w:sz="4" w:space="0" w:color="auto"/>
              <w:right w:val="single" w:sz="4" w:space="0" w:color="auto"/>
            </w:tcBorders>
            <w:shd w:val="clear" w:color="auto" w:fill="auto"/>
            <w:vAlign w:val="center"/>
            <w:hideMark/>
          </w:tcPr>
          <w:p w14:paraId="4E79F20F"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001</w:t>
            </w:r>
          </w:p>
        </w:tc>
        <w:tc>
          <w:tcPr>
            <w:tcW w:w="1610" w:type="dxa"/>
            <w:tcBorders>
              <w:top w:val="nil"/>
              <w:left w:val="nil"/>
              <w:bottom w:val="single" w:sz="4" w:space="0" w:color="auto"/>
              <w:right w:val="single" w:sz="4" w:space="0" w:color="auto"/>
            </w:tcBorders>
            <w:shd w:val="clear" w:color="auto" w:fill="auto"/>
            <w:vAlign w:val="center"/>
            <w:hideMark/>
          </w:tcPr>
          <w:p w14:paraId="37480670"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001</w:t>
            </w:r>
          </w:p>
        </w:tc>
        <w:tc>
          <w:tcPr>
            <w:tcW w:w="1590" w:type="dxa"/>
            <w:tcBorders>
              <w:top w:val="nil"/>
              <w:left w:val="nil"/>
              <w:bottom w:val="single" w:sz="4" w:space="0" w:color="auto"/>
              <w:right w:val="single" w:sz="4" w:space="0" w:color="auto"/>
            </w:tcBorders>
            <w:shd w:val="clear" w:color="auto" w:fill="auto"/>
            <w:vAlign w:val="center"/>
            <w:hideMark/>
          </w:tcPr>
          <w:p w14:paraId="612BBA1F" w14:textId="77777777" w:rsidR="007B546B" w:rsidRPr="005C598A" w:rsidRDefault="007B546B" w:rsidP="007B546B">
            <w:pPr>
              <w:ind w:right="144"/>
              <w:jc w:val="right"/>
              <w:rPr>
                <w:kern w:val="22"/>
                <w:szCs w:val="22"/>
                <w:lang w:val="fr-CA" w:eastAsia="en-CA"/>
              </w:rPr>
            </w:pPr>
            <w:r w:rsidRPr="005C598A">
              <w:rPr>
                <w:kern w:val="22"/>
                <w:szCs w:val="22"/>
                <w:lang w:val="fr-CA" w:eastAsia="en-CA"/>
              </w:rPr>
              <w:t>37</w:t>
            </w:r>
          </w:p>
        </w:tc>
      </w:tr>
      <w:tr w:rsidR="007B546B" w:rsidRPr="005C598A" w14:paraId="0F12F9A0"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5AA448F" w14:textId="5301DDDD" w:rsidR="007B546B" w:rsidRPr="005C598A" w:rsidRDefault="007B546B" w:rsidP="00120F79">
            <w:pPr>
              <w:jc w:val="right"/>
              <w:rPr>
                <w:kern w:val="22"/>
                <w:szCs w:val="22"/>
                <w:lang w:val="fr-CA" w:eastAsia="en-CA"/>
              </w:rPr>
            </w:pPr>
            <w:r>
              <w:rPr>
                <w:kern w:val="22"/>
                <w:szCs w:val="22"/>
                <w:lang w:val="fr-CA" w:eastAsia="en-CA"/>
              </w:rPr>
              <w:t>19</w:t>
            </w:r>
          </w:p>
        </w:tc>
        <w:tc>
          <w:tcPr>
            <w:tcW w:w="3966" w:type="dxa"/>
            <w:tcBorders>
              <w:top w:val="nil"/>
              <w:left w:val="nil"/>
              <w:bottom w:val="single" w:sz="4" w:space="0" w:color="auto"/>
              <w:right w:val="single" w:sz="4" w:space="0" w:color="auto"/>
            </w:tcBorders>
            <w:shd w:val="clear" w:color="auto" w:fill="auto"/>
            <w:vAlign w:val="center"/>
            <w:hideMark/>
          </w:tcPr>
          <w:p w14:paraId="5015199C" w14:textId="77777777" w:rsidR="007B546B" w:rsidRPr="005C598A" w:rsidRDefault="007B546B" w:rsidP="00120F79">
            <w:pPr>
              <w:jc w:val="left"/>
              <w:rPr>
                <w:kern w:val="22"/>
                <w:szCs w:val="22"/>
                <w:lang w:val="fr-CA" w:eastAsia="en-CA"/>
              </w:rPr>
            </w:pPr>
            <w:r>
              <w:rPr>
                <w:kern w:val="22"/>
                <w:szCs w:val="22"/>
                <w:lang w:val="fr-CA" w:eastAsia="en-CA"/>
              </w:rPr>
              <w:t>Bé</w:t>
            </w:r>
            <w:r w:rsidRPr="005C598A">
              <w:rPr>
                <w:kern w:val="22"/>
                <w:szCs w:val="22"/>
                <w:lang w:val="fr-CA" w:eastAsia="en-CA"/>
              </w:rPr>
              <w:t>nin</w:t>
            </w:r>
          </w:p>
        </w:tc>
        <w:tc>
          <w:tcPr>
            <w:tcW w:w="1605" w:type="dxa"/>
            <w:tcBorders>
              <w:top w:val="nil"/>
              <w:left w:val="nil"/>
              <w:bottom w:val="single" w:sz="4" w:space="0" w:color="auto"/>
              <w:right w:val="single" w:sz="4" w:space="0" w:color="auto"/>
            </w:tcBorders>
            <w:shd w:val="clear" w:color="auto" w:fill="auto"/>
            <w:vAlign w:val="center"/>
            <w:hideMark/>
          </w:tcPr>
          <w:p w14:paraId="54845295"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003</w:t>
            </w:r>
          </w:p>
        </w:tc>
        <w:tc>
          <w:tcPr>
            <w:tcW w:w="1610" w:type="dxa"/>
            <w:tcBorders>
              <w:top w:val="nil"/>
              <w:left w:val="nil"/>
              <w:bottom w:val="single" w:sz="4" w:space="0" w:color="auto"/>
              <w:right w:val="single" w:sz="4" w:space="0" w:color="auto"/>
            </w:tcBorders>
            <w:shd w:val="clear" w:color="auto" w:fill="auto"/>
            <w:vAlign w:val="center"/>
            <w:hideMark/>
          </w:tcPr>
          <w:p w14:paraId="736100F5"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004</w:t>
            </w:r>
          </w:p>
        </w:tc>
        <w:tc>
          <w:tcPr>
            <w:tcW w:w="1590" w:type="dxa"/>
            <w:tcBorders>
              <w:top w:val="nil"/>
              <w:left w:val="nil"/>
              <w:bottom w:val="single" w:sz="4" w:space="0" w:color="auto"/>
              <w:right w:val="single" w:sz="4" w:space="0" w:color="auto"/>
            </w:tcBorders>
            <w:shd w:val="clear" w:color="auto" w:fill="auto"/>
            <w:vAlign w:val="center"/>
            <w:hideMark/>
          </w:tcPr>
          <w:p w14:paraId="6B6EA73F" w14:textId="77777777" w:rsidR="007B546B" w:rsidRPr="005C598A" w:rsidRDefault="007B546B" w:rsidP="007B546B">
            <w:pPr>
              <w:ind w:right="144"/>
              <w:jc w:val="right"/>
              <w:rPr>
                <w:kern w:val="22"/>
                <w:szCs w:val="22"/>
                <w:lang w:val="fr-CA" w:eastAsia="en-CA"/>
              </w:rPr>
            </w:pPr>
            <w:r w:rsidRPr="005C598A">
              <w:rPr>
                <w:kern w:val="22"/>
                <w:szCs w:val="22"/>
                <w:lang w:val="fr-CA" w:eastAsia="en-CA"/>
              </w:rPr>
              <w:t>110</w:t>
            </w:r>
          </w:p>
        </w:tc>
      </w:tr>
      <w:tr w:rsidR="007B546B" w:rsidRPr="005C598A" w14:paraId="3693726C"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5FF2B97" w14:textId="3D931608" w:rsidR="007B546B" w:rsidRPr="005C598A" w:rsidRDefault="007B546B" w:rsidP="00120F79">
            <w:pPr>
              <w:jc w:val="right"/>
              <w:rPr>
                <w:kern w:val="22"/>
                <w:szCs w:val="22"/>
                <w:lang w:val="fr-CA" w:eastAsia="en-CA"/>
              </w:rPr>
            </w:pPr>
            <w:r>
              <w:rPr>
                <w:kern w:val="22"/>
                <w:szCs w:val="22"/>
                <w:lang w:val="fr-CA" w:eastAsia="en-CA"/>
              </w:rPr>
              <w:t>20</w:t>
            </w:r>
          </w:p>
        </w:tc>
        <w:tc>
          <w:tcPr>
            <w:tcW w:w="3966" w:type="dxa"/>
            <w:tcBorders>
              <w:top w:val="nil"/>
              <w:left w:val="nil"/>
              <w:bottom w:val="single" w:sz="4" w:space="0" w:color="auto"/>
              <w:right w:val="single" w:sz="4" w:space="0" w:color="auto"/>
            </w:tcBorders>
            <w:shd w:val="clear" w:color="auto" w:fill="auto"/>
            <w:vAlign w:val="center"/>
            <w:hideMark/>
          </w:tcPr>
          <w:p w14:paraId="0938301A" w14:textId="77777777" w:rsidR="007B546B" w:rsidRPr="005C598A" w:rsidRDefault="007B546B" w:rsidP="00120F79">
            <w:pPr>
              <w:jc w:val="left"/>
              <w:rPr>
                <w:kern w:val="22"/>
                <w:szCs w:val="22"/>
                <w:lang w:val="fr-CA" w:eastAsia="en-CA"/>
              </w:rPr>
            </w:pPr>
            <w:r w:rsidRPr="005C598A">
              <w:rPr>
                <w:kern w:val="22"/>
                <w:szCs w:val="22"/>
                <w:lang w:val="fr-CA" w:eastAsia="en-CA"/>
              </w:rPr>
              <w:t>Bh</w:t>
            </w:r>
            <w:r>
              <w:rPr>
                <w:kern w:val="22"/>
                <w:szCs w:val="22"/>
                <w:lang w:val="fr-CA" w:eastAsia="en-CA"/>
              </w:rPr>
              <w:t>o</w:t>
            </w:r>
            <w:r w:rsidRPr="005C598A">
              <w:rPr>
                <w:kern w:val="22"/>
                <w:szCs w:val="22"/>
                <w:lang w:val="fr-CA" w:eastAsia="en-CA"/>
              </w:rPr>
              <w:t>utan</w:t>
            </w:r>
          </w:p>
        </w:tc>
        <w:tc>
          <w:tcPr>
            <w:tcW w:w="1605" w:type="dxa"/>
            <w:tcBorders>
              <w:top w:val="nil"/>
              <w:left w:val="nil"/>
              <w:bottom w:val="single" w:sz="4" w:space="0" w:color="auto"/>
              <w:right w:val="single" w:sz="4" w:space="0" w:color="auto"/>
            </w:tcBorders>
            <w:shd w:val="clear" w:color="auto" w:fill="auto"/>
            <w:vAlign w:val="center"/>
            <w:hideMark/>
          </w:tcPr>
          <w:p w14:paraId="4B9A0CAB"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001</w:t>
            </w:r>
          </w:p>
        </w:tc>
        <w:tc>
          <w:tcPr>
            <w:tcW w:w="1610" w:type="dxa"/>
            <w:tcBorders>
              <w:top w:val="nil"/>
              <w:left w:val="nil"/>
              <w:bottom w:val="single" w:sz="4" w:space="0" w:color="auto"/>
              <w:right w:val="single" w:sz="4" w:space="0" w:color="auto"/>
            </w:tcBorders>
            <w:shd w:val="clear" w:color="auto" w:fill="auto"/>
            <w:vAlign w:val="center"/>
            <w:hideMark/>
          </w:tcPr>
          <w:p w14:paraId="6FE4D0F0"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001</w:t>
            </w:r>
          </w:p>
        </w:tc>
        <w:tc>
          <w:tcPr>
            <w:tcW w:w="1590" w:type="dxa"/>
            <w:tcBorders>
              <w:top w:val="nil"/>
              <w:left w:val="nil"/>
              <w:bottom w:val="single" w:sz="4" w:space="0" w:color="auto"/>
              <w:right w:val="single" w:sz="4" w:space="0" w:color="auto"/>
            </w:tcBorders>
            <w:shd w:val="clear" w:color="auto" w:fill="auto"/>
            <w:vAlign w:val="center"/>
            <w:hideMark/>
          </w:tcPr>
          <w:p w14:paraId="383078B4" w14:textId="77777777" w:rsidR="007B546B" w:rsidRPr="005C598A" w:rsidRDefault="007B546B" w:rsidP="007B546B">
            <w:pPr>
              <w:ind w:right="144"/>
              <w:jc w:val="right"/>
              <w:rPr>
                <w:kern w:val="22"/>
                <w:szCs w:val="22"/>
                <w:lang w:val="fr-CA" w:eastAsia="en-CA"/>
              </w:rPr>
            </w:pPr>
            <w:r w:rsidRPr="005C598A">
              <w:rPr>
                <w:kern w:val="22"/>
                <w:szCs w:val="22"/>
                <w:lang w:val="fr-CA" w:eastAsia="en-CA"/>
              </w:rPr>
              <w:t>37</w:t>
            </w:r>
          </w:p>
        </w:tc>
      </w:tr>
      <w:tr w:rsidR="007B546B" w:rsidRPr="005C598A" w14:paraId="28CA5FB5"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1997BB0" w14:textId="5B92D7EA" w:rsidR="007B546B" w:rsidRPr="005C598A" w:rsidRDefault="007B546B" w:rsidP="00120F79">
            <w:pPr>
              <w:jc w:val="right"/>
              <w:rPr>
                <w:kern w:val="22"/>
                <w:szCs w:val="22"/>
                <w:lang w:val="fr-CA" w:eastAsia="en-CA"/>
              </w:rPr>
            </w:pPr>
            <w:r>
              <w:rPr>
                <w:kern w:val="22"/>
                <w:szCs w:val="22"/>
                <w:lang w:val="fr-CA" w:eastAsia="en-CA"/>
              </w:rPr>
              <w:t>21</w:t>
            </w:r>
          </w:p>
        </w:tc>
        <w:tc>
          <w:tcPr>
            <w:tcW w:w="3966" w:type="dxa"/>
            <w:tcBorders>
              <w:top w:val="nil"/>
              <w:left w:val="nil"/>
              <w:bottom w:val="single" w:sz="4" w:space="0" w:color="auto"/>
              <w:right w:val="single" w:sz="4" w:space="0" w:color="auto"/>
            </w:tcBorders>
            <w:shd w:val="clear" w:color="auto" w:fill="auto"/>
            <w:vAlign w:val="center"/>
            <w:hideMark/>
          </w:tcPr>
          <w:p w14:paraId="082B02B5" w14:textId="77777777" w:rsidR="007B546B" w:rsidRPr="005C598A" w:rsidRDefault="007B546B" w:rsidP="003B783E">
            <w:pPr>
              <w:jc w:val="left"/>
              <w:rPr>
                <w:kern w:val="22"/>
                <w:szCs w:val="22"/>
                <w:lang w:val="fr-CA" w:eastAsia="en-CA"/>
              </w:rPr>
            </w:pPr>
            <w:r w:rsidRPr="005C598A">
              <w:rPr>
                <w:kern w:val="22"/>
                <w:szCs w:val="22"/>
                <w:lang w:val="fr-CA" w:eastAsia="en-CA"/>
              </w:rPr>
              <w:t>Bolivia (</w:t>
            </w:r>
            <w:r>
              <w:rPr>
                <w:kern w:val="22"/>
                <w:szCs w:val="22"/>
                <w:lang w:val="fr-CA" w:eastAsia="en-CA"/>
              </w:rPr>
              <w:t>État plurinational de</w:t>
            </w:r>
            <w:r w:rsidRPr="005C598A">
              <w:rPr>
                <w:kern w:val="22"/>
                <w:szCs w:val="22"/>
                <w:lang w:val="fr-CA" w:eastAsia="en-CA"/>
              </w:rPr>
              <w:t>)</w:t>
            </w:r>
          </w:p>
        </w:tc>
        <w:tc>
          <w:tcPr>
            <w:tcW w:w="1605" w:type="dxa"/>
            <w:tcBorders>
              <w:top w:val="nil"/>
              <w:left w:val="nil"/>
              <w:bottom w:val="single" w:sz="4" w:space="0" w:color="auto"/>
              <w:right w:val="single" w:sz="4" w:space="0" w:color="auto"/>
            </w:tcBorders>
            <w:shd w:val="clear" w:color="auto" w:fill="auto"/>
            <w:vAlign w:val="center"/>
            <w:hideMark/>
          </w:tcPr>
          <w:p w14:paraId="75137F37"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016</w:t>
            </w:r>
          </w:p>
        </w:tc>
        <w:tc>
          <w:tcPr>
            <w:tcW w:w="1610" w:type="dxa"/>
            <w:tcBorders>
              <w:top w:val="nil"/>
              <w:left w:val="nil"/>
              <w:bottom w:val="single" w:sz="4" w:space="0" w:color="auto"/>
              <w:right w:val="single" w:sz="4" w:space="0" w:color="auto"/>
            </w:tcBorders>
            <w:shd w:val="clear" w:color="auto" w:fill="auto"/>
            <w:vAlign w:val="center"/>
            <w:hideMark/>
          </w:tcPr>
          <w:p w14:paraId="08045A4B"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023</w:t>
            </w:r>
          </w:p>
        </w:tc>
        <w:tc>
          <w:tcPr>
            <w:tcW w:w="1590" w:type="dxa"/>
            <w:tcBorders>
              <w:top w:val="nil"/>
              <w:left w:val="nil"/>
              <w:bottom w:val="single" w:sz="4" w:space="0" w:color="auto"/>
              <w:right w:val="single" w:sz="4" w:space="0" w:color="auto"/>
            </w:tcBorders>
            <w:shd w:val="clear" w:color="auto" w:fill="auto"/>
            <w:vAlign w:val="center"/>
            <w:hideMark/>
          </w:tcPr>
          <w:p w14:paraId="2A08A5B8" w14:textId="77777777" w:rsidR="007B546B" w:rsidRPr="005C598A" w:rsidRDefault="007B546B" w:rsidP="007B546B">
            <w:pPr>
              <w:ind w:right="144"/>
              <w:jc w:val="right"/>
              <w:rPr>
                <w:kern w:val="22"/>
                <w:szCs w:val="22"/>
                <w:lang w:val="fr-CA" w:eastAsia="en-CA"/>
              </w:rPr>
            </w:pPr>
            <w:r w:rsidRPr="005C598A">
              <w:rPr>
                <w:kern w:val="22"/>
                <w:szCs w:val="22"/>
                <w:lang w:val="fr-CA" w:eastAsia="en-CA"/>
              </w:rPr>
              <w:t>585</w:t>
            </w:r>
          </w:p>
        </w:tc>
      </w:tr>
      <w:tr w:rsidR="007B546B" w:rsidRPr="005C598A" w14:paraId="2ED56240"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6C670C0" w14:textId="53CF5F8B" w:rsidR="007B546B" w:rsidRPr="005C598A" w:rsidRDefault="007B546B" w:rsidP="00120F79">
            <w:pPr>
              <w:jc w:val="right"/>
              <w:rPr>
                <w:kern w:val="22"/>
                <w:szCs w:val="22"/>
                <w:lang w:val="fr-CA" w:eastAsia="en-CA"/>
              </w:rPr>
            </w:pPr>
            <w:r>
              <w:rPr>
                <w:kern w:val="22"/>
                <w:szCs w:val="22"/>
                <w:lang w:val="fr-CA" w:eastAsia="en-CA"/>
              </w:rPr>
              <w:t>22</w:t>
            </w:r>
          </w:p>
        </w:tc>
        <w:tc>
          <w:tcPr>
            <w:tcW w:w="3966" w:type="dxa"/>
            <w:tcBorders>
              <w:top w:val="nil"/>
              <w:left w:val="nil"/>
              <w:bottom w:val="single" w:sz="4" w:space="0" w:color="auto"/>
              <w:right w:val="single" w:sz="4" w:space="0" w:color="auto"/>
            </w:tcBorders>
            <w:shd w:val="clear" w:color="auto" w:fill="auto"/>
            <w:vAlign w:val="center"/>
            <w:hideMark/>
          </w:tcPr>
          <w:p w14:paraId="35E07953" w14:textId="77777777" w:rsidR="007B546B" w:rsidRPr="005C598A" w:rsidRDefault="007B546B" w:rsidP="00120F79">
            <w:pPr>
              <w:jc w:val="left"/>
              <w:rPr>
                <w:kern w:val="22"/>
                <w:szCs w:val="22"/>
                <w:lang w:val="fr-CA" w:eastAsia="en-CA"/>
              </w:rPr>
            </w:pPr>
            <w:r>
              <w:rPr>
                <w:kern w:val="22"/>
                <w:szCs w:val="22"/>
                <w:lang w:val="fr-CA" w:eastAsia="en-CA"/>
              </w:rPr>
              <w:t>Bosnie-Herzégovine</w:t>
            </w:r>
          </w:p>
        </w:tc>
        <w:tc>
          <w:tcPr>
            <w:tcW w:w="1605" w:type="dxa"/>
            <w:tcBorders>
              <w:top w:val="nil"/>
              <w:left w:val="nil"/>
              <w:bottom w:val="single" w:sz="4" w:space="0" w:color="auto"/>
              <w:right w:val="single" w:sz="4" w:space="0" w:color="auto"/>
            </w:tcBorders>
            <w:shd w:val="clear" w:color="auto" w:fill="auto"/>
            <w:vAlign w:val="center"/>
            <w:hideMark/>
          </w:tcPr>
          <w:p w14:paraId="7F9B3D7D"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012</w:t>
            </w:r>
          </w:p>
        </w:tc>
        <w:tc>
          <w:tcPr>
            <w:tcW w:w="1610" w:type="dxa"/>
            <w:tcBorders>
              <w:top w:val="nil"/>
              <w:left w:val="nil"/>
              <w:bottom w:val="single" w:sz="4" w:space="0" w:color="auto"/>
              <w:right w:val="single" w:sz="4" w:space="0" w:color="auto"/>
            </w:tcBorders>
            <w:shd w:val="clear" w:color="auto" w:fill="auto"/>
            <w:vAlign w:val="center"/>
            <w:hideMark/>
          </w:tcPr>
          <w:p w14:paraId="0192EA89"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017</w:t>
            </w:r>
          </w:p>
        </w:tc>
        <w:tc>
          <w:tcPr>
            <w:tcW w:w="1590" w:type="dxa"/>
            <w:tcBorders>
              <w:top w:val="nil"/>
              <w:left w:val="nil"/>
              <w:bottom w:val="single" w:sz="4" w:space="0" w:color="auto"/>
              <w:right w:val="single" w:sz="4" w:space="0" w:color="auto"/>
            </w:tcBorders>
            <w:shd w:val="clear" w:color="auto" w:fill="auto"/>
            <w:vAlign w:val="center"/>
            <w:hideMark/>
          </w:tcPr>
          <w:p w14:paraId="7C3C42A3" w14:textId="77777777" w:rsidR="007B546B" w:rsidRPr="005C598A" w:rsidRDefault="007B546B" w:rsidP="007B546B">
            <w:pPr>
              <w:ind w:right="144"/>
              <w:jc w:val="right"/>
              <w:rPr>
                <w:kern w:val="22"/>
                <w:szCs w:val="22"/>
                <w:lang w:val="fr-CA" w:eastAsia="en-CA"/>
              </w:rPr>
            </w:pPr>
            <w:r w:rsidRPr="005C598A">
              <w:rPr>
                <w:kern w:val="22"/>
                <w:szCs w:val="22"/>
                <w:lang w:val="fr-CA" w:eastAsia="en-CA"/>
              </w:rPr>
              <w:t>439</w:t>
            </w:r>
          </w:p>
        </w:tc>
      </w:tr>
      <w:tr w:rsidR="007B546B" w:rsidRPr="005C598A" w14:paraId="023486A2"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4B26FA01" w14:textId="3CF0AF7E" w:rsidR="007B546B" w:rsidRPr="005C598A" w:rsidRDefault="007B546B" w:rsidP="00120F79">
            <w:pPr>
              <w:jc w:val="right"/>
              <w:rPr>
                <w:kern w:val="22"/>
                <w:szCs w:val="22"/>
                <w:lang w:val="fr-CA" w:eastAsia="en-CA"/>
              </w:rPr>
            </w:pPr>
            <w:r>
              <w:rPr>
                <w:kern w:val="22"/>
                <w:szCs w:val="22"/>
                <w:lang w:val="fr-CA" w:eastAsia="en-CA"/>
              </w:rPr>
              <w:t>23</w:t>
            </w:r>
          </w:p>
        </w:tc>
        <w:tc>
          <w:tcPr>
            <w:tcW w:w="3966" w:type="dxa"/>
            <w:tcBorders>
              <w:top w:val="nil"/>
              <w:left w:val="nil"/>
              <w:bottom w:val="single" w:sz="4" w:space="0" w:color="auto"/>
              <w:right w:val="single" w:sz="4" w:space="0" w:color="auto"/>
            </w:tcBorders>
            <w:shd w:val="clear" w:color="auto" w:fill="auto"/>
            <w:vAlign w:val="center"/>
            <w:hideMark/>
          </w:tcPr>
          <w:p w14:paraId="3151E084" w14:textId="77777777" w:rsidR="007B546B" w:rsidRPr="005C598A" w:rsidRDefault="007B546B" w:rsidP="00120F79">
            <w:pPr>
              <w:jc w:val="left"/>
              <w:rPr>
                <w:kern w:val="22"/>
                <w:szCs w:val="22"/>
                <w:lang w:val="fr-CA" w:eastAsia="en-CA"/>
              </w:rPr>
            </w:pPr>
            <w:r w:rsidRPr="005C598A">
              <w:rPr>
                <w:kern w:val="22"/>
                <w:szCs w:val="22"/>
                <w:lang w:val="fr-CA" w:eastAsia="en-CA"/>
              </w:rPr>
              <w:t>Botswana</w:t>
            </w:r>
          </w:p>
        </w:tc>
        <w:tc>
          <w:tcPr>
            <w:tcW w:w="1605" w:type="dxa"/>
            <w:tcBorders>
              <w:top w:val="nil"/>
              <w:left w:val="nil"/>
              <w:bottom w:val="single" w:sz="4" w:space="0" w:color="auto"/>
              <w:right w:val="single" w:sz="4" w:space="0" w:color="auto"/>
            </w:tcBorders>
            <w:shd w:val="clear" w:color="auto" w:fill="auto"/>
            <w:vAlign w:val="center"/>
            <w:hideMark/>
          </w:tcPr>
          <w:p w14:paraId="2D1EEDDD"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014</w:t>
            </w:r>
          </w:p>
        </w:tc>
        <w:tc>
          <w:tcPr>
            <w:tcW w:w="1610" w:type="dxa"/>
            <w:tcBorders>
              <w:top w:val="nil"/>
              <w:left w:val="nil"/>
              <w:bottom w:val="single" w:sz="4" w:space="0" w:color="auto"/>
              <w:right w:val="single" w:sz="4" w:space="0" w:color="auto"/>
            </w:tcBorders>
            <w:shd w:val="clear" w:color="auto" w:fill="auto"/>
            <w:vAlign w:val="center"/>
            <w:hideMark/>
          </w:tcPr>
          <w:p w14:paraId="1697FCD2"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020</w:t>
            </w:r>
          </w:p>
        </w:tc>
        <w:tc>
          <w:tcPr>
            <w:tcW w:w="1590" w:type="dxa"/>
            <w:tcBorders>
              <w:top w:val="nil"/>
              <w:left w:val="nil"/>
              <w:bottom w:val="single" w:sz="4" w:space="0" w:color="auto"/>
              <w:right w:val="single" w:sz="4" w:space="0" w:color="auto"/>
            </w:tcBorders>
            <w:shd w:val="clear" w:color="auto" w:fill="auto"/>
            <w:vAlign w:val="center"/>
            <w:hideMark/>
          </w:tcPr>
          <w:p w14:paraId="5FCACD58" w14:textId="77777777" w:rsidR="007B546B" w:rsidRPr="005C598A" w:rsidRDefault="007B546B" w:rsidP="007B546B">
            <w:pPr>
              <w:ind w:right="144"/>
              <w:jc w:val="right"/>
              <w:rPr>
                <w:kern w:val="22"/>
                <w:szCs w:val="22"/>
                <w:lang w:val="fr-CA" w:eastAsia="en-CA"/>
              </w:rPr>
            </w:pPr>
            <w:r w:rsidRPr="005C598A">
              <w:rPr>
                <w:kern w:val="22"/>
                <w:szCs w:val="22"/>
                <w:lang w:val="fr-CA" w:eastAsia="en-CA"/>
              </w:rPr>
              <w:t>512</w:t>
            </w:r>
          </w:p>
        </w:tc>
      </w:tr>
      <w:tr w:rsidR="007B546B" w:rsidRPr="005C598A" w14:paraId="4CFA485E"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41DAA47" w14:textId="48237CFD" w:rsidR="007B546B" w:rsidRPr="005C598A" w:rsidRDefault="007B546B" w:rsidP="00120F79">
            <w:pPr>
              <w:jc w:val="right"/>
              <w:rPr>
                <w:kern w:val="22"/>
                <w:szCs w:val="22"/>
                <w:lang w:val="fr-CA" w:eastAsia="en-CA"/>
              </w:rPr>
            </w:pPr>
            <w:r>
              <w:rPr>
                <w:kern w:val="22"/>
                <w:szCs w:val="22"/>
                <w:lang w:val="fr-CA" w:eastAsia="en-CA"/>
              </w:rPr>
              <w:t>24</w:t>
            </w:r>
          </w:p>
        </w:tc>
        <w:tc>
          <w:tcPr>
            <w:tcW w:w="3966" w:type="dxa"/>
            <w:tcBorders>
              <w:top w:val="nil"/>
              <w:left w:val="nil"/>
              <w:bottom w:val="single" w:sz="4" w:space="0" w:color="auto"/>
              <w:right w:val="single" w:sz="4" w:space="0" w:color="auto"/>
            </w:tcBorders>
            <w:shd w:val="clear" w:color="auto" w:fill="auto"/>
            <w:vAlign w:val="center"/>
            <w:hideMark/>
          </w:tcPr>
          <w:p w14:paraId="711A2CD3" w14:textId="77777777" w:rsidR="007B546B" w:rsidRPr="005C598A" w:rsidRDefault="007B546B" w:rsidP="00120F79">
            <w:pPr>
              <w:jc w:val="left"/>
              <w:rPr>
                <w:kern w:val="22"/>
                <w:szCs w:val="22"/>
                <w:lang w:val="fr-CA" w:eastAsia="en-CA"/>
              </w:rPr>
            </w:pPr>
            <w:r>
              <w:rPr>
                <w:kern w:val="22"/>
                <w:szCs w:val="22"/>
                <w:lang w:val="fr-CA" w:eastAsia="en-CA"/>
              </w:rPr>
              <w:t>Brésil</w:t>
            </w:r>
          </w:p>
        </w:tc>
        <w:tc>
          <w:tcPr>
            <w:tcW w:w="1605" w:type="dxa"/>
            <w:tcBorders>
              <w:top w:val="nil"/>
              <w:left w:val="nil"/>
              <w:bottom w:val="single" w:sz="4" w:space="0" w:color="auto"/>
              <w:right w:val="single" w:sz="4" w:space="0" w:color="auto"/>
            </w:tcBorders>
            <w:shd w:val="clear" w:color="auto" w:fill="auto"/>
            <w:vAlign w:val="center"/>
            <w:hideMark/>
          </w:tcPr>
          <w:p w14:paraId="143692FD" w14:textId="77777777" w:rsidR="007B546B" w:rsidRPr="005C598A" w:rsidRDefault="007B546B" w:rsidP="007B546B">
            <w:pPr>
              <w:ind w:right="144"/>
              <w:jc w:val="right"/>
              <w:rPr>
                <w:kern w:val="22"/>
                <w:szCs w:val="22"/>
                <w:lang w:val="fr-CA" w:eastAsia="en-CA"/>
              </w:rPr>
            </w:pPr>
            <w:r w:rsidRPr="005C598A">
              <w:rPr>
                <w:kern w:val="22"/>
                <w:szCs w:val="22"/>
                <w:lang w:val="fr-CA" w:eastAsia="en-CA"/>
              </w:rPr>
              <w:t>2</w:t>
            </w:r>
            <w:r>
              <w:rPr>
                <w:kern w:val="22"/>
                <w:szCs w:val="22"/>
                <w:lang w:val="fr-CA" w:eastAsia="en-CA"/>
              </w:rPr>
              <w:t>,</w:t>
            </w:r>
            <w:r w:rsidRPr="005C598A">
              <w:rPr>
                <w:kern w:val="22"/>
                <w:szCs w:val="22"/>
                <w:lang w:val="fr-CA" w:eastAsia="en-CA"/>
              </w:rPr>
              <w:t>948</w:t>
            </w:r>
          </w:p>
        </w:tc>
        <w:tc>
          <w:tcPr>
            <w:tcW w:w="1610" w:type="dxa"/>
            <w:tcBorders>
              <w:top w:val="nil"/>
              <w:left w:val="nil"/>
              <w:bottom w:val="single" w:sz="4" w:space="0" w:color="auto"/>
              <w:right w:val="single" w:sz="4" w:space="0" w:color="auto"/>
            </w:tcBorders>
            <w:shd w:val="clear" w:color="auto" w:fill="auto"/>
            <w:vAlign w:val="center"/>
            <w:hideMark/>
          </w:tcPr>
          <w:p w14:paraId="0CB1C2F7" w14:textId="77777777" w:rsidR="007B546B" w:rsidRPr="005C598A" w:rsidRDefault="007B546B" w:rsidP="007B546B">
            <w:pPr>
              <w:ind w:right="144"/>
              <w:jc w:val="right"/>
              <w:rPr>
                <w:kern w:val="22"/>
                <w:szCs w:val="22"/>
                <w:lang w:val="fr-CA" w:eastAsia="en-CA"/>
              </w:rPr>
            </w:pPr>
            <w:r w:rsidRPr="005C598A">
              <w:rPr>
                <w:kern w:val="22"/>
                <w:szCs w:val="22"/>
                <w:lang w:val="fr-CA" w:eastAsia="en-CA"/>
              </w:rPr>
              <w:t>4</w:t>
            </w:r>
            <w:r>
              <w:rPr>
                <w:kern w:val="22"/>
                <w:szCs w:val="22"/>
                <w:lang w:val="fr-CA" w:eastAsia="en-CA"/>
              </w:rPr>
              <w:t>,</w:t>
            </w:r>
            <w:r w:rsidRPr="005C598A">
              <w:rPr>
                <w:kern w:val="22"/>
                <w:szCs w:val="22"/>
                <w:lang w:val="fr-CA" w:eastAsia="en-CA"/>
              </w:rPr>
              <w:t>212</w:t>
            </w:r>
          </w:p>
        </w:tc>
        <w:tc>
          <w:tcPr>
            <w:tcW w:w="1590" w:type="dxa"/>
            <w:tcBorders>
              <w:top w:val="nil"/>
              <w:left w:val="nil"/>
              <w:bottom w:val="single" w:sz="4" w:space="0" w:color="auto"/>
              <w:right w:val="single" w:sz="4" w:space="0" w:color="auto"/>
            </w:tcBorders>
            <w:shd w:val="clear" w:color="auto" w:fill="auto"/>
            <w:vAlign w:val="center"/>
            <w:hideMark/>
          </w:tcPr>
          <w:p w14:paraId="1A91230C" w14:textId="77777777" w:rsidR="007B546B" w:rsidRPr="005C598A" w:rsidRDefault="007B546B" w:rsidP="007B546B">
            <w:pPr>
              <w:ind w:right="144"/>
              <w:jc w:val="right"/>
              <w:rPr>
                <w:kern w:val="22"/>
                <w:szCs w:val="22"/>
                <w:lang w:val="fr-CA" w:eastAsia="en-CA"/>
              </w:rPr>
            </w:pPr>
            <w:r w:rsidRPr="005C598A">
              <w:rPr>
                <w:kern w:val="22"/>
                <w:szCs w:val="22"/>
                <w:lang w:val="fr-CA" w:eastAsia="en-CA"/>
              </w:rPr>
              <w:t>107 745</w:t>
            </w:r>
          </w:p>
        </w:tc>
      </w:tr>
      <w:tr w:rsidR="007B546B" w:rsidRPr="005C598A" w14:paraId="02F5E74A"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8B72327" w14:textId="61873851" w:rsidR="007B546B" w:rsidRPr="005C598A" w:rsidRDefault="007B546B" w:rsidP="00120F79">
            <w:pPr>
              <w:jc w:val="right"/>
              <w:rPr>
                <w:kern w:val="22"/>
                <w:szCs w:val="22"/>
                <w:lang w:val="fr-CA" w:eastAsia="en-CA"/>
              </w:rPr>
            </w:pPr>
            <w:r>
              <w:rPr>
                <w:kern w:val="22"/>
                <w:szCs w:val="22"/>
                <w:lang w:val="fr-CA" w:eastAsia="en-CA"/>
              </w:rPr>
              <w:t>25</w:t>
            </w:r>
          </w:p>
        </w:tc>
        <w:tc>
          <w:tcPr>
            <w:tcW w:w="3966" w:type="dxa"/>
            <w:tcBorders>
              <w:top w:val="nil"/>
              <w:left w:val="nil"/>
              <w:bottom w:val="single" w:sz="4" w:space="0" w:color="auto"/>
              <w:right w:val="single" w:sz="4" w:space="0" w:color="auto"/>
            </w:tcBorders>
            <w:shd w:val="clear" w:color="auto" w:fill="auto"/>
            <w:vAlign w:val="center"/>
            <w:hideMark/>
          </w:tcPr>
          <w:p w14:paraId="64CC634F" w14:textId="77777777" w:rsidR="007B546B" w:rsidRPr="005C598A" w:rsidRDefault="007B546B" w:rsidP="00120F79">
            <w:pPr>
              <w:jc w:val="left"/>
              <w:rPr>
                <w:kern w:val="22"/>
                <w:szCs w:val="22"/>
                <w:lang w:val="fr-CA" w:eastAsia="en-CA"/>
              </w:rPr>
            </w:pPr>
            <w:r>
              <w:rPr>
                <w:kern w:val="22"/>
                <w:szCs w:val="22"/>
                <w:lang w:val="fr-CA" w:eastAsia="en-CA"/>
              </w:rPr>
              <w:t>Bulgarie</w:t>
            </w:r>
          </w:p>
        </w:tc>
        <w:tc>
          <w:tcPr>
            <w:tcW w:w="1605" w:type="dxa"/>
            <w:tcBorders>
              <w:top w:val="nil"/>
              <w:left w:val="nil"/>
              <w:bottom w:val="single" w:sz="4" w:space="0" w:color="auto"/>
              <w:right w:val="single" w:sz="4" w:space="0" w:color="auto"/>
            </w:tcBorders>
            <w:shd w:val="clear" w:color="auto" w:fill="auto"/>
            <w:vAlign w:val="center"/>
            <w:hideMark/>
          </w:tcPr>
          <w:p w14:paraId="100ACD3B"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046</w:t>
            </w:r>
          </w:p>
        </w:tc>
        <w:tc>
          <w:tcPr>
            <w:tcW w:w="1610" w:type="dxa"/>
            <w:tcBorders>
              <w:top w:val="nil"/>
              <w:left w:val="nil"/>
              <w:bottom w:val="single" w:sz="4" w:space="0" w:color="auto"/>
              <w:right w:val="single" w:sz="4" w:space="0" w:color="auto"/>
            </w:tcBorders>
            <w:shd w:val="clear" w:color="auto" w:fill="auto"/>
            <w:vAlign w:val="center"/>
            <w:hideMark/>
          </w:tcPr>
          <w:p w14:paraId="097009C2"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066</w:t>
            </w:r>
          </w:p>
        </w:tc>
        <w:tc>
          <w:tcPr>
            <w:tcW w:w="1590" w:type="dxa"/>
            <w:tcBorders>
              <w:top w:val="nil"/>
              <w:left w:val="nil"/>
              <w:bottom w:val="single" w:sz="4" w:space="0" w:color="auto"/>
              <w:right w:val="single" w:sz="4" w:space="0" w:color="auto"/>
            </w:tcBorders>
            <w:shd w:val="clear" w:color="auto" w:fill="auto"/>
            <w:vAlign w:val="center"/>
            <w:hideMark/>
          </w:tcPr>
          <w:p w14:paraId="2A33093B" w14:textId="77777777" w:rsidR="007B546B" w:rsidRPr="005C598A" w:rsidRDefault="007B546B" w:rsidP="007B546B">
            <w:pPr>
              <w:ind w:right="144"/>
              <w:jc w:val="right"/>
              <w:rPr>
                <w:kern w:val="22"/>
                <w:szCs w:val="22"/>
                <w:lang w:val="fr-CA" w:eastAsia="en-CA"/>
              </w:rPr>
            </w:pPr>
            <w:r w:rsidRPr="005C598A">
              <w:rPr>
                <w:kern w:val="22"/>
                <w:szCs w:val="22"/>
                <w:lang w:val="fr-CA" w:eastAsia="en-CA"/>
              </w:rPr>
              <w:t>1 681</w:t>
            </w:r>
          </w:p>
        </w:tc>
      </w:tr>
      <w:tr w:rsidR="007B546B" w:rsidRPr="005C598A" w14:paraId="549D0470"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2EB6C6F8" w14:textId="57F126BC" w:rsidR="007B546B" w:rsidRPr="005C598A" w:rsidRDefault="007B546B" w:rsidP="00120F79">
            <w:pPr>
              <w:jc w:val="right"/>
              <w:rPr>
                <w:kern w:val="22"/>
                <w:szCs w:val="22"/>
                <w:lang w:val="fr-CA" w:eastAsia="en-CA"/>
              </w:rPr>
            </w:pPr>
            <w:r>
              <w:rPr>
                <w:kern w:val="22"/>
                <w:szCs w:val="22"/>
                <w:lang w:val="fr-CA" w:eastAsia="en-CA"/>
              </w:rPr>
              <w:t>26</w:t>
            </w:r>
          </w:p>
        </w:tc>
        <w:tc>
          <w:tcPr>
            <w:tcW w:w="3966" w:type="dxa"/>
            <w:tcBorders>
              <w:top w:val="nil"/>
              <w:left w:val="nil"/>
              <w:bottom w:val="single" w:sz="4" w:space="0" w:color="auto"/>
              <w:right w:val="single" w:sz="4" w:space="0" w:color="auto"/>
            </w:tcBorders>
            <w:shd w:val="clear" w:color="auto" w:fill="auto"/>
            <w:vAlign w:val="center"/>
            <w:hideMark/>
          </w:tcPr>
          <w:p w14:paraId="34FBDDB5" w14:textId="77777777" w:rsidR="007B546B" w:rsidRPr="005C598A" w:rsidRDefault="007B546B" w:rsidP="00120F79">
            <w:pPr>
              <w:jc w:val="left"/>
              <w:rPr>
                <w:kern w:val="22"/>
                <w:szCs w:val="22"/>
                <w:lang w:val="fr-CA" w:eastAsia="en-CA"/>
              </w:rPr>
            </w:pPr>
            <w:r w:rsidRPr="005C598A">
              <w:rPr>
                <w:kern w:val="22"/>
                <w:szCs w:val="22"/>
                <w:lang w:val="fr-CA" w:eastAsia="en-CA"/>
              </w:rPr>
              <w:t>Burkina Faso</w:t>
            </w:r>
          </w:p>
        </w:tc>
        <w:tc>
          <w:tcPr>
            <w:tcW w:w="1605" w:type="dxa"/>
            <w:tcBorders>
              <w:top w:val="nil"/>
              <w:left w:val="nil"/>
              <w:bottom w:val="single" w:sz="4" w:space="0" w:color="auto"/>
              <w:right w:val="single" w:sz="4" w:space="0" w:color="auto"/>
            </w:tcBorders>
            <w:shd w:val="clear" w:color="auto" w:fill="auto"/>
            <w:vAlign w:val="center"/>
            <w:hideMark/>
          </w:tcPr>
          <w:p w14:paraId="3D75296B"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003</w:t>
            </w:r>
          </w:p>
        </w:tc>
        <w:tc>
          <w:tcPr>
            <w:tcW w:w="1610" w:type="dxa"/>
            <w:tcBorders>
              <w:top w:val="nil"/>
              <w:left w:val="nil"/>
              <w:bottom w:val="single" w:sz="4" w:space="0" w:color="auto"/>
              <w:right w:val="single" w:sz="4" w:space="0" w:color="auto"/>
            </w:tcBorders>
            <w:shd w:val="clear" w:color="auto" w:fill="auto"/>
            <w:vAlign w:val="center"/>
            <w:hideMark/>
          </w:tcPr>
          <w:p w14:paraId="52C2BE58"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004</w:t>
            </w:r>
          </w:p>
        </w:tc>
        <w:tc>
          <w:tcPr>
            <w:tcW w:w="1590" w:type="dxa"/>
            <w:tcBorders>
              <w:top w:val="nil"/>
              <w:left w:val="nil"/>
              <w:bottom w:val="single" w:sz="4" w:space="0" w:color="auto"/>
              <w:right w:val="single" w:sz="4" w:space="0" w:color="auto"/>
            </w:tcBorders>
            <w:shd w:val="clear" w:color="auto" w:fill="auto"/>
            <w:vAlign w:val="center"/>
            <w:hideMark/>
          </w:tcPr>
          <w:p w14:paraId="140D12F5" w14:textId="77777777" w:rsidR="007B546B" w:rsidRPr="005C598A" w:rsidRDefault="007B546B" w:rsidP="007B546B">
            <w:pPr>
              <w:ind w:right="144"/>
              <w:jc w:val="right"/>
              <w:rPr>
                <w:kern w:val="22"/>
                <w:szCs w:val="22"/>
                <w:lang w:val="fr-CA" w:eastAsia="en-CA"/>
              </w:rPr>
            </w:pPr>
            <w:r w:rsidRPr="005C598A">
              <w:rPr>
                <w:kern w:val="22"/>
                <w:szCs w:val="22"/>
                <w:lang w:val="fr-CA" w:eastAsia="en-CA"/>
              </w:rPr>
              <w:t>110</w:t>
            </w:r>
          </w:p>
        </w:tc>
      </w:tr>
      <w:tr w:rsidR="007B546B" w:rsidRPr="005C598A" w14:paraId="65F5B928"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26C028D0" w14:textId="03BFE0A9" w:rsidR="007B546B" w:rsidRPr="005C598A" w:rsidRDefault="007B546B" w:rsidP="00120F79">
            <w:pPr>
              <w:jc w:val="right"/>
              <w:rPr>
                <w:kern w:val="22"/>
                <w:szCs w:val="22"/>
                <w:lang w:val="fr-CA" w:eastAsia="en-CA"/>
              </w:rPr>
            </w:pPr>
            <w:r>
              <w:rPr>
                <w:kern w:val="22"/>
                <w:szCs w:val="22"/>
                <w:lang w:val="fr-CA" w:eastAsia="en-CA"/>
              </w:rPr>
              <w:t>27</w:t>
            </w:r>
          </w:p>
        </w:tc>
        <w:tc>
          <w:tcPr>
            <w:tcW w:w="3966" w:type="dxa"/>
            <w:tcBorders>
              <w:top w:val="nil"/>
              <w:left w:val="nil"/>
              <w:bottom w:val="single" w:sz="4" w:space="0" w:color="auto"/>
              <w:right w:val="single" w:sz="4" w:space="0" w:color="auto"/>
            </w:tcBorders>
            <w:shd w:val="clear" w:color="auto" w:fill="auto"/>
            <w:vAlign w:val="center"/>
            <w:hideMark/>
          </w:tcPr>
          <w:p w14:paraId="34EA6B29" w14:textId="77777777" w:rsidR="007B546B" w:rsidRPr="005C598A" w:rsidRDefault="007B546B" w:rsidP="00120F79">
            <w:pPr>
              <w:jc w:val="left"/>
              <w:rPr>
                <w:kern w:val="22"/>
                <w:szCs w:val="22"/>
                <w:lang w:val="fr-CA" w:eastAsia="en-CA"/>
              </w:rPr>
            </w:pPr>
            <w:r w:rsidRPr="005C598A">
              <w:rPr>
                <w:kern w:val="22"/>
                <w:szCs w:val="22"/>
                <w:lang w:val="fr-CA" w:eastAsia="en-CA"/>
              </w:rPr>
              <w:t>Burundi</w:t>
            </w:r>
          </w:p>
        </w:tc>
        <w:tc>
          <w:tcPr>
            <w:tcW w:w="1605" w:type="dxa"/>
            <w:tcBorders>
              <w:top w:val="nil"/>
              <w:left w:val="nil"/>
              <w:bottom w:val="single" w:sz="4" w:space="0" w:color="auto"/>
              <w:right w:val="single" w:sz="4" w:space="0" w:color="auto"/>
            </w:tcBorders>
            <w:shd w:val="clear" w:color="auto" w:fill="auto"/>
            <w:vAlign w:val="center"/>
            <w:hideMark/>
          </w:tcPr>
          <w:p w14:paraId="201DD532"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001</w:t>
            </w:r>
          </w:p>
        </w:tc>
        <w:tc>
          <w:tcPr>
            <w:tcW w:w="1610" w:type="dxa"/>
            <w:tcBorders>
              <w:top w:val="nil"/>
              <w:left w:val="nil"/>
              <w:bottom w:val="single" w:sz="4" w:space="0" w:color="auto"/>
              <w:right w:val="single" w:sz="4" w:space="0" w:color="auto"/>
            </w:tcBorders>
            <w:shd w:val="clear" w:color="auto" w:fill="auto"/>
            <w:vAlign w:val="center"/>
            <w:hideMark/>
          </w:tcPr>
          <w:p w14:paraId="338895B7"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001</w:t>
            </w:r>
          </w:p>
        </w:tc>
        <w:tc>
          <w:tcPr>
            <w:tcW w:w="1590" w:type="dxa"/>
            <w:tcBorders>
              <w:top w:val="nil"/>
              <w:left w:val="nil"/>
              <w:bottom w:val="single" w:sz="4" w:space="0" w:color="auto"/>
              <w:right w:val="single" w:sz="4" w:space="0" w:color="auto"/>
            </w:tcBorders>
            <w:shd w:val="clear" w:color="auto" w:fill="auto"/>
            <w:vAlign w:val="center"/>
            <w:hideMark/>
          </w:tcPr>
          <w:p w14:paraId="19E449F3" w14:textId="77777777" w:rsidR="007B546B" w:rsidRPr="005C598A" w:rsidRDefault="007B546B" w:rsidP="007B546B">
            <w:pPr>
              <w:ind w:right="144"/>
              <w:jc w:val="right"/>
              <w:rPr>
                <w:kern w:val="22"/>
                <w:szCs w:val="22"/>
                <w:lang w:val="fr-CA" w:eastAsia="en-CA"/>
              </w:rPr>
            </w:pPr>
            <w:r w:rsidRPr="005C598A">
              <w:rPr>
                <w:kern w:val="22"/>
                <w:szCs w:val="22"/>
                <w:lang w:val="fr-CA" w:eastAsia="en-CA"/>
              </w:rPr>
              <w:t>37</w:t>
            </w:r>
          </w:p>
        </w:tc>
      </w:tr>
      <w:tr w:rsidR="007B546B" w:rsidRPr="005C598A" w14:paraId="508E2B46"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ECD111E" w14:textId="57060964" w:rsidR="007B546B" w:rsidRPr="005C598A" w:rsidRDefault="007B546B" w:rsidP="00120F79">
            <w:pPr>
              <w:jc w:val="right"/>
              <w:rPr>
                <w:kern w:val="22"/>
                <w:szCs w:val="22"/>
                <w:lang w:val="fr-CA" w:eastAsia="en-CA"/>
              </w:rPr>
            </w:pPr>
            <w:r>
              <w:rPr>
                <w:kern w:val="22"/>
                <w:szCs w:val="22"/>
                <w:lang w:val="fr-CA" w:eastAsia="en-CA"/>
              </w:rPr>
              <w:t>28</w:t>
            </w:r>
          </w:p>
        </w:tc>
        <w:tc>
          <w:tcPr>
            <w:tcW w:w="3966" w:type="dxa"/>
            <w:tcBorders>
              <w:top w:val="nil"/>
              <w:left w:val="nil"/>
              <w:bottom w:val="single" w:sz="4" w:space="0" w:color="auto"/>
              <w:right w:val="single" w:sz="4" w:space="0" w:color="auto"/>
            </w:tcBorders>
            <w:shd w:val="clear" w:color="auto" w:fill="auto"/>
            <w:vAlign w:val="center"/>
            <w:hideMark/>
          </w:tcPr>
          <w:p w14:paraId="3C1680B8" w14:textId="77777777" w:rsidR="007B546B" w:rsidRPr="005C598A" w:rsidRDefault="007B546B" w:rsidP="00120F79">
            <w:pPr>
              <w:jc w:val="left"/>
              <w:rPr>
                <w:kern w:val="22"/>
                <w:szCs w:val="22"/>
                <w:lang w:val="fr-CA" w:eastAsia="en-CA"/>
              </w:rPr>
            </w:pPr>
            <w:r w:rsidRPr="005C598A">
              <w:rPr>
                <w:kern w:val="22"/>
                <w:szCs w:val="22"/>
                <w:lang w:val="fr-CA" w:eastAsia="en-CA"/>
              </w:rPr>
              <w:t>Cabo Verde</w:t>
            </w:r>
          </w:p>
        </w:tc>
        <w:tc>
          <w:tcPr>
            <w:tcW w:w="1605" w:type="dxa"/>
            <w:tcBorders>
              <w:top w:val="nil"/>
              <w:left w:val="nil"/>
              <w:bottom w:val="single" w:sz="4" w:space="0" w:color="auto"/>
              <w:right w:val="single" w:sz="4" w:space="0" w:color="auto"/>
            </w:tcBorders>
            <w:shd w:val="clear" w:color="auto" w:fill="auto"/>
            <w:vAlign w:val="center"/>
            <w:hideMark/>
          </w:tcPr>
          <w:p w14:paraId="4654DDFF"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001</w:t>
            </w:r>
          </w:p>
        </w:tc>
        <w:tc>
          <w:tcPr>
            <w:tcW w:w="1610" w:type="dxa"/>
            <w:tcBorders>
              <w:top w:val="nil"/>
              <w:left w:val="nil"/>
              <w:bottom w:val="single" w:sz="4" w:space="0" w:color="auto"/>
              <w:right w:val="single" w:sz="4" w:space="0" w:color="auto"/>
            </w:tcBorders>
            <w:shd w:val="clear" w:color="auto" w:fill="auto"/>
            <w:vAlign w:val="center"/>
            <w:hideMark/>
          </w:tcPr>
          <w:p w14:paraId="40D56098"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001</w:t>
            </w:r>
          </w:p>
        </w:tc>
        <w:tc>
          <w:tcPr>
            <w:tcW w:w="1590" w:type="dxa"/>
            <w:tcBorders>
              <w:top w:val="nil"/>
              <w:left w:val="nil"/>
              <w:bottom w:val="single" w:sz="4" w:space="0" w:color="auto"/>
              <w:right w:val="single" w:sz="4" w:space="0" w:color="auto"/>
            </w:tcBorders>
            <w:shd w:val="clear" w:color="auto" w:fill="auto"/>
            <w:vAlign w:val="center"/>
            <w:hideMark/>
          </w:tcPr>
          <w:p w14:paraId="54E782B5" w14:textId="77777777" w:rsidR="007B546B" w:rsidRPr="005C598A" w:rsidRDefault="007B546B" w:rsidP="007B546B">
            <w:pPr>
              <w:ind w:right="144"/>
              <w:jc w:val="right"/>
              <w:rPr>
                <w:kern w:val="22"/>
                <w:szCs w:val="22"/>
                <w:lang w:val="fr-CA" w:eastAsia="en-CA"/>
              </w:rPr>
            </w:pPr>
            <w:r w:rsidRPr="005C598A">
              <w:rPr>
                <w:kern w:val="22"/>
                <w:szCs w:val="22"/>
                <w:lang w:val="fr-CA" w:eastAsia="en-CA"/>
              </w:rPr>
              <w:t>37</w:t>
            </w:r>
          </w:p>
        </w:tc>
      </w:tr>
      <w:tr w:rsidR="007B546B" w:rsidRPr="005C598A" w14:paraId="2A32E15A"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91F0E3E" w14:textId="14D797FC" w:rsidR="007B546B" w:rsidRPr="005C598A" w:rsidRDefault="007B546B" w:rsidP="00120F79">
            <w:pPr>
              <w:jc w:val="right"/>
              <w:rPr>
                <w:kern w:val="22"/>
                <w:szCs w:val="22"/>
                <w:lang w:val="fr-CA" w:eastAsia="en-CA"/>
              </w:rPr>
            </w:pPr>
            <w:r>
              <w:rPr>
                <w:kern w:val="22"/>
                <w:szCs w:val="22"/>
                <w:lang w:val="fr-CA" w:eastAsia="en-CA"/>
              </w:rPr>
              <w:t>29</w:t>
            </w:r>
          </w:p>
        </w:tc>
        <w:tc>
          <w:tcPr>
            <w:tcW w:w="3966" w:type="dxa"/>
            <w:tcBorders>
              <w:top w:val="nil"/>
              <w:left w:val="nil"/>
              <w:bottom w:val="single" w:sz="4" w:space="0" w:color="auto"/>
              <w:right w:val="single" w:sz="4" w:space="0" w:color="auto"/>
            </w:tcBorders>
            <w:shd w:val="clear" w:color="auto" w:fill="auto"/>
            <w:vAlign w:val="center"/>
            <w:hideMark/>
          </w:tcPr>
          <w:p w14:paraId="37725D5B" w14:textId="77777777" w:rsidR="007B546B" w:rsidRPr="005C598A" w:rsidRDefault="007B546B" w:rsidP="003B783E">
            <w:pPr>
              <w:jc w:val="left"/>
              <w:rPr>
                <w:kern w:val="22"/>
                <w:szCs w:val="22"/>
                <w:lang w:val="fr-CA" w:eastAsia="en-CA"/>
              </w:rPr>
            </w:pPr>
            <w:r w:rsidRPr="005C598A">
              <w:rPr>
                <w:kern w:val="22"/>
                <w:szCs w:val="22"/>
                <w:lang w:val="fr-CA" w:eastAsia="en-CA"/>
              </w:rPr>
              <w:t>Cambo</w:t>
            </w:r>
            <w:r>
              <w:rPr>
                <w:kern w:val="22"/>
                <w:szCs w:val="22"/>
                <w:lang w:val="fr-CA" w:eastAsia="en-CA"/>
              </w:rPr>
              <w:t>dge</w:t>
            </w:r>
          </w:p>
        </w:tc>
        <w:tc>
          <w:tcPr>
            <w:tcW w:w="1605" w:type="dxa"/>
            <w:tcBorders>
              <w:top w:val="nil"/>
              <w:left w:val="nil"/>
              <w:bottom w:val="single" w:sz="4" w:space="0" w:color="auto"/>
              <w:right w:val="single" w:sz="4" w:space="0" w:color="auto"/>
            </w:tcBorders>
            <w:shd w:val="clear" w:color="auto" w:fill="auto"/>
            <w:vAlign w:val="center"/>
            <w:hideMark/>
          </w:tcPr>
          <w:p w14:paraId="39743736"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006</w:t>
            </w:r>
          </w:p>
        </w:tc>
        <w:tc>
          <w:tcPr>
            <w:tcW w:w="1610" w:type="dxa"/>
            <w:tcBorders>
              <w:top w:val="nil"/>
              <w:left w:val="nil"/>
              <w:bottom w:val="single" w:sz="4" w:space="0" w:color="auto"/>
              <w:right w:val="single" w:sz="4" w:space="0" w:color="auto"/>
            </w:tcBorders>
            <w:shd w:val="clear" w:color="auto" w:fill="auto"/>
            <w:vAlign w:val="center"/>
            <w:hideMark/>
          </w:tcPr>
          <w:p w14:paraId="3A76F393"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009</w:t>
            </w:r>
          </w:p>
        </w:tc>
        <w:tc>
          <w:tcPr>
            <w:tcW w:w="1590" w:type="dxa"/>
            <w:tcBorders>
              <w:top w:val="nil"/>
              <w:left w:val="nil"/>
              <w:bottom w:val="single" w:sz="4" w:space="0" w:color="auto"/>
              <w:right w:val="single" w:sz="4" w:space="0" w:color="auto"/>
            </w:tcBorders>
            <w:shd w:val="clear" w:color="auto" w:fill="auto"/>
            <w:vAlign w:val="center"/>
            <w:hideMark/>
          </w:tcPr>
          <w:p w14:paraId="006B29E5" w14:textId="77777777" w:rsidR="007B546B" w:rsidRPr="005C598A" w:rsidRDefault="007B546B" w:rsidP="007B546B">
            <w:pPr>
              <w:ind w:right="144"/>
              <w:jc w:val="right"/>
              <w:rPr>
                <w:kern w:val="22"/>
                <w:szCs w:val="22"/>
                <w:lang w:val="fr-CA" w:eastAsia="en-CA"/>
              </w:rPr>
            </w:pPr>
            <w:r w:rsidRPr="005C598A">
              <w:rPr>
                <w:kern w:val="22"/>
                <w:szCs w:val="22"/>
                <w:lang w:val="fr-CA" w:eastAsia="en-CA"/>
              </w:rPr>
              <w:t>219</w:t>
            </w:r>
          </w:p>
        </w:tc>
      </w:tr>
      <w:tr w:rsidR="007B546B" w:rsidRPr="005C598A" w14:paraId="1DDC2DEF"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CFC0525" w14:textId="2EE99285" w:rsidR="007B546B" w:rsidRPr="005C598A" w:rsidRDefault="007B546B" w:rsidP="00120F79">
            <w:pPr>
              <w:jc w:val="right"/>
              <w:rPr>
                <w:kern w:val="22"/>
                <w:szCs w:val="22"/>
                <w:lang w:val="fr-CA" w:eastAsia="en-CA"/>
              </w:rPr>
            </w:pPr>
            <w:r>
              <w:rPr>
                <w:kern w:val="22"/>
                <w:szCs w:val="22"/>
                <w:lang w:val="fr-CA" w:eastAsia="en-CA"/>
              </w:rPr>
              <w:t>30</w:t>
            </w:r>
          </w:p>
        </w:tc>
        <w:tc>
          <w:tcPr>
            <w:tcW w:w="3966" w:type="dxa"/>
            <w:tcBorders>
              <w:top w:val="nil"/>
              <w:left w:val="nil"/>
              <w:bottom w:val="single" w:sz="4" w:space="0" w:color="auto"/>
              <w:right w:val="single" w:sz="4" w:space="0" w:color="auto"/>
            </w:tcBorders>
            <w:shd w:val="clear" w:color="auto" w:fill="auto"/>
            <w:vAlign w:val="center"/>
            <w:hideMark/>
          </w:tcPr>
          <w:p w14:paraId="6B5E64C5" w14:textId="77777777" w:rsidR="007B546B" w:rsidRPr="005C598A" w:rsidRDefault="007B546B" w:rsidP="00120F79">
            <w:pPr>
              <w:jc w:val="left"/>
              <w:rPr>
                <w:kern w:val="22"/>
                <w:szCs w:val="22"/>
                <w:lang w:val="fr-CA" w:eastAsia="en-CA"/>
              </w:rPr>
            </w:pPr>
            <w:r>
              <w:rPr>
                <w:kern w:val="22"/>
                <w:szCs w:val="22"/>
                <w:lang w:val="fr-CA" w:eastAsia="en-CA"/>
              </w:rPr>
              <w:t>Camerou</w:t>
            </w:r>
            <w:r w:rsidRPr="005C598A">
              <w:rPr>
                <w:kern w:val="22"/>
                <w:szCs w:val="22"/>
                <w:lang w:val="fr-CA" w:eastAsia="en-CA"/>
              </w:rPr>
              <w:t>n</w:t>
            </w:r>
          </w:p>
        </w:tc>
        <w:tc>
          <w:tcPr>
            <w:tcW w:w="1605" w:type="dxa"/>
            <w:tcBorders>
              <w:top w:val="nil"/>
              <w:left w:val="nil"/>
              <w:bottom w:val="single" w:sz="4" w:space="0" w:color="auto"/>
              <w:right w:val="single" w:sz="4" w:space="0" w:color="auto"/>
            </w:tcBorders>
            <w:shd w:val="clear" w:color="auto" w:fill="auto"/>
            <w:vAlign w:val="center"/>
            <w:hideMark/>
          </w:tcPr>
          <w:p w14:paraId="1F4CD99F"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013</w:t>
            </w:r>
          </w:p>
        </w:tc>
        <w:tc>
          <w:tcPr>
            <w:tcW w:w="1610" w:type="dxa"/>
            <w:tcBorders>
              <w:top w:val="nil"/>
              <w:left w:val="nil"/>
              <w:bottom w:val="single" w:sz="4" w:space="0" w:color="auto"/>
              <w:right w:val="single" w:sz="4" w:space="0" w:color="auto"/>
            </w:tcBorders>
            <w:shd w:val="clear" w:color="auto" w:fill="auto"/>
            <w:vAlign w:val="center"/>
            <w:hideMark/>
          </w:tcPr>
          <w:p w14:paraId="62456C92"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019</w:t>
            </w:r>
          </w:p>
        </w:tc>
        <w:tc>
          <w:tcPr>
            <w:tcW w:w="1590" w:type="dxa"/>
            <w:tcBorders>
              <w:top w:val="nil"/>
              <w:left w:val="nil"/>
              <w:bottom w:val="single" w:sz="4" w:space="0" w:color="auto"/>
              <w:right w:val="single" w:sz="4" w:space="0" w:color="auto"/>
            </w:tcBorders>
            <w:shd w:val="clear" w:color="auto" w:fill="auto"/>
            <w:vAlign w:val="center"/>
            <w:hideMark/>
          </w:tcPr>
          <w:p w14:paraId="1C6305A4" w14:textId="77777777" w:rsidR="007B546B" w:rsidRPr="005C598A" w:rsidRDefault="007B546B" w:rsidP="007B546B">
            <w:pPr>
              <w:ind w:right="144"/>
              <w:jc w:val="right"/>
              <w:rPr>
                <w:kern w:val="22"/>
                <w:szCs w:val="22"/>
                <w:lang w:val="fr-CA" w:eastAsia="en-CA"/>
              </w:rPr>
            </w:pPr>
            <w:r w:rsidRPr="005C598A">
              <w:rPr>
                <w:kern w:val="22"/>
                <w:szCs w:val="22"/>
                <w:lang w:val="fr-CA" w:eastAsia="en-CA"/>
              </w:rPr>
              <w:t>475</w:t>
            </w:r>
          </w:p>
        </w:tc>
      </w:tr>
      <w:tr w:rsidR="007B546B" w:rsidRPr="005C598A" w14:paraId="74CDEEDC"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22DAFCFF" w14:textId="05F62FEF" w:rsidR="007B546B" w:rsidRPr="005C598A" w:rsidRDefault="007B546B" w:rsidP="00120F79">
            <w:pPr>
              <w:jc w:val="right"/>
              <w:rPr>
                <w:kern w:val="22"/>
                <w:szCs w:val="22"/>
                <w:lang w:val="fr-CA" w:eastAsia="en-CA"/>
              </w:rPr>
            </w:pPr>
            <w:r>
              <w:rPr>
                <w:kern w:val="22"/>
                <w:szCs w:val="22"/>
                <w:lang w:val="fr-CA" w:eastAsia="en-CA"/>
              </w:rPr>
              <w:t>31</w:t>
            </w:r>
          </w:p>
        </w:tc>
        <w:tc>
          <w:tcPr>
            <w:tcW w:w="3966" w:type="dxa"/>
            <w:tcBorders>
              <w:top w:val="nil"/>
              <w:left w:val="nil"/>
              <w:bottom w:val="single" w:sz="4" w:space="0" w:color="auto"/>
              <w:right w:val="single" w:sz="4" w:space="0" w:color="auto"/>
            </w:tcBorders>
            <w:shd w:val="clear" w:color="auto" w:fill="auto"/>
            <w:vAlign w:val="center"/>
            <w:hideMark/>
          </w:tcPr>
          <w:p w14:paraId="46288DF1" w14:textId="77777777" w:rsidR="007B546B" w:rsidRPr="005C598A" w:rsidRDefault="007B546B" w:rsidP="003B783E">
            <w:pPr>
              <w:jc w:val="left"/>
              <w:rPr>
                <w:kern w:val="22"/>
                <w:szCs w:val="22"/>
                <w:lang w:val="fr-CA" w:eastAsia="en-CA"/>
              </w:rPr>
            </w:pPr>
            <w:r w:rsidRPr="005C598A">
              <w:rPr>
                <w:kern w:val="22"/>
                <w:szCs w:val="22"/>
                <w:lang w:val="fr-CA" w:eastAsia="en-CA"/>
              </w:rPr>
              <w:t>Chin</w:t>
            </w:r>
            <w:r>
              <w:rPr>
                <w:kern w:val="22"/>
                <w:szCs w:val="22"/>
                <w:lang w:val="fr-CA" w:eastAsia="en-CA"/>
              </w:rPr>
              <w:t>e</w:t>
            </w:r>
          </w:p>
        </w:tc>
        <w:tc>
          <w:tcPr>
            <w:tcW w:w="1605" w:type="dxa"/>
            <w:tcBorders>
              <w:top w:val="nil"/>
              <w:left w:val="nil"/>
              <w:bottom w:val="single" w:sz="4" w:space="0" w:color="auto"/>
              <w:right w:val="single" w:sz="4" w:space="0" w:color="auto"/>
            </w:tcBorders>
            <w:shd w:val="clear" w:color="auto" w:fill="auto"/>
            <w:vAlign w:val="center"/>
            <w:hideMark/>
          </w:tcPr>
          <w:p w14:paraId="1CDA1F15" w14:textId="77777777" w:rsidR="007B546B" w:rsidRPr="005C598A" w:rsidRDefault="007B546B" w:rsidP="007B546B">
            <w:pPr>
              <w:ind w:right="144"/>
              <w:jc w:val="right"/>
              <w:rPr>
                <w:kern w:val="22"/>
                <w:szCs w:val="22"/>
                <w:lang w:val="fr-CA" w:eastAsia="en-CA"/>
              </w:rPr>
            </w:pPr>
            <w:r w:rsidRPr="005C598A">
              <w:rPr>
                <w:kern w:val="22"/>
                <w:szCs w:val="22"/>
                <w:lang w:val="fr-CA" w:eastAsia="en-CA"/>
              </w:rPr>
              <w:t>12</w:t>
            </w:r>
            <w:r>
              <w:rPr>
                <w:kern w:val="22"/>
                <w:szCs w:val="22"/>
                <w:lang w:val="fr-CA" w:eastAsia="en-CA"/>
              </w:rPr>
              <w:t>,</w:t>
            </w:r>
            <w:r w:rsidRPr="005C598A">
              <w:rPr>
                <w:kern w:val="22"/>
                <w:szCs w:val="22"/>
                <w:lang w:val="fr-CA" w:eastAsia="en-CA"/>
              </w:rPr>
              <w:t>005</w:t>
            </w:r>
          </w:p>
        </w:tc>
        <w:tc>
          <w:tcPr>
            <w:tcW w:w="1610" w:type="dxa"/>
            <w:tcBorders>
              <w:top w:val="nil"/>
              <w:left w:val="nil"/>
              <w:bottom w:val="single" w:sz="4" w:space="0" w:color="auto"/>
              <w:right w:val="single" w:sz="4" w:space="0" w:color="auto"/>
            </w:tcBorders>
            <w:shd w:val="clear" w:color="auto" w:fill="auto"/>
            <w:vAlign w:val="center"/>
            <w:hideMark/>
          </w:tcPr>
          <w:p w14:paraId="76E73BDF" w14:textId="77777777" w:rsidR="007B546B" w:rsidRPr="005C598A" w:rsidRDefault="007B546B" w:rsidP="007B546B">
            <w:pPr>
              <w:ind w:right="144"/>
              <w:jc w:val="right"/>
              <w:rPr>
                <w:kern w:val="22"/>
                <w:szCs w:val="22"/>
                <w:lang w:val="fr-CA" w:eastAsia="en-CA"/>
              </w:rPr>
            </w:pPr>
            <w:r w:rsidRPr="005C598A">
              <w:rPr>
                <w:kern w:val="22"/>
                <w:szCs w:val="22"/>
                <w:lang w:val="fr-CA" w:eastAsia="en-CA"/>
              </w:rPr>
              <w:t>17</w:t>
            </w:r>
            <w:r>
              <w:rPr>
                <w:kern w:val="22"/>
                <w:szCs w:val="22"/>
                <w:lang w:val="fr-CA" w:eastAsia="en-CA"/>
              </w:rPr>
              <w:t>,</w:t>
            </w:r>
            <w:r w:rsidRPr="005C598A">
              <w:rPr>
                <w:kern w:val="22"/>
                <w:szCs w:val="22"/>
                <w:lang w:val="fr-CA" w:eastAsia="en-CA"/>
              </w:rPr>
              <w:t>153</w:t>
            </w:r>
          </w:p>
        </w:tc>
        <w:tc>
          <w:tcPr>
            <w:tcW w:w="1590" w:type="dxa"/>
            <w:tcBorders>
              <w:top w:val="nil"/>
              <w:left w:val="nil"/>
              <w:bottom w:val="single" w:sz="4" w:space="0" w:color="auto"/>
              <w:right w:val="single" w:sz="4" w:space="0" w:color="auto"/>
            </w:tcBorders>
            <w:shd w:val="clear" w:color="auto" w:fill="auto"/>
            <w:vAlign w:val="center"/>
            <w:hideMark/>
          </w:tcPr>
          <w:p w14:paraId="1FF0D2A6" w14:textId="77777777" w:rsidR="007B546B" w:rsidRPr="005C598A" w:rsidRDefault="007B546B" w:rsidP="007B546B">
            <w:pPr>
              <w:ind w:right="144"/>
              <w:jc w:val="right"/>
              <w:rPr>
                <w:kern w:val="22"/>
                <w:szCs w:val="22"/>
                <w:lang w:val="fr-CA" w:eastAsia="en-CA"/>
              </w:rPr>
            </w:pPr>
            <w:r w:rsidRPr="005C598A">
              <w:rPr>
                <w:kern w:val="22"/>
                <w:szCs w:val="22"/>
                <w:lang w:val="fr-CA" w:eastAsia="en-CA"/>
              </w:rPr>
              <w:t>438 764</w:t>
            </w:r>
          </w:p>
        </w:tc>
      </w:tr>
      <w:tr w:rsidR="007B546B" w:rsidRPr="00095A13" w14:paraId="1CC502BC"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B5175D8" w14:textId="2F81F451" w:rsidR="007B546B" w:rsidRPr="00095A13" w:rsidRDefault="007B546B" w:rsidP="00120F79">
            <w:pPr>
              <w:jc w:val="right"/>
              <w:rPr>
                <w:kern w:val="22"/>
                <w:szCs w:val="22"/>
                <w:lang w:val="fr-CA" w:eastAsia="en-CA"/>
              </w:rPr>
            </w:pPr>
            <w:r>
              <w:rPr>
                <w:kern w:val="22"/>
                <w:szCs w:val="22"/>
                <w:lang w:val="fr-CA" w:eastAsia="en-CA"/>
              </w:rPr>
              <w:t>32</w:t>
            </w:r>
          </w:p>
        </w:tc>
        <w:tc>
          <w:tcPr>
            <w:tcW w:w="3966" w:type="dxa"/>
            <w:tcBorders>
              <w:top w:val="nil"/>
              <w:left w:val="nil"/>
              <w:bottom w:val="single" w:sz="4" w:space="0" w:color="auto"/>
              <w:right w:val="single" w:sz="4" w:space="0" w:color="auto"/>
            </w:tcBorders>
            <w:shd w:val="clear" w:color="auto" w:fill="auto"/>
            <w:vAlign w:val="center"/>
            <w:hideMark/>
          </w:tcPr>
          <w:p w14:paraId="1F22A621" w14:textId="77777777" w:rsidR="007B546B" w:rsidRPr="00095A13" w:rsidRDefault="007B546B" w:rsidP="00120F79">
            <w:pPr>
              <w:jc w:val="left"/>
              <w:rPr>
                <w:kern w:val="22"/>
                <w:szCs w:val="22"/>
                <w:lang w:val="fr-CA" w:eastAsia="en-CA"/>
              </w:rPr>
            </w:pPr>
            <w:r w:rsidRPr="00095A13">
              <w:rPr>
                <w:kern w:val="22"/>
                <w:szCs w:val="22"/>
                <w:lang w:val="fr-CA" w:eastAsia="en-CA"/>
              </w:rPr>
              <w:t>Chypre</w:t>
            </w:r>
          </w:p>
        </w:tc>
        <w:tc>
          <w:tcPr>
            <w:tcW w:w="1605" w:type="dxa"/>
            <w:tcBorders>
              <w:top w:val="nil"/>
              <w:left w:val="nil"/>
              <w:bottom w:val="single" w:sz="4" w:space="0" w:color="auto"/>
              <w:right w:val="single" w:sz="4" w:space="0" w:color="auto"/>
            </w:tcBorders>
            <w:shd w:val="clear" w:color="auto" w:fill="auto"/>
            <w:vAlign w:val="center"/>
            <w:hideMark/>
          </w:tcPr>
          <w:p w14:paraId="0F4BFE7B"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036</w:t>
            </w:r>
          </w:p>
        </w:tc>
        <w:tc>
          <w:tcPr>
            <w:tcW w:w="1610" w:type="dxa"/>
            <w:tcBorders>
              <w:top w:val="nil"/>
              <w:left w:val="nil"/>
              <w:bottom w:val="single" w:sz="4" w:space="0" w:color="auto"/>
              <w:right w:val="single" w:sz="4" w:space="0" w:color="auto"/>
            </w:tcBorders>
            <w:shd w:val="clear" w:color="auto" w:fill="auto"/>
            <w:vAlign w:val="center"/>
            <w:hideMark/>
          </w:tcPr>
          <w:p w14:paraId="716E7AE4"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051</w:t>
            </w:r>
          </w:p>
        </w:tc>
        <w:tc>
          <w:tcPr>
            <w:tcW w:w="1590" w:type="dxa"/>
            <w:tcBorders>
              <w:top w:val="nil"/>
              <w:left w:val="nil"/>
              <w:bottom w:val="single" w:sz="4" w:space="0" w:color="auto"/>
              <w:right w:val="single" w:sz="4" w:space="0" w:color="auto"/>
            </w:tcBorders>
            <w:shd w:val="clear" w:color="auto" w:fill="auto"/>
            <w:vAlign w:val="center"/>
            <w:hideMark/>
          </w:tcPr>
          <w:p w14:paraId="366D5E3C" w14:textId="77777777" w:rsidR="007B546B" w:rsidRPr="00095A13" w:rsidRDefault="007B546B" w:rsidP="007B546B">
            <w:pPr>
              <w:ind w:right="144"/>
              <w:jc w:val="right"/>
              <w:rPr>
                <w:kern w:val="22"/>
                <w:szCs w:val="22"/>
                <w:lang w:val="fr-CA" w:eastAsia="en-CA"/>
              </w:rPr>
            </w:pPr>
            <w:r w:rsidRPr="00095A13">
              <w:rPr>
                <w:kern w:val="22"/>
                <w:szCs w:val="22"/>
                <w:lang w:val="fr-CA" w:eastAsia="en-CA"/>
              </w:rPr>
              <w:t>1 316</w:t>
            </w:r>
          </w:p>
        </w:tc>
      </w:tr>
      <w:tr w:rsidR="007B546B" w:rsidRPr="005C598A" w14:paraId="645647D1"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4D069F18" w14:textId="7335FBC0" w:rsidR="007B546B" w:rsidRPr="005C598A" w:rsidRDefault="007B546B" w:rsidP="00120F79">
            <w:pPr>
              <w:jc w:val="right"/>
              <w:rPr>
                <w:kern w:val="22"/>
                <w:szCs w:val="22"/>
                <w:lang w:val="fr-CA" w:eastAsia="en-CA"/>
              </w:rPr>
            </w:pPr>
            <w:r>
              <w:rPr>
                <w:kern w:val="22"/>
                <w:szCs w:val="22"/>
                <w:lang w:val="fr-CA" w:eastAsia="en-CA"/>
              </w:rPr>
              <w:t>33</w:t>
            </w:r>
          </w:p>
        </w:tc>
        <w:tc>
          <w:tcPr>
            <w:tcW w:w="3966" w:type="dxa"/>
            <w:tcBorders>
              <w:top w:val="nil"/>
              <w:left w:val="nil"/>
              <w:bottom w:val="single" w:sz="4" w:space="0" w:color="auto"/>
              <w:right w:val="single" w:sz="4" w:space="0" w:color="auto"/>
            </w:tcBorders>
            <w:shd w:val="clear" w:color="auto" w:fill="auto"/>
            <w:vAlign w:val="center"/>
            <w:hideMark/>
          </w:tcPr>
          <w:p w14:paraId="1212296C" w14:textId="77777777" w:rsidR="007B546B" w:rsidRPr="005C598A" w:rsidRDefault="007B546B" w:rsidP="00120F79">
            <w:pPr>
              <w:jc w:val="left"/>
              <w:rPr>
                <w:kern w:val="22"/>
                <w:szCs w:val="22"/>
                <w:lang w:val="fr-CA" w:eastAsia="en-CA"/>
              </w:rPr>
            </w:pPr>
            <w:r>
              <w:rPr>
                <w:kern w:val="22"/>
                <w:szCs w:val="22"/>
                <w:lang w:val="fr-CA" w:eastAsia="en-CA"/>
              </w:rPr>
              <w:t>Colombie</w:t>
            </w:r>
          </w:p>
        </w:tc>
        <w:tc>
          <w:tcPr>
            <w:tcW w:w="1605" w:type="dxa"/>
            <w:tcBorders>
              <w:top w:val="nil"/>
              <w:left w:val="nil"/>
              <w:bottom w:val="single" w:sz="4" w:space="0" w:color="auto"/>
              <w:right w:val="single" w:sz="4" w:space="0" w:color="auto"/>
            </w:tcBorders>
            <w:shd w:val="clear" w:color="auto" w:fill="auto"/>
            <w:vAlign w:val="center"/>
            <w:hideMark/>
          </w:tcPr>
          <w:p w14:paraId="5DCBD592"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288</w:t>
            </w:r>
          </w:p>
        </w:tc>
        <w:tc>
          <w:tcPr>
            <w:tcW w:w="1610" w:type="dxa"/>
            <w:tcBorders>
              <w:top w:val="nil"/>
              <w:left w:val="nil"/>
              <w:bottom w:val="single" w:sz="4" w:space="0" w:color="auto"/>
              <w:right w:val="single" w:sz="4" w:space="0" w:color="auto"/>
            </w:tcBorders>
            <w:shd w:val="clear" w:color="auto" w:fill="auto"/>
            <w:vAlign w:val="center"/>
            <w:hideMark/>
          </w:tcPr>
          <w:p w14:paraId="6FCD2ADC"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412</w:t>
            </w:r>
          </w:p>
        </w:tc>
        <w:tc>
          <w:tcPr>
            <w:tcW w:w="1590" w:type="dxa"/>
            <w:tcBorders>
              <w:top w:val="nil"/>
              <w:left w:val="nil"/>
              <w:bottom w:val="single" w:sz="4" w:space="0" w:color="auto"/>
              <w:right w:val="single" w:sz="4" w:space="0" w:color="auto"/>
            </w:tcBorders>
            <w:shd w:val="clear" w:color="auto" w:fill="auto"/>
            <w:vAlign w:val="center"/>
            <w:hideMark/>
          </w:tcPr>
          <w:p w14:paraId="2CF23E8C" w14:textId="77777777" w:rsidR="007B546B" w:rsidRPr="005C598A" w:rsidRDefault="007B546B" w:rsidP="007B546B">
            <w:pPr>
              <w:ind w:right="144"/>
              <w:jc w:val="right"/>
              <w:rPr>
                <w:kern w:val="22"/>
                <w:szCs w:val="22"/>
                <w:lang w:val="fr-CA" w:eastAsia="en-CA"/>
              </w:rPr>
            </w:pPr>
            <w:r w:rsidRPr="005C598A">
              <w:rPr>
                <w:kern w:val="22"/>
                <w:szCs w:val="22"/>
                <w:lang w:val="fr-CA" w:eastAsia="en-CA"/>
              </w:rPr>
              <w:t>10 526</w:t>
            </w:r>
          </w:p>
        </w:tc>
      </w:tr>
      <w:tr w:rsidR="007B546B" w:rsidRPr="005C598A" w14:paraId="3C852CCE"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D0DF74A" w14:textId="413047AE" w:rsidR="007B546B" w:rsidRPr="005C598A" w:rsidRDefault="007B546B" w:rsidP="00120F79">
            <w:pPr>
              <w:jc w:val="right"/>
              <w:rPr>
                <w:kern w:val="22"/>
                <w:szCs w:val="22"/>
                <w:lang w:val="fr-CA" w:eastAsia="en-CA"/>
              </w:rPr>
            </w:pPr>
            <w:r>
              <w:rPr>
                <w:kern w:val="22"/>
                <w:szCs w:val="22"/>
                <w:lang w:val="fr-CA" w:eastAsia="en-CA"/>
              </w:rPr>
              <w:t>34</w:t>
            </w:r>
          </w:p>
        </w:tc>
        <w:tc>
          <w:tcPr>
            <w:tcW w:w="3966" w:type="dxa"/>
            <w:tcBorders>
              <w:top w:val="nil"/>
              <w:left w:val="nil"/>
              <w:bottom w:val="single" w:sz="4" w:space="0" w:color="auto"/>
              <w:right w:val="single" w:sz="4" w:space="0" w:color="auto"/>
            </w:tcBorders>
            <w:shd w:val="clear" w:color="auto" w:fill="auto"/>
            <w:vAlign w:val="center"/>
            <w:hideMark/>
          </w:tcPr>
          <w:p w14:paraId="7BD4ADF7" w14:textId="77777777" w:rsidR="007B546B" w:rsidRPr="005C598A" w:rsidRDefault="007B546B" w:rsidP="00120F79">
            <w:pPr>
              <w:jc w:val="left"/>
              <w:rPr>
                <w:kern w:val="22"/>
                <w:szCs w:val="22"/>
                <w:lang w:val="fr-CA" w:eastAsia="en-CA"/>
              </w:rPr>
            </w:pPr>
            <w:r>
              <w:rPr>
                <w:kern w:val="22"/>
                <w:szCs w:val="22"/>
                <w:lang w:val="fr-CA" w:eastAsia="en-CA"/>
              </w:rPr>
              <w:t>Comore</w:t>
            </w:r>
            <w:r w:rsidRPr="005C598A">
              <w:rPr>
                <w:kern w:val="22"/>
                <w:szCs w:val="22"/>
                <w:lang w:val="fr-CA" w:eastAsia="en-CA"/>
              </w:rPr>
              <w:t>s</w:t>
            </w:r>
          </w:p>
        </w:tc>
        <w:tc>
          <w:tcPr>
            <w:tcW w:w="1605" w:type="dxa"/>
            <w:tcBorders>
              <w:top w:val="nil"/>
              <w:left w:val="nil"/>
              <w:bottom w:val="single" w:sz="4" w:space="0" w:color="auto"/>
              <w:right w:val="single" w:sz="4" w:space="0" w:color="auto"/>
            </w:tcBorders>
            <w:shd w:val="clear" w:color="auto" w:fill="auto"/>
            <w:vAlign w:val="center"/>
            <w:hideMark/>
          </w:tcPr>
          <w:p w14:paraId="2922E600"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001</w:t>
            </w:r>
          </w:p>
        </w:tc>
        <w:tc>
          <w:tcPr>
            <w:tcW w:w="1610" w:type="dxa"/>
            <w:tcBorders>
              <w:top w:val="nil"/>
              <w:left w:val="nil"/>
              <w:bottom w:val="single" w:sz="4" w:space="0" w:color="auto"/>
              <w:right w:val="single" w:sz="4" w:space="0" w:color="auto"/>
            </w:tcBorders>
            <w:shd w:val="clear" w:color="auto" w:fill="auto"/>
            <w:vAlign w:val="center"/>
            <w:hideMark/>
          </w:tcPr>
          <w:p w14:paraId="3ADE5ED9"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001</w:t>
            </w:r>
          </w:p>
        </w:tc>
        <w:tc>
          <w:tcPr>
            <w:tcW w:w="1590" w:type="dxa"/>
            <w:tcBorders>
              <w:top w:val="nil"/>
              <w:left w:val="nil"/>
              <w:bottom w:val="single" w:sz="4" w:space="0" w:color="auto"/>
              <w:right w:val="single" w:sz="4" w:space="0" w:color="auto"/>
            </w:tcBorders>
            <w:shd w:val="clear" w:color="auto" w:fill="auto"/>
            <w:vAlign w:val="center"/>
            <w:hideMark/>
          </w:tcPr>
          <w:p w14:paraId="7FE9844B" w14:textId="77777777" w:rsidR="007B546B" w:rsidRPr="005C598A" w:rsidRDefault="007B546B" w:rsidP="007B546B">
            <w:pPr>
              <w:ind w:right="144"/>
              <w:jc w:val="right"/>
              <w:rPr>
                <w:kern w:val="22"/>
                <w:szCs w:val="22"/>
                <w:lang w:val="fr-CA" w:eastAsia="en-CA"/>
              </w:rPr>
            </w:pPr>
            <w:r w:rsidRPr="005C598A">
              <w:rPr>
                <w:kern w:val="22"/>
                <w:szCs w:val="22"/>
                <w:lang w:val="fr-CA" w:eastAsia="en-CA"/>
              </w:rPr>
              <w:t>37</w:t>
            </w:r>
          </w:p>
        </w:tc>
      </w:tr>
      <w:tr w:rsidR="007B546B" w:rsidRPr="005C598A" w14:paraId="1B2105CF"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C14A28A" w14:textId="0D1DCC1A" w:rsidR="007B546B" w:rsidRPr="005C598A" w:rsidRDefault="007B546B" w:rsidP="00120F79">
            <w:pPr>
              <w:jc w:val="right"/>
              <w:rPr>
                <w:kern w:val="22"/>
                <w:szCs w:val="22"/>
                <w:lang w:val="fr-CA" w:eastAsia="en-CA"/>
              </w:rPr>
            </w:pPr>
            <w:r>
              <w:rPr>
                <w:kern w:val="22"/>
                <w:szCs w:val="22"/>
                <w:lang w:val="fr-CA" w:eastAsia="en-CA"/>
              </w:rPr>
              <w:t>35</w:t>
            </w:r>
          </w:p>
        </w:tc>
        <w:tc>
          <w:tcPr>
            <w:tcW w:w="3966" w:type="dxa"/>
            <w:tcBorders>
              <w:top w:val="nil"/>
              <w:left w:val="nil"/>
              <w:bottom w:val="single" w:sz="4" w:space="0" w:color="auto"/>
              <w:right w:val="single" w:sz="4" w:space="0" w:color="auto"/>
            </w:tcBorders>
            <w:shd w:val="clear" w:color="auto" w:fill="auto"/>
            <w:vAlign w:val="center"/>
            <w:hideMark/>
          </w:tcPr>
          <w:p w14:paraId="1EAC81D2" w14:textId="77777777" w:rsidR="007B546B" w:rsidRPr="005C598A" w:rsidRDefault="007B546B" w:rsidP="00120F79">
            <w:pPr>
              <w:jc w:val="left"/>
              <w:rPr>
                <w:kern w:val="22"/>
                <w:szCs w:val="22"/>
                <w:lang w:val="fr-CA" w:eastAsia="en-CA"/>
              </w:rPr>
            </w:pPr>
            <w:r w:rsidRPr="005C598A">
              <w:rPr>
                <w:kern w:val="22"/>
                <w:szCs w:val="22"/>
                <w:lang w:val="fr-CA" w:eastAsia="en-CA"/>
              </w:rPr>
              <w:t>Congo</w:t>
            </w:r>
          </w:p>
        </w:tc>
        <w:tc>
          <w:tcPr>
            <w:tcW w:w="1605" w:type="dxa"/>
            <w:tcBorders>
              <w:top w:val="nil"/>
              <w:left w:val="nil"/>
              <w:bottom w:val="single" w:sz="4" w:space="0" w:color="auto"/>
              <w:right w:val="single" w:sz="4" w:space="0" w:color="auto"/>
            </w:tcBorders>
            <w:shd w:val="clear" w:color="auto" w:fill="auto"/>
            <w:vAlign w:val="center"/>
            <w:hideMark/>
          </w:tcPr>
          <w:p w14:paraId="5AFD082A"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006</w:t>
            </w:r>
          </w:p>
        </w:tc>
        <w:tc>
          <w:tcPr>
            <w:tcW w:w="1610" w:type="dxa"/>
            <w:tcBorders>
              <w:top w:val="nil"/>
              <w:left w:val="nil"/>
              <w:bottom w:val="single" w:sz="4" w:space="0" w:color="auto"/>
              <w:right w:val="single" w:sz="4" w:space="0" w:color="auto"/>
            </w:tcBorders>
            <w:shd w:val="clear" w:color="auto" w:fill="auto"/>
            <w:vAlign w:val="center"/>
            <w:hideMark/>
          </w:tcPr>
          <w:p w14:paraId="382F19E9"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009</w:t>
            </w:r>
          </w:p>
        </w:tc>
        <w:tc>
          <w:tcPr>
            <w:tcW w:w="1590" w:type="dxa"/>
            <w:tcBorders>
              <w:top w:val="nil"/>
              <w:left w:val="nil"/>
              <w:bottom w:val="single" w:sz="4" w:space="0" w:color="auto"/>
              <w:right w:val="single" w:sz="4" w:space="0" w:color="auto"/>
            </w:tcBorders>
            <w:shd w:val="clear" w:color="auto" w:fill="auto"/>
            <w:vAlign w:val="center"/>
            <w:hideMark/>
          </w:tcPr>
          <w:p w14:paraId="0201D3A5" w14:textId="77777777" w:rsidR="007B546B" w:rsidRPr="005C598A" w:rsidRDefault="007B546B" w:rsidP="007B546B">
            <w:pPr>
              <w:ind w:right="144"/>
              <w:jc w:val="right"/>
              <w:rPr>
                <w:kern w:val="22"/>
                <w:szCs w:val="22"/>
                <w:lang w:val="fr-CA" w:eastAsia="en-CA"/>
              </w:rPr>
            </w:pPr>
            <w:r w:rsidRPr="005C598A">
              <w:rPr>
                <w:kern w:val="22"/>
                <w:szCs w:val="22"/>
                <w:lang w:val="fr-CA" w:eastAsia="en-CA"/>
              </w:rPr>
              <w:t>219</w:t>
            </w:r>
          </w:p>
        </w:tc>
      </w:tr>
      <w:tr w:rsidR="007B546B" w:rsidRPr="005C598A" w14:paraId="444FDEDB"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CE897C3" w14:textId="69637567" w:rsidR="007B546B" w:rsidRPr="005C598A" w:rsidRDefault="007B546B" w:rsidP="00120F79">
            <w:pPr>
              <w:jc w:val="right"/>
              <w:rPr>
                <w:kern w:val="22"/>
                <w:szCs w:val="22"/>
                <w:lang w:val="fr-CA" w:eastAsia="en-CA"/>
              </w:rPr>
            </w:pPr>
            <w:r>
              <w:rPr>
                <w:kern w:val="22"/>
                <w:szCs w:val="22"/>
                <w:lang w:val="fr-CA" w:eastAsia="en-CA"/>
              </w:rPr>
              <w:t>36</w:t>
            </w:r>
          </w:p>
        </w:tc>
        <w:tc>
          <w:tcPr>
            <w:tcW w:w="3966" w:type="dxa"/>
            <w:tcBorders>
              <w:top w:val="nil"/>
              <w:left w:val="nil"/>
              <w:bottom w:val="single" w:sz="4" w:space="0" w:color="auto"/>
              <w:right w:val="single" w:sz="4" w:space="0" w:color="auto"/>
            </w:tcBorders>
            <w:shd w:val="clear" w:color="auto" w:fill="auto"/>
            <w:vAlign w:val="center"/>
            <w:hideMark/>
          </w:tcPr>
          <w:p w14:paraId="62130235" w14:textId="77777777" w:rsidR="007B546B" w:rsidRPr="005C598A" w:rsidRDefault="007B546B" w:rsidP="00120F79">
            <w:pPr>
              <w:jc w:val="left"/>
              <w:rPr>
                <w:kern w:val="22"/>
                <w:szCs w:val="22"/>
                <w:lang w:val="fr-CA" w:eastAsia="en-CA"/>
              </w:rPr>
            </w:pPr>
            <w:r w:rsidRPr="005C598A">
              <w:rPr>
                <w:kern w:val="22"/>
                <w:szCs w:val="22"/>
                <w:lang w:val="fr-CA" w:eastAsia="en-CA"/>
              </w:rPr>
              <w:t>Costa Rica</w:t>
            </w:r>
          </w:p>
        </w:tc>
        <w:tc>
          <w:tcPr>
            <w:tcW w:w="1605" w:type="dxa"/>
            <w:tcBorders>
              <w:top w:val="nil"/>
              <w:left w:val="nil"/>
              <w:bottom w:val="single" w:sz="4" w:space="0" w:color="auto"/>
              <w:right w:val="single" w:sz="4" w:space="0" w:color="auto"/>
            </w:tcBorders>
            <w:shd w:val="clear" w:color="auto" w:fill="auto"/>
            <w:vAlign w:val="center"/>
            <w:hideMark/>
          </w:tcPr>
          <w:p w14:paraId="0E489A73"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062</w:t>
            </w:r>
          </w:p>
        </w:tc>
        <w:tc>
          <w:tcPr>
            <w:tcW w:w="1610" w:type="dxa"/>
            <w:tcBorders>
              <w:top w:val="nil"/>
              <w:left w:val="nil"/>
              <w:bottom w:val="single" w:sz="4" w:space="0" w:color="auto"/>
              <w:right w:val="single" w:sz="4" w:space="0" w:color="auto"/>
            </w:tcBorders>
            <w:shd w:val="clear" w:color="auto" w:fill="auto"/>
            <w:vAlign w:val="center"/>
            <w:hideMark/>
          </w:tcPr>
          <w:p w14:paraId="1259F689"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089</w:t>
            </w:r>
          </w:p>
        </w:tc>
        <w:tc>
          <w:tcPr>
            <w:tcW w:w="1590" w:type="dxa"/>
            <w:tcBorders>
              <w:top w:val="nil"/>
              <w:left w:val="nil"/>
              <w:bottom w:val="single" w:sz="4" w:space="0" w:color="auto"/>
              <w:right w:val="single" w:sz="4" w:space="0" w:color="auto"/>
            </w:tcBorders>
            <w:shd w:val="clear" w:color="auto" w:fill="auto"/>
            <w:vAlign w:val="center"/>
            <w:hideMark/>
          </w:tcPr>
          <w:p w14:paraId="2053A78F" w14:textId="77777777" w:rsidR="007B546B" w:rsidRPr="005C598A" w:rsidRDefault="007B546B" w:rsidP="007B546B">
            <w:pPr>
              <w:ind w:right="144"/>
              <w:jc w:val="right"/>
              <w:rPr>
                <w:kern w:val="22"/>
                <w:szCs w:val="22"/>
                <w:lang w:val="fr-CA" w:eastAsia="en-CA"/>
              </w:rPr>
            </w:pPr>
            <w:r w:rsidRPr="005C598A">
              <w:rPr>
                <w:kern w:val="22"/>
                <w:szCs w:val="22"/>
                <w:lang w:val="fr-CA" w:eastAsia="en-CA"/>
              </w:rPr>
              <w:t>2 266</w:t>
            </w:r>
          </w:p>
        </w:tc>
      </w:tr>
      <w:tr w:rsidR="007B546B" w:rsidRPr="005C598A" w14:paraId="06701C0F"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47256375" w14:textId="1F0CD341" w:rsidR="007B546B" w:rsidRPr="005C598A" w:rsidRDefault="007B546B" w:rsidP="00120F79">
            <w:pPr>
              <w:jc w:val="right"/>
              <w:rPr>
                <w:kern w:val="22"/>
                <w:szCs w:val="22"/>
                <w:lang w:val="fr-CA" w:eastAsia="en-CA"/>
              </w:rPr>
            </w:pPr>
            <w:r>
              <w:rPr>
                <w:kern w:val="22"/>
                <w:szCs w:val="22"/>
                <w:lang w:val="fr-CA" w:eastAsia="en-CA"/>
              </w:rPr>
              <w:t>37</w:t>
            </w:r>
          </w:p>
        </w:tc>
        <w:tc>
          <w:tcPr>
            <w:tcW w:w="3966" w:type="dxa"/>
            <w:tcBorders>
              <w:top w:val="nil"/>
              <w:left w:val="nil"/>
              <w:bottom w:val="single" w:sz="4" w:space="0" w:color="auto"/>
              <w:right w:val="single" w:sz="4" w:space="0" w:color="auto"/>
            </w:tcBorders>
            <w:shd w:val="clear" w:color="auto" w:fill="auto"/>
            <w:vAlign w:val="center"/>
            <w:hideMark/>
          </w:tcPr>
          <w:p w14:paraId="00654890" w14:textId="77777777" w:rsidR="007B546B" w:rsidRPr="005C598A" w:rsidRDefault="007B546B" w:rsidP="003B783E">
            <w:pPr>
              <w:jc w:val="left"/>
              <w:rPr>
                <w:kern w:val="22"/>
                <w:szCs w:val="22"/>
                <w:lang w:val="fr-CA" w:eastAsia="en-CA"/>
              </w:rPr>
            </w:pPr>
            <w:r w:rsidRPr="005C598A">
              <w:rPr>
                <w:kern w:val="22"/>
                <w:szCs w:val="22"/>
                <w:lang w:val="fr-CA" w:eastAsia="en-CA"/>
              </w:rPr>
              <w:t>C</w:t>
            </w:r>
            <w:r>
              <w:rPr>
                <w:kern w:val="22"/>
                <w:szCs w:val="22"/>
                <w:lang w:val="fr-CA" w:eastAsia="en-CA"/>
              </w:rPr>
              <w:t>ô</w:t>
            </w:r>
            <w:r w:rsidRPr="005C598A">
              <w:rPr>
                <w:kern w:val="22"/>
                <w:szCs w:val="22"/>
                <w:lang w:val="fr-CA" w:eastAsia="en-CA"/>
              </w:rPr>
              <w:t>te d’Ivoire</w:t>
            </w:r>
          </w:p>
        </w:tc>
        <w:tc>
          <w:tcPr>
            <w:tcW w:w="1605" w:type="dxa"/>
            <w:tcBorders>
              <w:top w:val="nil"/>
              <w:left w:val="nil"/>
              <w:bottom w:val="single" w:sz="4" w:space="0" w:color="auto"/>
              <w:right w:val="single" w:sz="4" w:space="0" w:color="auto"/>
            </w:tcBorders>
            <w:shd w:val="clear" w:color="auto" w:fill="auto"/>
            <w:vAlign w:val="center"/>
            <w:hideMark/>
          </w:tcPr>
          <w:p w14:paraId="489D739C"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013</w:t>
            </w:r>
          </w:p>
        </w:tc>
        <w:tc>
          <w:tcPr>
            <w:tcW w:w="1610" w:type="dxa"/>
            <w:tcBorders>
              <w:top w:val="nil"/>
              <w:left w:val="nil"/>
              <w:bottom w:val="single" w:sz="4" w:space="0" w:color="auto"/>
              <w:right w:val="single" w:sz="4" w:space="0" w:color="auto"/>
            </w:tcBorders>
            <w:shd w:val="clear" w:color="auto" w:fill="auto"/>
            <w:vAlign w:val="center"/>
            <w:hideMark/>
          </w:tcPr>
          <w:p w14:paraId="5B690376"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019</w:t>
            </w:r>
          </w:p>
        </w:tc>
        <w:tc>
          <w:tcPr>
            <w:tcW w:w="1590" w:type="dxa"/>
            <w:tcBorders>
              <w:top w:val="nil"/>
              <w:left w:val="nil"/>
              <w:bottom w:val="single" w:sz="4" w:space="0" w:color="auto"/>
              <w:right w:val="single" w:sz="4" w:space="0" w:color="auto"/>
            </w:tcBorders>
            <w:shd w:val="clear" w:color="auto" w:fill="auto"/>
            <w:vAlign w:val="center"/>
            <w:hideMark/>
          </w:tcPr>
          <w:p w14:paraId="66B69B49" w14:textId="77777777" w:rsidR="007B546B" w:rsidRPr="005C598A" w:rsidRDefault="007B546B" w:rsidP="007B546B">
            <w:pPr>
              <w:ind w:right="144"/>
              <w:jc w:val="right"/>
              <w:rPr>
                <w:kern w:val="22"/>
                <w:szCs w:val="22"/>
                <w:lang w:val="fr-CA" w:eastAsia="en-CA"/>
              </w:rPr>
            </w:pPr>
            <w:r w:rsidRPr="005C598A">
              <w:rPr>
                <w:kern w:val="22"/>
                <w:szCs w:val="22"/>
                <w:lang w:val="fr-CA" w:eastAsia="en-CA"/>
              </w:rPr>
              <w:t>475</w:t>
            </w:r>
          </w:p>
        </w:tc>
      </w:tr>
      <w:tr w:rsidR="007B546B" w:rsidRPr="00095A13" w14:paraId="2D1747CB"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5F12B71" w14:textId="0CABCE7B" w:rsidR="007B546B" w:rsidRPr="00095A13" w:rsidRDefault="007B546B" w:rsidP="00095A13">
            <w:pPr>
              <w:jc w:val="center"/>
              <w:rPr>
                <w:kern w:val="22"/>
                <w:szCs w:val="22"/>
                <w:lang w:val="fr-CA" w:eastAsia="en-CA"/>
              </w:rPr>
            </w:pPr>
            <w:r>
              <w:rPr>
                <w:kern w:val="22"/>
                <w:szCs w:val="22"/>
                <w:lang w:val="fr-CA" w:eastAsia="en-CA"/>
              </w:rPr>
              <w:t xml:space="preserve">  38</w:t>
            </w:r>
          </w:p>
        </w:tc>
        <w:tc>
          <w:tcPr>
            <w:tcW w:w="3966" w:type="dxa"/>
            <w:tcBorders>
              <w:top w:val="nil"/>
              <w:left w:val="nil"/>
              <w:bottom w:val="single" w:sz="4" w:space="0" w:color="auto"/>
              <w:right w:val="single" w:sz="4" w:space="0" w:color="auto"/>
            </w:tcBorders>
            <w:shd w:val="clear" w:color="auto" w:fill="auto"/>
            <w:vAlign w:val="center"/>
            <w:hideMark/>
          </w:tcPr>
          <w:p w14:paraId="601C462C" w14:textId="77777777" w:rsidR="007B546B" w:rsidRPr="00095A13" w:rsidRDefault="007B546B" w:rsidP="00120F79">
            <w:pPr>
              <w:jc w:val="left"/>
              <w:rPr>
                <w:kern w:val="22"/>
                <w:szCs w:val="22"/>
                <w:lang w:val="fr-CA" w:eastAsia="en-CA"/>
              </w:rPr>
            </w:pPr>
            <w:r>
              <w:rPr>
                <w:kern w:val="22"/>
                <w:szCs w:val="22"/>
                <w:lang w:val="fr-CA" w:eastAsia="en-CA"/>
              </w:rPr>
              <w:t>Croatie</w:t>
            </w:r>
          </w:p>
        </w:tc>
        <w:tc>
          <w:tcPr>
            <w:tcW w:w="1605" w:type="dxa"/>
            <w:tcBorders>
              <w:top w:val="nil"/>
              <w:left w:val="nil"/>
              <w:bottom w:val="single" w:sz="4" w:space="0" w:color="auto"/>
              <w:right w:val="single" w:sz="4" w:space="0" w:color="auto"/>
            </w:tcBorders>
            <w:shd w:val="clear" w:color="auto" w:fill="auto"/>
            <w:vAlign w:val="center"/>
            <w:hideMark/>
          </w:tcPr>
          <w:p w14:paraId="37BCE1B3"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077</w:t>
            </w:r>
          </w:p>
        </w:tc>
        <w:tc>
          <w:tcPr>
            <w:tcW w:w="1610" w:type="dxa"/>
            <w:tcBorders>
              <w:top w:val="nil"/>
              <w:left w:val="nil"/>
              <w:bottom w:val="single" w:sz="4" w:space="0" w:color="auto"/>
              <w:right w:val="single" w:sz="4" w:space="0" w:color="auto"/>
            </w:tcBorders>
            <w:shd w:val="clear" w:color="auto" w:fill="auto"/>
            <w:vAlign w:val="center"/>
            <w:hideMark/>
          </w:tcPr>
          <w:p w14:paraId="642B5017"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110</w:t>
            </w:r>
          </w:p>
        </w:tc>
        <w:tc>
          <w:tcPr>
            <w:tcW w:w="1590" w:type="dxa"/>
            <w:tcBorders>
              <w:top w:val="nil"/>
              <w:left w:val="nil"/>
              <w:bottom w:val="single" w:sz="4" w:space="0" w:color="auto"/>
              <w:right w:val="single" w:sz="4" w:space="0" w:color="auto"/>
            </w:tcBorders>
            <w:shd w:val="clear" w:color="auto" w:fill="auto"/>
            <w:vAlign w:val="center"/>
            <w:hideMark/>
          </w:tcPr>
          <w:p w14:paraId="6CAC67CE" w14:textId="77777777" w:rsidR="007B546B" w:rsidRPr="00095A13" w:rsidRDefault="007B546B" w:rsidP="007B546B">
            <w:pPr>
              <w:ind w:right="144"/>
              <w:jc w:val="right"/>
              <w:rPr>
                <w:kern w:val="22"/>
                <w:szCs w:val="22"/>
                <w:lang w:val="fr-CA" w:eastAsia="en-CA"/>
              </w:rPr>
            </w:pPr>
            <w:r w:rsidRPr="00095A13">
              <w:rPr>
                <w:kern w:val="22"/>
                <w:szCs w:val="22"/>
                <w:lang w:val="fr-CA" w:eastAsia="en-CA"/>
              </w:rPr>
              <w:t>2 814</w:t>
            </w:r>
          </w:p>
        </w:tc>
      </w:tr>
      <w:tr w:rsidR="007B546B" w:rsidRPr="00095A13" w14:paraId="38B46B42"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129F742" w14:textId="498F8EED" w:rsidR="007B546B" w:rsidRPr="00095A13" w:rsidRDefault="007B546B" w:rsidP="00120F79">
            <w:pPr>
              <w:jc w:val="right"/>
              <w:rPr>
                <w:kern w:val="22"/>
                <w:szCs w:val="22"/>
                <w:lang w:val="fr-CA" w:eastAsia="en-CA"/>
              </w:rPr>
            </w:pPr>
            <w:r>
              <w:rPr>
                <w:kern w:val="22"/>
                <w:szCs w:val="22"/>
                <w:lang w:val="fr-CA" w:eastAsia="en-CA"/>
              </w:rPr>
              <w:t>39</w:t>
            </w:r>
          </w:p>
        </w:tc>
        <w:tc>
          <w:tcPr>
            <w:tcW w:w="3966" w:type="dxa"/>
            <w:tcBorders>
              <w:top w:val="nil"/>
              <w:left w:val="nil"/>
              <w:bottom w:val="single" w:sz="4" w:space="0" w:color="auto"/>
              <w:right w:val="single" w:sz="4" w:space="0" w:color="auto"/>
            </w:tcBorders>
            <w:shd w:val="clear" w:color="auto" w:fill="auto"/>
            <w:vAlign w:val="center"/>
            <w:hideMark/>
          </w:tcPr>
          <w:p w14:paraId="71FF87E0" w14:textId="77777777" w:rsidR="007B546B" w:rsidRPr="00095A13" w:rsidRDefault="007B546B" w:rsidP="00120F79">
            <w:pPr>
              <w:jc w:val="left"/>
              <w:rPr>
                <w:kern w:val="22"/>
                <w:szCs w:val="22"/>
                <w:lang w:val="fr-CA" w:eastAsia="en-CA"/>
              </w:rPr>
            </w:pPr>
            <w:r w:rsidRPr="00095A13">
              <w:rPr>
                <w:kern w:val="22"/>
                <w:szCs w:val="22"/>
                <w:lang w:val="fr-CA" w:eastAsia="en-CA"/>
              </w:rPr>
              <w:t>Cuba</w:t>
            </w:r>
          </w:p>
        </w:tc>
        <w:tc>
          <w:tcPr>
            <w:tcW w:w="1605" w:type="dxa"/>
            <w:tcBorders>
              <w:top w:val="nil"/>
              <w:left w:val="nil"/>
              <w:bottom w:val="single" w:sz="4" w:space="0" w:color="auto"/>
              <w:right w:val="single" w:sz="4" w:space="0" w:color="auto"/>
            </w:tcBorders>
            <w:shd w:val="clear" w:color="auto" w:fill="auto"/>
            <w:vAlign w:val="center"/>
            <w:hideMark/>
          </w:tcPr>
          <w:p w14:paraId="730C819A"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080</w:t>
            </w:r>
          </w:p>
        </w:tc>
        <w:tc>
          <w:tcPr>
            <w:tcW w:w="1610" w:type="dxa"/>
            <w:tcBorders>
              <w:top w:val="nil"/>
              <w:left w:val="nil"/>
              <w:bottom w:val="single" w:sz="4" w:space="0" w:color="auto"/>
              <w:right w:val="single" w:sz="4" w:space="0" w:color="auto"/>
            </w:tcBorders>
            <w:shd w:val="clear" w:color="auto" w:fill="auto"/>
            <w:vAlign w:val="center"/>
            <w:hideMark/>
          </w:tcPr>
          <w:p w14:paraId="41D4DA12"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114</w:t>
            </w:r>
          </w:p>
        </w:tc>
        <w:tc>
          <w:tcPr>
            <w:tcW w:w="1590" w:type="dxa"/>
            <w:tcBorders>
              <w:top w:val="nil"/>
              <w:left w:val="nil"/>
              <w:bottom w:val="single" w:sz="4" w:space="0" w:color="auto"/>
              <w:right w:val="single" w:sz="4" w:space="0" w:color="auto"/>
            </w:tcBorders>
            <w:shd w:val="clear" w:color="auto" w:fill="auto"/>
            <w:vAlign w:val="center"/>
            <w:hideMark/>
          </w:tcPr>
          <w:p w14:paraId="1DBEB863" w14:textId="77777777" w:rsidR="007B546B" w:rsidRPr="00095A13" w:rsidRDefault="007B546B" w:rsidP="007B546B">
            <w:pPr>
              <w:ind w:right="144"/>
              <w:jc w:val="right"/>
              <w:rPr>
                <w:kern w:val="22"/>
                <w:szCs w:val="22"/>
                <w:lang w:val="fr-CA" w:eastAsia="en-CA"/>
              </w:rPr>
            </w:pPr>
            <w:r w:rsidRPr="00095A13">
              <w:rPr>
                <w:kern w:val="22"/>
                <w:szCs w:val="22"/>
                <w:lang w:val="fr-CA" w:eastAsia="en-CA"/>
              </w:rPr>
              <w:t>2 924</w:t>
            </w:r>
          </w:p>
        </w:tc>
      </w:tr>
      <w:tr w:rsidR="007B546B" w:rsidRPr="00095A13" w14:paraId="6BEFB083"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C838CC7" w14:textId="58371A34" w:rsidR="007B546B" w:rsidRPr="00095A13" w:rsidRDefault="007B546B" w:rsidP="00120F79">
            <w:pPr>
              <w:jc w:val="right"/>
              <w:rPr>
                <w:kern w:val="22"/>
                <w:szCs w:val="22"/>
                <w:lang w:val="fr-CA" w:eastAsia="en-CA"/>
              </w:rPr>
            </w:pPr>
            <w:r>
              <w:rPr>
                <w:kern w:val="22"/>
                <w:szCs w:val="22"/>
                <w:lang w:val="fr-CA" w:eastAsia="en-CA"/>
              </w:rPr>
              <w:t>40</w:t>
            </w:r>
          </w:p>
        </w:tc>
        <w:tc>
          <w:tcPr>
            <w:tcW w:w="3966" w:type="dxa"/>
            <w:tcBorders>
              <w:top w:val="nil"/>
              <w:left w:val="nil"/>
              <w:bottom w:val="single" w:sz="4" w:space="0" w:color="auto"/>
              <w:right w:val="single" w:sz="4" w:space="0" w:color="auto"/>
            </w:tcBorders>
            <w:shd w:val="clear" w:color="auto" w:fill="auto"/>
            <w:vAlign w:val="center"/>
            <w:hideMark/>
          </w:tcPr>
          <w:p w14:paraId="5DBCAB46" w14:textId="77777777" w:rsidR="007B546B" w:rsidRPr="00095A13" w:rsidRDefault="007B546B" w:rsidP="00120F79">
            <w:pPr>
              <w:jc w:val="left"/>
              <w:rPr>
                <w:kern w:val="22"/>
                <w:szCs w:val="22"/>
                <w:lang w:val="fr-CA" w:eastAsia="en-CA"/>
              </w:rPr>
            </w:pPr>
            <w:r>
              <w:rPr>
                <w:kern w:val="22"/>
                <w:szCs w:val="22"/>
                <w:lang w:val="fr-CA" w:eastAsia="en-CA"/>
              </w:rPr>
              <w:t>Danemark</w:t>
            </w:r>
          </w:p>
        </w:tc>
        <w:tc>
          <w:tcPr>
            <w:tcW w:w="1605" w:type="dxa"/>
            <w:tcBorders>
              <w:top w:val="nil"/>
              <w:left w:val="nil"/>
              <w:bottom w:val="single" w:sz="4" w:space="0" w:color="auto"/>
              <w:right w:val="single" w:sz="4" w:space="0" w:color="auto"/>
            </w:tcBorders>
            <w:shd w:val="clear" w:color="auto" w:fill="auto"/>
            <w:vAlign w:val="center"/>
            <w:hideMark/>
          </w:tcPr>
          <w:p w14:paraId="2A03755F"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554</w:t>
            </w:r>
          </w:p>
        </w:tc>
        <w:tc>
          <w:tcPr>
            <w:tcW w:w="1610" w:type="dxa"/>
            <w:tcBorders>
              <w:top w:val="nil"/>
              <w:left w:val="nil"/>
              <w:bottom w:val="single" w:sz="4" w:space="0" w:color="auto"/>
              <w:right w:val="single" w:sz="4" w:space="0" w:color="auto"/>
            </w:tcBorders>
            <w:shd w:val="clear" w:color="auto" w:fill="auto"/>
            <w:vAlign w:val="center"/>
            <w:hideMark/>
          </w:tcPr>
          <w:p w14:paraId="61BA884A"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792</w:t>
            </w:r>
          </w:p>
        </w:tc>
        <w:tc>
          <w:tcPr>
            <w:tcW w:w="1590" w:type="dxa"/>
            <w:tcBorders>
              <w:top w:val="nil"/>
              <w:left w:val="nil"/>
              <w:bottom w:val="single" w:sz="4" w:space="0" w:color="auto"/>
              <w:right w:val="single" w:sz="4" w:space="0" w:color="auto"/>
            </w:tcBorders>
            <w:shd w:val="clear" w:color="auto" w:fill="auto"/>
            <w:vAlign w:val="center"/>
            <w:hideMark/>
          </w:tcPr>
          <w:p w14:paraId="4C0B635C" w14:textId="77777777" w:rsidR="007B546B" w:rsidRPr="00095A13" w:rsidRDefault="007B546B" w:rsidP="007B546B">
            <w:pPr>
              <w:ind w:right="144"/>
              <w:jc w:val="right"/>
              <w:rPr>
                <w:kern w:val="22"/>
                <w:szCs w:val="22"/>
                <w:lang w:val="fr-CA" w:eastAsia="en-CA"/>
              </w:rPr>
            </w:pPr>
            <w:r w:rsidRPr="00095A13">
              <w:rPr>
                <w:kern w:val="22"/>
                <w:szCs w:val="22"/>
                <w:lang w:val="fr-CA" w:eastAsia="en-CA"/>
              </w:rPr>
              <w:t>20 248</w:t>
            </w:r>
          </w:p>
        </w:tc>
      </w:tr>
      <w:tr w:rsidR="007B546B" w:rsidRPr="00095A13" w14:paraId="3E124E08"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553879A" w14:textId="5CCE6F11" w:rsidR="007B546B" w:rsidRPr="00095A13" w:rsidRDefault="007B546B" w:rsidP="00120F79">
            <w:pPr>
              <w:jc w:val="right"/>
              <w:rPr>
                <w:kern w:val="22"/>
                <w:szCs w:val="22"/>
                <w:lang w:val="fr-CA" w:eastAsia="en-CA"/>
              </w:rPr>
            </w:pPr>
            <w:r>
              <w:rPr>
                <w:kern w:val="22"/>
                <w:szCs w:val="22"/>
                <w:lang w:val="fr-CA" w:eastAsia="en-CA"/>
              </w:rPr>
              <w:t>41</w:t>
            </w:r>
          </w:p>
        </w:tc>
        <w:tc>
          <w:tcPr>
            <w:tcW w:w="3966" w:type="dxa"/>
            <w:tcBorders>
              <w:top w:val="nil"/>
              <w:left w:val="nil"/>
              <w:bottom w:val="single" w:sz="4" w:space="0" w:color="auto"/>
              <w:right w:val="single" w:sz="4" w:space="0" w:color="auto"/>
            </w:tcBorders>
            <w:shd w:val="clear" w:color="auto" w:fill="auto"/>
            <w:vAlign w:val="center"/>
            <w:hideMark/>
          </w:tcPr>
          <w:p w14:paraId="5085FC15" w14:textId="77777777" w:rsidR="007B546B" w:rsidRPr="00095A13" w:rsidRDefault="007B546B" w:rsidP="00120F79">
            <w:pPr>
              <w:jc w:val="left"/>
              <w:rPr>
                <w:kern w:val="22"/>
                <w:szCs w:val="22"/>
                <w:lang w:val="fr-CA" w:eastAsia="en-CA"/>
              </w:rPr>
            </w:pPr>
            <w:r w:rsidRPr="00095A13">
              <w:rPr>
                <w:kern w:val="22"/>
                <w:szCs w:val="22"/>
                <w:lang w:val="fr-CA" w:eastAsia="en-CA"/>
              </w:rPr>
              <w:t>Djibouti</w:t>
            </w:r>
          </w:p>
        </w:tc>
        <w:tc>
          <w:tcPr>
            <w:tcW w:w="1605" w:type="dxa"/>
            <w:tcBorders>
              <w:top w:val="nil"/>
              <w:left w:val="nil"/>
              <w:bottom w:val="single" w:sz="4" w:space="0" w:color="auto"/>
              <w:right w:val="single" w:sz="4" w:space="0" w:color="auto"/>
            </w:tcBorders>
            <w:shd w:val="clear" w:color="auto" w:fill="auto"/>
            <w:vAlign w:val="center"/>
            <w:hideMark/>
          </w:tcPr>
          <w:p w14:paraId="3F248300"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001</w:t>
            </w:r>
          </w:p>
        </w:tc>
        <w:tc>
          <w:tcPr>
            <w:tcW w:w="1610" w:type="dxa"/>
            <w:tcBorders>
              <w:top w:val="nil"/>
              <w:left w:val="nil"/>
              <w:bottom w:val="single" w:sz="4" w:space="0" w:color="auto"/>
              <w:right w:val="single" w:sz="4" w:space="0" w:color="auto"/>
            </w:tcBorders>
            <w:shd w:val="clear" w:color="auto" w:fill="auto"/>
            <w:vAlign w:val="center"/>
            <w:hideMark/>
          </w:tcPr>
          <w:p w14:paraId="76C27AE0"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001</w:t>
            </w:r>
          </w:p>
        </w:tc>
        <w:tc>
          <w:tcPr>
            <w:tcW w:w="1590" w:type="dxa"/>
            <w:tcBorders>
              <w:top w:val="nil"/>
              <w:left w:val="nil"/>
              <w:bottom w:val="single" w:sz="4" w:space="0" w:color="auto"/>
              <w:right w:val="single" w:sz="4" w:space="0" w:color="auto"/>
            </w:tcBorders>
            <w:shd w:val="clear" w:color="auto" w:fill="auto"/>
            <w:vAlign w:val="center"/>
            <w:hideMark/>
          </w:tcPr>
          <w:p w14:paraId="1DF0E873" w14:textId="77777777" w:rsidR="007B546B" w:rsidRPr="00095A13" w:rsidRDefault="007B546B" w:rsidP="007B546B">
            <w:pPr>
              <w:ind w:right="144"/>
              <w:jc w:val="right"/>
              <w:rPr>
                <w:kern w:val="22"/>
                <w:szCs w:val="22"/>
                <w:lang w:val="fr-CA" w:eastAsia="en-CA"/>
              </w:rPr>
            </w:pPr>
            <w:r w:rsidRPr="00095A13">
              <w:rPr>
                <w:kern w:val="22"/>
                <w:szCs w:val="22"/>
                <w:lang w:val="fr-CA" w:eastAsia="en-CA"/>
              </w:rPr>
              <w:t>37</w:t>
            </w:r>
          </w:p>
        </w:tc>
      </w:tr>
      <w:tr w:rsidR="007B546B" w:rsidRPr="00095A13" w14:paraId="31E86C8D"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F4862F8" w14:textId="1015B252" w:rsidR="007B546B" w:rsidRPr="00095A13" w:rsidRDefault="007B546B" w:rsidP="00120F79">
            <w:pPr>
              <w:jc w:val="right"/>
              <w:rPr>
                <w:kern w:val="22"/>
                <w:szCs w:val="22"/>
                <w:lang w:val="fr-CA" w:eastAsia="en-CA"/>
              </w:rPr>
            </w:pPr>
            <w:r>
              <w:rPr>
                <w:kern w:val="22"/>
                <w:szCs w:val="22"/>
                <w:lang w:val="fr-CA" w:eastAsia="en-CA"/>
              </w:rPr>
              <w:t>42</w:t>
            </w:r>
          </w:p>
        </w:tc>
        <w:tc>
          <w:tcPr>
            <w:tcW w:w="3966" w:type="dxa"/>
            <w:tcBorders>
              <w:top w:val="nil"/>
              <w:left w:val="nil"/>
              <w:bottom w:val="single" w:sz="4" w:space="0" w:color="auto"/>
              <w:right w:val="single" w:sz="4" w:space="0" w:color="auto"/>
            </w:tcBorders>
            <w:shd w:val="clear" w:color="auto" w:fill="auto"/>
            <w:vAlign w:val="center"/>
            <w:hideMark/>
          </w:tcPr>
          <w:p w14:paraId="7709AAAB" w14:textId="77777777" w:rsidR="007B546B" w:rsidRPr="00095A13" w:rsidRDefault="007B546B" w:rsidP="00120F79">
            <w:pPr>
              <w:jc w:val="left"/>
              <w:rPr>
                <w:kern w:val="22"/>
                <w:szCs w:val="22"/>
                <w:lang w:val="fr-CA" w:eastAsia="en-CA"/>
              </w:rPr>
            </w:pPr>
            <w:r>
              <w:rPr>
                <w:kern w:val="22"/>
                <w:szCs w:val="22"/>
                <w:lang w:val="fr-CA" w:eastAsia="en-CA"/>
              </w:rPr>
              <w:t>Dominique</w:t>
            </w:r>
          </w:p>
        </w:tc>
        <w:tc>
          <w:tcPr>
            <w:tcW w:w="1605" w:type="dxa"/>
            <w:tcBorders>
              <w:top w:val="nil"/>
              <w:left w:val="nil"/>
              <w:bottom w:val="single" w:sz="4" w:space="0" w:color="auto"/>
              <w:right w:val="single" w:sz="4" w:space="0" w:color="auto"/>
            </w:tcBorders>
            <w:shd w:val="clear" w:color="auto" w:fill="auto"/>
            <w:vAlign w:val="center"/>
            <w:hideMark/>
          </w:tcPr>
          <w:p w14:paraId="48E55583"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001</w:t>
            </w:r>
          </w:p>
        </w:tc>
        <w:tc>
          <w:tcPr>
            <w:tcW w:w="1610" w:type="dxa"/>
            <w:tcBorders>
              <w:top w:val="nil"/>
              <w:left w:val="nil"/>
              <w:bottom w:val="single" w:sz="4" w:space="0" w:color="auto"/>
              <w:right w:val="single" w:sz="4" w:space="0" w:color="auto"/>
            </w:tcBorders>
            <w:shd w:val="clear" w:color="auto" w:fill="auto"/>
            <w:vAlign w:val="center"/>
            <w:hideMark/>
          </w:tcPr>
          <w:p w14:paraId="210E51F1"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001</w:t>
            </w:r>
          </w:p>
        </w:tc>
        <w:tc>
          <w:tcPr>
            <w:tcW w:w="1590" w:type="dxa"/>
            <w:tcBorders>
              <w:top w:val="nil"/>
              <w:left w:val="nil"/>
              <w:bottom w:val="single" w:sz="4" w:space="0" w:color="auto"/>
              <w:right w:val="single" w:sz="4" w:space="0" w:color="auto"/>
            </w:tcBorders>
            <w:shd w:val="clear" w:color="auto" w:fill="auto"/>
            <w:vAlign w:val="center"/>
            <w:hideMark/>
          </w:tcPr>
          <w:p w14:paraId="3D6A4BBD" w14:textId="77777777" w:rsidR="007B546B" w:rsidRPr="00095A13" w:rsidRDefault="007B546B" w:rsidP="007B546B">
            <w:pPr>
              <w:ind w:right="144"/>
              <w:jc w:val="right"/>
              <w:rPr>
                <w:kern w:val="22"/>
                <w:szCs w:val="22"/>
                <w:lang w:val="fr-CA" w:eastAsia="en-CA"/>
              </w:rPr>
            </w:pPr>
            <w:r w:rsidRPr="00095A13">
              <w:rPr>
                <w:kern w:val="22"/>
                <w:szCs w:val="22"/>
                <w:lang w:val="fr-CA" w:eastAsia="en-CA"/>
              </w:rPr>
              <w:t>37</w:t>
            </w:r>
          </w:p>
        </w:tc>
      </w:tr>
      <w:tr w:rsidR="007B546B" w:rsidRPr="00095A13" w14:paraId="778009E8"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C991D5D" w14:textId="1CC40686" w:rsidR="007B546B" w:rsidRPr="00095A13" w:rsidRDefault="007B546B" w:rsidP="00120F79">
            <w:pPr>
              <w:jc w:val="right"/>
              <w:rPr>
                <w:kern w:val="22"/>
                <w:szCs w:val="22"/>
                <w:lang w:val="fr-CA" w:eastAsia="en-CA"/>
              </w:rPr>
            </w:pPr>
            <w:r>
              <w:rPr>
                <w:kern w:val="22"/>
                <w:szCs w:val="22"/>
                <w:lang w:val="fr-CA" w:eastAsia="en-CA"/>
              </w:rPr>
              <w:t>43</w:t>
            </w:r>
          </w:p>
        </w:tc>
        <w:tc>
          <w:tcPr>
            <w:tcW w:w="3966" w:type="dxa"/>
            <w:tcBorders>
              <w:top w:val="nil"/>
              <w:left w:val="nil"/>
              <w:bottom w:val="single" w:sz="4" w:space="0" w:color="auto"/>
              <w:right w:val="single" w:sz="4" w:space="0" w:color="auto"/>
            </w:tcBorders>
            <w:shd w:val="clear" w:color="auto" w:fill="auto"/>
            <w:vAlign w:val="center"/>
            <w:hideMark/>
          </w:tcPr>
          <w:p w14:paraId="59083ED8" w14:textId="77777777" w:rsidR="007B546B" w:rsidRPr="00095A13" w:rsidRDefault="007B546B" w:rsidP="00120F79">
            <w:pPr>
              <w:jc w:val="left"/>
              <w:rPr>
                <w:kern w:val="22"/>
                <w:szCs w:val="22"/>
                <w:lang w:val="fr-CA" w:eastAsia="en-CA"/>
              </w:rPr>
            </w:pPr>
            <w:r>
              <w:rPr>
                <w:kern w:val="22"/>
                <w:szCs w:val="22"/>
                <w:lang w:val="fr-CA" w:eastAsia="en-CA"/>
              </w:rPr>
              <w:t>Égypte</w:t>
            </w:r>
          </w:p>
        </w:tc>
        <w:tc>
          <w:tcPr>
            <w:tcW w:w="1605" w:type="dxa"/>
            <w:tcBorders>
              <w:top w:val="nil"/>
              <w:left w:val="nil"/>
              <w:bottom w:val="single" w:sz="4" w:space="0" w:color="auto"/>
              <w:right w:val="single" w:sz="4" w:space="0" w:color="auto"/>
            </w:tcBorders>
            <w:shd w:val="clear" w:color="auto" w:fill="auto"/>
            <w:vAlign w:val="center"/>
            <w:hideMark/>
          </w:tcPr>
          <w:p w14:paraId="2C5FB7F1"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186</w:t>
            </w:r>
          </w:p>
        </w:tc>
        <w:tc>
          <w:tcPr>
            <w:tcW w:w="1610" w:type="dxa"/>
            <w:tcBorders>
              <w:top w:val="nil"/>
              <w:left w:val="nil"/>
              <w:bottom w:val="single" w:sz="4" w:space="0" w:color="auto"/>
              <w:right w:val="single" w:sz="4" w:space="0" w:color="auto"/>
            </w:tcBorders>
            <w:shd w:val="clear" w:color="auto" w:fill="auto"/>
            <w:vAlign w:val="center"/>
            <w:hideMark/>
          </w:tcPr>
          <w:p w14:paraId="6F20595C"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266</w:t>
            </w:r>
          </w:p>
        </w:tc>
        <w:tc>
          <w:tcPr>
            <w:tcW w:w="1590" w:type="dxa"/>
            <w:tcBorders>
              <w:top w:val="nil"/>
              <w:left w:val="nil"/>
              <w:bottom w:val="single" w:sz="4" w:space="0" w:color="auto"/>
              <w:right w:val="single" w:sz="4" w:space="0" w:color="auto"/>
            </w:tcBorders>
            <w:shd w:val="clear" w:color="auto" w:fill="auto"/>
            <w:vAlign w:val="center"/>
            <w:hideMark/>
          </w:tcPr>
          <w:p w14:paraId="47112332" w14:textId="77777777" w:rsidR="007B546B" w:rsidRPr="00095A13" w:rsidRDefault="007B546B" w:rsidP="007B546B">
            <w:pPr>
              <w:ind w:right="144"/>
              <w:jc w:val="right"/>
              <w:rPr>
                <w:kern w:val="22"/>
                <w:szCs w:val="22"/>
                <w:lang w:val="fr-CA" w:eastAsia="en-CA"/>
              </w:rPr>
            </w:pPr>
            <w:r w:rsidRPr="00095A13">
              <w:rPr>
                <w:kern w:val="22"/>
                <w:szCs w:val="22"/>
                <w:lang w:val="fr-CA" w:eastAsia="en-CA"/>
              </w:rPr>
              <w:t>6 798</w:t>
            </w:r>
          </w:p>
        </w:tc>
      </w:tr>
      <w:tr w:rsidR="007B546B" w:rsidRPr="00095A13" w14:paraId="56C8F394"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608F3D5" w14:textId="1DB43AAD" w:rsidR="007B546B" w:rsidRPr="00095A13" w:rsidRDefault="007B546B" w:rsidP="00120F79">
            <w:pPr>
              <w:jc w:val="right"/>
              <w:rPr>
                <w:kern w:val="22"/>
                <w:szCs w:val="22"/>
                <w:lang w:val="fr-CA" w:eastAsia="en-CA"/>
              </w:rPr>
            </w:pPr>
            <w:r>
              <w:rPr>
                <w:kern w:val="22"/>
                <w:szCs w:val="22"/>
                <w:lang w:val="fr-CA" w:eastAsia="en-CA"/>
              </w:rPr>
              <w:t>44</w:t>
            </w:r>
          </w:p>
        </w:tc>
        <w:tc>
          <w:tcPr>
            <w:tcW w:w="3966" w:type="dxa"/>
            <w:tcBorders>
              <w:top w:val="nil"/>
              <w:left w:val="nil"/>
              <w:bottom w:val="single" w:sz="4" w:space="0" w:color="auto"/>
              <w:right w:val="single" w:sz="4" w:space="0" w:color="auto"/>
            </w:tcBorders>
            <w:shd w:val="clear" w:color="auto" w:fill="auto"/>
            <w:vAlign w:val="center"/>
            <w:hideMark/>
          </w:tcPr>
          <w:p w14:paraId="207EF13F" w14:textId="77777777" w:rsidR="007B546B" w:rsidRPr="00095A13" w:rsidRDefault="007B546B" w:rsidP="00120F79">
            <w:pPr>
              <w:jc w:val="left"/>
              <w:rPr>
                <w:kern w:val="22"/>
                <w:szCs w:val="22"/>
                <w:lang w:val="fr-CA" w:eastAsia="en-CA"/>
              </w:rPr>
            </w:pPr>
            <w:r w:rsidRPr="00095A13">
              <w:rPr>
                <w:kern w:val="22"/>
                <w:szCs w:val="22"/>
                <w:lang w:val="fr-CA" w:eastAsia="en-CA"/>
              </w:rPr>
              <w:t>El Salvador</w:t>
            </w:r>
          </w:p>
        </w:tc>
        <w:tc>
          <w:tcPr>
            <w:tcW w:w="1605" w:type="dxa"/>
            <w:tcBorders>
              <w:top w:val="nil"/>
              <w:left w:val="nil"/>
              <w:bottom w:val="single" w:sz="4" w:space="0" w:color="auto"/>
              <w:right w:val="single" w:sz="4" w:space="0" w:color="auto"/>
            </w:tcBorders>
            <w:shd w:val="clear" w:color="auto" w:fill="auto"/>
            <w:vAlign w:val="center"/>
            <w:hideMark/>
          </w:tcPr>
          <w:p w14:paraId="40F9C093"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012</w:t>
            </w:r>
          </w:p>
        </w:tc>
        <w:tc>
          <w:tcPr>
            <w:tcW w:w="1610" w:type="dxa"/>
            <w:tcBorders>
              <w:top w:val="nil"/>
              <w:left w:val="nil"/>
              <w:bottom w:val="single" w:sz="4" w:space="0" w:color="auto"/>
              <w:right w:val="single" w:sz="4" w:space="0" w:color="auto"/>
            </w:tcBorders>
            <w:shd w:val="clear" w:color="auto" w:fill="auto"/>
            <w:vAlign w:val="center"/>
            <w:hideMark/>
          </w:tcPr>
          <w:p w14:paraId="485D9434"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017</w:t>
            </w:r>
          </w:p>
        </w:tc>
        <w:tc>
          <w:tcPr>
            <w:tcW w:w="1590" w:type="dxa"/>
            <w:tcBorders>
              <w:top w:val="nil"/>
              <w:left w:val="nil"/>
              <w:bottom w:val="single" w:sz="4" w:space="0" w:color="auto"/>
              <w:right w:val="single" w:sz="4" w:space="0" w:color="auto"/>
            </w:tcBorders>
            <w:shd w:val="clear" w:color="auto" w:fill="auto"/>
            <w:vAlign w:val="center"/>
            <w:hideMark/>
          </w:tcPr>
          <w:p w14:paraId="490B6FB3" w14:textId="77777777" w:rsidR="007B546B" w:rsidRPr="00095A13" w:rsidRDefault="007B546B" w:rsidP="007B546B">
            <w:pPr>
              <w:ind w:right="144"/>
              <w:jc w:val="right"/>
              <w:rPr>
                <w:kern w:val="22"/>
                <w:szCs w:val="22"/>
                <w:lang w:val="fr-CA" w:eastAsia="en-CA"/>
              </w:rPr>
            </w:pPr>
            <w:r w:rsidRPr="00095A13">
              <w:rPr>
                <w:kern w:val="22"/>
                <w:szCs w:val="22"/>
                <w:lang w:val="fr-CA" w:eastAsia="en-CA"/>
              </w:rPr>
              <w:t>439</w:t>
            </w:r>
          </w:p>
        </w:tc>
      </w:tr>
      <w:tr w:rsidR="007B546B" w:rsidRPr="00095A13" w14:paraId="63F605B0"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6354E87" w14:textId="5F9E98FF" w:rsidR="007B546B" w:rsidRPr="00095A13" w:rsidRDefault="007B546B" w:rsidP="005066EB">
            <w:pPr>
              <w:jc w:val="right"/>
              <w:rPr>
                <w:kern w:val="22"/>
                <w:szCs w:val="22"/>
                <w:lang w:val="fr-CA" w:eastAsia="en-CA"/>
              </w:rPr>
            </w:pPr>
            <w:r>
              <w:rPr>
                <w:kern w:val="22"/>
                <w:szCs w:val="22"/>
                <w:lang w:val="fr-CA" w:eastAsia="en-CA"/>
              </w:rPr>
              <w:t>45</w:t>
            </w:r>
          </w:p>
        </w:tc>
        <w:tc>
          <w:tcPr>
            <w:tcW w:w="3966" w:type="dxa"/>
            <w:tcBorders>
              <w:top w:val="nil"/>
              <w:left w:val="nil"/>
              <w:bottom w:val="single" w:sz="4" w:space="0" w:color="auto"/>
              <w:right w:val="single" w:sz="4" w:space="0" w:color="auto"/>
            </w:tcBorders>
            <w:shd w:val="clear" w:color="auto" w:fill="auto"/>
            <w:vAlign w:val="center"/>
            <w:hideMark/>
          </w:tcPr>
          <w:p w14:paraId="7612821B" w14:textId="77777777" w:rsidR="007B546B" w:rsidRPr="00095A13" w:rsidRDefault="007B546B" w:rsidP="005066EB">
            <w:pPr>
              <w:jc w:val="left"/>
              <w:rPr>
                <w:kern w:val="22"/>
                <w:szCs w:val="22"/>
                <w:lang w:val="fr-CA" w:eastAsia="en-CA"/>
              </w:rPr>
            </w:pPr>
            <w:r>
              <w:rPr>
                <w:kern w:val="22"/>
                <w:szCs w:val="22"/>
                <w:lang w:val="fr-CA" w:eastAsia="en-CA"/>
              </w:rPr>
              <w:t>Émirats arabes unis</w:t>
            </w:r>
          </w:p>
        </w:tc>
        <w:tc>
          <w:tcPr>
            <w:tcW w:w="1605" w:type="dxa"/>
            <w:tcBorders>
              <w:top w:val="nil"/>
              <w:left w:val="nil"/>
              <w:bottom w:val="single" w:sz="4" w:space="0" w:color="auto"/>
              <w:right w:val="single" w:sz="4" w:space="0" w:color="auto"/>
            </w:tcBorders>
            <w:shd w:val="clear" w:color="auto" w:fill="auto"/>
            <w:vAlign w:val="center"/>
            <w:hideMark/>
          </w:tcPr>
          <w:p w14:paraId="3F1649C2"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616</w:t>
            </w:r>
          </w:p>
        </w:tc>
        <w:tc>
          <w:tcPr>
            <w:tcW w:w="1610" w:type="dxa"/>
            <w:tcBorders>
              <w:top w:val="nil"/>
              <w:left w:val="nil"/>
              <w:bottom w:val="single" w:sz="4" w:space="0" w:color="auto"/>
              <w:right w:val="single" w:sz="4" w:space="0" w:color="auto"/>
            </w:tcBorders>
            <w:shd w:val="clear" w:color="auto" w:fill="auto"/>
            <w:vAlign w:val="center"/>
            <w:hideMark/>
          </w:tcPr>
          <w:p w14:paraId="55186C5F"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880</w:t>
            </w:r>
          </w:p>
        </w:tc>
        <w:tc>
          <w:tcPr>
            <w:tcW w:w="1590" w:type="dxa"/>
            <w:tcBorders>
              <w:top w:val="nil"/>
              <w:left w:val="nil"/>
              <w:bottom w:val="single" w:sz="4" w:space="0" w:color="auto"/>
              <w:right w:val="single" w:sz="4" w:space="0" w:color="auto"/>
            </w:tcBorders>
            <w:shd w:val="clear" w:color="auto" w:fill="auto"/>
            <w:vAlign w:val="center"/>
            <w:hideMark/>
          </w:tcPr>
          <w:p w14:paraId="25024AA3" w14:textId="77777777" w:rsidR="007B546B" w:rsidRPr="00095A13" w:rsidRDefault="007B546B" w:rsidP="007B546B">
            <w:pPr>
              <w:ind w:right="144"/>
              <w:jc w:val="right"/>
              <w:rPr>
                <w:kern w:val="22"/>
                <w:szCs w:val="22"/>
                <w:lang w:val="fr-CA" w:eastAsia="en-CA"/>
              </w:rPr>
            </w:pPr>
            <w:r w:rsidRPr="00095A13">
              <w:rPr>
                <w:kern w:val="22"/>
                <w:szCs w:val="22"/>
                <w:lang w:val="fr-CA" w:eastAsia="en-CA"/>
              </w:rPr>
              <w:t>22 514</w:t>
            </w:r>
          </w:p>
        </w:tc>
      </w:tr>
      <w:tr w:rsidR="007B546B" w:rsidRPr="00095A13" w14:paraId="018871EA"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0450CCC" w14:textId="2738AEE9" w:rsidR="007B546B" w:rsidRPr="00095A13" w:rsidRDefault="007B546B" w:rsidP="00120F79">
            <w:pPr>
              <w:jc w:val="right"/>
              <w:rPr>
                <w:kern w:val="22"/>
                <w:szCs w:val="22"/>
                <w:lang w:val="fr-CA" w:eastAsia="en-CA"/>
              </w:rPr>
            </w:pPr>
            <w:r>
              <w:rPr>
                <w:kern w:val="22"/>
                <w:szCs w:val="22"/>
                <w:lang w:val="fr-CA" w:eastAsia="en-CA"/>
              </w:rPr>
              <w:t>46</w:t>
            </w:r>
          </w:p>
        </w:tc>
        <w:tc>
          <w:tcPr>
            <w:tcW w:w="3966" w:type="dxa"/>
            <w:tcBorders>
              <w:top w:val="nil"/>
              <w:left w:val="nil"/>
              <w:bottom w:val="single" w:sz="4" w:space="0" w:color="auto"/>
              <w:right w:val="single" w:sz="4" w:space="0" w:color="auto"/>
            </w:tcBorders>
            <w:shd w:val="clear" w:color="auto" w:fill="auto"/>
            <w:vAlign w:val="center"/>
            <w:hideMark/>
          </w:tcPr>
          <w:p w14:paraId="2408E27A" w14:textId="77777777" w:rsidR="007B546B" w:rsidRPr="00095A13" w:rsidRDefault="007B546B" w:rsidP="00120F79">
            <w:pPr>
              <w:jc w:val="left"/>
              <w:rPr>
                <w:kern w:val="22"/>
                <w:szCs w:val="22"/>
                <w:lang w:val="fr-CA" w:eastAsia="en-CA"/>
              </w:rPr>
            </w:pPr>
            <w:r>
              <w:rPr>
                <w:kern w:val="22"/>
                <w:szCs w:val="22"/>
                <w:lang w:val="fr-CA" w:eastAsia="en-CA"/>
              </w:rPr>
              <w:t>Équateur</w:t>
            </w:r>
          </w:p>
        </w:tc>
        <w:tc>
          <w:tcPr>
            <w:tcW w:w="1605" w:type="dxa"/>
            <w:tcBorders>
              <w:top w:val="nil"/>
              <w:left w:val="nil"/>
              <w:bottom w:val="single" w:sz="4" w:space="0" w:color="auto"/>
              <w:right w:val="single" w:sz="4" w:space="0" w:color="auto"/>
            </w:tcBorders>
            <w:shd w:val="clear" w:color="auto" w:fill="auto"/>
            <w:vAlign w:val="center"/>
            <w:hideMark/>
          </w:tcPr>
          <w:p w14:paraId="03E5193F"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080</w:t>
            </w:r>
          </w:p>
        </w:tc>
        <w:tc>
          <w:tcPr>
            <w:tcW w:w="1610" w:type="dxa"/>
            <w:tcBorders>
              <w:top w:val="nil"/>
              <w:left w:val="nil"/>
              <w:bottom w:val="single" w:sz="4" w:space="0" w:color="auto"/>
              <w:right w:val="single" w:sz="4" w:space="0" w:color="auto"/>
            </w:tcBorders>
            <w:shd w:val="clear" w:color="auto" w:fill="auto"/>
            <w:vAlign w:val="center"/>
            <w:hideMark/>
          </w:tcPr>
          <w:p w14:paraId="07063ED6"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114</w:t>
            </w:r>
          </w:p>
        </w:tc>
        <w:tc>
          <w:tcPr>
            <w:tcW w:w="1590" w:type="dxa"/>
            <w:tcBorders>
              <w:top w:val="nil"/>
              <w:left w:val="nil"/>
              <w:bottom w:val="single" w:sz="4" w:space="0" w:color="auto"/>
              <w:right w:val="single" w:sz="4" w:space="0" w:color="auto"/>
            </w:tcBorders>
            <w:shd w:val="clear" w:color="auto" w:fill="auto"/>
            <w:vAlign w:val="center"/>
            <w:hideMark/>
          </w:tcPr>
          <w:p w14:paraId="15A54D05" w14:textId="77777777" w:rsidR="007B546B" w:rsidRPr="00095A13" w:rsidRDefault="007B546B" w:rsidP="007B546B">
            <w:pPr>
              <w:ind w:right="144"/>
              <w:jc w:val="right"/>
              <w:rPr>
                <w:kern w:val="22"/>
                <w:szCs w:val="22"/>
                <w:lang w:val="fr-CA" w:eastAsia="en-CA"/>
              </w:rPr>
            </w:pPr>
            <w:r w:rsidRPr="00095A13">
              <w:rPr>
                <w:kern w:val="22"/>
                <w:szCs w:val="22"/>
                <w:lang w:val="fr-CA" w:eastAsia="en-CA"/>
              </w:rPr>
              <w:t>2 924</w:t>
            </w:r>
          </w:p>
        </w:tc>
      </w:tr>
      <w:tr w:rsidR="007B546B" w:rsidRPr="00095A13" w14:paraId="38C9C654"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A86E137" w14:textId="05FBB614" w:rsidR="007B546B" w:rsidRPr="00095A13" w:rsidRDefault="007B546B" w:rsidP="00120F79">
            <w:pPr>
              <w:jc w:val="right"/>
              <w:rPr>
                <w:kern w:val="22"/>
                <w:szCs w:val="22"/>
                <w:lang w:val="fr-CA" w:eastAsia="en-CA"/>
              </w:rPr>
            </w:pPr>
            <w:r>
              <w:rPr>
                <w:kern w:val="22"/>
                <w:szCs w:val="22"/>
                <w:lang w:val="fr-CA" w:eastAsia="en-CA"/>
              </w:rPr>
              <w:t>47</w:t>
            </w:r>
          </w:p>
        </w:tc>
        <w:tc>
          <w:tcPr>
            <w:tcW w:w="3966" w:type="dxa"/>
            <w:tcBorders>
              <w:top w:val="nil"/>
              <w:left w:val="nil"/>
              <w:bottom w:val="single" w:sz="4" w:space="0" w:color="auto"/>
              <w:right w:val="single" w:sz="4" w:space="0" w:color="auto"/>
            </w:tcBorders>
            <w:shd w:val="clear" w:color="auto" w:fill="auto"/>
            <w:vAlign w:val="center"/>
            <w:hideMark/>
          </w:tcPr>
          <w:p w14:paraId="537AF890" w14:textId="77777777" w:rsidR="007B546B" w:rsidRPr="00095A13" w:rsidRDefault="007B546B" w:rsidP="00120F79">
            <w:pPr>
              <w:jc w:val="left"/>
              <w:rPr>
                <w:kern w:val="22"/>
                <w:szCs w:val="22"/>
                <w:lang w:val="fr-CA" w:eastAsia="en-CA"/>
              </w:rPr>
            </w:pPr>
            <w:r>
              <w:rPr>
                <w:kern w:val="22"/>
                <w:szCs w:val="22"/>
                <w:lang w:val="fr-CA" w:eastAsia="en-CA"/>
              </w:rPr>
              <w:t>Érythrée</w:t>
            </w:r>
          </w:p>
        </w:tc>
        <w:tc>
          <w:tcPr>
            <w:tcW w:w="1605" w:type="dxa"/>
            <w:tcBorders>
              <w:top w:val="nil"/>
              <w:left w:val="nil"/>
              <w:bottom w:val="single" w:sz="4" w:space="0" w:color="auto"/>
              <w:right w:val="single" w:sz="4" w:space="0" w:color="auto"/>
            </w:tcBorders>
            <w:shd w:val="clear" w:color="auto" w:fill="auto"/>
            <w:vAlign w:val="center"/>
            <w:hideMark/>
          </w:tcPr>
          <w:p w14:paraId="2F9E7BBD"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001</w:t>
            </w:r>
          </w:p>
        </w:tc>
        <w:tc>
          <w:tcPr>
            <w:tcW w:w="1610" w:type="dxa"/>
            <w:tcBorders>
              <w:top w:val="nil"/>
              <w:left w:val="nil"/>
              <w:bottom w:val="single" w:sz="4" w:space="0" w:color="auto"/>
              <w:right w:val="single" w:sz="4" w:space="0" w:color="auto"/>
            </w:tcBorders>
            <w:shd w:val="clear" w:color="auto" w:fill="auto"/>
            <w:vAlign w:val="center"/>
            <w:hideMark/>
          </w:tcPr>
          <w:p w14:paraId="6DFDC9D0"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001</w:t>
            </w:r>
          </w:p>
        </w:tc>
        <w:tc>
          <w:tcPr>
            <w:tcW w:w="1590" w:type="dxa"/>
            <w:tcBorders>
              <w:top w:val="nil"/>
              <w:left w:val="nil"/>
              <w:bottom w:val="single" w:sz="4" w:space="0" w:color="auto"/>
              <w:right w:val="single" w:sz="4" w:space="0" w:color="auto"/>
            </w:tcBorders>
            <w:shd w:val="clear" w:color="auto" w:fill="auto"/>
            <w:vAlign w:val="center"/>
            <w:hideMark/>
          </w:tcPr>
          <w:p w14:paraId="3C342DB1" w14:textId="77777777" w:rsidR="007B546B" w:rsidRPr="00095A13" w:rsidRDefault="007B546B" w:rsidP="007B546B">
            <w:pPr>
              <w:ind w:right="144"/>
              <w:jc w:val="right"/>
              <w:rPr>
                <w:kern w:val="22"/>
                <w:szCs w:val="22"/>
                <w:lang w:val="fr-CA" w:eastAsia="en-CA"/>
              </w:rPr>
            </w:pPr>
            <w:r w:rsidRPr="00095A13">
              <w:rPr>
                <w:kern w:val="22"/>
                <w:szCs w:val="22"/>
                <w:lang w:val="fr-CA" w:eastAsia="en-CA"/>
              </w:rPr>
              <w:t>37</w:t>
            </w:r>
          </w:p>
        </w:tc>
      </w:tr>
      <w:tr w:rsidR="007B546B" w:rsidRPr="00095A13" w14:paraId="1E12A72B"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tcPr>
          <w:p w14:paraId="2FCA54FD" w14:textId="186DE1FF" w:rsidR="007B546B" w:rsidRPr="00095A13" w:rsidRDefault="007B546B" w:rsidP="005066EB">
            <w:pPr>
              <w:jc w:val="right"/>
              <w:rPr>
                <w:kern w:val="22"/>
                <w:szCs w:val="22"/>
                <w:lang w:val="fr-CA" w:eastAsia="en-CA"/>
              </w:rPr>
            </w:pPr>
            <w:r>
              <w:rPr>
                <w:kern w:val="22"/>
                <w:szCs w:val="22"/>
                <w:lang w:val="fr-CA" w:eastAsia="en-CA"/>
              </w:rPr>
              <w:t>48</w:t>
            </w:r>
          </w:p>
        </w:tc>
        <w:tc>
          <w:tcPr>
            <w:tcW w:w="3966" w:type="dxa"/>
            <w:tcBorders>
              <w:top w:val="nil"/>
              <w:left w:val="nil"/>
              <w:bottom w:val="single" w:sz="4" w:space="0" w:color="auto"/>
              <w:right w:val="single" w:sz="4" w:space="0" w:color="auto"/>
            </w:tcBorders>
            <w:shd w:val="clear" w:color="auto" w:fill="auto"/>
            <w:vAlign w:val="center"/>
            <w:hideMark/>
          </w:tcPr>
          <w:p w14:paraId="002B4AE6" w14:textId="77777777" w:rsidR="007B546B" w:rsidRPr="00095A13" w:rsidRDefault="007B546B" w:rsidP="005066EB">
            <w:pPr>
              <w:jc w:val="left"/>
              <w:rPr>
                <w:kern w:val="22"/>
                <w:szCs w:val="22"/>
                <w:lang w:val="fr-CA" w:eastAsia="en-CA"/>
              </w:rPr>
            </w:pPr>
            <w:r>
              <w:rPr>
                <w:kern w:val="22"/>
                <w:szCs w:val="22"/>
                <w:lang w:val="fr-CA" w:eastAsia="en-CA"/>
              </w:rPr>
              <w:t>Espagne</w:t>
            </w:r>
          </w:p>
        </w:tc>
        <w:tc>
          <w:tcPr>
            <w:tcW w:w="1605" w:type="dxa"/>
            <w:tcBorders>
              <w:top w:val="nil"/>
              <w:left w:val="nil"/>
              <w:bottom w:val="single" w:sz="4" w:space="0" w:color="auto"/>
              <w:right w:val="single" w:sz="4" w:space="0" w:color="auto"/>
            </w:tcBorders>
            <w:shd w:val="clear" w:color="auto" w:fill="auto"/>
            <w:vAlign w:val="center"/>
            <w:hideMark/>
          </w:tcPr>
          <w:p w14:paraId="17E51CFE" w14:textId="77777777" w:rsidR="007B546B" w:rsidRPr="00095A13" w:rsidRDefault="007B546B" w:rsidP="007B546B">
            <w:pPr>
              <w:ind w:right="144"/>
              <w:jc w:val="right"/>
              <w:rPr>
                <w:kern w:val="22"/>
                <w:szCs w:val="22"/>
                <w:lang w:val="fr-CA" w:eastAsia="en-CA"/>
              </w:rPr>
            </w:pPr>
            <w:r w:rsidRPr="00095A13">
              <w:rPr>
                <w:kern w:val="22"/>
                <w:szCs w:val="22"/>
                <w:lang w:val="fr-CA" w:eastAsia="en-CA"/>
              </w:rPr>
              <w:t>2</w:t>
            </w:r>
            <w:r>
              <w:rPr>
                <w:kern w:val="22"/>
                <w:szCs w:val="22"/>
                <w:lang w:val="fr-CA" w:eastAsia="en-CA"/>
              </w:rPr>
              <w:t>,</w:t>
            </w:r>
            <w:r w:rsidRPr="00095A13">
              <w:rPr>
                <w:kern w:val="22"/>
                <w:szCs w:val="22"/>
                <w:lang w:val="fr-CA" w:eastAsia="en-CA"/>
              </w:rPr>
              <w:t>146</w:t>
            </w:r>
          </w:p>
        </w:tc>
        <w:tc>
          <w:tcPr>
            <w:tcW w:w="1610" w:type="dxa"/>
            <w:tcBorders>
              <w:top w:val="nil"/>
              <w:left w:val="nil"/>
              <w:bottom w:val="single" w:sz="4" w:space="0" w:color="auto"/>
              <w:right w:val="single" w:sz="4" w:space="0" w:color="auto"/>
            </w:tcBorders>
            <w:shd w:val="clear" w:color="auto" w:fill="auto"/>
            <w:vAlign w:val="center"/>
            <w:hideMark/>
          </w:tcPr>
          <w:p w14:paraId="4B960208" w14:textId="77777777" w:rsidR="007B546B" w:rsidRPr="00095A13" w:rsidRDefault="007B546B" w:rsidP="007B546B">
            <w:pPr>
              <w:ind w:right="144"/>
              <w:jc w:val="right"/>
              <w:rPr>
                <w:kern w:val="22"/>
                <w:szCs w:val="22"/>
                <w:lang w:val="fr-CA" w:eastAsia="en-CA"/>
              </w:rPr>
            </w:pPr>
            <w:r w:rsidRPr="00095A13">
              <w:rPr>
                <w:kern w:val="22"/>
                <w:szCs w:val="22"/>
                <w:lang w:val="fr-CA" w:eastAsia="en-CA"/>
              </w:rPr>
              <w:t>3</w:t>
            </w:r>
            <w:r>
              <w:rPr>
                <w:kern w:val="22"/>
                <w:szCs w:val="22"/>
                <w:lang w:val="fr-CA" w:eastAsia="en-CA"/>
              </w:rPr>
              <w:t>,</w:t>
            </w:r>
            <w:r w:rsidRPr="00095A13">
              <w:rPr>
                <w:kern w:val="22"/>
                <w:szCs w:val="22"/>
                <w:lang w:val="fr-CA" w:eastAsia="en-CA"/>
              </w:rPr>
              <w:t>066</w:t>
            </w:r>
          </w:p>
        </w:tc>
        <w:tc>
          <w:tcPr>
            <w:tcW w:w="1590" w:type="dxa"/>
            <w:tcBorders>
              <w:top w:val="nil"/>
              <w:left w:val="nil"/>
              <w:bottom w:val="single" w:sz="4" w:space="0" w:color="auto"/>
              <w:right w:val="single" w:sz="4" w:space="0" w:color="auto"/>
            </w:tcBorders>
            <w:shd w:val="clear" w:color="auto" w:fill="auto"/>
            <w:vAlign w:val="center"/>
            <w:hideMark/>
          </w:tcPr>
          <w:p w14:paraId="54D8D93C" w14:textId="77777777" w:rsidR="007B546B" w:rsidRPr="00095A13" w:rsidRDefault="007B546B" w:rsidP="007B546B">
            <w:pPr>
              <w:ind w:right="144"/>
              <w:jc w:val="right"/>
              <w:rPr>
                <w:kern w:val="22"/>
                <w:szCs w:val="22"/>
                <w:lang w:val="fr-CA" w:eastAsia="en-CA"/>
              </w:rPr>
            </w:pPr>
            <w:r w:rsidRPr="00095A13">
              <w:rPr>
                <w:kern w:val="22"/>
                <w:szCs w:val="22"/>
                <w:lang w:val="fr-CA" w:eastAsia="en-CA"/>
              </w:rPr>
              <w:t>78 433</w:t>
            </w:r>
          </w:p>
        </w:tc>
      </w:tr>
      <w:tr w:rsidR="007B546B" w:rsidRPr="00095A13" w14:paraId="43AE9481"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4CA3E454" w14:textId="3A63960A" w:rsidR="007B546B" w:rsidRPr="00095A13" w:rsidRDefault="007B546B" w:rsidP="00120F79">
            <w:pPr>
              <w:jc w:val="right"/>
              <w:rPr>
                <w:kern w:val="22"/>
                <w:szCs w:val="22"/>
                <w:lang w:val="fr-CA" w:eastAsia="en-CA"/>
              </w:rPr>
            </w:pPr>
            <w:r>
              <w:rPr>
                <w:kern w:val="22"/>
                <w:szCs w:val="22"/>
                <w:lang w:val="fr-CA" w:eastAsia="en-CA"/>
              </w:rPr>
              <w:t>49</w:t>
            </w:r>
          </w:p>
        </w:tc>
        <w:tc>
          <w:tcPr>
            <w:tcW w:w="3966" w:type="dxa"/>
            <w:tcBorders>
              <w:top w:val="nil"/>
              <w:left w:val="nil"/>
              <w:bottom w:val="single" w:sz="4" w:space="0" w:color="auto"/>
              <w:right w:val="single" w:sz="4" w:space="0" w:color="auto"/>
            </w:tcBorders>
            <w:shd w:val="clear" w:color="auto" w:fill="auto"/>
            <w:vAlign w:val="center"/>
            <w:hideMark/>
          </w:tcPr>
          <w:p w14:paraId="467B3DD6" w14:textId="77777777" w:rsidR="007B546B" w:rsidRPr="00095A13" w:rsidRDefault="007B546B" w:rsidP="00095A13">
            <w:pPr>
              <w:jc w:val="left"/>
              <w:rPr>
                <w:kern w:val="22"/>
                <w:szCs w:val="22"/>
                <w:lang w:val="fr-CA" w:eastAsia="en-CA"/>
              </w:rPr>
            </w:pPr>
            <w:r w:rsidRPr="00095A13">
              <w:rPr>
                <w:kern w:val="22"/>
                <w:szCs w:val="22"/>
                <w:lang w:val="fr-CA" w:eastAsia="en-CA"/>
              </w:rPr>
              <w:t>Estoni</w:t>
            </w:r>
            <w:r>
              <w:rPr>
                <w:kern w:val="22"/>
                <w:szCs w:val="22"/>
                <w:lang w:val="fr-CA" w:eastAsia="en-CA"/>
              </w:rPr>
              <w:t>e</w:t>
            </w:r>
          </w:p>
        </w:tc>
        <w:tc>
          <w:tcPr>
            <w:tcW w:w="1605" w:type="dxa"/>
            <w:tcBorders>
              <w:top w:val="nil"/>
              <w:left w:val="nil"/>
              <w:bottom w:val="single" w:sz="4" w:space="0" w:color="auto"/>
              <w:right w:val="single" w:sz="4" w:space="0" w:color="auto"/>
            </w:tcBorders>
            <w:shd w:val="clear" w:color="auto" w:fill="auto"/>
            <w:vAlign w:val="center"/>
            <w:hideMark/>
          </w:tcPr>
          <w:p w14:paraId="010013FC"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039</w:t>
            </w:r>
          </w:p>
        </w:tc>
        <w:tc>
          <w:tcPr>
            <w:tcW w:w="1610" w:type="dxa"/>
            <w:tcBorders>
              <w:top w:val="nil"/>
              <w:left w:val="nil"/>
              <w:bottom w:val="single" w:sz="4" w:space="0" w:color="auto"/>
              <w:right w:val="single" w:sz="4" w:space="0" w:color="auto"/>
            </w:tcBorders>
            <w:shd w:val="clear" w:color="auto" w:fill="auto"/>
            <w:vAlign w:val="center"/>
            <w:hideMark/>
          </w:tcPr>
          <w:p w14:paraId="7B0B6AD5"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056</w:t>
            </w:r>
          </w:p>
        </w:tc>
        <w:tc>
          <w:tcPr>
            <w:tcW w:w="1590" w:type="dxa"/>
            <w:tcBorders>
              <w:top w:val="nil"/>
              <w:left w:val="nil"/>
              <w:bottom w:val="single" w:sz="4" w:space="0" w:color="auto"/>
              <w:right w:val="single" w:sz="4" w:space="0" w:color="auto"/>
            </w:tcBorders>
            <w:shd w:val="clear" w:color="auto" w:fill="auto"/>
            <w:vAlign w:val="center"/>
            <w:hideMark/>
          </w:tcPr>
          <w:p w14:paraId="000E67BE" w14:textId="77777777" w:rsidR="007B546B" w:rsidRPr="00095A13" w:rsidRDefault="007B546B" w:rsidP="007B546B">
            <w:pPr>
              <w:ind w:right="144"/>
              <w:jc w:val="right"/>
              <w:rPr>
                <w:kern w:val="22"/>
                <w:szCs w:val="22"/>
                <w:lang w:val="fr-CA" w:eastAsia="en-CA"/>
              </w:rPr>
            </w:pPr>
            <w:r w:rsidRPr="00095A13">
              <w:rPr>
                <w:kern w:val="22"/>
                <w:szCs w:val="22"/>
                <w:lang w:val="fr-CA" w:eastAsia="en-CA"/>
              </w:rPr>
              <w:t>1 425</w:t>
            </w:r>
          </w:p>
        </w:tc>
      </w:tr>
      <w:tr w:rsidR="007B546B" w:rsidRPr="00095A13" w14:paraId="5395CA98"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B83E059" w14:textId="590CA808" w:rsidR="007B546B" w:rsidRPr="00095A13" w:rsidRDefault="007B546B" w:rsidP="00120F79">
            <w:pPr>
              <w:jc w:val="right"/>
              <w:rPr>
                <w:kern w:val="22"/>
                <w:szCs w:val="22"/>
                <w:lang w:val="fr-CA" w:eastAsia="en-CA"/>
              </w:rPr>
            </w:pPr>
            <w:r>
              <w:rPr>
                <w:kern w:val="22"/>
                <w:szCs w:val="22"/>
                <w:lang w:val="fr-CA" w:eastAsia="en-CA"/>
              </w:rPr>
              <w:t>50</w:t>
            </w:r>
          </w:p>
        </w:tc>
        <w:tc>
          <w:tcPr>
            <w:tcW w:w="3966" w:type="dxa"/>
            <w:tcBorders>
              <w:top w:val="nil"/>
              <w:left w:val="nil"/>
              <w:bottom w:val="single" w:sz="4" w:space="0" w:color="auto"/>
              <w:right w:val="single" w:sz="4" w:space="0" w:color="auto"/>
            </w:tcBorders>
            <w:shd w:val="clear" w:color="auto" w:fill="auto"/>
            <w:vAlign w:val="center"/>
            <w:hideMark/>
          </w:tcPr>
          <w:p w14:paraId="2D428263" w14:textId="77777777" w:rsidR="007B546B" w:rsidRPr="00095A13" w:rsidRDefault="007B546B" w:rsidP="00120F79">
            <w:pPr>
              <w:jc w:val="left"/>
              <w:rPr>
                <w:kern w:val="22"/>
                <w:szCs w:val="22"/>
                <w:lang w:val="fr-CA" w:eastAsia="en-CA"/>
              </w:rPr>
            </w:pPr>
            <w:r w:rsidRPr="00095A13">
              <w:rPr>
                <w:kern w:val="22"/>
                <w:szCs w:val="22"/>
                <w:lang w:val="fr-CA" w:eastAsia="en-CA"/>
              </w:rPr>
              <w:t>Eswatini</w:t>
            </w:r>
          </w:p>
        </w:tc>
        <w:tc>
          <w:tcPr>
            <w:tcW w:w="1605" w:type="dxa"/>
            <w:tcBorders>
              <w:top w:val="nil"/>
              <w:left w:val="nil"/>
              <w:bottom w:val="single" w:sz="4" w:space="0" w:color="auto"/>
              <w:right w:val="single" w:sz="4" w:space="0" w:color="auto"/>
            </w:tcBorders>
            <w:shd w:val="clear" w:color="auto" w:fill="auto"/>
            <w:vAlign w:val="center"/>
            <w:hideMark/>
          </w:tcPr>
          <w:p w14:paraId="6B90D173"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020</w:t>
            </w:r>
          </w:p>
        </w:tc>
        <w:tc>
          <w:tcPr>
            <w:tcW w:w="1610" w:type="dxa"/>
            <w:tcBorders>
              <w:top w:val="nil"/>
              <w:left w:val="nil"/>
              <w:bottom w:val="single" w:sz="4" w:space="0" w:color="auto"/>
              <w:right w:val="single" w:sz="4" w:space="0" w:color="auto"/>
            </w:tcBorders>
            <w:shd w:val="clear" w:color="auto" w:fill="auto"/>
            <w:vAlign w:val="center"/>
            <w:hideMark/>
          </w:tcPr>
          <w:p w14:paraId="2DC01F8A"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029</w:t>
            </w:r>
          </w:p>
        </w:tc>
        <w:tc>
          <w:tcPr>
            <w:tcW w:w="1590" w:type="dxa"/>
            <w:tcBorders>
              <w:top w:val="nil"/>
              <w:left w:val="nil"/>
              <w:bottom w:val="single" w:sz="4" w:space="0" w:color="auto"/>
              <w:right w:val="single" w:sz="4" w:space="0" w:color="auto"/>
            </w:tcBorders>
            <w:shd w:val="clear" w:color="auto" w:fill="auto"/>
            <w:vAlign w:val="center"/>
            <w:hideMark/>
          </w:tcPr>
          <w:p w14:paraId="3E86C73A" w14:textId="77777777" w:rsidR="007B546B" w:rsidRPr="00095A13" w:rsidRDefault="007B546B" w:rsidP="007B546B">
            <w:pPr>
              <w:ind w:right="144"/>
              <w:jc w:val="right"/>
              <w:rPr>
                <w:kern w:val="22"/>
                <w:szCs w:val="22"/>
                <w:lang w:val="fr-CA" w:eastAsia="en-CA"/>
              </w:rPr>
            </w:pPr>
            <w:r w:rsidRPr="00095A13">
              <w:rPr>
                <w:kern w:val="22"/>
                <w:szCs w:val="22"/>
                <w:lang w:val="fr-CA" w:eastAsia="en-CA"/>
              </w:rPr>
              <w:t>731</w:t>
            </w:r>
          </w:p>
        </w:tc>
      </w:tr>
      <w:tr w:rsidR="007B546B" w:rsidRPr="00095A13" w14:paraId="4811E4AD"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tcPr>
          <w:p w14:paraId="348A10D8" w14:textId="22F1F34E" w:rsidR="007B546B" w:rsidRPr="00095A13" w:rsidRDefault="007B546B" w:rsidP="005066EB">
            <w:pPr>
              <w:jc w:val="right"/>
              <w:rPr>
                <w:kern w:val="22"/>
                <w:szCs w:val="22"/>
                <w:lang w:val="fr-CA" w:eastAsia="en-CA"/>
              </w:rPr>
            </w:pPr>
            <w:r>
              <w:rPr>
                <w:kern w:val="22"/>
                <w:szCs w:val="22"/>
                <w:lang w:val="fr-CA" w:eastAsia="en-CA"/>
              </w:rPr>
              <w:t>51</w:t>
            </w:r>
          </w:p>
        </w:tc>
        <w:tc>
          <w:tcPr>
            <w:tcW w:w="3966" w:type="dxa"/>
            <w:tcBorders>
              <w:top w:val="nil"/>
              <w:left w:val="nil"/>
              <w:bottom w:val="single" w:sz="4" w:space="0" w:color="auto"/>
              <w:right w:val="single" w:sz="4" w:space="0" w:color="auto"/>
            </w:tcBorders>
            <w:shd w:val="clear" w:color="auto" w:fill="auto"/>
            <w:vAlign w:val="center"/>
            <w:hideMark/>
          </w:tcPr>
          <w:p w14:paraId="2FB51054" w14:textId="77777777" w:rsidR="007B546B" w:rsidRPr="00095A13" w:rsidRDefault="007B546B" w:rsidP="005066EB">
            <w:pPr>
              <w:jc w:val="left"/>
              <w:rPr>
                <w:kern w:val="22"/>
                <w:szCs w:val="22"/>
                <w:lang w:val="fr-CA" w:eastAsia="en-CA"/>
              </w:rPr>
            </w:pPr>
            <w:r>
              <w:rPr>
                <w:kern w:val="22"/>
                <w:szCs w:val="22"/>
                <w:lang w:val="fr-CA" w:eastAsia="en-CA"/>
              </w:rPr>
              <w:t>État de Palestine</w:t>
            </w:r>
          </w:p>
        </w:tc>
        <w:tc>
          <w:tcPr>
            <w:tcW w:w="1605" w:type="dxa"/>
            <w:tcBorders>
              <w:top w:val="nil"/>
              <w:left w:val="nil"/>
              <w:bottom w:val="single" w:sz="4" w:space="0" w:color="auto"/>
              <w:right w:val="single" w:sz="4" w:space="0" w:color="auto"/>
            </w:tcBorders>
            <w:shd w:val="clear" w:color="auto" w:fill="auto"/>
            <w:vAlign w:val="center"/>
            <w:hideMark/>
          </w:tcPr>
          <w:p w14:paraId="50402288"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008</w:t>
            </w:r>
          </w:p>
        </w:tc>
        <w:tc>
          <w:tcPr>
            <w:tcW w:w="1610" w:type="dxa"/>
            <w:tcBorders>
              <w:top w:val="nil"/>
              <w:left w:val="nil"/>
              <w:bottom w:val="single" w:sz="4" w:space="0" w:color="auto"/>
              <w:right w:val="single" w:sz="4" w:space="0" w:color="auto"/>
            </w:tcBorders>
            <w:shd w:val="clear" w:color="auto" w:fill="auto"/>
            <w:vAlign w:val="center"/>
            <w:hideMark/>
          </w:tcPr>
          <w:p w14:paraId="4779A834"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011</w:t>
            </w:r>
          </w:p>
        </w:tc>
        <w:tc>
          <w:tcPr>
            <w:tcW w:w="1590" w:type="dxa"/>
            <w:tcBorders>
              <w:top w:val="nil"/>
              <w:left w:val="nil"/>
              <w:bottom w:val="single" w:sz="4" w:space="0" w:color="auto"/>
              <w:right w:val="single" w:sz="4" w:space="0" w:color="auto"/>
            </w:tcBorders>
            <w:shd w:val="clear" w:color="auto" w:fill="auto"/>
            <w:vAlign w:val="center"/>
            <w:hideMark/>
          </w:tcPr>
          <w:p w14:paraId="2136A2D7" w14:textId="77777777" w:rsidR="007B546B" w:rsidRPr="00095A13" w:rsidRDefault="007B546B" w:rsidP="007B546B">
            <w:pPr>
              <w:ind w:right="144"/>
              <w:jc w:val="right"/>
              <w:rPr>
                <w:kern w:val="22"/>
                <w:szCs w:val="22"/>
                <w:lang w:val="fr-CA" w:eastAsia="en-CA"/>
              </w:rPr>
            </w:pPr>
            <w:r w:rsidRPr="00095A13">
              <w:rPr>
                <w:kern w:val="22"/>
                <w:szCs w:val="22"/>
                <w:lang w:val="fr-CA" w:eastAsia="en-CA"/>
              </w:rPr>
              <w:t>292</w:t>
            </w:r>
          </w:p>
        </w:tc>
      </w:tr>
      <w:tr w:rsidR="007B546B" w:rsidRPr="00095A13" w14:paraId="0F24E3E6"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17EA121" w14:textId="77777777" w:rsidR="007B546B" w:rsidRPr="00095A13" w:rsidRDefault="007B546B" w:rsidP="00120F79">
            <w:pPr>
              <w:jc w:val="right"/>
              <w:rPr>
                <w:kern w:val="22"/>
                <w:szCs w:val="22"/>
                <w:lang w:val="fr-CA" w:eastAsia="en-CA"/>
              </w:rPr>
            </w:pPr>
            <w:r w:rsidRPr="00095A13">
              <w:rPr>
                <w:kern w:val="22"/>
                <w:szCs w:val="22"/>
                <w:lang w:val="fr-CA" w:eastAsia="en-CA"/>
              </w:rPr>
              <w:t>52</w:t>
            </w:r>
          </w:p>
        </w:tc>
        <w:tc>
          <w:tcPr>
            <w:tcW w:w="3966" w:type="dxa"/>
            <w:tcBorders>
              <w:top w:val="nil"/>
              <w:left w:val="nil"/>
              <w:bottom w:val="single" w:sz="4" w:space="0" w:color="auto"/>
              <w:right w:val="single" w:sz="4" w:space="0" w:color="auto"/>
            </w:tcBorders>
            <w:shd w:val="clear" w:color="auto" w:fill="auto"/>
            <w:vAlign w:val="center"/>
            <w:hideMark/>
          </w:tcPr>
          <w:p w14:paraId="21F8587D" w14:textId="77777777" w:rsidR="007B546B" w:rsidRPr="00095A13" w:rsidRDefault="007B546B" w:rsidP="00120F79">
            <w:pPr>
              <w:jc w:val="left"/>
              <w:rPr>
                <w:kern w:val="22"/>
                <w:szCs w:val="22"/>
                <w:lang w:val="fr-CA" w:eastAsia="en-CA"/>
              </w:rPr>
            </w:pPr>
            <w:r>
              <w:rPr>
                <w:kern w:val="22"/>
                <w:szCs w:val="22"/>
                <w:lang w:val="fr-CA" w:eastAsia="en-CA"/>
              </w:rPr>
              <w:t>Éthiopie</w:t>
            </w:r>
          </w:p>
        </w:tc>
        <w:tc>
          <w:tcPr>
            <w:tcW w:w="1605" w:type="dxa"/>
            <w:tcBorders>
              <w:top w:val="nil"/>
              <w:left w:val="nil"/>
              <w:bottom w:val="single" w:sz="4" w:space="0" w:color="auto"/>
              <w:right w:val="single" w:sz="4" w:space="0" w:color="auto"/>
            </w:tcBorders>
            <w:shd w:val="clear" w:color="auto" w:fill="auto"/>
            <w:vAlign w:val="center"/>
            <w:hideMark/>
          </w:tcPr>
          <w:p w14:paraId="4F6783A8"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010</w:t>
            </w:r>
          </w:p>
        </w:tc>
        <w:tc>
          <w:tcPr>
            <w:tcW w:w="1610" w:type="dxa"/>
            <w:tcBorders>
              <w:top w:val="nil"/>
              <w:left w:val="nil"/>
              <w:bottom w:val="single" w:sz="4" w:space="0" w:color="auto"/>
              <w:right w:val="single" w:sz="4" w:space="0" w:color="auto"/>
            </w:tcBorders>
            <w:shd w:val="clear" w:color="auto" w:fill="auto"/>
            <w:vAlign w:val="center"/>
            <w:hideMark/>
          </w:tcPr>
          <w:p w14:paraId="5132B27A"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010</w:t>
            </w:r>
          </w:p>
        </w:tc>
        <w:tc>
          <w:tcPr>
            <w:tcW w:w="1590" w:type="dxa"/>
            <w:tcBorders>
              <w:top w:val="nil"/>
              <w:left w:val="nil"/>
              <w:bottom w:val="single" w:sz="4" w:space="0" w:color="auto"/>
              <w:right w:val="single" w:sz="4" w:space="0" w:color="auto"/>
            </w:tcBorders>
            <w:shd w:val="clear" w:color="auto" w:fill="auto"/>
            <w:vAlign w:val="center"/>
            <w:hideMark/>
          </w:tcPr>
          <w:p w14:paraId="20F5C21F" w14:textId="77777777" w:rsidR="007B546B" w:rsidRPr="00095A13" w:rsidRDefault="007B546B" w:rsidP="007B546B">
            <w:pPr>
              <w:ind w:right="144"/>
              <w:jc w:val="right"/>
              <w:rPr>
                <w:kern w:val="22"/>
                <w:szCs w:val="22"/>
                <w:lang w:val="fr-CA" w:eastAsia="en-CA"/>
              </w:rPr>
            </w:pPr>
            <w:r w:rsidRPr="00095A13">
              <w:rPr>
                <w:kern w:val="22"/>
                <w:szCs w:val="22"/>
                <w:lang w:val="fr-CA" w:eastAsia="en-CA"/>
              </w:rPr>
              <w:t>256</w:t>
            </w:r>
          </w:p>
        </w:tc>
      </w:tr>
      <w:tr w:rsidR="007B546B" w:rsidRPr="00095A13" w14:paraId="31AC79F7"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547B0B8" w14:textId="7490A040" w:rsidR="007B546B" w:rsidRPr="00095A13" w:rsidRDefault="007B546B" w:rsidP="00120F79">
            <w:pPr>
              <w:jc w:val="right"/>
              <w:rPr>
                <w:kern w:val="22"/>
                <w:szCs w:val="22"/>
                <w:lang w:val="fr-CA" w:eastAsia="en-CA"/>
              </w:rPr>
            </w:pPr>
            <w:r>
              <w:rPr>
                <w:kern w:val="22"/>
                <w:szCs w:val="22"/>
                <w:lang w:val="fr-CA" w:eastAsia="en-CA"/>
              </w:rPr>
              <w:t>53</w:t>
            </w:r>
          </w:p>
        </w:tc>
        <w:tc>
          <w:tcPr>
            <w:tcW w:w="3966" w:type="dxa"/>
            <w:tcBorders>
              <w:top w:val="nil"/>
              <w:left w:val="nil"/>
              <w:bottom w:val="single" w:sz="4" w:space="0" w:color="auto"/>
              <w:right w:val="single" w:sz="4" w:space="0" w:color="auto"/>
            </w:tcBorders>
            <w:shd w:val="clear" w:color="auto" w:fill="auto"/>
            <w:vAlign w:val="center"/>
            <w:hideMark/>
          </w:tcPr>
          <w:p w14:paraId="7A53453A" w14:textId="77777777" w:rsidR="007B546B" w:rsidRPr="00095A13" w:rsidRDefault="007B546B" w:rsidP="00120F79">
            <w:pPr>
              <w:jc w:val="left"/>
              <w:rPr>
                <w:kern w:val="22"/>
                <w:szCs w:val="22"/>
                <w:lang w:val="fr-CA" w:eastAsia="en-CA"/>
              </w:rPr>
            </w:pPr>
            <w:r w:rsidRPr="00095A13">
              <w:rPr>
                <w:kern w:val="22"/>
                <w:szCs w:val="22"/>
                <w:lang w:val="fr-CA" w:eastAsia="en-CA"/>
              </w:rPr>
              <w:t>Fi</w:t>
            </w:r>
            <w:r>
              <w:rPr>
                <w:kern w:val="22"/>
                <w:szCs w:val="22"/>
                <w:lang w:val="fr-CA" w:eastAsia="en-CA"/>
              </w:rPr>
              <w:t>d</w:t>
            </w:r>
            <w:r w:rsidRPr="00095A13">
              <w:rPr>
                <w:kern w:val="22"/>
                <w:szCs w:val="22"/>
                <w:lang w:val="fr-CA" w:eastAsia="en-CA"/>
              </w:rPr>
              <w:t>ji</w:t>
            </w:r>
          </w:p>
        </w:tc>
        <w:tc>
          <w:tcPr>
            <w:tcW w:w="1605" w:type="dxa"/>
            <w:tcBorders>
              <w:top w:val="nil"/>
              <w:left w:val="nil"/>
              <w:bottom w:val="single" w:sz="4" w:space="0" w:color="auto"/>
              <w:right w:val="single" w:sz="4" w:space="0" w:color="auto"/>
            </w:tcBorders>
            <w:shd w:val="clear" w:color="auto" w:fill="auto"/>
            <w:vAlign w:val="center"/>
            <w:hideMark/>
          </w:tcPr>
          <w:p w14:paraId="6793BFB9"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003</w:t>
            </w:r>
          </w:p>
        </w:tc>
        <w:tc>
          <w:tcPr>
            <w:tcW w:w="1610" w:type="dxa"/>
            <w:tcBorders>
              <w:top w:val="nil"/>
              <w:left w:val="nil"/>
              <w:bottom w:val="single" w:sz="4" w:space="0" w:color="auto"/>
              <w:right w:val="single" w:sz="4" w:space="0" w:color="auto"/>
            </w:tcBorders>
            <w:shd w:val="clear" w:color="auto" w:fill="auto"/>
            <w:vAlign w:val="center"/>
            <w:hideMark/>
          </w:tcPr>
          <w:p w14:paraId="2A2F0D93"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004</w:t>
            </w:r>
          </w:p>
        </w:tc>
        <w:tc>
          <w:tcPr>
            <w:tcW w:w="1590" w:type="dxa"/>
            <w:tcBorders>
              <w:top w:val="nil"/>
              <w:left w:val="nil"/>
              <w:bottom w:val="single" w:sz="4" w:space="0" w:color="auto"/>
              <w:right w:val="single" w:sz="4" w:space="0" w:color="auto"/>
            </w:tcBorders>
            <w:shd w:val="clear" w:color="auto" w:fill="auto"/>
            <w:vAlign w:val="center"/>
            <w:hideMark/>
          </w:tcPr>
          <w:p w14:paraId="6A28936C" w14:textId="77777777" w:rsidR="007B546B" w:rsidRPr="00095A13" w:rsidRDefault="007B546B" w:rsidP="007B546B">
            <w:pPr>
              <w:ind w:right="144"/>
              <w:jc w:val="right"/>
              <w:rPr>
                <w:kern w:val="22"/>
                <w:szCs w:val="22"/>
                <w:lang w:val="fr-CA" w:eastAsia="en-CA"/>
              </w:rPr>
            </w:pPr>
            <w:r w:rsidRPr="00095A13">
              <w:rPr>
                <w:kern w:val="22"/>
                <w:szCs w:val="22"/>
                <w:lang w:val="fr-CA" w:eastAsia="en-CA"/>
              </w:rPr>
              <w:t>110</w:t>
            </w:r>
          </w:p>
        </w:tc>
      </w:tr>
      <w:tr w:rsidR="007B546B" w:rsidRPr="00095A13" w14:paraId="754E5E5B"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40CFC981" w14:textId="768AA468" w:rsidR="007B546B" w:rsidRPr="00095A13" w:rsidRDefault="007B546B" w:rsidP="00120F79">
            <w:pPr>
              <w:jc w:val="right"/>
              <w:rPr>
                <w:kern w:val="22"/>
                <w:szCs w:val="22"/>
                <w:lang w:val="fr-CA" w:eastAsia="en-CA"/>
              </w:rPr>
            </w:pPr>
            <w:r>
              <w:rPr>
                <w:kern w:val="22"/>
                <w:szCs w:val="22"/>
                <w:lang w:val="fr-CA" w:eastAsia="en-CA"/>
              </w:rPr>
              <w:t>54</w:t>
            </w:r>
          </w:p>
        </w:tc>
        <w:tc>
          <w:tcPr>
            <w:tcW w:w="3966" w:type="dxa"/>
            <w:tcBorders>
              <w:top w:val="nil"/>
              <w:left w:val="nil"/>
              <w:bottom w:val="single" w:sz="4" w:space="0" w:color="auto"/>
              <w:right w:val="single" w:sz="4" w:space="0" w:color="auto"/>
            </w:tcBorders>
            <w:shd w:val="clear" w:color="auto" w:fill="auto"/>
            <w:vAlign w:val="center"/>
            <w:hideMark/>
          </w:tcPr>
          <w:p w14:paraId="7E722C5B" w14:textId="77777777" w:rsidR="007B546B" w:rsidRPr="00095A13" w:rsidRDefault="007B546B" w:rsidP="00120F79">
            <w:pPr>
              <w:jc w:val="left"/>
              <w:rPr>
                <w:kern w:val="22"/>
                <w:szCs w:val="22"/>
                <w:lang w:val="fr-CA" w:eastAsia="en-CA"/>
              </w:rPr>
            </w:pPr>
            <w:r>
              <w:rPr>
                <w:kern w:val="22"/>
                <w:szCs w:val="22"/>
                <w:lang w:val="fr-CA" w:eastAsia="en-CA"/>
              </w:rPr>
              <w:t>Finlande</w:t>
            </w:r>
          </w:p>
        </w:tc>
        <w:tc>
          <w:tcPr>
            <w:tcW w:w="1605" w:type="dxa"/>
            <w:tcBorders>
              <w:top w:val="nil"/>
              <w:left w:val="nil"/>
              <w:bottom w:val="single" w:sz="4" w:space="0" w:color="auto"/>
              <w:right w:val="single" w:sz="4" w:space="0" w:color="auto"/>
            </w:tcBorders>
            <w:shd w:val="clear" w:color="auto" w:fill="auto"/>
            <w:vAlign w:val="center"/>
            <w:hideMark/>
          </w:tcPr>
          <w:p w14:paraId="7D1C9EBC"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421</w:t>
            </w:r>
          </w:p>
        </w:tc>
        <w:tc>
          <w:tcPr>
            <w:tcW w:w="1610" w:type="dxa"/>
            <w:tcBorders>
              <w:top w:val="nil"/>
              <w:left w:val="nil"/>
              <w:bottom w:val="single" w:sz="4" w:space="0" w:color="auto"/>
              <w:right w:val="single" w:sz="4" w:space="0" w:color="auto"/>
            </w:tcBorders>
            <w:shd w:val="clear" w:color="auto" w:fill="auto"/>
            <w:vAlign w:val="center"/>
            <w:hideMark/>
          </w:tcPr>
          <w:p w14:paraId="4E027FEB"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602</w:t>
            </w:r>
          </w:p>
        </w:tc>
        <w:tc>
          <w:tcPr>
            <w:tcW w:w="1590" w:type="dxa"/>
            <w:tcBorders>
              <w:top w:val="nil"/>
              <w:left w:val="nil"/>
              <w:bottom w:val="single" w:sz="4" w:space="0" w:color="auto"/>
              <w:right w:val="single" w:sz="4" w:space="0" w:color="auto"/>
            </w:tcBorders>
            <w:shd w:val="clear" w:color="auto" w:fill="auto"/>
            <w:vAlign w:val="center"/>
            <w:hideMark/>
          </w:tcPr>
          <w:p w14:paraId="50F22A52" w14:textId="77777777" w:rsidR="007B546B" w:rsidRPr="00095A13" w:rsidRDefault="007B546B" w:rsidP="007B546B">
            <w:pPr>
              <w:ind w:right="144"/>
              <w:jc w:val="right"/>
              <w:rPr>
                <w:kern w:val="22"/>
                <w:szCs w:val="22"/>
                <w:lang w:val="fr-CA" w:eastAsia="en-CA"/>
              </w:rPr>
            </w:pPr>
            <w:r w:rsidRPr="00095A13">
              <w:rPr>
                <w:kern w:val="22"/>
                <w:szCs w:val="22"/>
                <w:lang w:val="fr-CA" w:eastAsia="en-CA"/>
              </w:rPr>
              <w:t>15 387</w:t>
            </w:r>
          </w:p>
        </w:tc>
      </w:tr>
      <w:tr w:rsidR="007B546B" w:rsidRPr="00095A13" w14:paraId="51345962"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A86CFB4" w14:textId="7C39FEF2" w:rsidR="007B546B" w:rsidRPr="00095A13" w:rsidRDefault="007B546B" w:rsidP="00120F79">
            <w:pPr>
              <w:jc w:val="right"/>
              <w:rPr>
                <w:kern w:val="22"/>
                <w:szCs w:val="22"/>
                <w:lang w:val="fr-CA" w:eastAsia="en-CA"/>
              </w:rPr>
            </w:pPr>
            <w:r>
              <w:rPr>
                <w:kern w:val="22"/>
                <w:szCs w:val="22"/>
                <w:lang w:val="fr-CA" w:eastAsia="en-CA"/>
              </w:rPr>
              <w:t>55</w:t>
            </w:r>
          </w:p>
        </w:tc>
        <w:tc>
          <w:tcPr>
            <w:tcW w:w="3966" w:type="dxa"/>
            <w:tcBorders>
              <w:top w:val="nil"/>
              <w:left w:val="nil"/>
              <w:bottom w:val="single" w:sz="4" w:space="0" w:color="auto"/>
              <w:right w:val="single" w:sz="4" w:space="0" w:color="auto"/>
            </w:tcBorders>
            <w:shd w:val="clear" w:color="auto" w:fill="auto"/>
            <w:vAlign w:val="center"/>
            <w:hideMark/>
          </w:tcPr>
          <w:p w14:paraId="00DB15F8" w14:textId="77777777" w:rsidR="007B546B" w:rsidRPr="00095A13" w:rsidRDefault="007B546B" w:rsidP="00120F79">
            <w:pPr>
              <w:jc w:val="left"/>
              <w:rPr>
                <w:kern w:val="22"/>
                <w:szCs w:val="22"/>
                <w:lang w:val="fr-CA" w:eastAsia="en-CA"/>
              </w:rPr>
            </w:pPr>
            <w:r w:rsidRPr="00095A13">
              <w:rPr>
                <w:kern w:val="22"/>
                <w:szCs w:val="22"/>
                <w:lang w:val="fr-CA" w:eastAsia="en-CA"/>
              </w:rPr>
              <w:t>France</w:t>
            </w:r>
          </w:p>
        </w:tc>
        <w:tc>
          <w:tcPr>
            <w:tcW w:w="1605" w:type="dxa"/>
            <w:tcBorders>
              <w:top w:val="nil"/>
              <w:left w:val="nil"/>
              <w:bottom w:val="single" w:sz="4" w:space="0" w:color="auto"/>
              <w:right w:val="single" w:sz="4" w:space="0" w:color="auto"/>
            </w:tcBorders>
            <w:shd w:val="clear" w:color="auto" w:fill="auto"/>
            <w:vAlign w:val="center"/>
            <w:hideMark/>
          </w:tcPr>
          <w:p w14:paraId="6FE67BF2" w14:textId="77777777" w:rsidR="007B546B" w:rsidRPr="00095A13" w:rsidRDefault="007B546B" w:rsidP="007B546B">
            <w:pPr>
              <w:ind w:right="144"/>
              <w:jc w:val="right"/>
              <w:rPr>
                <w:kern w:val="22"/>
                <w:szCs w:val="22"/>
                <w:lang w:val="fr-CA" w:eastAsia="en-CA"/>
              </w:rPr>
            </w:pPr>
            <w:r w:rsidRPr="00095A13">
              <w:rPr>
                <w:kern w:val="22"/>
                <w:szCs w:val="22"/>
                <w:lang w:val="fr-CA" w:eastAsia="en-CA"/>
              </w:rPr>
              <w:t>4</w:t>
            </w:r>
            <w:r>
              <w:rPr>
                <w:kern w:val="22"/>
                <w:szCs w:val="22"/>
                <w:lang w:val="fr-CA" w:eastAsia="en-CA"/>
              </w:rPr>
              <w:t>,</w:t>
            </w:r>
            <w:r w:rsidRPr="00095A13">
              <w:rPr>
                <w:kern w:val="22"/>
                <w:szCs w:val="22"/>
                <w:lang w:val="fr-CA" w:eastAsia="en-CA"/>
              </w:rPr>
              <w:t>427</w:t>
            </w:r>
          </w:p>
        </w:tc>
        <w:tc>
          <w:tcPr>
            <w:tcW w:w="1610" w:type="dxa"/>
            <w:tcBorders>
              <w:top w:val="nil"/>
              <w:left w:val="nil"/>
              <w:bottom w:val="single" w:sz="4" w:space="0" w:color="auto"/>
              <w:right w:val="single" w:sz="4" w:space="0" w:color="auto"/>
            </w:tcBorders>
            <w:shd w:val="clear" w:color="auto" w:fill="auto"/>
            <w:vAlign w:val="center"/>
            <w:hideMark/>
          </w:tcPr>
          <w:p w14:paraId="782DDD3C" w14:textId="77777777" w:rsidR="007B546B" w:rsidRPr="00095A13" w:rsidRDefault="007B546B" w:rsidP="007B546B">
            <w:pPr>
              <w:ind w:right="144"/>
              <w:jc w:val="right"/>
              <w:rPr>
                <w:kern w:val="22"/>
                <w:szCs w:val="22"/>
                <w:lang w:val="fr-CA" w:eastAsia="en-CA"/>
              </w:rPr>
            </w:pPr>
            <w:r w:rsidRPr="00095A13">
              <w:rPr>
                <w:kern w:val="22"/>
                <w:szCs w:val="22"/>
                <w:lang w:val="fr-CA" w:eastAsia="en-CA"/>
              </w:rPr>
              <w:t>6</w:t>
            </w:r>
            <w:r>
              <w:rPr>
                <w:kern w:val="22"/>
                <w:szCs w:val="22"/>
                <w:lang w:val="fr-CA" w:eastAsia="en-CA"/>
              </w:rPr>
              <w:t>,</w:t>
            </w:r>
            <w:r w:rsidRPr="00095A13">
              <w:rPr>
                <w:kern w:val="22"/>
                <w:szCs w:val="22"/>
                <w:lang w:val="fr-CA" w:eastAsia="en-CA"/>
              </w:rPr>
              <w:t>325</w:t>
            </w:r>
          </w:p>
        </w:tc>
        <w:tc>
          <w:tcPr>
            <w:tcW w:w="1590" w:type="dxa"/>
            <w:tcBorders>
              <w:top w:val="nil"/>
              <w:left w:val="nil"/>
              <w:bottom w:val="single" w:sz="4" w:space="0" w:color="auto"/>
              <w:right w:val="single" w:sz="4" w:space="0" w:color="auto"/>
            </w:tcBorders>
            <w:shd w:val="clear" w:color="auto" w:fill="auto"/>
            <w:vAlign w:val="center"/>
            <w:hideMark/>
          </w:tcPr>
          <w:p w14:paraId="128D48F3" w14:textId="77777777" w:rsidR="007B546B" w:rsidRPr="00095A13" w:rsidRDefault="007B546B" w:rsidP="007B546B">
            <w:pPr>
              <w:ind w:right="144"/>
              <w:jc w:val="right"/>
              <w:rPr>
                <w:kern w:val="22"/>
                <w:szCs w:val="22"/>
                <w:lang w:val="fr-CA" w:eastAsia="en-CA"/>
              </w:rPr>
            </w:pPr>
            <w:r w:rsidRPr="00095A13">
              <w:rPr>
                <w:kern w:val="22"/>
                <w:szCs w:val="22"/>
                <w:lang w:val="fr-CA" w:eastAsia="en-CA"/>
              </w:rPr>
              <w:t>161 800</w:t>
            </w:r>
          </w:p>
        </w:tc>
      </w:tr>
      <w:tr w:rsidR="007B546B" w:rsidRPr="00095A13" w14:paraId="131C5090"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055ECE6" w14:textId="28541044" w:rsidR="007B546B" w:rsidRPr="00095A13" w:rsidRDefault="007B546B" w:rsidP="00120F79">
            <w:pPr>
              <w:jc w:val="right"/>
              <w:rPr>
                <w:kern w:val="22"/>
                <w:szCs w:val="22"/>
                <w:lang w:val="fr-CA" w:eastAsia="en-CA"/>
              </w:rPr>
            </w:pPr>
            <w:r>
              <w:rPr>
                <w:kern w:val="22"/>
                <w:szCs w:val="22"/>
                <w:lang w:val="fr-CA" w:eastAsia="en-CA"/>
              </w:rPr>
              <w:t>56</w:t>
            </w:r>
          </w:p>
        </w:tc>
        <w:tc>
          <w:tcPr>
            <w:tcW w:w="3966" w:type="dxa"/>
            <w:tcBorders>
              <w:top w:val="nil"/>
              <w:left w:val="nil"/>
              <w:bottom w:val="single" w:sz="4" w:space="0" w:color="auto"/>
              <w:right w:val="single" w:sz="4" w:space="0" w:color="auto"/>
            </w:tcBorders>
            <w:shd w:val="clear" w:color="auto" w:fill="auto"/>
            <w:vAlign w:val="center"/>
            <w:hideMark/>
          </w:tcPr>
          <w:p w14:paraId="5B6E2DC3" w14:textId="77777777" w:rsidR="007B546B" w:rsidRPr="00095A13" w:rsidRDefault="007B546B" w:rsidP="00120F79">
            <w:pPr>
              <w:jc w:val="left"/>
              <w:rPr>
                <w:kern w:val="22"/>
                <w:szCs w:val="22"/>
                <w:lang w:val="fr-CA" w:eastAsia="en-CA"/>
              </w:rPr>
            </w:pPr>
            <w:r w:rsidRPr="00095A13">
              <w:rPr>
                <w:kern w:val="22"/>
                <w:szCs w:val="22"/>
                <w:lang w:val="fr-CA" w:eastAsia="en-CA"/>
              </w:rPr>
              <w:t>Gabon</w:t>
            </w:r>
          </w:p>
        </w:tc>
        <w:tc>
          <w:tcPr>
            <w:tcW w:w="1605" w:type="dxa"/>
            <w:tcBorders>
              <w:top w:val="nil"/>
              <w:left w:val="nil"/>
              <w:bottom w:val="single" w:sz="4" w:space="0" w:color="auto"/>
              <w:right w:val="single" w:sz="4" w:space="0" w:color="auto"/>
            </w:tcBorders>
            <w:shd w:val="clear" w:color="auto" w:fill="auto"/>
            <w:vAlign w:val="center"/>
            <w:hideMark/>
          </w:tcPr>
          <w:p w14:paraId="2CDE757F"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015</w:t>
            </w:r>
          </w:p>
        </w:tc>
        <w:tc>
          <w:tcPr>
            <w:tcW w:w="1610" w:type="dxa"/>
            <w:tcBorders>
              <w:top w:val="nil"/>
              <w:left w:val="nil"/>
              <w:bottom w:val="single" w:sz="4" w:space="0" w:color="auto"/>
              <w:right w:val="single" w:sz="4" w:space="0" w:color="auto"/>
            </w:tcBorders>
            <w:shd w:val="clear" w:color="auto" w:fill="auto"/>
            <w:vAlign w:val="center"/>
            <w:hideMark/>
          </w:tcPr>
          <w:p w14:paraId="6D4E52F0"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021</w:t>
            </w:r>
          </w:p>
        </w:tc>
        <w:tc>
          <w:tcPr>
            <w:tcW w:w="1590" w:type="dxa"/>
            <w:tcBorders>
              <w:top w:val="nil"/>
              <w:left w:val="nil"/>
              <w:bottom w:val="single" w:sz="4" w:space="0" w:color="auto"/>
              <w:right w:val="single" w:sz="4" w:space="0" w:color="auto"/>
            </w:tcBorders>
            <w:shd w:val="clear" w:color="auto" w:fill="auto"/>
            <w:vAlign w:val="center"/>
            <w:hideMark/>
          </w:tcPr>
          <w:p w14:paraId="70D0BE2A" w14:textId="77777777" w:rsidR="007B546B" w:rsidRPr="00095A13" w:rsidRDefault="007B546B" w:rsidP="007B546B">
            <w:pPr>
              <w:ind w:right="144"/>
              <w:jc w:val="right"/>
              <w:rPr>
                <w:kern w:val="22"/>
                <w:szCs w:val="22"/>
                <w:lang w:val="fr-CA" w:eastAsia="en-CA"/>
              </w:rPr>
            </w:pPr>
            <w:r w:rsidRPr="00095A13">
              <w:rPr>
                <w:kern w:val="22"/>
                <w:szCs w:val="22"/>
                <w:lang w:val="fr-CA" w:eastAsia="en-CA"/>
              </w:rPr>
              <w:t>548</w:t>
            </w:r>
          </w:p>
        </w:tc>
      </w:tr>
      <w:tr w:rsidR="007B546B" w:rsidRPr="00095A13" w14:paraId="69821DD2"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404B6F2B" w14:textId="03D625D3" w:rsidR="007B546B" w:rsidRPr="00095A13" w:rsidRDefault="007B546B" w:rsidP="00120F79">
            <w:pPr>
              <w:jc w:val="right"/>
              <w:rPr>
                <w:kern w:val="22"/>
                <w:szCs w:val="22"/>
                <w:lang w:val="fr-CA" w:eastAsia="en-CA"/>
              </w:rPr>
            </w:pPr>
            <w:r>
              <w:rPr>
                <w:kern w:val="22"/>
                <w:szCs w:val="22"/>
                <w:lang w:val="fr-CA" w:eastAsia="en-CA"/>
              </w:rPr>
              <w:t>57</w:t>
            </w:r>
          </w:p>
        </w:tc>
        <w:tc>
          <w:tcPr>
            <w:tcW w:w="3966" w:type="dxa"/>
            <w:tcBorders>
              <w:top w:val="nil"/>
              <w:left w:val="nil"/>
              <w:bottom w:val="single" w:sz="4" w:space="0" w:color="auto"/>
              <w:right w:val="single" w:sz="4" w:space="0" w:color="auto"/>
            </w:tcBorders>
            <w:shd w:val="clear" w:color="auto" w:fill="auto"/>
            <w:vAlign w:val="center"/>
            <w:hideMark/>
          </w:tcPr>
          <w:p w14:paraId="28F489B5" w14:textId="77777777" w:rsidR="007B546B" w:rsidRPr="00095A13" w:rsidRDefault="007B546B" w:rsidP="00095A13">
            <w:pPr>
              <w:jc w:val="left"/>
              <w:rPr>
                <w:kern w:val="22"/>
                <w:szCs w:val="22"/>
                <w:lang w:val="fr-CA" w:eastAsia="en-CA"/>
              </w:rPr>
            </w:pPr>
            <w:r w:rsidRPr="00095A13">
              <w:rPr>
                <w:kern w:val="22"/>
                <w:szCs w:val="22"/>
                <w:lang w:val="fr-CA" w:eastAsia="en-CA"/>
              </w:rPr>
              <w:t>Gambi</w:t>
            </w:r>
            <w:r>
              <w:rPr>
                <w:kern w:val="22"/>
                <w:szCs w:val="22"/>
                <w:lang w:val="fr-CA" w:eastAsia="en-CA"/>
              </w:rPr>
              <w:t>e</w:t>
            </w:r>
          </w:p>
        </w:tc>
        <w:tc>
          <w:tcPr>
            <w:tcW w:w="1605" w:type="dxa"/>
            <w:tcBorders>
              <w:top w:val="nil"/>
              <w:left w:val="nil"/>
              <w:bottom w:val="single" w:sz="4" w:space="0" w:color="auto"/>
              <w:right w:val="single" w:sz="4" w:space="0" w:color="auto"/>
            </w:tcBorders>
            <w:shd w:val="clear" w:color="auto" w:fill="auto"/>
            <w:vAlign w:val="center"/>
            <w:hideMark/>
          </w:tcPr>
          <w:p w14:paraId="4853AA5D"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001</w:t>
            </w:r>
          </w:p>
        </w:tc>
        <w:tc>
          <w:tcPr>
            <w:tcW w:w="1610" w:type="dxa"/>
            <w:tcBorders>
              <w:top w:val="nil"/>
              <w:left w:val="nil"/>
              <w:bottom w:val="single" w:sz="4" w:space="0" w:color="auto"/>
              <w:right w:val="single" w:sz="4" w:space="0" w:color="auto"/>
            </w:tcBorders>
            <w:shd w:val="clear" w:color="auto" w:fill="auto"/>
            <w:vAlign w:val="center"/>
            <w:hideMark/>
          </w:tcPr>
          <w:p w14:paraId="4CBB81CF"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001</w:t>
            </w:r>
          </w:p>
        </w:tc>
        <w:tc>
          <w:tcPr>
            <w:tcW w:w="1590" w:type="dxa"/>
            <w:tcBorders>
              <w:top w:val="nil"/>
              <w:left w:val="nil"/>
              <w:bottom w:val="single" w:sz="4" w:space="0" w:color="auto"/>
              <w:right w:val="single" w:sz="4" w:space="0" w:color="auto"/>
            </w:tcBorders>
            <w:shd w:val="clear" w:color="auto" w:fill="auto"/>
            <w:vAlign w:val="center"/>
            <w:hideMark/>
          </w:tcPr>
          <w:p w14:paraId="506FBBBD" w14:textId="77777777" w:rsidR="007B546B" w:rsidRPr="00095A13" w:rsidRDefault="007B546B" w:rsidP="007B546B">
            <w:pPr>
              <w:ind w:right="144"/>
              <w:jc w:val="right"/>
              <w:rPr>
                <w:kern w:val="22"/>
                <w:szCs w:val="22"/>
                <w:lang w:val="fr-CA" w:eastAsia="en-CA"/>
              </w:rPr>
            </w:pPr>
            <w:r w:rsidRPr="00095A13">
              <w:rPr>
                <w:kern w:val="22"/>
                <w:szCs w:val="22"/>
                <w:lang w:val="fr-CA" w:eastAsia="en-CA"/>
              </w:rPr>
              <w:t>37</w:t>
            </w:r>
          </w:p>
        </w:tc>
      </w:tr>
      <w:tr w:rsidR="007B546B" w:rsidRPr="00095A13" w14:paraId="60E2FC88"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FBEEB2A" w14:textId="454480BD" w:rsidR="007B546B" w:rsidRPr="00095A13" w:rsidRDefault="007B546B" w:rsidP="00120F79">
            <w:pPr>
              <w:jc w:val="right"/>
              <w:rPr>
                <w:kern w:val="22"/>
                <w:szCs w:val="22"/>
                <w:lang w:val="fr-CA" w:eastAsia="en-CA"/>
              </w:rPr>
            </w:pPr>
            <w:r>
              <w:rPr>
                <w:kern w:val="22"/>
                <w:szCs w:val="22"/>
                <w:lang w:val="fr-CA" w:eastAsia="en-CA"/>
              </w:rPr>
              <w:t>58</w:t>
            </w:r>
          </w:p>
        </w:tc>
        <w:tc>
          <w:tcPr>
            <w:tcW w:w="3966" w:type="dxa"/>
            <w:tcBorders>
              <w:top w:val="nil"/>
              <w:left w:val="nil"/>
              <w:bottom w:val="single" w:sz="4" w:space="0" w:color="auto"/>
              <w:right w:val="single" w:sz="4" w:space="0" w:color="auto"/>
            </w:tcBorders>
            <w:shd w:val="clear" w:color="auto" w:fill="auto"/>
            <w:vAlign w:val="center"/>
            <w:hideMark/>
          </w:tcPr>
          <w:p w14:paraId="1A5076FD" w14:textId="77777777" w:rsidR="007B546B" w:rsidRPr="00095A13" w:rsidRDefault="007B546B" w:rsidP="00120F79">
            <w:pPr>
              <w:jc w:val="left"/>
              <w:rPr>
                <w:kern w:val="22"/>
                <w:szCs w:val="22"/>
                <w:lang w:val="fr-CA" w:eastAsia="en-CA"/>
              </w:rPr>
            </w:pPr>
            <w:r>
              <w:rPr>
                <w:kern w:val="22"/>
                <w:szCs w:val="22"/>
                <w:lang w:val="fr-CA" w:eastAsia="en-CA"/>
              </w:rPr>
              <w:t>Géorgie</w:t>
            </w:r>
          </w:p>
        </w:tc>
        <w:tc>
          <w:tcPr>
            <w:tcW w:w="1605" w:type="dxa"/>
            <w:tcBorders>
              <w:top w:val="nil"/>
              <w:left w:val="nil"/>
              <w:bottom w:val="single" w:sz="4" w:space="0" w:color="auto"/>
              <w:right w:val="single" w:sz="4" w:space="0" w:color="auto"/>
            </w:tcBorders>
            <w:shd w:val="clear" w:color="auto" w:fill="auto"/>
            <w:vAlign w:val="center"/>
            <w:hideMark/>
          </w:tcPr>
          <w:p w14:paraId="1BF17B63"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008</w:t>
            </w:r>
          </w:p>
        </w:tc>
        <w:tc>
          <w:tcPr>
            <w:tcW w:w="1610" w:type="dxa"/>
            <w:tcBorders>
              <w:top w:val="nil"/>
              <w:left w:val="nil"/>
              <w:bottom w:val="single" w:sz="4" w:space="0" w:color="auto"/>
              <w:right w:val="single" w:sz="4" w:space="0" w:color="auto"/>
            </w:tcBorders>
            <w:shd w:val="clear" w:color="auto" w:fill="auto"/>
            <w:vAlign w:val="center"/>
            <w:hideMark/>
          </w:tcPr>
          <w:p w14:paraId="1A1756A4"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011</w:t>
            </w:r>
          </w:p>
        </w:tc>
        <w:tc>
          <w:tcPr>
            <w:tcW w:w="1590" w:type="dxa"/>
            <w:tcBorders>
              <w:top w:val="nil"/>
              <w:left w:val="nil"/>
              <w:bottom w:val="single" w:sz="4" w:space="0" w:color="auto"/>
              <w:right w:val="single" w:sz="4" w:space="0" w:color="auto"/>
            </w:tcBorders>
            <w:shd w:val="clear" w:color="auto" w:fill="auto"/>
            <w:vAlign w:val="center"/>
            <w:hideMark/>
          </w:tcPr>
          <w:p w14:paraId="0C63849C" w14:textId="77777777" w:rsidR="007B546B" w:rsidRPr="00095A13" w:rsidRDefault="007B546B" w:rsidP="007B546B">
            <w:pPr>
              <w:ind w:right="144"/>
              <w:jc w:val="right"/>
              <w:rPr>
                <w:kern w:val="22"/>
                <w:szCs w:val="22"/>
                <w:lang w:val="fr-CA" w:eastAsia="en-CA"/>
              </w:rPr>
            </w:pPr>
            <w:r w:rsidRPr="00095A13">
              <w:rPr>
                <w:kern w:val="22"/>
                <w:szCs w:val="22"/>
                <w:lang w:val="fr-CA" w:eastAsia="en-CA"/>
              </w:rPr>
              <w:t>292</w:t>
            </w:r>
          </w:p>
        </w:tc>
      </w:tr>
      <w:tr w:rsidR="007B546B" w:rsidRPr="00095A13" w14:paraId="1D63FC6C"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EFEDF85" w14:textId="0B1C19B8" w:rsidR="007B546B" w:rsidRPr="00095A13" w:rsidRDefault="007B546B" w:rsidP="00120F79">
            <w:pPr>
              <w:jc w:val="right"/>
              <w:rPr>
                <w:kern w:val="22"/>
                <w:szCs w:val="22"/>
                <w:lang w:val="fr-CA" w:eastAsia="en-CA"/>
              </w:rPr>
            </w:pPr>
            <w:r>
              <w:rPr>
                <w:kern w:val="22"/>
                <w:szCs w:val="22"/>
                <w:lang w:val="fr-CA" w:eastAsia="en-CA"/>
              </w:rPr>
              <w:t>59</w:t>
            </w:r>
          </w:p>
        </w:tc>
        <w:tc>
          <w:tcPr>
            <w:tcW w:w="3966" w:type="dxa"/>
            <w:tcBorders>
              <w:top w:val="nil"/>
              <w:left w:val="nil"/>
              <w:bottom w:val="single" w:sz="4" w:space="0" w:color="auto"/>
              <w:right w:val="single" w:sz="4" w:space="0" w:color="auto"/>
            </w:tcBorders>
            <w:shd w:val="clear" w:color="auto" w:fill="auto"/>
            <w:vAlign w:val="center"/>
            <w:hideMark/>
          </w:tcPr>
          <w:p w14:paraId="12D1E3A9" w14:textId="77777777" w:rsidR="007B546B" w:rsidRPr="00095A13" w:rsidRDefault="007B546B" w:rsidP="00120F79">
            <w:pPr>
              <w:jc w:val="left"/>
              <w:rPr>
                <w:kern w:val="22"/>
                <w:szCs w:val="22"/>
                <w:lang w:val="fr-CA" w:eastAsia="en-CA"/>
              </w:rPr>
            </w:pPr>
            <w:r w:rsidRPr="00095A13">
              <w:rPr>
                <w:kern w:val="22"/>
                <w:szCs w:val="22"/>
                <w:lang w:val="fr-CA" w:eastAsia="en-CA"/>
              </w:rPr>
              <w:t>Ghana</w:t>
            </w:r>
          </w:p>
        </w:tc>
        <w:tc>
          <w:tcPr>
            <w:tcW w:w="1605" w:type="dxa"/>
            <w:tcBorders>
              <w:top w:val="nil"/>
              <w:left w:val="nil"/>
              <w:bottom w:val="single" w:sz="4" w:space="0" w:color="auto"/>
              <w:right w:val="single" w:sz="4" w:space="0" w:color="auto"/>
            </w:tcBorders>
            <w:shd w:val="clear" w:color="auto" w:fill="auto"/>
            <w:vAlign w:val="center"/>
            <w:hideMark/>
          </w:tcPr>
          <w:p w14:paraId="19178511"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015</w:t>
            </w:r>
          </w:p>
        </w:tc>
        <w:tc>
          <w:tcPr>
            <w:tcW w:w="1610" w:type="dxa"/>
            <w:tcBorders>
              <w:top w:val="nil"/>
              <w:left w:val="nil"/>
              <w:bottom w:val="single" w:sz="4" w:space="0" w:color="auto"/>
              <w:right w:val="single" w:sz="4" w:space="0" w:color="auto"/>
            </w:tcBorders>
            <w:shd w:val="clear" w:color="auto" w:fill="auto"/>
            <w:vAlign w:val="center"/>
            <w:hideMark/>
          </w:tcPr>
          <w:p w14:paraId="36589945"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021</w:t>
            </w:r>
          </w:p>
        </w:tc>
        <w:tc>
          <w:tcPr>
            <w:tcW w:w="1590" w:type="dxa"/>
            <w:tcBorders>
              <w:top w:val="nil"/>
              <w:left w:val="nil"/>
              <w:bottom w:val="single" w:sz="4" w:space="0" w:color="auto"/>
              <w:right w:val="single" w:sz="4" w:space="0" w:color="auto"/>
            </w:tcBorders>
            <w:shd w:val="clear" w:color="auto" w:fill="auto"/>
            <w:vAlign w:val="center"/>
            <w:hideMark/>
          </w:tcPr>
          <w:p w14:paraId="7FFCB977" w14:textId="77777777" w:rsidR="007B546B" w:rsidRPr="00095A13" w:rsidRDefault="007B546B" w:rsidP="007B546B">
            <w:pPr>
              <w:ind w:right="144"/>
              <w:jc w:val="right"/>
              <w:rPr>
                <w:kern w:val="22"/>
                <w:szCs w:val="22"/>
                <w:lang w:val="fr-CA" w:eastAsia="en-CA"/>
              </w:rPr>
            </w:pPr>
            <w:r w:rsidRPr="00095A13">
              <w:rPr>
                <w:kern w:val="22"/>
                <w:szCs w:val="22"/>
                <w:lang w:val="fr-CA" w:eastAsia="en-CA"/>
              </w:rPr>
              <w:t>548</w:t>
            </w:r>
          </w:p>
        </w:tc>
      </w:tr>
      <w:tr w:rsidR="007B546B" w:rsidRPr="00095A13" w14:paraId="4A94E047"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FD78E2F" w14:textId="11586DD4" w:rsidR="007B546B" w:rsidRPr="00095A13" w:rsidRDefault="007B546B" w:rsidP="00120F79">
            <w:pPr>
              <w:jc w:val="right"/>
              <w:rPr>
                <w:kern w:val="22"/>
                <w:szCs w:val="22"/>
                <w:lang w:val="fr-CA" w:eastAsia="en-CA"/>
              </w:rPr>
            </w:pPr>
            <w:r>
              <w:rPr>
                <w:kern w:val="22"/>
                <w:szCs w:val="22"/>
                <w:lang w:val="fr-CA" w:eastAsia="en-CA"/>
              </w:rPr>
              <w:t>60</w:t>
            </w:r>
          </w:p>
        </w:tc>
        <w:tc>
          <w:tcPr>
            <w:tcW w:w="3966" w:type="dxa"/>
            <w:tcBorders>
              <w:top w:val="nil"/>
              <w:left w:val="nil"/>
              <w:bottom w:val="single" w:sz="4" w:space="0" w:color="auto"/>
              <w:right w:val="single" w:sz="4" w:space="0" w:color="auto"/>
            </w:tcBorders>
            <w:shd w:val="clear" w:color="auto" w:fill="auto"/>
            <w:vAlign w:val="center"/>
            <w:hideMark/>
          </w:tcPr>
          <w:p w14:paraId="2B765779" w14:textId="77777777" w:rsidR="007B546B" w:rsidRPr="00095A13" w:rsidRDefault="007B546B" w:rsidP="00120F79">
            <w:pPr>
              <w:jc w:val="left"/>
              <w:rPr>
                <w:kern w:val="22"/>
                <w:szCs w:val="22"/>
                <w:lang w:val="fr-CA" w:eastAsia="en-CA"/>
              </w:rPr>
            </w:pPr>
            <w:r>
              <w:rPr>
                <w:kern w:val="22"/>
                <w:szCs w:val="22"/>
                <w:lang w:val="fr-CA" w:eastAsia="en-CA"/>
              </w:rPr>
              <w:t>Grè</w:t>
            </w:r>
            <w:r w:rsidRPr="00095A13">
              <w:rPr>
                <w:kern w:val="22"/>
                <w:szCs w:val="22"/>
                <w:lang w:val="fr-CA" w:eastAsia="en-CA"/>
              </w:rPr>
              <w:t>ce</w:t>
            </w:r>
          </w:p>
        </w:tc>
        <w:tc>
          <w:tcPr>
            <w:tcW w:w="1605" w:type="dxa"/>
            <w:tcBorders>
              <w:top w:val="nil"/>
              <w:left w:val="nil"/>
              <w:bottom w:val="single" w:sz="4" w:space="0" w:color="auto"/>
              <w:right w:val="single" w:sz="4" w:space="0" w:color="auto"/>
            </w:tcBorders>
            <w:shd w:val="clear" w:color="auto" w:fill="auto"/>
            <w:vAlign w:val="center"/>
            <w:hideMark/>
          </w:tcPr>
          <w:p w14:paraId="760691D9"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366</w:t>
            </w:r>
          </w:p>
        </w:tc>
        <w:tc>
          <w:tcPr>
            <w:tcW w:w="1610" w:type="dxa"/>
            <w:tcBorders>
              <w:top w:val="nil"/>
              <w:left w:val="nil"/>
              <w:bottom w:val="single" w:sz="4" w:space="0" w:color="auto"/>
              <w:right w:val="single" w:sz="4" w:space="0" w:color="auto"/>
            </w:tcBorders>
            <w:shd w:val="clear" w:color="auto" w:fill="auto"/>
            <w:vAlign w:val="center"/>
            <w:hideMark/>
          </w:tcPr>
          <w:p w14:paraId="75162A50"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523</w:t>
            </w:r>
          </w:p>
        </w:tc>
        <w:tc>
          <w:tcPr>
            <w:tcW w:w="1590" w:type="dxa"/>
            <w:tcBorders>
              <w:top w:val="nil"/>
              <w:left w:val="nil"/>
              <w:bottom w:val="single" w:sz="4" w:space="0" w:color="auto"/>
              <w:right w:val="single" w:sz="4" w:space="0" w:color="auto"/>
            </w:tcBorders>
            <w:shd w:val="clear" w:color="auto" w:fill="auto"/>
            <w:vAlign w:val="center"/>
            <w:hideMark/>
          </w:tcPr>
          <w:p w14:paraId="6E624242" w14:textId="77777777" w:rsidR="007B546B" w:rsidRPr="00095A13" w:rsidRDefault="007B546B" w:rsidP="007B546B">
            <w:pPr>
              <w:ind w:right="144"/>
              <w:jc w:val="right"/>
              <w:rPr>
                <w:kern w:val="22"/>
                <w:szCs w:val="22"/>
                <w:lang w:val="fr-CA" w:eastAsia="en-CA"/>
              </w:rPr>
            </w:pPr>
            <w:r w:rsidRPr="00095A13">
              <w:rPr>
                <w:kern w:val="22"/>
                <w:szCs w:val="22"/>
                <w:lang w:val="fr-CA" w:eastAsia="en-CA"/>
              </w:rPr>
              <w:t>13 377</w:t>
            </w:r>
          </w:p>
        </w:tc>
      </w:tr>
      <w:tr w:rsidR="007B546B" w:rsidRPr="00095A13" w14:paraId="3D7361F8"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4C6CD8D6" w14:textId="4CBBEEEE" w:rsidR="007B546B" w:rsidRPr="00095A13" w:rsidRDefault="007B546B" w:rsidP="00120F79">
            <w:pPr>
              <w:jc w:val="right"/>
              <w:rPr>
                <w:kern w:val="22"/>
                <w:szCs w:val="22"/>
                <w:lang w:val="fr-CA" w:eastAsia="en-CA"/>
              </w:rPr>
            </w:pPr>
            <w:r>
              <w:rPr>
                <w:kern w:val="22"/>
                <w:szCs w:val="22"/>
                <w:lang w:val="fr-CA" w:eastAsia="en-CA"/>
              </w:rPr>
              <w:t>61</w:t>
            </w:r>
          </w:p>
        </w:tc>
        <w:tc>
          <w:tcPr>
            <w:tcW w:w="3966" w:type="dxa"/>
            <w:tcBorders>
              <w:top w:val="nil"/>
              <w:left w:val="nil"/>
              <w:bottom w:val="single" w:sz="4" w:space="0" w:color="auto"/>
              <w:right w:val="single" w:sz="4" w:space="0" w:color="auto"/>
            </w:tcBorders>
            <w:shd w:val="clear" w:color="auto" w:fill="auto"/>
            <w:vAlign w:val="center"/>
            <w:hideMark/>
          </w:tcPr>
          <w:p w14:paraId="06C769CE" w14:textId="77777777" w:rsidR="007B546B" w:rsidRPr="00095A13" w:rsidRDefault="007B546B" w:rsidP="00120F79">
            <w:pPr>
              <w:jc w:val="left"/>
              <w:rPr>
                <w:kern w:val="22"/>
                <w:szCs w:val="22"/>
                <w:lang w:val="fr-CA" w:eastAsia="en-CA"/>
              </w:rPr>
            </w:pPr>
            <w:r>
              <w:rPr>
                <w:kern w:val="22"/>
                <w:szCs w:val="22"/>
                <w:lang w:val="fr-CA" w:eastAsia="en-CA"/>
              </w:rPr>
              <w:t>Grenade</w:t>
            </w:r>
          </w:p>
        </w:tc>
        <w:tc>
          <w:tcPr>
            <w:tcW w:w="1605" w:type="dxa"/>
            <w:tcBorders>
              <w:top w:val="nil"/>
              <w:left w:val="nil"/>
              <w:bottom w:val="single" w:sz="4" w:space="0" w:color="auto"/>
              <w:right w:val="single" w:sz="4" w:space="0" w:color="auto"/>
            </w:tcBorders>
            <w:shd w:val="clear" w:color="auto" w:fill="auto"/>
            <w:vAlign w:val="center"/>
            <w:hideMark/>
          </w:tcPr>
          <w:p w14:paraId="2B32B211"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001</w:t>
            </w:r>
          </w:p>
        </w:tc>
        <w:tc>
          <w:tcPr>
            <w:tcW w:w="1610" w:type="dxa"/>
            <w:tcBorders>
              <w:top w:val="nil"/>
              <w:left w:val="nil"/>
              <w:bottom w:val="single" w:sz="4" w:space="0" w:color="auto"/>
              <w:right w:val="single" w:sz="4" w:space="0" w:color="auto"/>
            </w:tcBorders>
            <w:shd w:val="clear" w:color="auto" w:fill="auto"/>
            <w:vAlign w:val="center"/>
            <w:hideMark/>
          </w:tcPr>
          <w:p w14:paraId="52E612C9"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001</w:t>
            </w:r>
          </w:p>
        </w:tc>
        <w:tc>
          <w:tcPr>
            <w:tcW w:w="1590" w:type="dxa"/>
            <w:tcBorders>
              <w:top w:val="nil"/>
              <w:left w:val="nil"/>
              <w:bottom w:val="single" w:sz="4" w:space="0" w:color="auto"/>
              <w:right w:val="single" w:sz="4" w:space="0" w:color="auto"/>
            </w:tcBorders>
            <w:shd w:val="clear" w:color="auto" w:fill="auto"/>
            <w:vAlign w:val="center"/>
            <w:hideMark/>
          </w:tcPr>
          <w:p w14:paraId="5F6B9657" w14:textId="77777777" w:rsidR="007B546B" w:rsidRPr="00095A13" w:rsidRDefault="007B546B" w:rsidP="007B546B">
            <w:pPr>
              <w:ind w:right="144"/>
              <w:jc w:val="right"/>
              <w:rPr>
                <w:kern w:val="22"/>
                <w:szCs w:val="22"/>
                <w:lang w:val="fr-CA" w:eastAsia="en-CA"/>
              </w:rPr>
            </w:pPr>
            <w:r w:rsidRPr="00095A13">
              <w:rPr>
                <w:kern w:val="22"/>
                <w:szCs w:val="22"/>
                <w:lang w:val="fr-CA" w:eastAsia="en-CA"/>
              </w:rPr>
              <w:t>37</w:t>
            </w:r>
          </w:p>
        </w:tc>
      </w:tr>
      <w:tr w:rsidR="007B546B" w:rsidRPr="00095A13" w14:paraId="41152D47"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E82432F" w14:textId="3FB0EC5A" w:rsidR="007B546B" w:rsidRPr="00095A13" w:rsidRDefault="007B546B" w:rsidP="00120F79">
            <w:pPr>
              <w:jc w:val="right"/>
              <w:rPr>
                <w:kern w:val="22"/>
                <w:szCs w:val="22"/>
                <w:lang w:val="fr-CA" w:eastAsia="en-CA"/>
              </w:rPr>
            </w:pPr>
            <w:r>
              <w:rPr>
                <w:kern w:val="22"/>
                <w:szCs w:val="22"/>
                <w:lang w:val="fr-CA" w:eastAsia="en-CA"/>
              </w:rPr>
              <w:t>62</w:t>
            </w:r>
          </w:p>
        </w:tc>
        <w:tc>
          <w:tcPr>
            <w:tcW w:w="3966" w:type="dxa"/>
            <w:tcBorders>
              <w:top w:val="nil"/>
              <w:left w:val="nil"/>
              <w:bottom w:val="single" w:sz="4" w:space="0" w:color="auto"/>
              <w:right w:val="single" w:sz="4" w:space="0" w:color="auto"/>
            </w:tcBorders>
            <w:shd w:val="clear" w:color="auto" w:fill="auto"/>
            <w:vAlign w:val="center"/>
            <w:hideMark/>
          </w:tcPr>
          <w:p w14:paraId="36581E9E" w14:textId="77777777" w:rsidR="007B546B" w:rsidRPr="00095A13" w:rsidRDefault="007B546B" w:rsidP="00120F79">
            <w:pPr>
              <w:jc w:val="left"/>
              <w:rPr>
                <w:kern w:val="22"/>
                <w:szCs w:val="22"/>
                <w:lang w:val="fr-CA" w:eastAsia="en-CA"/>
              </w:rPr>
            </w:pPr>
            <w:r w:rsidRPr="00095A13">
              <w:rPr>
                <w:kern w:val="22"/>
                <w:szCs w:val="22"/>
                <w:lang w:val="fr-CA" w:eastAsia="en-CA"/>
              </w:rPr>
              <w:t>Guatemala</w:t>
            </w:r>
          </w:p>
        </w:tc>
        <w:tc>
          <w:tcPr>
            <w:tcW w:w="1605" w:type="dxa"/>
            <w:tcBorders>
              <w:top w:val="nil"/>
              <w:left w:val="nil"/>
              <w:bottom w:val="single" w:sz="4" w:space="0" w:color="auto"/>
              <w:right w:val="single" w:sz="4" w:space="0" w:color="auto"/>
            </w:tcBorders>
            <w:shd w:val="clear" w:color="auto" w:fill="auto"/>
            <w:vAlign w:val="center"/>
            <w:hideMark/>
          </w:tcPr>
          <w:p w14:paraId="6D9B643E"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036</w:t>
            </w:r>
          </w:p>
        </w:tc>
        <w:tc>
          <w:tcPr>
            <w:tcW w:w="1610" w:type="dxa"/>
            <w:tcBorders>
              <w:top w:val="nil"/>
              <w:left w:val="nil"/>
              <w:bottom w:val="single" w:sz="4" w:space="0" w:color="auto"/>
              <w:right w:val="single" w:sz="4" w:space="0" w:color="auto"/>
            </w:tcBorders>
            <w:shd w:val="clear" w:color="auto" w:fill="auto"/>
            <w:vAlign w:val="center"/>
            <w:hideMark/>
          </w:tcPr>
          <w:p w14:paraId="7D619E59"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051</w:t>
            </w:r>
          </w:p>
        </w:tc>
        <w:tc>
          <w:tcPr>
            <w:tcW w:w="1590" w:type="dxa"/>
            <w:tcBorders>
              <w:top w:val="nil"/>
              <w:left w:val="nil"/>
              <w:bottom w:val="single" w:sz="4" w:space="0" w:color="auto"/>
              <w:right w:val="single" w:sz="4" w:space="0" w:color="auto"/>
            </w:tcBorders>
            <w:shd w:val="clear" w:color="auto" w:fill="auto"/>
            <w:vAlign w:val="center"/>
            <w:hideMark/>
          </w:tcPr>
          <w:p w14:paraId="2504B80A" w14:textId="77777777" w:rsidR="007B546B" w:rsidRPr="00095A13" w:rsidRDefault="007B546B" w:rsidP="007B546B">
            <w:pPr>
              <w:ind w:right="144"/>
              <w:jc w:val="right"/>
              <w:rPr>
                <w:kern w:val="22"/>
                <w:szCs w:val="22"/>
                <w:lang w:val="fr-CA" w:eastAsia="en-CA"/>
              </w:rPr>
            </w:pPr>
            <w:r w:rsidRPr="00095A13">
              <w:rPr>
                <w:kern w:val="22"/>
                <w:szCs w:val="22"/>
                <w:lang w:val="fr-CA" w:eastAsia="en-CA"/>
              </w:rPr>
              <w:t>1 316</w:t>
            </w:r>
          </w:p>
        </w:tc>
      </w:tr>
      <w:tr w:rsidR="007B546B" w:rsidRPr="00095A13" w14:paraId="726A2469"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476C7DF" w14:textId="101D6923" w:rsidR="007B546B" w:rsidRPr="00095A13" w:rsidRDefault="007B546B" w:rsidP="00120F79">
            <w:pPr>
              <w:jc w:val="right"/>
              <w:rPr>
                <w:kern w:val="22"/>
                <w:szCs w:val="22"/>
                <w:lang w:val="fr-CA" w:eastAsia="en-CA"/>
              </w:rPr>
            </w:pPr>
            <w:r>
              <w:rPr>
                <w:kern w:val="22"/>
                <w:szCs w:val="22"/>
                <w:lang w:val="fr-CA" w:eastAsia="en-CA"/>
              </w:rPr>
              <w:t>63</w:t>
            </w:r>
          </w:p>
        </w:tc>
        <w:tc>
          <w:tcPr>
            <w:tcW w:w="3966" w:type="dxa"/>
            <w:tcBorders>
              <w:top w:val="nil"/>
              <w:left w:val="nil"/>
              <w:bottom w:val="single" w:sz="4" w:space="0" w:color="auto"/>
              <w:right w:val="single" w:sz="4" w:space="0" w:color="auto"/>
            </w:tcBorders>
            <w:shd w:val="clear" w:color="auto" w:fill="auto"/>
            <w:vAlign w:val="center"/>
            <w:hideMark/>
          </w:tcPr>
          <w:p w14:paraId="3BDE9000" w14:textId="77777777" w:rsidR="007B546B" w:rsidRPr="00095A13" w:rsidRDefault="007B546B" w:rsidP="00095A13">
            <w:pPr>
              <w:jc w:val="left"/>
              <w:rPr>
                <w:kern w:val="22"/>
                <w:szCs w:val="22"/>
                <w:lang w:val="fr-CA" w:eastAsia="en-CA"/>
              </w:rPr>
            </w:pPr>
            <w:r>
              <w:rPr>
                <w:kern w:val="22"/>
                <w:szCs w:val="22"/>
                <w:lang w:val="fr-CA" w:eastAsia="en-CA"/>
              </w:rPr>
              <w:t>Guinée</w:t>
            </w:r>
          </w:p>
        </w:tc>
        <w:tc>
          <w:tcPr>
            <w:tcW w:w="1605" w:type="dxa"/>
            <w:tcBorders>
              <w:top w:val="nil"/>
              <w:left w:val="nil"/>
              <w:bottom w:val="single" w:sz="4" w:space="0" w:color="auto"/>
              <w:right w:val="single" w:sz="4" w:space="0" w:color="auto"/>
            </w:tcBorders>
            <w:shd w:val="clear" w:color="auto" w:fill="auto"/>
            <w:vAlign w:val="center"/>
            <w:hideMark/>
          </w:tcPr>
          <w:p w14:paraId="64472F9B"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003</w:t>
            </w:r>
          </w:p>
        </w:tc>
        <w:tc>
          <w:tcPr>
            <w:tcW w:w="1610" w:type="dxa"/>
            <w:tcBorders>
              <w:top w:val="nil"/>
              <w:left w:val="nil"/>
              <w:bottom w:val="single" w:sz="4" w:space="0" w:color="auto"/>
              <w:right w:val="single" w:sz="4" w:space="0" w:color="auto"/>
            </w:tcBorders>
            <w:shd w:val="clear" w:color="auto" w:fill="auto"/>
            <w:vAlign w:val="center"/>
            <w:hideMark/>
          </w:tcPr>
          <w:p w14:paraId="19FA44D2"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004</w:t>
            </w:r>
          </w:p>
        </w:tc>
        <w:tc>
          <w:tcPr>
            <w:tcW w:w="1590" w:type="dxa"/>
            <w:tcBorders>
              <w:top w:val="nil"/>
              <w:left w:val="nil"/>
              <w:bottom w:val="single" w:sz="4" w:space="0" w:color="auto"/>
              <w:right w:val="single" w:sz="4" w:space="0" w:color="auto"/>
            </w:tcBorders>
            <w:shd w:val="clear" w:color="auto" w:fill="auto"/>
            <w:vAlign w:val="center"/>
            <w:hideMark/>
          </w:tcPr>
          <w:p w14:paraId="312EFB44" w14:textId="77777777" w:rsidR="007B546B" w:rsidRPr="00095A13" w:rsidRDefault="007B546B" w:rsidP="007B546B">
            <w:pPr>
              <w:ind w:right="144"/>
              <w:jc w:val="right"/>
              <w:rPr>
                <w:kern w:val="22"/>
                <w:szCs w:val="22"/>
                <w:lang w:val="fr-CA" w:eastAsia="en-CA"/>
              </w:rPr>
            </w:pPr>
            <w:r w:rsidRPr="00095A13">
              <w:rPr>
                <w:kern w:val="22"/>
                <w:szCs w:val="22"/>
                <w:lang w:val="fr-CA" w:eastAsia="en-CA"/>
              </w:rPr>
              <w:t>110</w:t>
            </w:r>
          </w:p>
        </w:tc>
      </w:tr>
      <w:tr w:rsidR="007B546B" w:rsidRPr="00095A13" w14:paraId="3E9B3B8A"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D03BFA3" w14:textId="4D7DE2DB" w:rsidR="007B546B" w:rsidRPr="00095A13" w:rsidRDefault="007B546B" w:rsidP="00120F79">
            <w:pPr>
              <w:jc w:val="right"/>
              <w:rPr>
                <w:kern w:val="22"/>
                <w:szCs w:val="22"/>
                <w:lang w:val="fr-CA" w:eastAsia="en-CA"/>
              </w:rPr>
            </w:pPr>
            <w:r>
              <w:rPr>
                <w:kern w:val="22"/>
                <w:szCs w:val="22"/>
                <w:lang w:val="fr-CA" w:eastAsia="en-CA"/>
              </w:rPr>
              <w:t>64</w:t>
            </w:r>
          </w:p>
        </w:tc>
        <w:tc>
          <w:tcPr>
            <w:tcW w:w="3966" w:type="dxa"/>
            <w:tcBorders>
              <w:top w:val="nil"/>
              <w:left w:val="nil"/>
              <w:bottom w:val="single" w:sz="4" w:space="0" w:color="auto"/>
              <w:right w:val="single" w:sz="4" w:space="0" w:color="auto"/>
            </w:tcBorders>
            <w:shd w:val="clear" w:color="auto" w:fill="auto"/>
            <w:vAlign w:val="center"/>
            <w:hideMark/>
          </w:tcPr>
          <w:p w14:paraId="43DBB4D8" w14:textId="77777777" w:rsidR="007B546B" w:rsidRPr="00095A13" w:rsidRDefault="007B546B" w:rsidP="00095A13">
            <w:pPr>
              <w:jc w:val="left"/>
              <w:rPr>
                <w:kern w:val="22"/>
                <w:szCs w:val="22"/>
                <w:lang w:val="fr-CA" w:eastAsia="en-CA"/>
              </w:rPr>
            </w:pPr>
            <w:r w:rsidRPr="00095A13">
              <w:rPr>
                <w:kern w:val="22"/>
                <w:szCs w:val="22"/>
                <w:lang w:val="fr-CA" w:eastAsia="en-CA"/>
              </w:rPr>
              <w:t>Guin</w:t>
            </w:r>
            <w:r>
              <w:rPr>
                <w:kern w:val="22"/>
                <w:szCs w:val="22"/>
                <w:lang w:val="fr-CA" w:eastAsia="en-CA"/>
              </w:rPr>
              <w:t>ée</w:t>
            </w:r>
            <w:r w:rsidRPr="00095A13">
              <w:rPr>
                <w:kern w:val="22"/>
                <w:szCs w:val="22"/>
                <w:lang w:val="fr-CA" w:eastAsia="en-CA"/>
              </w:rPr>
              <w:t>-Bissau</w:t>
            </w:r>
          </w:p>
        </w:tc>
        <w:tc>
          <w:tcPr>
            <w:tcW w:w="1605" w:type="dxa"/>
            <w:tcBorders>
              <w:top w:val="nil"/>
              <w:left w:val="nil"/>
              <w:bottom w:val="single" w:sz="4" w:space="0" w:color="auto"/>
              <w:right w:val="single" w:sz="4" w:space="0" w:color="auto"/>
            </w:tcBorders>
            <w:shd w:val="clear" w:color="auto" w:fill="auto"/>
            <w:vAlign w:val="center"/>
            <w:hideMark/>
          </w:tcPr>
          <w:p w14:paraId="5EB59A35"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001</w:t>
            </w:r>
          </w:p>
        </w:tc>
        <w:tc>
          <w:tcPr>
            <w:tcW w:w="1610" w:type="dxa"/>
            <w:tcBorders>
              <w:top w:val="nil"/>
              <w:left w:val="nil"/>
              <w:bottom w:val="single" w:sz="4" w:space="0" w:color="auto"/>
              <w:right w:val="single" w:sz="4" w:space="0" w:color="auto"/>
            </w:tcBorders>
            <w:shd w:val="clear" w:color="auto" w:fill="auto"/>
            <w:vAlign w:val="center"/>
            <w:hideMark/>
          </w:tcPr>
          <w:p w14:paraId="77E9D7FD"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001</w:t>
            </w:r>
          </w:p>
        </w:tc>
        <w:tc>
          <w:tcPr>
            <w:tcW w:w="1590" w:type="dxa"/>
            <w:tcBorders>
              <w:top w:val="nil"/>
              <w:left w:val="nil"/>
              <w:bottom w:val="single" w:sz="4" w:space="0" w:color="auto"/>
              <w:right w:val="single" w:sz="4" w:space="0" w:color="auto"/>
            </w:tcBorders>
            <w:shd w:val="clear" w:color="auto" w:fill="auto"/>
            <w:vAlign w:val="center"/>
            <w:hideMark/>
          </w:tcPr>
          <w:p w14:paraId="611004F6" w14:textId="77777777" w:rsidR="007B546B" w:rsidRPr="00095A13" w:rsidRDefault="007B546B" w:rsidP="007B546B">
            <w:pPr>
              <w:ind w:right="144"/>
              <w:jc w:val="right"/>
              <w:rPr>
                <w:kern w:val="22"/>
                <w:szCs w:val="22"/>
                <w:lang w:val="fr-CA" w:eastAsia="en-CA"/>
              </w:rPr>
            </w:pPr>
            <w:r w:rsidRPr="00095A13">
              <w:rPr>
                <w:kern w:val="22"/>
                <w:szCs w:val="22"/>
                <w:lang w:val="fr-CA" w:eastAsia="en-CA"/>
              </w:rPr>
              <w:t>37</w:t>
            </w:r>
          </w:p>
        </w:tc>
      </w:tr>
      <w:tr w:rsidR="007B546B" w:rsidRPr="00095A13" w14:paraId="5A49F217"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44805BB" w14:textId="2813483D" w:rsidR="007B546B" w:rsidRPr="00095A13" w:rsidRDefault="007B546B" w:rsidP="00120F79">
            <w:pPr>
              <w:jc w:val="right"/>
              <w:rPr>
                <w:kern w:val="22"/>
                <w:szCs w:val="22"/>
                <w:lang w:val="fr-CA" w:eastAsia="en-CA"/>
              </w:rPr>
            </w:pPr>
            <w:r>
              <w:rPr>
                <w:kern w:val="22"/>
                <w:szCs w:val="22"/>
                <w:lang w:val="fr-CA" w:eastAsia="en-CA"/>
              </w:rPr>
              <w:t>65</w:t>
            </w:r>
          </w:p>
        </w:tc>
        <w:tc>
          <w:tcPr>
            <w:tcW w:w="3966" w:type="dxa"/>
            <w:tcBorders>
              <w:top w:val="nil"/>
              <w:left w:val="nil"/>
              <w:bottom w:val="single" w:sz="4" w:space="0" w:color="auto"/>
              <w:right w:val="single" w:sz="4" w:space="0" w:color="auto"/>
            </w:tcBorders>
            <w:shd w:val="clear" w:color="auto" w:fill="auto"/>
            <w:vAlign w:val="center"/>
            <w:hideMark/>
          </w:tcPr>
          <w:p w14:paraId="3A10C6A7" w14:textId="77777777" w:rsidR="007B546B" w:rsidRPr="00095A13" w:rsidRDefault="007B546B" w:rsidP="00120F79">
            <w:pPr>
              <w:jc w:val="left"/>
              <w:rPr>
                <w:kern w:val="22"/>
                <w:szCs w:val="22"/>
                <w:lang w:val="fr-CA" w:eastAsia="en-CA"/>
              </w:rPr>
            </w:pPr>
            <w:r w:rsidRPr="00095A13">
              <w:rPr>
                <w:kern w:val="22"/>
                <w:szCs w:val="22"/>
                <w:lang w:val="fr-CA" w:eastAsia="en-CA"/>
              </w:rPr>
              <w:t>Guyana</w:t>
            </w:r>
          </w:p>
        </w:tc>
        <w:tc>
          <w:tcPr>
            <w:tcW w:w="1605" w:type="dxa"/>
            <w:tcBorders>
              <w:top w:val="nil"/>
              <w:left w:val="nil"/>
              <w:bottom w:val="single" w:sz="4" w:space="0" w:color="auto"/>
              <w:right w:val="single" w:sz="4" w:space="0" w:color="auto"/>
            </w:tcBorders>
            <w:shd w:val="clear" w:color="auto" w:fill="auto"/>
            <w:vAlign w:val="center"/>
            <w:hideMark/>
          </w:tcPr>
          <w:p w14:paraId="30A1C7D7"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002</w:t>
            </w:r>
          </w:p>
        </w:tc>
        <w:tc>
          <w:tcPr>
            <w:tcW w:w="1610" w:type="dxa"/>
            <w:tcBorders>
              <w:top w:val="nil"/>
              <w:left w:val="nil"/>
              <w:bottom w:val="single" w:sz="4" w:space="0" w:color="auto"/>
              <w:right w:val="single" w:sz="4" w:space="0" w:color="auto"/>
            </w:tcBorders>
            <w:shd w:val="clear" w:color="auto" w:fill="auto"/>
            <w:vAlign w:val="center"/>
            <w:hideMark/>
          </w:tcPr>
          <w:p w14:paraId="497C4E68"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003</w:t>
            </w:r>
          </w:p>
        </w:tc>
        <w:tc>
          <w:tcPr>
            <w:tcW w:w="1590" w:type="dxa"/>
            <w:tcBorders>
              <w:top w:val="nil"/>
              <w:left w:val="nil"/>
              <w:bottom w:val="single" w:sz="4" w:space="0" w:color="auto"/>
              <w:right w:val="single" w:sz="4" w:space="0" w:color="auto"/>
            </w:tcBorders>
            <w:shd w:val="clear" w:color="auto" w:fill="auto"/>
            <w:vAlign w:val="center"/>
            <w:hideMark/>
          </w:tcPr>
          <w:p w14:paraId="40D8DAAD" w14:textId="77777777" w:rsidR="007B546B" w:rsidRPr="00095A13" w:rsidRDefault="007B546B" w:rsidP="007B546B">
            <w:pPr>
              <w:ind w:right="144"/>
              <w:jc w:val="right"/>
              <w:rPr>
                <w:kern w:val="22"/>
                <w:szCs w:val="22"/>
                <w:lang w:val="fr-CA" w:eastAsia="en-CA"/>
              </w:rPr>
            </w:pPr>
            <w:r w:rsidRPr="00095A13">
              <w:rPr>
                <w:kern w:val="22"/>
                <w:szCs w:val="22"/>
                <w:lang w:val="fr-CA" w:eastAsia="en-CA"/>
              </w:rPr>
              <w:t>73</w:t>
            </w:r>
          </w:p>
        </w:tc>
      </w:tr>
      <w:tr w:rsidR="007B546B" w:rsidRPr="00095A13" w14:paraId="3B6C23B6"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1D954FD" w14:textId="1BCE1BF1" w:rsidR="007B546B" w:rsidRPr="00095A13" w:rsidRDefault="007B546B" w:rsidP="00120F79">
            <w:pPr>
              <w:jc w:val="right"/>
              <w:rPr>
                <w:kern w:val="22"/>
                <w:szCs w:val="22"/>
                <w:lang w:val="fr-CA" w:eastAsia="en-CA"/>
              </w:rPr>
            </w:pPr>
            <w:r>
              <w:rPr>
                <w:kern w:val="22"/>
                <w:szCs w:val="22"/>
                <w:lang w:val="fr-CA" w:eastAsia="en-CA"/>
              </w:rPr>
              <w:t>66</w:t>
            </w:r>
          </w:p>
        </w:tc>
        <w:tc>
          <w:tcPr>
            <w:tcW w:w="3966" w:type="dxa"/>
            <w:tcBorders>
              <w:top w:val="nil"/>
              <w:left w:val="nil"/>
              <w:bottom w:val="single" w:sz="4" w:space="0" w:color="auto"/>
              <w:right w:val="single" w:sz="4" w:space="0" w:color="auto"/>
            </w:tcBorders>
            <w:shd w:val="clear" w:color="auto" w:fill="auto"/>
            <w:vAlign w:val="center"/>
            <w:hideMark/>
          </w:tcPr>
          <w:p w14:paraId="699E58AE" w14:textId="77777777" w:rsidR="007B546B" w:rsidRPr="00095A13" w:rsidRDefault="007B546B" w:rsidP="00120F79">
            <w:pPr>
              <w:jc w:val="left"/>
              <w:rPr>
                <w:kern w:val="22"/>
                <w:szCs w:val="22"/>
                <w:lang w:val="fr-CA" w:eastAsia="en-CA"/>
              </w:rPr>
            </w:pPr>
            <w:r w:rsidRPr="00095A13">
              <w:rPr>
                <w:kern w:val="22"/>
                <w:szCs w:val="22"/>
                <w:lang w:val="fr-CA" w:eastAsia="en-CA"/>
              </w:rPr>
              <w:t>Honduras</w:t>
            </w:r>
          </w:p>
        </w:tc>
        <w:tc>
          <w:tcPr>
            <w:tcW w:w="1605" w:type="dxa"/>
            <w:tcBorders>
              <w:top w:val="nil"/>
              <w:left w:val="nil"/>
              <w:bottom w:val="single" w:sz="4" w:space="0" w:color="auto"/>
              <w:right w:val="single" w:sz="4" w:space="0" w:color="auto"/>
            </w:tcBorders>
            <w:shd w:val="clear" w:color="auto" w:fill="auto"/>
            <w:vAlign w:val="center"/>
            <w:hideMark/>
          </w:tcPr>
          <w:p w14:paraId="7ABD0531"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009</w:t>
            </w:r>
          </w:p>
        </w:tc>
        <w:tc>
          <w:tcPr>
            <w:tcW w:w="1610" w:type="dxa"/>
            <w:tcBorders>
              <w:top w:val="nil"/>
              <w:left w:val="nil"/>
              <w:bottom w:val="single" w:sz="4" w:space="0" w:color="auto"/>
              <w:right w:val="single" w:sz="4" w:space="0" w:color="auto"/>
            </w:tcBorders>
            <w:shd w:val="clear" w:color="auto" w:fill="auto"/>
            <w:vAlign w:val="center"/>
            <w:hideMark/>
          </w:tcPr>
          <w:p w14:paraId="407D1DEA"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013</w:t>
            </w:r>
          </w:p>
        </w:tc>
        <w:tc>
          <w:tcPr>
            <w:tcW w:w="1590" w:type="dxa"/>
            <w:tcBorders>
              <w:top w:val="nil"/>
              <w:left w:val="nil"/>
              <w:bottom w:val="single" w:sz="4" w:space="0" w:color="auto"/>
              <w:right w:val="single" w:sz="4" w:space="0" w:color="auto"/>
            </w:tcBorders>
            <w:shd w:val="clear" w:color="auto" w:fill="auto"/>
            <w:vAlign w:val="center"/>
            <w:hideMark/>
          </w:tcPr>
          <w:p w14:paraId="1AF17041" w14:textId="77777777" w:rsidR="007B546B" w:rsidRPr="00095A13" w:rsidRDefault="007B546B" w:rsidP="007B546B">
            <w:pPr>
              <w:ind w:right="144"/>
              <w:jc w:val="right"/>
              <w:rPr>
                <w:kern w:val="22"/>
                <w:szCs w:val="22"/>
                <w:lang w:val="fr-CA" w:eastAsia="en-CA"/>
              </w:rPr>
            </w:pPr>
            <w:r w:rsidRPr="00095A13">
              <w:rPr>
                <w:kern w:val="22"/>
                <w:szCs w:val="22"/>
                <w:lang w:val="fr-CA" w:eastAsia="en-CA"/>
              </w:rPr>
              <w:t>329</w:t>
            </w:r>
          </w:p>
        </w:tc>
      </w:tr>
      <w:tr w:rsidR="007B546B" w:rsidRPr="00095A13" w14:paraId="2D0E38E6"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EA2DC80" w14:textId="5ED6FB1C" w:rsidR="007B546B" w:rsidRPr="00095A13" w:rsidRDefault="007B546B" w:rsidP="00120F79">
            <w:pPr>
              <w:jc w:val="right"/>
              <w:rPr>
                <w:kern w:val="22"/>
                <w:szCs w:val="22"/>
                <w:lang w:val="fr-CA" w:eastAsia="en-CA"/>
              </w:rPr>
            </w:pPr>
            <w:r>
              <w:rPr>
                <w:kern w:val="22"/>
                <w:szCs w:val="22"/>
                <w:lang w:val="fr-CA" w:eastAsia="en-CA"/>
              </w:rPr>
              <w:t>67</w:t>
            </w:r>
          </w:p>
        </w:tc>
        <w:tc>
          <w:tcPr>
            <w:tcW w:w="3966" w:type="dxa"/>
            <w:tcBorders>
              <w:top w:val="nil"/>
              <w:left w:val="nil"/>
              <w:bottom w:val="single" w:sz="4" w:space="0" w:color="auto"/>
              <w:right w:val="single" w:sz="4" w:space="0" w:color="auto"/>
            </w:tcBorders>
            <w:shd w:val="clear" w:color="auto" w:fill="auto"/>
            <w:vAlign w:val="center"/>
            <w:hideMark/>
          </w:tcPr>
          <w:p w14:paraId="08F1FD1C" w14:textId="77777777" w:rsidR="007B546B" w:rsidRPr="00095A13" w:rsidRDefault="007B546B" w:rsidP="00120F79">
            <w:pPr>
              <w:jc w:val="left"/>
              <w:rPr>
                <w:kern w:val="22"/>
                <w:szCs w:val="22"/>
                <w:lang w:val="fr-CA" w:eastAsia="en-CA"/>
              </w:rPr>
            </w:pPr>
            <w:r>
              <w:rPr>
                <w:kern w:val="22"/>
                <w:szCs w:val="22"/>
                <w:lang w:val="fr-CA" w:eastAsia="en-CA"/>
              </w:rPr>
              <w:t>Hongrie</w:t>
            </w:r>
          </w:p>
        </w:tc>
        <w:tc>
          <w:tcPr>
            <w:tcW w:w="1605" w:type="dxa"/>
            <w:tcBorders>
              <w:top w:val="nil"/>
              <w:left w:val="nil"/>
              <w:bottom w:val="single" w:sz="4" w:space="0" w:color="auto"/>
              <w:right w:val="single" w:sz="4" w:space="0" w:color="auto"/>
            </w:tcBorders>
            <w:shd w:val="clear" w:color="auto" w:fill="auto"/>
            <w:vAlign w:val="center"/>
            <w:hideMark/>
          </w:tcPr>
          <w:p w14:paraId="4687D025"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206</w:t>
            </w:r>
          </w:p>
        </w:tc>
        <w:tc>
          <w:tcPr>
            <w:tcW w:w="1610" w:type="dxa"/>
            <w:tcBorders>
              <w:top w:val="nil"/>
              <w:left w:val="nil"/>
              <w:bottom w:val="single" w:sz="4" w:space="0" w:color="auto"/>
              <w:right w:val="single" w:sz="4" w:space="0" w:color="auto"/>
            </w:tcBorders>
            <w:shd w:val="clear" w:color="auto" w:fill="auto"/>
            <w:vAlign w:val="center"/>
            <w:hideMark/>
          </w:tcPr>
          <w:p w14:paraId="63490563"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294</w:t>
            </w:r>
          </w:p>
        </w:tc>
        <w:tc>
          <w:tcPr>
            <w:tcW w:w="1590" w:type="dxa"/>
            <w:tcBorders>
              <w:top w:val="nil"/>
              <w:left w:val="nil"/>
              <w:bottom w:val="single" w:sz="4" w:space="0" w:color="auto"/>
              <w:right w:val="single" w:sz="4" w:space="0" w:color="auto"/>
            </w:tcBorders>
            <w:shd w:val="clear" w:color="auto" w:fill="auto"/>
            <w:vAlign w:val="center"/>
            <w:hideMark/>
          </w:tcPr>
          <w:p w14:paraId="0360A107" w14:textId="77777777" w:rsidR="007B546B" w:rsidRPr="00095A13" w:rsidRDefault="007B546B" w:rsidP="007B546B">
            <w:pPr>
              <w:ind w:right="144"/>
              <w:jc w:val="right"/>
              <w:rPr>
                <w:kern w:val="22"/>
                <w:szCs w:val="22"/>
                <w:lang w:val="fr-CA" w:eastAsia="en-CA"/>
              </w:rPr>
            </w:pPr>
            <w:r w:rsidRPr="00095A13">
              <w:rPr>
                <w:kern w:val="22"/>
                <w:szCs w:val="22"/>
                <w:lang w:val="fr-CA" w:eastAsia="en-CA"/>
              </w:rPr>
              <w:t>7 529</w:t>
            </w:r>
          </w:p>
        </w:tc>
      </w:tr>
      <w:tr w:rsidR="007B546B" w:rsidRPr="00095A13" w14:paraId="61EEC53D"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5A9A19B" w14:textId="6D7C589A" w:rsidR="007B546B" w:rsidRPr="00095A13" w:rsidRDefault="007B546B" w:rsidP="00120F79">
            <w:pPr>
              <w:jc w:val="right"/>
              <w:rPr>
                <w:kern w:val="22"/>
                <w:szCs w:val="22"/>
                <w:lang w:val="fr-CA" w:eastAsia="en-CA"/>
              </w:rPr>
            </w:pPr>
            <w:r>
              <w:rPr>
                <w:kern w:val="22"/>
                <w:szCs w:val="22"/>
                <w:lang w:val="fr-CA" w:eastAsia="en-CA"/>
              </w:rPr>
              <w:t>68</w:t>
            </w:r>
          </w:p>
        </w:tc>
        <w:tc>
          <w:tcPr>
            <w:tcW w:w="3966" w:type="dxa"/>
            <w:tcBorders>
              <w:top w:val="nil"/>
              <w:left w:val="nil"/>
              <w:bottom w:val="single" w:sz="4" w:space="0" w:color="auto"/>
              <w:right w:val="single" w:sz="4" w:space="0" w:color="auto"/>
            </w:tcBorders>
            <w:shd w:val="clear" w:color="auto" w:fill="auto"/>
            <w:vAlign w:val="center"/>
            <w:hideMark/>
          </w:tcPr>
          <w:p w14:paraId="27A966D1" w14:textId="77777777" w:rsidR="007B546B" w:rsidRPr="00095A13" w:rsidRDefault="007B546B" w:rsidP="00120F79">
            <w:pPr>
              <w:jc w:val="left"/>
              <w:rPr>
                <w:kern w:val="22"/>
                <w:szCs w:val="22"/>
                <w:lang w:val="fr-CA" w:eastAsia="en-CA"/>
              </w:rPr>
            </w:pPr>
            <w:r>
              <w:rPr>
                <w:kern w:val="22"/>
                <w:szCs w:val="22"/>
                <w:lang w:val="fr-CA" w:eastAsia="en-CA"/>
              </w:rPr>
              <w:t>Îles Marshall</w:t>
            </w:r>
          </w:p>
        </w:tc>
        <w:tc>
          <w:tcPr>
            <w:tcW w:w="1605" w:type="dxa"/>
            <w:tcBorders>
              <w:top w:val="nil"/>
              <w:left w:val="nil"/>
              <w:bottom w:val="single" w:sz="4" w:space="0" w:color="auto"/>
              <w:right w:val="single" w:sz="4" w:space="0" w:color="auto"/>
            </w:tcBorders>
            <w:shd w:val="clear" w:color="auto" w:fill="auto"/>
            <w:vAlign w:val="center"/>
            <w:hideMark/>
          </w:tcPr>
          <w:p w14:paraId="28DA198C"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001</w:t>
            </w:r>
          </w:p>
        </w:tc>
        <w:tc>
          <w:tcPr>
            <w:tcW w:w="1610" w:type="dxa"/>
            <w:tcBorders>
              <w:top w:val="nil"/>
              <w:left w:val="nil"/>
              <w:bottom w:val="single" w:sz="4" w:space="0" w:color="auto"/>
              <w:right w:val="single" w:sz="4" w:space="0" w:color="auto"/>
            </w:tcBorders>
            <w:shd w:val="clear" w:color="auto" w:fill="auto"/>
            <w:vAlign w:val="center"/>
            <w:hideMark/>
          </w:tcPr>
          <w:p w14:paraId="5212DD7C"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001</w:t>
            </w:r>
          </w:p>
        </w:tc>
        <w:tc>
          <w:tcPr>
            <w:tcW w:w="1590" w:type="dxa"/>
            <w:tcBorders>
              <w:top w:val="nil"/>
              <w:left w:val="nil"/>
              <w:bottom w:val="single" w:sz="4" w:space="0" w:color="auto"/>
              <w:right w:val="single" w:sz="4" w:space="0" w:color="auto"/>
            </w:tcBorders>
            <w:shd w:val="clear" w:color="auto" w:fill="auto"/>
            <w:vAlign w:val="center"/>
            <w:hideMark/>
          </w:tcPr>
          <w:p w14:paraId="38C7BEC8"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37</w:t>
            </w:r>
          </w:p>
        </w:tc>
      </w:tr>
      <w:tr w:rsidR="007B546B" w:rsidRPr="00095A13" w14:paraId="6A3934B1"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tcPr>
          <w:p w14:paraId="2011930C" w14:textId="3A778551" w:rsidR="007B546B" w:rsidRPr="00095A13" w:rsidRDefault="007B546B" w:rsidP="005066EB">
            <w:pPr>
              <w:jc w:val="right"/>
              <w:rPr>
                <w:kern w:val="22"/>
                <w:szCs w:val="22"/>
                <w:lang w:val="fr-CA" w:eastAsia="en-CA"/>
              </w:rPr>
            </w:pPr>
            <w:r>
              <w:rPr>
                <w:kern w:val="22"/>
                <w:szCs w:val="22"/>
                <w:lang w:val="fr-CA" w:eastAsia="en-CA"/>
              </w:rPr>
              <w:t>69</w:t>
            </w:r>
          </w:p>
        </w:tc>
        <w:tc>
          <w:tcPr>
            <w:tcW w:w="3966" w:type="dxa"/>
            <w:tcBorders>
              <w:top w:val="nil"/>
              <w:left w:val="nil"/>
              <w:bottom w:val="single" w:sz="4" w:space="0" w:color="auto"/>
              <w:right w:val="single" w:sz="4" w:space="0" w:color="auto"/>
            </w:tcBorders>
            <w:shd w:val="clear" w:color="auto" w:fill="auto"/>
            <w:vAlign w:val="center"/>
            <w:hideMark/>
          </w:tcPr>
          <w:p w14:paraId="5D42FDB0" w14:textId="77777777" w:rsidR="007B546B" w:rsidRPr="00095A13" w:rsidRDefault="007B546B" w:rsidP="005066EB">
            <w:pPr>
              <w:jc w:val="left"/>
              <w:rPr>
                <w:kern w:val="22"/>
                <w:szCs w:val="22"/>
                <w:lang w:val="fr-CA" w:eastAsia="en-CA"/>
              </w:rPr>
            </w:pPr>
            <w:r>
              <w:rPr>
                <w:kern w:val="22"/>
                <w:szCs w:val="22"/>
                <w:lang w:val="fr-CA" w:eastAsia="en-CA"/>
              </w:rPr>
              <w:t>Îles Salomon</w:t>
            </w:r>
          </w:p>
        </w:tc>
        <w:tc>
          <w:tcPr>
            <w:tcW w:w="1605" w:type="dxa"/>
            <w:tcBorders>
              <w:top w:val="nil"/>
              <w:left w:val="nil"/>
              <w:bottom w:val="single" w:sz="4" w:space="0" w:color="auto"/>
              <w:right w:val="single" w:sz="4" w:space="0" w:color="auto"/>
            </w:tcBorders>
            <w:shd w:val="clear" w:color="auto" w:fill="auto"/>
            <w:vAlign w:val="center"/>
            <w:hideMark/>
          </w:tcPr>
          <w:p w14:paraId="6E0B29F8"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001</w:t>
            </w:r>
          </w:p>
        </w:tc>
        <w:tc>
          <w:tcPr>
            <w:tcW w:w="1610" w:type="dxa"/>
            <w:tcBorders>
              <w:top w:val="nil"/>
              <w:left w:val="nil"/>
              <w:bottom w:val="single" w:sz="4" w:space="0" w:color="auto"/>
              <w:right w:val="single" w:sz="4" w:space="0" w:color="auto"/>
            </w:tcBorders>
            <w:shd w:val="clear" w:color="auto" w:fill="auto"/>
            <w:vAlign w:val="center"/>
            <w:hideMark/>
          </w:tcPr>
          <w:p w14:paraId="3D55F18D"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001</w:t>
            </w:r>
          </w:p>
        </w:tc>
        <w:tc>
          <w:tcPr>
            <w:tcW w:w="1590" w:type="dxa"/>
            <w:tcBorders>
              <w:top w:val="nil"/>
              <w:left w:val="nil"/>
              <w:bottom w:val="single" w:sz="4" w:space="0" w:color="auto"/>
              <w:right w:val="single" w:sz="4" w:space="0" w:color="auto"/>
            </w:tcBorders>
            <w:shd w:val="clear" w:color="auto" w:fill="auto"/>
            <w:vAlign w:val="center"/>
            <w:hideMark/>
          </w:tcPr>
          <w:p w14:paraId="25207BC7" w14:textId="77777777" w:rsidR="007B546B" w:rsidRPr="00095A13" w:rsidRDefault="007B546B" w:rsidP="007B546B">
            <w:pPr>
              <w:ind w:right="144"/>
              <w:jc w:val="right"/>
              <w:rPr>
                <w:kern w:val="22"/>
                <w:szCs w:val="22"/>
                <w:lang w:val="fr-CA" w:eastAsia="en-CA"/>
              </w:rPr>
            </w:pPr>
            <w:r w:rsidRPr="00095A13">
              <w:rPr>
                <w:kern w:val="22"/>
                <w:szCs w:val="22"/>
                <w:lang w:val="fr-CA" w:eastAsia="en-CA"/>
              </w:rPr>
              <w:t>37</w:t>
            </w:r>
          </w:p>
        </w:tc>
      </w:tr>
      <w:tr w:rsidR="007B546B" w:rsidRPr="00095A13" w14:paraId="718D7F54"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2FA75B5E" w14:textId="77777777" w:rsidR="007B546B" w:rsidRPr="00095A13" w:rsidRDefault="007B546B" w:rsidP="00120F79">
            <w:pPr>
              <w:jc w:val="right"/>
              <w:rPr>
                <w:kern w:val="22"/>
                <w:szCs w:val="22"/>
                <w:lang w:val="fr-CA" w:eastAsia="en-CA"/>
              </w:rPr>
            </w:pPr>
            <w:r w:rsidRPr="00095A13">
              <w:rPr>
                <w:kern w:val="22"/>
                <w:szCs w:val="22"/>
                <w:lang w:val="fr-CA" w:eastAsia="en-CA"/>
              </w:rPr>
              <w:t>70</w:t>
            </w:r>
          </w:p>
        </w:tc>
        <w:tc>
          <w:tcPr>
            <w:tcW w:w="3966" w:type="dxa"/>
            <w:tcBorders>
              <w:top w:val="nil"/>
              <w:left w:val="nil"/>
              <w:bottom w:val="single" w:sz="4" w:space="0" w:color="auto"/>
              <w:right w:val="single" w:sz="4" w:space="0" w:color="auto"/>
            </w:tcBorders>
            <w:shd w:val="clear" w:color="auto" w:fill="auto"/>
            <w:vAlign w:val="center"/>
            <w:hideMark/>
          </w:tcPr>
          <w:p w14:paraId="426902A9" w14:textId="77777777" w:rsidR="007B546B" w:rsidRPr="00095A13" w:rsidRDefault="007B546B" w:rsidP="00120F79">
            <w:pPr>
              <w:jc w:val="left"/>
              <w:rPr>
                <w:kern w:val="22"/>
                <w:szCs w:val="22"/>
                <w:lang w:val="fr-CA" w:eastAsia="en-CA"/>
              </w:rPr>
            </w:pPr>
            <w:r>
              <w:rPr>
                <w:kern w:val="22"/>
                <w:szCs w:val="22"/>
                <w:lang w:val="fr-CA" w:eastAsia="en-CA"/>
              </w:rPr>
              <w:t>Inde</w:t>
            </w:r>
          </w:p>
        </w:tc>
        <w:tc>
          <w:tcPr>
            <w:tcW w:w="1605" w:type="dxa"/>
            <w:tcBorders>
              <w:top w:val="nil"/>
              <w:left w:val="nil"/>
              <w:bottom w:val="single" w:sz="4" w:space="0" w:color="auto"/>
              <w:right w:val="single" w:sz="4" w:space="0" w:color="auto"/>
            </w:tcBorders>
            <w:shd w:val="clear" w:color="auto" w:fill="auto"/>
            <w:vAlign w:val="center"/>
            <w:hideMark/>
          </w:tcPr>
          <w:p w14:paraId="5197DB3F"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834</w:t>
            </w:r>
          </w:p>
        </w:tc>
        <w:tc>
          <w:tcPr>
            <w:tcW w:w="1610" w:type="dxa"/>
            <w:tcBorders>
              <w:top w:val="nil"/>
              <w:left w:val="nil"/>
              <w:bottom w:val="single" w:sz="4" w:space="0" w:color="auto"/>
              <w:right w:val="single" w:sz="4" w:space="0" w:color="auto"/>
            </w:tcBorders>
            <w:shd w:val="clear" w:color="auto" w:fill="auto"/>
            <w:vAlign w:val="center"/>
            <w:hideMark/>
          </w:tcPr>
          <w:p w14:paraId="49C2CF29" w14:textId="77777777" w:rsidR="007B546B" w:rsidRPr="00095A13" w:rsidRDefault="007B546B" w:rsidP="007B546B">
            <w:pPr>
              <w:ind w:right="144"/>
              <w:jc w:val="right"/>
              <w:rPr>
                <w:kern w:val="22"/>
                <w:szCs w:val="22"/>
                <w:lang w:val="fr-CA" w:eastAsia="en-CA"/>
              </w:rPr>
            </w:pPr>
            <w:r w:rsidRPr="00095A13">
              <w:rPr>
                <w:kern w:val="22"/>
                <w:szCs w:val="22"/>
                <w:lang w:val="fr-CA" w:eastAsia="en-CA"/>
              </w:rPr>
              <w:t>1</w:t>
            </w:r>
            <w:r>
              <w:rPr>
                <w:kern w:val="22"/>
                <w:szCs w:val="22"/>
                <w:lang w:val="fr-CA" w:eastAsia="en-CA"/>
              </w:rPr>
              <w:t>,</w:t>
            </w:r>
            <w:r w:rsidRPr="00095A13">
              <w:rPr>
                <w:kern w:val="22"/>
                <w:szCs w:val="22"/>
                <w:lang w:val="fr-CA" w:eastAsia="en-CA"/>
              </w:rPr>
              <w:t>192</w:t>
            </w:r>
          </w:p>
        </w:tc>
        <w:tc>
          <w:tcPr>
            <w:tcW w:w="1590" w:type="dxa"/>
            <w:tcBorders>
              <w:top w:val="nil"/>
              <w:left w:val="nil"/>
              <w:bottom w:val="single" w:sz="4" w:space="0" w:color="auto"/>
              <w:right w:val="single" w:sz="4" w:space="0" w:color="auto"/>
            </w:tcBorders>
            <w:shd w:val="clear" w:color="auto" w:fill="auto"/>
            <w:vAlign w:val="center"/>
            <w:hideMark/>
          </w:tcPr>
          <w:p w14:paraId="5192387A" w14:textId="77777777" w:rsidR="007B546B" w:rsidRPr="00095A13" w:rsidRDefault="007B546B" w:rsidP="007B546B">
            <w:pPr>
              <w:ind w:right="144"/>
              <w:jc w:val="right"/>
              <w:rPr>
                <w:kern w:val="22"/>
                <w:szCs w:val="22"/>
                <w:lang w:val="fr-CA" w:eastAsia="en-CA"/>
              </w:rPr>
            </w:pPr>
            <w:r w:rsidRPr="00095A13">
              <w:rPr>
                <w:kern w:val="22"/>
                <w:szCs w:val="22"/>
                <w:lang w:val="fr-CA" w:eastAsia="en-CA"/>
              </w:rPr>
              <w:t>30 481</w:t>
            </w:r>
          </w:p>
        </w:tc>
      </w:tr>
      <w:tr w:rsidR="007B546B" w:rsidRPr="00095A13" w14:paraId="0C6AE848"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C5A9FA4" w14:textId="77777777" w:rsidR="007B546B" w:rsidRPr="00095A13" w:rsidRDefault="007B546B" w:rsidP="00120F79">
            <w:pPr>
              <w:jc w:val="right"/>
              <w:rPr>
                <w:kern w:val="22"/>
                <w:szCs w:val="22"/>
                <w:lang w:val="fr-CA" w:eastAsia="en-CA"/>
              </w:rPr>
            </w:pPr>
            <w:r w:rsidRPr="00095A13">
              <w:rPr>
                <w:kern w:val="22"/>
                <w:szCs w:val="22"/>
                <w:lang w:val="fr-CA" w:eastAsia="en-CA"/>
              </w:rPr>
              <w:t>71</w:t>
            </w:r>
          </w:p>
        </w:tc>
        <w:tc>
          <w:tcPr>
            <w:tcW w:w="3966" w:type="dxa"/>
            <w:tcBorders>
              <w:top w:val="nil"/>
              <w:left w:val="nil"/>
              <w:bottom w:val="single" w:sz="4" w:space="0" w:color="auto"/>
              <w:right w:val="single" w:sz="4" w:space="0" w:color="auto"/>
            </w:tcBorders>
            <w:shd w:val="clear" w:color="auto" w:fill="auto"/>
            <w:vAlign w:val="center"/>
            <w:hideMark/>
          </w:tcPr>
          <w:p w14:paraId="1BAB4699" w14:textId="77777777" w:rsidR="007B546B" w:rsidRPr="00095A13" w:rsidRDefault="007B546B" w:rsidP="00DD4385">
            <w:pPr>
              <w:jc w:val="left"/>
              <w:rPr>
                <w:kern w:val="22"/>
                <w:szCs w:val="22"/>
                <w:lang w:val="fr-CA" w:eastAsia="en-CA"/>
              </w:rPr>
            </w:pPr>
            <w:r>
              <w:rPr>
                <w:kern w:val="22"/>
                <w:szCs w:val="22"/>
                <w:lang w:val="fr-CA" w:eastAsia="en-CA"/>
              </w:rPr>
              <w:t>Indonésie</w:t>
            </w:r>
          </w:p>
        </w:tc>
        <w:tc>
          <w:tcPr>
            <w:tcW w:w="1605" w:type="dxa"/>
            <w:tcBorders>
              <w:top w:val="nil"/>
              <w:left w:val="nil"/>
              <w:bottom w:val="single" w:sz="4" w:space="0" w:color="auto"/>
              <w:right w:val="single" w:sz="4" w:space="0" w:color="auto"/>
            </w:tcBorders>
            <w:shd w:val="clear" w:color="auto" w:fill="auto"/>
            <w:vAlign w:val="center"/>
            <w:hideMark/>
          </w:tcPr>
          <w:p w14:paraId="14C02444"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543</w:t>
            </w:r>
          </w:p>
        </w:tc>
        <w:tc>
          <w:tcPr>
            <w:tcW w:w="1610" w:type="dxa"/>
            <w:tcBorders>
              <w:top w:val="nil"/>
              <w:left w:val="nil"/>
              <w:bottom w:val="single" w:sz="4" w:space="0" w:color="auto"/>
              <w:right w:val="single" w:sz="4" w:space="0" w:color="auto"/>
            </w:tcBorders>
            <w:shd w:val="clear" w:color="auto" w:fill="auto"/>
            <w:vAlign w:val="center"/>
            <w:hideMark/>
          </w:tcPr>
          <w:p w14:paraId="2A3BFF86"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776</w:t>
            </w:r>
          </w:p>
        </w:tc>
        <w:tc>
          <w:tcPr>
            <w:tcW w:w="1590" w:type="dxa"/>
            <w:tcBorders>
              <w:top w:val="nil"/>
              <w:left w:val="nil"/>
              <w:bottom w:val="single" w:sz="4" w:space="0" w:color="auto"/>
              <w:right w:val="single" w:sz="4" w:space="0" w:color="auto"/>
            </w:tcBorders>
            <w:shd w:val="clear" w:color="auto" w:fill="auto"/>
            <w:vAlign w:val="center"/>
            <w:hideMark/>
          </w:tcPr>
          <w:p w14:paraId="5AC681B5" w14:textId="77777777" w:rsidR="007B546B" w:rsidRPr="00095A13" w:rsidRDefault="007B546B" w:rsidP="007B546B">
            <w:pPr>
              <w:adjustRightInd w:val="0"/>
              <w:snapToGrid w:val="0"/>
              <w:ind w:right="144"/>
              <w:jc w:val="right"/>
              <w:rPr>
                <w:kern w:val="22"/>
                <w:szCs w:val="22"/>
                <w:lang w:val="fr-CA" w:eastAsia="en-CA"/>
              </w:rPr>
            </w:pPr>
            <w:r>
              <w:rPr>
                <w:kern w:val="22"/>
                <w:szCs w:val="22"/>
                <w:lang w:val="fr-CA" w:eastAsia="en-CA"/>
              </w:rPr>
              <w:t xml:space="preserve">  </w:t>
            </w:r>
            <w:r w:rsidRPr="00095A13">
              <w:rPr>
                <w:kern w:val="22"/>
                <w:szCs w:val="22"/>
                <w:lang w:val="fr-CA" w:eastAsia="en-CA"/>
              </w:rPr>
              <w:t>19 846</w:t>
            </w:r>
          </w:p>
        </w:tc>
      </w:tr>
      <w:tr w:rsidR="007B546B" w:rsidRPr="00095A13" w14:paraId="4802F1BE"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C5DB85E" w14:textId="06181707" w:rsidR="007B546B" w:rsidRPr="00095A13" w:rsidRDefault="007B546B" w:rsidP="00120F79">
            <w:pPr>
              <w:jc w:val="right"/>
              <w:rPr>
                <w:kern w:val="22"/>
                <w:szCs w:val="22"/>
                <w:lang w:val="fr-CA" w:eastAsia="en-CA"/>
              </w:rPr>
            </w:pPr>
            <w:r>
              <w:rPr>
                <w:kern w:val="22"/>
                <w:szCs w:val="22"/>
                <w:lang w:val="fr-CA" w:eastAsia="en-CA"/>
              </w:rPr>
              <w:t>72</w:t>
            </w:r>
          </w:p>
        </w:tc>
        <w:tc>
          <w:tcPr>
            <w:tcW w:w="3966" w:type="dxa"/>
            <w:tcBorders>
              <w:top w:val="nil"/>
              <w:left w:val="nil"/>
              <w:bottom w:val="single" w:sz="4" w:space="0" w:color="auto"/>
              <w:right w:val="single" w:sz="4" w:space="0" w:color="auto"/>
            </w:tcBorders>
            <w:shd w:val="clear" w:color="auto" w:fill="auto"/>
            <w:vAlign w:val="center"/>
            <w:hideMark/>
          </w:tcPr>
          <w:p w14:paraId="3276E06A" w14:textId="77777777" w:rsidR="007B546B" w:rsidRPr="00095A13" w:rsidRDefault="007B546B" w:rsidP="00120F79">
            <w:pPr>
              <w:jc w:val="left"/>
              <w:rPr>
                <w:kern w:val="22"/>
                <w:szCs w:val="22"/>
                <w:lang w:val="fr-CA" w:eastAsia="en-CA"/>
              </w:rPr>
            </w:pPr>
            <w:r w:rsidRPr="00095A13">
              <w:rPr>
                <w:kern w:val="22"/>
                <w:szCs w:val="22"/>
                <w:lang w:val="fr-CA" w:eastAsia="en-CA"/>
              </w:rPr>
              <w:t>Iraq</w:t>
            </w:r>
          </w:p>
        </w:tc>
        <w:tc>
          <w:tcPr>
            <w:tcW w:w="1605" w:type="dxa"/>
            <w:tcBorders>
              <w:top w:val="nil"/>
              <w:left w:val="nil"/>
              <w:bottom w:val="single" w:sz="4" w:space="0" w:color="auto"/>
              <w:right w:val="single" w:sz="4" w:space="0" w:color="auto"/>
            </w:tcBorders>
            <w:shd w:val="clear" w:color="auto" w:fill="auto"/>
            <w:vAlign w:val="center"/>
            <w:hideMark/>
          </w:tcPr>
          <w:p w14:paraId="158C1C80"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129</w:t>
            </w:r>
          </w:p>
        </w:tc>
        <w:tc>
          <w:tcPr>
            <w:tcW w:w="1610" w:type="dxa"/>
            <w:tcBorders>
              <w:top w:val="nil"/>
              <w:left w:val="nil"/>
              <w:bottom w:val="single" w:sz="4" w:space="0" w:color="auto"/>
              <w:right w:val="single" w:sz="4" w:space="0" w:color="auto"/>
            </w:tcBorders>
            <w:shd w:val="clear" w:color="auto" w:fill="auto"/>
            <w:vAlign w:val="center"/>
            <w:hideMark/>
          </w:tcPr>
          <w:p w14:paraId="3B2E13BF"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184</w:t>
            </w:r>
          </w:p>
        </w:tc>
        <w:tc>
          <w:tcPr>
            <w:tcW w:w="1590" w:type="dxa"/>
            <w:tcBorders>
              <w:top w:val="nil"/>
              <w:left w:val="nil"/>
              <w:bottom w:val="single" w:sz="4" w:space="0" w:color="auto"/>
              <w:right w:val="single" w:sz="4" w:space="0" w:color="auto"/>
            </w:tcBorders>
            <w:shd w:val="clear" w:color="auto" w:fill="auto"/>
            <w:vAlign w:val="center"/>
            <w:hideMark/>
          </w:tcPr>
          <w:p w14:paraId="71B85788"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4 715</w:t>
            </w:r>
          </w:p>
        </w:tc>
      </w:tr>
      <w:tr w:rsidR="007B546B" w:rsidRPr="00095A13" w14:paraId="087422E6"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400F13F" w14:textId="3703A2E0" w:rsidR="007B546B" w:rsidRPr="00095A13" w:rsidRDefault="007B546B" w:rsidP="00120F79">
            <w:pPr>
              <w:jc w:val="right"/>
              <w:rPr>
                <w:kern w:val="22"/>
                <w:szCs w:val="22"/>
                <w:lang w:val="fr-CA" w:eastAsia="en-CA"/>
              </w:rPr>
            </w:pPr>
            <w:r>
              <w:rPr>
                <w:kern w:val="22"/>
                <w:szCs w:val="22"/>
                <w:lang w:val="fr-CA" w:eastAsia="en-CA"/>
              </w:rPr>
              <w:t>73</w:t>
            </w:r>
          </w:p>
        </w:tc>
        <w:tc>
          <w:tcPr>
            <w:tcW w:w="3966" w:type="dxa"/>
            <w:tcBorders>
              <w:top w:val="nil"/>
              <w:left w:val="nil"/>
              <w:bottom w:val="single" w:sz="4" w:space="0" w:color="auto"/>
              <w:right w:val="single" w:sz="4" w:space="0" w:color="auto"/>
            </w:tcBorders>
            <w:shd w:val="clear" w:color="auto" w:fill="auto"/>
            <w:vAlign w:val="center"/>
            <w:hideMark/>
          </w:tcPr>
          <w:p w14:paraId="2333D4F5" w14:textId="77777777" w:rsidR="007B546B" w:rsidRPr="00095A13" w:rsidRDefault="007B546B" w:rsidP="00120F79">
            <w:pPr>
              <w:jc w:val="left"/>
              <w:rPr>
                <w:kern w:val="22"/>
                <w:szCs w:val="22"/>
                <w:lang w:val="fr-CA" w:eastAsia="en-CA"/>
              </w:rPr>
            </w:pPr>
            <w:r>
              <w:rPr>
                <w:kern w:val="22"/>
                <w:szCs w:val="22"/>
                <w:lang w:val="fr-CA" w:eastAsia="en-CA"/>
              </w:rPr>
              <w:t>Ir</w:t>
            </w:r>
            <w:r w:rsidRPr="00095A13">
              <w:rPr>
                <w:kern w:val="22"/>
                <w:szCs w:val="22"/>
                <w:lang w:val="fr-CA" w:eastAsia="en-CA"/>
              </w:rPr>
              <w:t>land</w:t>
            </w:r>
            <w:r>
              <w:rPr>
                <w:kern w:val="22"/>
                <w:szCs w:val="22"/>
                <w:lang w:val="fr-CA" w:eastAsia="en-CA"/>
              </w:rPr>
              <w:t>e</w:t>
            </w:r>
          </w:p>
        </w:tc>
        <w:tc>
          <w:tcPr>
            <w:tcW w:w="1605" w:type="dxa"/>
            <w:tcBorders>
              <w:top w:val="nil"/>
              <w:left w:val="nil"/>
              <w:bottom w:val="single" w:sz="4" w:space="0" w:color="auto"/>
              <w:right w:val="single" w:sz="4" w:space="0" w:color="auto"/>
            </w:tcBorders>
            <w:shd w:val="clear" w:color="auto" w:fill="auto"/>
            <w:vAlign w:val="center"/>
            <w:hideMark/>
          </w:tcPr>
          <w:p w14:paraId="167D7108"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371</w:t>
            </w:r>
          </w:p>
        </w:tc>
        <w:tc>
          <w:tcPr>
            <w:tcW w:w="1610" w:type="dxa"/>
            <w:tcBorders>
              <w:top w:val="nil"/>
              <w:left w:val="nil"/>
              <w:bottom w:val="single" w:sz="4" w:space="0" w:color="auto"/>
              <w:right w:val="single" w:sz="4" w:space="0" w:color="auto"/>
            </w:tcBorders>
            <w:shd w:val="clear" w:color="auto" w:fill="auto"/>
            <w:vAlign w:val="center"/>
            <w:hideMark/>
          </w:tcPr>
          <w:p w14:paraId="6565F1F5"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530</w:t>
            </w:r>
          </w:p>
        </w:tc>
        <w:tc>
          <w:tcPr>
            <w:tcW w:w="1590" w:type="dxa"/>
            <w:tcBorders>
              <w:top w:val="nil"/>
              <w:left w:val="nil"/>
              <w:bottom w:val="single" w:sz="4" w:space="0" w:color="auto"/>
              <w:right w:val="single" w:sz="4" w:space="0" w:color="auto"/>
            </w:tcBorders>
            <w:shd w:val="clear" w:color="auto" w:fill="auto"/>
            <w:vAlign w:val="center"/>
            <w:hideMark/>
          </w:tcPr>
          <w:p w14:paraId="13002ABC"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13 559</w:t>
            </w:r>
          </w:p>
        </w:tc>
      </w:tr>
      <w:tr w:rsidR="007B546B" w:rsidRPr="00095A13" w14:paraId="64B076E5"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A6B98A9" w14:textId="19C46922" w:rsidR="007B546B" w:rsidRPr="00095A13" w:rsidRDefault="007B546B" w:rsidP="00120F79">
            <w:pPr>
              <w:jc w:val="right"/>
              <w:rPr>
                <w:kern w:val="22"/>
                <w:szCs w:val="22"/>
                <w:lang w:val="fr-CA" w:eastAsia="en-CA"/>
              </w:rPr>
            </w:pPr>
            <w:r>
              <w:rPr>
                <w:kern w:val="22"/>
                <w:szCs w:val="22"/>
                <w:lang w:val="fr-CA" w:eastAsia="en-CA"/>
              </w:rPr>
              <w:t>74</w:t>
            </w:r>
          </w:p>
        </w:tc>
        <w:tc>
          <w:tcPr>
            <w:tcW w:w="3966" w:type="dxa"/>
            <w:tcBorders>
              <w:top w:val="nil"/>
              <w:left w:val="nil"/>
              <w:bottom w:val="single" w:sz="4" w:space="0" w:color="auto"/>
              <w:right w:val="single" w:sz="4" w:space="0" w:color="auto"/>
            </w:tcBorders>
            <w:shd w:val="clear" w:color="auto" w:fill="auto"/>
            <w:vAlign w:val="center"/>
            <w:hideMark/>
          </w:tcPr>
          <w:p w14:paraId="3CCC73B2" w14:textId="77777777" w:rsidR="007B546B" w:rsidRPr="00095A13" w:rsidRDefault="007B546B" w:rsidP="00120F79">
            <w:pPr>
              <w:jc w:val="left"/>
              <w:rPr>
                <w:kern w:val="22"/>
                <w:szCs w:val="22"/>
                <w:lang w:val="fr-CA" w:eastAsia="en-CA"/>
              </w:rPr>
            </w:pPr>
            <w:r>
              <w:rPr>
                <w:kern w:val="22"/>
                <w:szCs w:val="22"/>
                <w:lang w:val="fr-CA" w:eastAsia="en-CA"/>
              </w:rPr>
              <w:t>Italie</w:t>
            </w:r>
          </w:p>
        </w:tc>
        <w:tc>
          <w:tcPr>
            <w:tcW w:w="1605" w:type="dxa"/>
            <w:tcBorders>
              <w:top w:val="nil"/>
              <w:left w:val="nil"/>
              <w:bottom w:val="single" w:sz="4" w:space="0" w:color="auto"/>
              <w:right w:val="single" w:sz="4" w:space="0" w:color="auto"/>
            </w:tcBorders>
            <w:shd w:val="clear" w:color="auto" w:fill="auto"/>
            <w:vAlign w:val="center"/>
            <w:hideMark/>
          </w:tcPr>
          <w:p w14:paraId="0A7F4783"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3</w:t>
            </w:r>
            <w:r>
              <w:rPr>
                <w:kern w:val="22"/>
                <w:szCs w:val="22"/>
                <w:lang w:val="fr-CA" w:eastAsia="en-CA"/>
              </w:rPr>
              <w:t>,</w:t>
            </w:r>
            <w:r w:rsidRPr="00095A13">
              <w:rPr>
                <w:kern w:val="22"/>
                <w:szCs w:val="22"/>
                <w:lang w:val="fr-CA" w:eastAsia="en-CA"/>
              </w:rPr>
              <w:t>307</w:t>
            </w:r>
          </w:p>
        </w:tc>
        <w:tc>
          <w:tcPr>
            <w:tcW w:w="1610" w:type="dxa"/>
            <w:tcBorders>
              <w:top w:val="nil"/>
              <w:left w:val="nil"/>
              <w:bottom w:val="single" w:sz="4" w:space="0" w:color="auto"/>
              <w:right w:val="single" w:sz="4" w:space="0" w:color="auto"/>
            </w:tcBorders>
            <w:shd w:val="clear" w:color="auto" w:fill="auto"/>
            <w:vAlign w:val="center"/>
            <w:hideMark/>
          </w:tcPr>
          <w:p w14:paraId="4FE729E1"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4</w:t>
            </w:r>
            <w:r>
              <w:rPr>
                <w:kern w:val="22"/>
                <w:szCs w:val="22"/>
                <w:lang w:val="fr-CA" w:eastAsia="en-CA"/>
              </w:rPr>
              <w:t>,</w:t>
            </w:r>
            <w:r w:rsidRPr="00095A13">
              <w:rPr>
                <w:kern w:val="22"/>
                <w:szCs w:val="22"/>
                <w:lang w:val="fr-CA" w:eastAsia="en-CA"/>
              </w:rPr>
              <w:t>725</w:t>
            </w:r>
          </w:p>
        </w:tc>
        <w:tc>
          <w:tcPr>
            <w:tcW w:w="1590" w:type="dxa"/>
            <w:tcBorders>
              <w:top w:val="nil"/>
              <w:left w:val="nil"/>
              <w:bottom w:val="single" w:sz="4" w:space="0" w:color="auto"/>
              <w:right w:val="single" w:sz="4" w:space="0" w:color="auto"/>
            </w:tcBorders>
            <w:shd w:val="clear" w:color="auto" w:fill="auto"/>
            <w:vAlign w:val="center"/>
            <w:hideMark/>
          </w:tcPr>
          <w:p w14:paraId="723E8CE7"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120 866</w:t>
            </w:r>
          </w:p>
        </w:tc>
      </w:tr>
      <w:tr w:rsidR="007B546B" w:rsidRPr="00095A13" w14:paraId="5DE6DEB4"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0CE2E7E" w14:textId="2C047E36" w:rsidR="007B546B" w:rsidRPr="00095A13" w:rsidRDefault="007B546B" w:rsidP="00120F79">
            <w:pPr>
              <w:jc w:val="right"/>
              <w:rPr>
                <w:kern w:val="22"/>
                <w:szCs w:val="22"/>
                <w:lang w:val="fr-CA" w:eastAsia="en-CA"/>
              </w:rPr>
            </w:pPr>
            <w:r>
              <w:rPr>
                <w:kern w:val="22"/>
                <w:szCs w:val="22"/>
                <w:lang w:val="fr-CA" w:eastAsia="en-CA"/>
              </w:rPr>
              <w:t>75</w:t>
            </w:r>
          </w:p>
        </w:tc>
        <w:tc>
          <w:tcPr>
            <w:tcW w:w="3966" w:type="dxa"/>
            <w:tcBorders>
              <w:top w:val="nil"/>
              <w:left w:val="nil"/>
              <w:bottom w:val="single" w:sz="4" w:space="0" w:color="auto"/>
              <w:right w:val="single" w:sz="4" w:space="0" w:color="auto"/>
            </w:tcBorders>
            <w:shd w:val="clear" w:color="auto" w:fill="auto"/>
            <w:vAlign w:val="center"/>
            <w:hideMark/>
          </w:tcPr>
          <w:p w14:paraId="60DA88EA" w14:textId="77777777" w:rsidR="007B546B" w:rsidRPr="00095A13" w:rsidRDefault="007B546B" w:rsidP="00120F79">
            <w:pPr>
              <w:jc w:val="left"/>
              <w:rPr>
                <w:kern w:val="22"/>
                <w:szCs w:val="22"/>
                <w:lang w:val="fr-CA" w:eastAsia="en-CA"/>
              </w:rPr>
            </w:pPr>
            <w:r>
              <w:rPr>
                <w:kern w:val="22"/>
                <w:szCs w:val="22"/>
                <w:lang w:val="fr-CA" w:eastAsia="en-CA"/>
              </w:rPr>
              <w:t>Jamaïque</w:t>
            </w:r>
          </w:p>
        </w:tc>
        <w:tc>
          <w:tcPr>
            <w:tcW w:w="1605" w:type="dxa"/>
            <w:tcBorders>
              <w:top w:val="nil"/>
              <w:left w:val="nil"/>
              <w:bottom w:val="single" w:sz="4" w:space="0" w:color="auto"/>
              <w:right w:val="single" w:sz="4" w:space="0" w:color="auto"/>
            </w:tcBorders>
            <w:shd w:val="clear" w:color="auto" w:fill="auto"/>
            <w:vAlign w:val="center"/>
            <w:hideMark/>
          </w:tcPr>
          <w:p w14:paraId="3AC35D7D"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008</w:t>
            </w:r>
          </w:p>
        </w:tc>
        <w:tc>
          <w:tcPr>
            <w:tcW w:w="1610" w:type="dxa"/>
            <w:tcBorders>
              <w:top w:val="nil"/>
              <w:left w:val="nil"/>
              <w:bottom w:val="single" w:sz="4" w:space="0" w:color="auto"/>
              <w:right w:val="single" w:sz="4" w:space="0" w:color="auto"/>
            </w:tcBorders>
            <w:shd w:val="clear" w:color="auto" w:fill="auto"/>
            <w:vAlign w:val="center"/>
            <w:hideMark/>
          </w:tcPr>
          <w:p w14:paraId="73E64E23"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011</w:t>
            </w:r>
          </w:p>
        </w:tc>
        <w:tc>
          <w:tcPr>
            <w:tcW w:w="1590" w:type="dxa"/>
            <w:tcBorders>
              <w:top w:val="nil"/>
              <w:left w:val="nil"/>
              <w:bottom w:val="single" w:sz="4" w:space="0" w:color="auto"/>
              <w:right w:val="single" w:sz="4" w:space="0" w:color="auto"/>
            </w:tcBorders>
            <w:shd w:val="clear" w:color="auto" w:fill="auto"/>
            <w:vAlign w:val="center"/>
            <w:hideMark/>
          </w:tcPr>
          <w:p w14:paraId="65508ABA"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292</w:t>
            </w:r>
          </w:p>
        </w:tc>
      </w:tr>
      <w:tr w:rsidR="007B546B" w:rsidRPr="00095A13" w14:paraId="3E0E1C80"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CFA971F" w14:textId="6C669F34" w:rsidR="007B546B" w:rsidRPr="00095A13" w:rsidRDefault="007B546B" w:rsidP="00120F79">
            <w:pPr>
              <w:jc w:val="right"/>
              <w:rPr>
                <w:kern w:val="22"/>
                <w:szCs w:val="22"/>
                <w:lang w:val="fr-CA" w:eastAsia="en-CA"/>
              </w:rPr>
            </w:pPr>
            <w:r>
              <w:rPr>
                <w:kern w:val="22"/>
                <w:szCs w:val="22"/>
                <w:lang w:val="fr-CA" w:eastAsia="en-CA"/>
              </w:rPr>
              <w:t>76</w:t>
            </w:r>
          </w:p>
        </w:tc>
        <w:tc>
          <w:tcPr>
            <w:tcW w:w="3966" w:type="dxa"/>
            <w:tcBorders>
              <w:top w:val="nil"/>
              <w:left w:val="nil"/>
              <w:bottom w:val="single" w:sz="4" w:space="0" w:color="auto"/>
              <w:right w:val="single" w:sz="4" w:space="0" w:color="auto"/>
            </w:tcBorders>
            <w:shd w:val="clear" w:color="auto" w:fill="auto"/>
            <w:vAlign w:val="center"/>
            <w:hideMark/>
          </w:tcPr>
          <w:p w14:paraId="34848A81" w14:textId="77777777" w:rsidR="007B546B" w:rsidRPr="00095A13" w:rsidRDefault="007B546B" w:rsidP="00120F79">
            <w:pPr>
              <w:jc w:val="left"/>
              <w:rPr>
                <w:kern w:val="22"/>
                <w:szCs w:val="22"/>
                <w:lang w:val="fr-CA" w:eastAsia="en-CA"/>
              </w:rPr>
            </w:pPr>
            <w:r>
              <w:rPr>
                <w:kern w:val="22"/>
                <w:szCs w:val="22"/>
                <w:lang w:val="fr-CA" w:eastAsia="en-CA"/>
              </w:rPr>
              <w:t>Japo</w:t>
            </w:r>
            <w:r w:rsidRPr="00095A13">
              <w:rPr>
                <w:kern w:val="22"/>
                <w:szCs w:val="22"/>
                <w:lang w:val="fr-CA" w:eastAsia="en-CA"/>
              </w:rPr>
              <w:t>n</w:t>
            </w:r>
          </w:p>
        </w:tc>
        <w:tc>
          <w:tcPr>
            <w:tcW w:w="1605" w:type="dxa"/>
            <w:tcBorders>
              <w:top w:val="nil"/>
              <w:left w:val="nil"/>
              <w:bottom w:val="single" w:sz="4" w:space="0" w:color="auto"/>
              <w:right w:val="single" w:sz="4" w:space="0" w:color="auto"/>
            </w:tcBorders>
            <w:shd w:val="clear" w:color="auto" w:fill="auto"/>
            <w:vAlign w:val="center"/>
            <w:hideMark/>
          </w:tcPr>
          <w:p w14:paraId="5BC255A5"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8</w:t>
            </w:r>
            <w:r>
              <w:rPr>
                <w:kern w:val="22"/>
                <w:szCs w:val="22"/>
                <w:lang w:val="fr-CA" w:eastAsia="en-CA"/>
              </w:rPr>
              <w:t>,</w:t>
            </w:r>
            <w:r w:rsidRPr="00095A13">
              <w:rPr>
                <w:kern w:val="22"/>
                <w:szCs w:val="22"/>
                <w:lang w:val="fr-CA" w:eastAsia="en-CA"/>
              </w:rPr>
              <w:t>564</w:t>
            </w:r>
          </w:p>
        </w:tc>
        <w:tc>
          <w:tcPr>
            <w:tcW w:w="1610" w:type="dxa"/>
            <w:tcBorders>
              <w:top w:val="nil"/>
              <w:left w:val="nil"/>
              <w:bottom w:val="single" w:sz="4" w:space="0" w:color="auto"/>
              <w:right w:val="single" w:sz="4" w:space="0" w:color="auto"/>
            </w:tcBorders>
            <w:shd w:val="clear" w:color="auto" w:fill="auto"/>
            <w:vAlign w:val="center"/>
            <w:hideMark/>
          </w:tcPr>
          <w:p w14:paraId="495C9287"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12</w:t>
            </w:r>
            <w:r>
              <w:rPr>
                <w:kern w:val="22"/>
                <w:szCs w:val="22"/>
                <w:lang w:val="fr-CA" w:eastAsia="en-CA"/>
              </w:rPr>
              <w:t>,</w:t>
            </w:r>
            <w:r w:rsidRPr="00095A13">
              <w:rPr>
                <w:kern w:val="22"/>
                <w:szCs w:val="22"/>
                <w:lang w:val="fr-CA" w:eastAsia="en-CA"/>
              </w:rPr>
              <w:t>236</w:t>
            </w:r>
          </w:p>
        </w:tc>
        <w:tc>
          <w:tcPr>
            <w:tcW w:w="1590" w:type="dxa"/>
            <w:tcBorders>
              <w:top w:val="nil"/>
              <w:left w:val="nil"/>
              <w:bottom w:val="single" w:sz="4" w:space="0" w:color="auto"/>
              <w:right w:val="single" w:sz="4" w:space="0" w:color="auto"/>
            </w:tcBorders>
            <w:shd w:val="clear" w:color="auto" w:fill="auto"/>
            <w:vAlign w:val="center"/>
            <w:hideMark/>
          </w:tcPr>
          <w:p w14:paraId="7F6E1AFB"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313 001</w:t>
            </w:r>
          </w:p>
        </w:tc>
      </w:tr>
      <w:tr w:rsidR="007B546B" w:rsidRPr="00095A13" w14:paraId="3E1DD9C2"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E682428" w14:textId="082366FD" w:rsidR="007B546B" w:rsidRPr="00095A13" w:rsidRDefault="007B546B" w:rsidP="00120F79">
            <w:pPr>
              <w:jc w:val="right"/>
              <w:rPr>
                <w:kern w:val="22"/>
                <w:szCs w:val="22"/>
                <w:lang w:val="fr-CA" w:eastAsia="en-CA"/>
              </w:rPr>
            </w:pPr>
            <w:r>
              <w:rPr>
                <w:kern w:val="22"/>
                <w:szCs w:val="22"/>
                <w:lang w:val="fr-CA" w:eastAsia="en-CA"/>
              </w:rPr>
              <w:t>77</w:t>
            </w:r>
          </w:p>
        </w:tc>
        <w:tc>
          <w:tcPr>
            <w:tcW w:w="3966" w:type="dxa"/>
            <w:tcBorders>
              <w:top w:val="nil"/>
              <w:left w:val="nil"/>
              <w:bottom w:val="single" w:sz="4" w:space="0" w:color="auto"/>
              <w:right w:val="single" w:sz="4" w:space="0" w:color="auto"/>
            </w:tcBorders>
            <w:shd w:val="clear" w:color="auto" w:fill="auto"/>
            <w:vAlign w:val="center"/>
            <w:hideMark/>
          </w:tcPr>
          <w:p w14:paraId="3C3FDB36" w14:textId="77777777" w:rsidR="007B546B" w:rsidRPr="00095A13" w:rsidRDefault="007B546B" w:rsidP="00120F79">
            <w:pPr>
              <w:jc w:val="left"/>
              <w:rPr>
                <w:kern w:val="22"/>
                <w:szCs w:val="22"/>
                <w:lang w:val="fr-CA" w:eastAsia="en-CA"/>
              </w:rPr>
            </w:pPr>
            <w:r w:rsidRPr="00095A13">
              <w:rPr>
                <w:kern w:val="22"/>
                <w:szCs w:val="22"/>
                <w:lang w:val="fr-CA" w:eastAsia="en-CA"/>
              </w:rPr>
              <w:t>Jordan</w:t>
            </w:r>
            <w:r>
              <w:rPr>
                <w:kern w:val="22"/>
                <w:szCs w:val="22"/>
                <w:lang w:val="fr-CA" w:eastAsia="en-CA"/>
              </w:rPr>
              <w:t>ie</w:t>
            </w:r>
          </w:p>
        </w:tc>
        <w:tc>
          <w:tcPr>
            <w:tcW w:w="1605" w:type="dxa"/>
            <w:tcBorders>
              <w:top w:val="nil"/>
              <w:left w:val="nil"/>
              <w:bottom w:val="single" w:sz="4" w:space="0" w:color="auto"/>
              <w:right w:val="single" w:sz="4" w:space="0" w:color="auto"/>
            </w:tcBorders>
            <w:shd w:val="clear" w:color="auto" w:fill="auto"/>
            <w:vAlign w:val="center"/>
            <w:hideMark/>
          </w:tcPr>
          <w:p w14:paraId="78C987CC"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021</w:t>
            </w:r>
          </w:p>
        </w:tc>
        <w:tc>
          <w:tcPr>
            <w:tcW w:w="1610" w:type="dxa"/>
            <w:tcBorders>
              <w:top w:val="nil"/>
              <w:left w:val="nil"/>
              <w:bottom w:val="single" w:sz="4" w:space="0" w:color="auto"/>
              <w:right w:val="single" w:sz="4" w:space="0" w:color="auto"/>
            </w:tcBorders>
            <w:shd w:val="clear" w:color="auto" w:fill="auto"/>
            <w:vAlign w:val="center"/>
            <w:hideMark/>
          </w:tcPr>
          <w:p w14:paraId="666B8D80"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030</w:t>
            </w:r>
          </w:p>
        </w:tc>
        <w:tc>
          <w:tcPr>
            <w:tcW w:w="1590" w:type="dxa"/>
            <w:tcBorders>
              <w:top w:val="nil"/>
              <w:left w:val="nil"/>
              <w:bottom w:val="single" w:sz="4" w:space="0" w:color="auto"/>
              <w:right w:val="single" w:sz="4" w:space="0" w:color="auto"/>
            </w:tcBorders>
            <w:shd w:val="clear" w:color="auto" w:fill="auto"/>
            <w:vAlign w:val="center"/>
            <w:hideMark/>
          </w:tcPr>
          <w:p w14:paraId="47205306"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768</w:t>
            </w:r>
          </w:p>
        </w:tc>
      </w:tr>
      <w:tr w:rsidR="007B546B" w:rsidRPr="00095A13" w14:paraId="70B2CC64"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A37B362" w14:textId="2294C7BB" w:rsidR="007B546B" w:rsidRPr="00095A13" w:rsidRDefault="007B546B" w:rsidP="00120F79">
            <w:pPr>
              <w:jc w:val="right"/>
              <w:rPr>
                <w:kern w:val="22"/>
                <w:szCs w:val="22"/>
                <w:lang w:val="fr-CA" w:eastAsia="en-CA"/>
              </w:rPr>
            </w:pPr>
            <w:r>
              <w:rPr>
                <w:kern w:val="22"/>
                <w:szCs w:val="22"/>
                <w:lang w:val="fr-CA" w:eastAsia="en-CA"/>
              </w:rPr>
              <w:t>78</w:t>
            </w:r>
          </w:p>
        </w:tc>
        <w:tc>
          <w:tcPr>
            <w:tcW w:w="3966" w:type="dxa"/>
            <w:tcBorders>
              <w:top w:val="nil"/>
              <w:left w:val="nil"/>
              <w:bottom w:val="single" w:sz="4" w:space="0" w:color="auto"/>
              <w:right w:val="single" w:sz="4" w:space="0" w:color="auto"/>
            </w:tcBorders>
            <w:shd w:val="clear" w:color="auto" w:fill="auto"/>
            <w:vAlign w:val="center"/>
            <w:hideMark/>
          </w:tcPr>
          <w:p w14:paraId="65E96A26" w14:textId="77777777" w:rsidR="007B546B" w:rsidRPr="00095A13" w:rsidRDefault="007B546B" w:rsidP="00120F79">
            <w:pPr>
              <w:jc w:val="left"/>
              <w:rPr>
                <w:kern w:val="22"/>
                <w:szCs w:val="22"/>
                <w:lang w:val="fr-CA" w:eastAsia="en-CA"/>
              </w:rPr>
            </w:pPr>
            <w:r w:rsidRPr="00095A13">
              <w:rPr>
                <w:kern w:val="22"/>
                <w:szCs w:val="22"/>
                <w:lang w:val="fr-CA" w:eastAsia="en-CA"/>
              </w:rPr>
              <w:t>Kazakhstan</w:t>
            </w:r>
          </w:p>
        </w:tc>
        <w:tc>
          <w:tcPr>
            <w:tcW w:w="1605" w:type="dxa"/>
            <w:tcBorders>
              <w:top w:val="nil"/>
              <w:left w:val="nil"/>
              <w:bottom w:val="single" w:sz="4" w:space="0" w:color="auto"/>
              <w:right w:val="single" w:sz="4" w:space="0" w:color="auto"/>
            </w:tcBorders>
            <w:shd w:val="clear" w:color="auto" w:fill="auto"/>
            <w:vAlign w:val="center"/>
            <w:hideMark/>
          </w:tcPr>
          <w:p w14:paraId="469A32CF"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178</w:t>
            </w:r>
          </w:p>
        </w:tc>
        <w:tc>
          <w:tcPr>
            <w:tcW w:w="1610" w:type="dxa"/>
            <w:tcBorders>
              <w:top w:val="nil"/>
              <w:left w:val="nil"/>
              <w:bottom w:val="single" w:sz="4" w:space="0" w:color="auto"/>
              <w:right w:val="single" w:sz="4" w:space="0" w:color="auto"/>
            </w:tcBorders>
            <w:shd w:val="clear" w:color="auto" w:fill="auto"/>
            <w:vAlign w:val="center"/>
            <w:hideMark/>
          </w:tcPr>
          <w:p w14:paraId="249C0478"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254</w:t>
            </w:r>
          </w:p>
        </w:tc>
        <w:tc>
          <w:tcPr>
            <w:tcW w:w="1590" w:type="dxa"/>
            <w:tcBorders>
              <w:top w:val="nil"/>
              <w:left w:val="nil"/>
              <w:bottom w:val="single" w:sz="4" w:space="0" w:color="auto"/>
              <w:right w:val="single" w:sz="4" w:space="0" w:color="auto"/>
            </w:tcBorders>
            <w:shd w:val="clear" w:color="auto" w:fill="auto"/>
            <w:vAlign w:val="center"/>
            <w:hideMark/>
          </w:tcPr>
          <w:p w14:paraId="10643E32"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6 506</w:t>
            </w:r>
          </w:p>
        </w:tc>
      </w:tr>
      <w:tr w:rsidR="007B546B" w:rsidRPr="00095A13" w14:paraId="2EC4F96B"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6581C6E" w14:textId="7CE7CCFE" w:rsidR="007B546B" w:rsidRPr="00095A13" w:rsidRDefault="007B546B" w:rsidP="00120F79">
            <w:pPr>
              <w:jc w:val="right"/>
              <w:rPr>
                <w:kern w:val="22"/>
                <w:szCs w:val="22"/>
                <w:lang w:val="fr-CA" w:eastAsia="en-CA"/>
              </w:rPr>
            </w:pPr>
            <w:r>
              <w:rPr>
                <w:kern w:val="22"/>
                <w:szCs w:val="22"/>
                <w:lang w:val="fr-CA" w:eastAsia="en-CA"/>
              </w:rPr>
              <w:t>79</w:t>
            </w:r>
          </w:p>
        </w:tc>
        <w:tc>
          <w:tcPr>
            <w:tcW w:w="3966" w:type="dxa"/>
            <w:tcBorders>
              <w:top w:val="nil"/>
              <w:left w:val="nil"/>
              <w:bottom w:val="single" w:sz="4" w:space="0" w:color="auto"/>
              <w:right w:val="single" w:sz="4" w:space="0" w:color="auto"/>
            </w:tcBorders>
            <w:shd w:val="clear" w:color="auto" w:fill="auto"/>
            <w:vAlign w:val="center"/>
            <w:hideMark/>
          </w:tcPr>
          <w:p w14:paraId="4D47646D" w14:textId="77777777" w:rsidR="007B546B" w:rsidRPr="00095A13" w:rsidRDefault="007B546B" w:rsidP="00120F79">
            <w:pPr>
              <w:jc w:val="left"/>
              <w:rPr>
                <w:kern w:val="22"/>
                <w:szCs w:val="22"/>
                <w:lang w:val="fr-CA" w:eastAsia="en-CA"/>
              </w:rPr>
            </w:pPr>
            <w:r w:rsidRPr="00095A13">
              <w:rPr>
                <w:kern w:val="22"/>
                <w:szCs w:val="22"/>
                <w:lang w:val="fr-CA" w:eastAsia="en-CA"/>
              </w:rPr>
              <w:t>Kenya</w:t>
            </w:r>
          </w:p>
        </w:tc>
        <w:tc>
          <w:tcPr>
            <w:tcW w:w="1605" w:type="dxa"/>
            <w:tcBorders>
              <w:top w:val="nil"/>
              <w:left w:val="nil"/>
              <w:bottom w:val="single" w:sz="4" w:space="0" w:color="auto"/>
              <w:right w:val="single" w:sz="4" w:space="0" w:color="auto"/>
            </w:tcBorders>
            <w:shd w:val="clear" w:color="auto" w:fill="auto"/>
            <w:vAlign w:val="center"/>
            <w:hideMark/>
          </w:tcPr>
          <w:p w14:paraId="46E499D7"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024</w:t>
            </w:r>
          </w:p>
        </w:tc>
        <w:tc>
          <w:tcPr>
            <w:tcW w:w="1610" w:type="dxa"/>
            <w:tcBorders>
              <w:top w:val="nil"/>
              <w:left w:val="nil"/>
              <w:bottom w:val="single" w:sz="4" w:space="0" w:color="auto"/>
              <w:right w:val="single" w:sz="4" w:space="0" w:color="auto"/>
            </w:tcBorders>
            <w:shd w:val="clear" w:color="auto" w:fill="auto"/>
            <w:vAlign w:val="center"/>
            <w:hideMark/>
          </w:tcPr>
          <w:p w14:paraId="4AEEAAB1"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034</w:t>
            </w:r>
          </w:p>
        </w:tc>
        <w:tc>
          <w:tcPr>
            <w:tcW w:w="1590" w:type="dxa"/>
            <w:tcBorders>
              <w:top w:val="nil"/>
              <w:left w:val="nil"/>
              <w:bottom w:val="single" w:sz="4" w:space="0" w:color="auto"/>
              <w:right w:val="single" w:sz="4" w:space="0" w:color="auto"/>
            </w:tcBorders>
            <w:shd w:val="clear" w:color="auto" w:fill="auto"/>
            <w:vAlign w:val="center"/>
            <w:hideMark/>
          </w:tcPr>
          <w:p w14:paraId="41171D1F"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877</w:t>
            </w:r>
          </w:p>
        </w:tc>
      </w:tr>
      <w:tr w:rsidR="007B546B" w:rsidRPr="00095A13" w14:paraId="0544D484"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5A13877" w14:textId="76E3CA71" w:rsidR="007B546B" w:rsidRPr="00095A13" w:rsidRDefault="007B546B" w:rsidP="00120F79">
            <w:pPr>
              <w:jc w:val="right"/>
              <w:rPr>
                <w:kern w:val="22"/>
                <w:szCs w:val="22"/>
                <w:lang w:val="fr-CA" w:eastAsia="en-CA"/>
              </w:rPr>
            </w:pPr>
            <w:r>
              <w:rPr>
                <w:kern w:val="22"/>
                <w:szCs w:val="22"/>
                <w:lang w:val="fr-CA" w:eastAsia="en-CA"/>
              </w:rPr>
              <w:t>80</w:t>
            </w:r>
          </w:p>
        </w:tc>
        <w:tc>
          <w:tcPr>
            <w:tcW w:w="3966" w:type="dxa"/>
            <w:tcBorders>
              <w:top w:val="nil"/>
              <w:left w:val="nil"/>
              <w:bottom w:val="single" w:sz="4" w:space="0" w:color="auto"/>
              <w:right w:val="single" w:sz="4" w:space="0" w:color="auto"/>
            </w:tcBorders>
            <w:shd w:val="clear" w:color="auto" w:fill="auto"/>
            <w:vAlign w:val="center"/>
            <w:hideMark/>
          </w:tcPr>
          <w:p w14:paraId="250008B8" w14:textId="77777777" w:rsidR="007B546B" w:rsidRPr="00095A13" w:rsidRDefault="007B546B" w:rsidP="00120F79">
            <w:pPr>
              <w:jc w:val="left"/>
              <w:rPr>
                <w:kern w:val="22"/>
                <w:szCs w:val="22"/>
                <w:lang w:val="fr-CA" w:eastAsia="en-CA"/>
              </w:rPr>
            </w:pPr>
            <w:r>
              <w:rPr>
                <w:kern w:val="22"/>
                <w:szCs w:val="22"/>
                <w:lang w:val="fr-CA" w:eastAsia="en-CA"/>
              </w:rPr>
              <w:t>Kirghizistan</w:t>
            </w:r>
          </w:p>
        </w:tc>
        <w:tc>
          <w:tcPr>
            <w:tcW w:w="1605" w:type="dxa"/>
            <w:tcBorders>
              <w:top w:val="nil"/>
              <w:left w:val="nil"/>
              <w:bottom w:val="single" w:sz="4" w:space="0" w:color="auto"/>
              <w:right w:val="single" w:sz="4" w:space="0" w:color="auto"/>
            </w:tcBorders>
            <w:shd w:val="clear" w:color="auto" w:fill="auto"/>
            <w:vAlign w:val="center"/>
            <w:hideMark/>
          </w:tcPr>
          <w:p w14:paraId="0D5B4C5F"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002</w:t>
            </w:r>
          </w:p>
        </w:tc>
        <w:tc>
          <w:tcPr>
            <w:tcW w:w="1610" w:type="dxa"/>
            <w:tcBorders>
              <w:top w:val="nil"/>
              <w:left w:val="nil"/>
              <w:bottom w:val="single" w:sz="4" w:space="0" w:color="auto"/>
              <w:right w:val="single" w:sz="4" w:space="0" w:color="auto"/>
            </w:tcBorders>
            <w:shd w:val="clear" w:color="auto" w:fill="auto"/>
            <w:vAlign w:val="center"/>
            <w:hideMark/>
          </w:tcPr>
          <w:p w14:paraId="028D7D9B"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003</w:t>
            </w:r>
          </w:p>
        </w:tc>
        <w:tc>
          <w:tcPr>
            <w:tcW w:w="1590" w:type="dxa"/>
            <w:tcBorders>
              <w:top w:val="nil"/>
              <w:left w:val="nil"/>
              <w:bottom w:val="single" w:sz="4" w:space="0" w:color="auto"/>
              <w:right w:val="single" w:sz="4" w:space="0" w:color="auto"/>
            </w:tcBorders>
            <w:shd w:val="clear" w:color="auto" w:fill="auto"/>
            <w:vAlign w:val="center"/>
            <w:hideMark/>
          </w:tcPr>
          <w:p w14:paraId="0918536B"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73</w:t>
            </w:r>
          </w:p>
        </w:tc>
      </w:tr>
      <w:tr w:rsidR="007B546B" w:rsidRPr="00095A13" w14:paraId="7977CB29"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C998F9B" w14:textId="22AB0E15" w:rsidR="007B546B" w:rsidRPr="00095A13" w:rsidRDefault="007B546B" w:rsidP="00120F79">
            <w:pPr>
              <w:jc w:val="right"/>
              <w:rPr>
                <w:kern w:val="22"/>
                <w:szCs w:val="22"/>
                <w:lang w:val="fr-CA" w:eastAsia="en-CA"/>
              </w:rPr>
            </w:pPr>
            <w:r>
              <w:rPr>
                <w:kern w:val="22"/>
                <w:szCs w:val="22"/>
                <w:lang w:val="fr-CA" w:eastAsia="en-CA"/>
              </w:rPr>
              <w:t>81</w:t>
            </w:r>
          </w:p>
        </w:tc>
        <w:tc>
          <w:tcPr>
            <w:tcW w:w="3966" w:type="dxa"/>
            <w:tcBorders>
              <w:top w:val="nil"/>
              <w:left w:val="nil"/>
              <w:bottom w:val="single" w:sz="4" w:space="0" w:color="auto"/>
              <w:right w:val="single" w:sz="4" w:space="0" w:color="auto"/>
            </w:tcBorders>
            <w:shd w:val="clear" w:color="auto" w:fill="auto"/>
            <w:vAlign w:val="center"/>
            <w:hideMark/>
          </w:tcPr>
          <w:p w14:paraId="6A26F8B6" w14:textId="77777777" w:rsidR="007B546B" w:rsidRPr="00095A13" w:rsidRDefault="007B546B" w:rsidP="00120F79">
            <w:pPr>
              <w:jc w:val="left"/>
              <w:rPr>
                <w:kern w:val="22"/>
                <w:szCs w:val="22"/>
                <w:lang w:val="fr-CA" w:eastAsia="en-CA"/>
              </w:rPr>
            </w:pPr>
            <w:r w:rsidRPr="00095A13">
              <w:rPr>
                <w:kern w:val="22"/>
                <w:szCs w:val="22"/>
                <w:lang w:val="fr-CA" w:eastAsia="en-CA"/>
              </w:rPr>
              <w:t>Kiribati</w:t>
            </w:r>
          </w:p>
        </w:tc>
        <w:tc>
          <w:tcPr>
            <w:tcW w:w="1605" w:type="dxa"/>
            <w:tcBorders>
              <w:top w:val="nil"/>
              <w:left w:val="nil"/>
              <w:bottom w:val="single" w:sz="4" w:space="0" w:color="auto"/>
              <w:right w:val="single" w:sz="4" w:space="0" w:color="auto"/>
            </w:tcBorders>
            <w:shd w:val="clear" w:color="auto" w:fill="auto"/>
            <w:vAlign w:val="center"/>
            <w:hideMark/>
          </w:tcPr>
          <w:p w14:paraId="74205B65"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001</w:t>
            </w:r>
          </w:p>
        </w:tc>
        <w:tc>
          <w:tcPr>
            <w:tcW w:w="1610" w:type="dxa"/>
            <w:tcBorders>
              <w:top w:val="nil"/>
              <w:left w:val="nil"/>
              <w:bottom w:val="single" w:sz="4" w:space="0" w:color="auto"/>
              <w:right w:val="single" w:sz="4" w:space="0" w:color="auto"/>
            </w:tcBorders>
            <w:shd w:val="clear" w:color="auto" w:fill="auto"/>
            <w:vAlign w:val="center"/>
            <w:hideMark/>
          </w:tcPr>
          <w:p w14:paraId="185F2682"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001</w:t>
            </w:r>
          </w:p>
        </w:tc>
        <w:tc>
          <w:tcPr>
            <w:tcW w:w="1590" w:type="dxa"/>
            <w:tcBorders>
              <w:top w:val="nil"/>
              <w:left w:val="nil"/>
              <w:bottom w:val="single" w:sz="4" w:space="0" w:color="auto"/>
              <w:right w:val="single" w:sz="4" w:space="0" w:color="auto"/>
            </w:tcBorders>
            <w:shd w:val="clear" w:color="auto" w:fill="auto"/>
            <w:vAlign w:val="center"/>
            <w:hideMark/>
          </w:tcPr>
          <w:p w14:paraId="15550399"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37</w:t>
            </w:r>
          </w:p>
        </w:tc>
      </w:tr>
      <w:tr w:rsidR="007B546B" w:rsidRPr="00095A13" w14:paraId="022A506A"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3B9E826" w14:textId="77777777" w:rsidR="007B546B" w:rsidRPr="00095A13" w:rsidRDefault="007B546B" w:rsidP="00120F79">
            <w:pPr>
              <w:jc w:val="right"/>
              <w:rPr>
                <w:kern w:val="22"/>
                <w:szCs w:val="22"/>
                <w:lang w:val="fr-CA" w:eastAsia="en-CA"/>
              </w:rPr>
            </w:pPr>
            <w:r w:rsidRPr="00095A13">
              <w:rPr>
                <w:kern w:val="22"/>
                <w:szCs w:val="22"/>
                <w:lang w:val="fr-CA" w:eastAsia="en-CA"/>
              </w:rPr>
              <w:t>82</w:t>
            </w:r>
          </w:p>
        </w:tc>
        <w:tc>
          <w:tcPr>
            <w:tcW w:w="3966" w:type="dxa"/>
            <w:tcBorders>
              <w:top w:val="nil"/>
              <w:left w:val="nil"/>
              <w:bottom w:val="single" w:sz="4" w:space="0" w:color="auto"/>
              <w:right w:val="single" w:sz="4" w:space="0" w:color="auto"/>
            </w:tcBorders>
            <w:shd w:val="clear" w:color="auto" w:fill="auto"/>
            <w:vAlign w:val="center"/>
            <w:hideMark/>
          </w:tcPr>
          <w:p w14:paraId="0E0B9DD9" w14:textId="77777777" w:rsidR="007B546B" w:rsidRPr="00095A13" w:rsidRDefault="007B546B" w:rsidP="00120F79">
            <w:pPr>
              <w:jc w:val="left"/>
              <w:rPr>
                <w:kern w:val="22"/>
                <w:szCs w:val="22"/>
                <w:lang w:val="fr-CA" w:eastAsia="en-CA"/>
              </w:rPr>
            </w:pPr>
            <w:r>
              <w:rPr>
                <w:kern w:val="22"/>
                <w:szCs w:val="22"/>
                <w:lang w:val="fr-CA" w:eastAsia="en-CA"/>
              </w:rPr>
              <w:t>Koweït</w:t>
            </w:r>
          </w:p>
        </w:tc>
        <w:tc>
          <w:tcPr>
            <w:tcW w:w="1605" w:type="dxa"/>
            <w:tcBorders>
              <w:top w:val="nil"/>
              <w:left w:val="nil"/>
              <w:bottom w:val="single" w:sz="4" w:space="0" w:color="auto"/>
              <w:right w:val="single" w:sz="4" w:space="0" w:color="auto"/>
            </w:tcBorders>
            <w:shd w:val="clear" w:color="auto" w:fill="auto"/>
            <w:vAlign w:val="center"/>
            <w:hideMark/>
          </w:tcPr>
          <w:p w14:paraId="6EB34F77"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252</w:t>
            </w:r>
          </w:p>
        </w:tc>
        <w:tc>
          <w:tcPr>
            <w:tcW w:w="1610" w:type="dxa"/>
            <w:tcBorders>
              <w:top w:val="nil"/>
              <w:left w:val="nil"/>
              <w:bottom w:val="single" w:sz="4" w:space="0" w:color="auto"/>
              <w:right w:val="single" w:sz="4" w:space="0" w:color="auto"/>
            </w:tcBorders>
            <w:shd w:val="clear" w:color="auto" w:fill="auto"/>
            <w:vAlign w:val="center"/>
            <w:hideMark/>
          </w:tcPr>
          <w:p w14:paraId="6FFC8CED"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360</w:t>
            </w:r>
          </w:p>
        </w:tc>
        <w:tc>
          <w:tcPr>
            <w:tcW w:w="1590" w:type="dxa"/>
            <w:tcBorders>
              <w:top w:val="nil"/>
              <w:left w:val="nil"/>
              <w:bottom w:val="single" w:sz="4" w:space="0" w:color="auto"/>
              <w:right w:val="single" w:sz="4" w:space="0" w:color="auto"/>
            </w:tcBorders>
            <w:shd w:val="clear" w:color="auto" w:fill="auto"/>
            <w:vAlign w:val="center"/>
            <w:hideMark/>
          </w:tcPr>
          <w:p w14:paraId="46B75450"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9 210</w:t>
            </w:r>
          </w:p>
        </w:tc>
      </w:tr>
      <w:tr w:rsidR="007B546B" w:rsidRPr="00095A13" w14:paraId="3EFFB16E"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2C5BB3B2" w14:textId="40223429" w:rsidR="007B546B" w:rsidRPr="00095A13" w:rsidRDefault="007B546B" w:rsidP="00120F79">
            <w:pPr>
              <w:jc w:val="right"/>
              <w:rPr>
                <w:kern w:val="22"/>
                <w:szCs w:val="22"/>
                <w:lang w:val="fr-CA" w:eastAsia="en-CA"/>
              </w:rPr>
            </w:pPr>
            <w:r>
              <w:rPr>
                <w:kern w:val="22"/>
                <w:szCs w:val="22"/>
                <w:lang w:val="fr-CA" w:eastAsia="en-CA"/>
              </w:rPr>
              <w:t>83</w:t>
            </w:r>
          </w:p>
        </w:tc>
        <w:tc>
          <w:tcPr>
            <w:tcW w:w="3966" w:type="dxa"/>
            <w:tcBorders>
              <w:top w:val="nil"/>
              <w:left w:val="nil"/>
              <w:bottom w:val="single" w:sz="4" w:space="0" w:color="auto"/>
              <w:right w:val="single" w:sz="4" w:space="0" w:color="auto"/>
            </w:tcBorders>
            <w:shd w:val="clear" w:color="auto" w:fill="auto"/>
            <w:vAlign w:val="center"/>
            <w:hideMark/>
          </w:tcPr>
          <w:p w14:paraId="55098E8E" w14:textId="77777777" w:rsidR="007B546B" w:rsidRPr="00095A13" w:rsidRDefault="007B546B" w:rsidP="00120F79">
            <w:pPr>
              <w:jc w:val="left"/>
              <w:rPr>
                <w:kern w:val="22"/>
                <w:szCs w:val="22"/>
                <w:lang w:val="fr-CA" w:eastAsia="en-CA"/>
              </w:rPr>
            </w:pPr>
            <w:r w:rsidRPr="00095A13">
              <w:rPr>
                <w:kern w:val="22"/>
                <w:szCs w:val="22"/>
                <w:lang w:val="fr-CA" w:eastAsia="en-CA"/>
              </w:rPr>
              <w:t>Lesotho</w:t>
            </w:r>
          </w:p>
        </w:tc>
        <w:tc>
          <w:tcPr>
            <w:tcW w:w="1605" w:type="dxa"/>
            <w:tcBorders>
              <w:top w:val="nil"/>
              <w:left w:val="nil"/>
              <w:bottom w:val="single" w:sz="4" w:space="0" w:color="auto"/>
              <w:right w:val="single" w:sz="4" w:space="0" w:color="auto"/>
            </w:tcBorders>
            <w:shd w:val="clear" w:color="auto" w:fill="auto"/>
            <w:vAlign w:val="center"/>
            <w:hideMark/>
          </w:tcPr>
          <w:p w14:paraId="6AAEB4BA"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001</w:t>
            </w:r>
          </w:p>
        </w:tc>
        <w:tc>
          <w:tcPr>
            <w:tcW w:w="1610" w:type="dxa"/>
            <w:tcBorders>
              <w:top w:val="nil"/>
              <w:left w:val="nil"/>
              <w:bottom w:val="single" w:sz="4" w:space="0" w:color="auto"/>
              <w:right w:val="single" w:sz="4" w:space="0" w:color="auto"/>
            </w:tcBorders>
            <w:shd w:val="clear" w:color="auto" w:fill="auto"/>
            <w:vAlign w:val="center"/>
            <w:hideMark/>
          </w:tcPr>
          <w:p w14:paraId="4B5826ED"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001</w:t>
            </w:r>
          </w:p>
        </w:tc>
        <w:tc>
          <w:tcPr>
            <w:tcW w:w="1590" w:type="dxa"/>
            <w:tcBorders>
              <w:top w:val="nil"/>
              <w:left w:val="nil"/>
              <w:bottom w:val="single" w:sz="4" w:space="0" w:color="auto"/>
              <w:right w:val="single" w:sz="4" w:space="0" w:color="auto"/>
            </w:tcBorders>
            <w:shd w:val="clear" w:color="auto" w:fill="auto"/>
            <w:vAlign w:val="center"/>
            <w:hideMark/>
          </w:tcPr>
          <w:p w14:paraId="0FDA2665"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37</w:t>
            </w:r>
          </w:p>
        </w:tc>
      </w:tr>
      <w:tr w:rsidR="007B546B" w:rsidRPr="00095A13" w14:paraId="36757C31"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246A066" w14:textId="26EB9B89" w:rsidR="007B546B" w:rsidRPr="00095A13" w:rsidRDefault="007B546B" w:rsidP="00120F79">
            <w:pPr>
              <w:jc w:val="right"/>
              <w:rPr>
                <w:kern w:val="22"/>
                <w:szCs w:val="22"/>
                <w:lang w:val="fr-CA" w:eastAsia="en-CA"/>
              </w:rPr>
            </w:pPr>
            <w:r>
              <w:rPr>
                <w:kern w:val="22"/>
                <w:szCs w:val="22"/>
                <w:lang w:val="fr-CA" w:eastAsia="en-CA"/>
              </w:rPr>
              <w:t>84</w:t>
            </w:r>
          </w:p>
        </w:tc>
        <w:tc>
          <w:tcPr>
            <w:tcW w:w="3966" w:type="dxa"/>
            <w:tcBorders>
              <w:top w:val="nil"/>
              <w:left w:val="nil"/>
              <w:bottom w:val="single" w:sz="4" w:space="0" w:color="auto"/>
              <w:right w:val="single" w:sz="4" w:space="0" w:color="auto"/>
            </w:tcBorders>
            <w:shd w:val="clear" w:color="auto" w:fill="auto"/>
            <w:vAlign w:val="center"/>
            <w:hideMark/>
          </w:tcPr>
          <w:p w14:paraId="1A846849" w14:textId="77777777" w:rsidR="007B546B" w:rsidRPr="00095A13" w:rsidRDefault="007B546B" w:rsidP="00120F79">
            <w:pPr>
              <w:jc w:val="left"/>
              <w:rPr>
                <w:kern w:val="22"/>
                <w:szCs w:val="22"/>
                <w:lang w:val="fr-CA" w:eastAsia="en-CA"/>
              </w:rPr>
            </w:pPr>
            <w:r>
              <w:rPr>
                <w:kern w:val="22"/>
                <w:szCs w:val="22"/>
                <w:lang w:val="fr-CA" w:eastAsia="en-CA"/>
              </w:rPr>
              <w:t>Lettonie</w:t>
            </w:r>
          </w:p>
        </w:tc>
        <w:tc>
          <w:tcPr>
            <w:tcW w:w="1605" w:type="dxa"/>
            <w:tcBorders>
              <w:top w:val="nil"/>
              <w:left w:val="nil"/>
              <w:bottom w:val="single" w:sz="4" w:space="0" w:color="auto"/>
              <w:right w:val="single" w:sz="4" w:space="0" w:color="auto"/>
            </w:tcBorders>
            <w:shd w:val="clear" w:color="auto" w:fill="auto"/>
            <w:vAlign w:val="center"/>
            <w:hideMark/>
          </w:tcPr>
          <w:p w14:paraId="64A17C7A"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047</w:t>
            </w:r>
          </w:p>
        </w:tc>
        <w:tc>
          <w:tcPr>
            <w:tcW w:w="1610" w:type="dxa"/>
            <w:tcBorders>
              <w:top w:val="nil"/>
              <w:left w:val="nil"/>
              <w:bottom w:val="single" w:sz="4" w:space="0" w:color="auto"/>
              <w:right w:val="single" w:sz="4" w:space="0" w:color="auto"/>
            </w:tcBorders>
            <w:shd w:val="clear" w:color="auto" w:fill="auto"/>
            <w:vAlign w:val="center"/>
            <w:hideMark/>
          </w:tcPr>
          <w:p w14:paraId="22314ADC"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067</w:t>
            </w:r>
          </w:p>
        </w:tc>
        <w:tc>
          <w:tcPr>
            <w:tcW w:w="1590" w:type="dxa"/>
            <w:tcBorders>
              <w:top w:val="nil"/>
              <w:left w:val="nil"/>
              <w:bottom w:val="single" w:sz="4" w:space="0" w:color="auto"/>
              <w:right w:val="single" w:sz="4" w:space="0" w:color="auto"/>
            </w:tcBorders>
            <w:shd w:val="clear" w:color="auto" w:fill="auto"/>
            <w:vAlign w:val="center"/>
            <w:hideMark/>
          </w:tcPr>
          <w:p w14:paraId="58119B09"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1 718</w:t>
            </w:r>
          </w:p>
        </w:tc>
      </w:tr>
      <w:tr w:rsidR="007B546B" w:rsidRPr="00095A13" w14:paraId="526E9AAB"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42A280F" w14:textId="0D644163" w:rsidR="007B546B" w:rsidRPr="00095A13" w:rsidRDefault="007B546B" w:rsidP="00120F79">
            <w:pPr>
              <w:jc w:val="right"/>
              <w:rPr>
                <w:kern w:val="22"/>
                <w:szCs w:val="22"/>
                <w:lang w:val="fr-CA" w:eastAsia="en-CA"/>
              </w:rPr>
            </w:pPr>
            <w:r>
              <w:rPr>
                <w:kern w:val="22"/>
                <w:szCs w:val="22"/>
                <w:lang w:val="fr-CA" w:eastAsia="en-CA"/>
              </w:rPr>
              <w:t>85</w:t>
            </w:r>
          </w:p>
        </w:tc>
        <w:tc>
          <w:tcPr>
            <w:tcW w:w="3966" w:type="dxa"/>
            <w:tcBorders>
              <w:top w:val="nil"/>
              <w:left w:val="nil"/>
              <w:bottom w:val="single" w:sz="4" w:space="0" w:color="auto"/>
              <w:right w:val="single" w:sz="4" w:space="0" w:color="auto"/>
            </w:tcBorders>
            <w:shd w:val="clear" w:color="auto" w:fill="auto"/>
            <w:vAlign w:val="center"/>
            <w:hideMark/>
          </w:tcPr>
          <w:p w14:paraId="704FB37E" w14:textId="77777777" w:rsidR="007B546B" w:rsidRPr="00095A13" w:rsidRDefault="007B546B" w:rsidP="00120F79">
            <w:pPr>
              <w:jc w:val="left"/>
              <w:rPr>
                <w:kern w:val="22"/>
                <w:szCs w:val="22"/>
                <w:lang w:val="fr-CA" w:eastAsia="en-CA"/>
              </w:rPr>
            </w:pPr>
            <w:r>
              <w:rPr>
                <w:kern w:val="22"/>
                <w:szCs w:val="22"/>
                <w:lang w:val="fr-CA" w:eastAsia="en-CA"/>
              </w:rPr>
              <w:t>Liban</w:t>
            </w:r>
          </w:p>
        </w:tc>
        <w:tc>
          <w:tcPr>
            <w:tcW w:w="1605" w:type="dxa"/>
            <w:tcBorders>
              <w:top w:val="nil"/>
              <w:left w:val="nil"/>
              <w:bottom w:val="single" w:sz="4" w:space="0" w:color="auto"/>
              <w:right w:val="single" w:sz="4" w:space="0" w:color="auto"/>
            </w:tcBorders>
            <w:shd w:val="clear" w:color="auto" w:fill="auto"/>
            <w:vAlign w:val="center"/>
            <w:hideMark/>
          </w:tcPr>
          <w:p w14:paraId="3CA5E621"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047</w:t>
            </w:r>
          </w:p>
        </w:tc>
        <w:tc>
          <w:tcPr>
            <w:tcW w:w="1610" w:type="dxa"/>
            <w:tcBorders>
              <w:top w:val="nil"/>
              <w:left w:val="nil"/>
              <w:bottom w:val="single" w:sz="4" w:space="0" w:color="auto"/>
              <w:right w:val="single" w:sz="4" w:space="0" w:color="auto"/>
            </w:tcBorders>
            <w:shd w:val="clear" w:color="auto" w:fill="auto"/>
            <w:vAlign w:val="center"/>
            <w:hideMark/>
          </w:tcPr>
          <w:p w14:paraId="437A557B"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067</w:t>
            </w:r>
          </w:p>
        </w:tc>
        <w:tc>
          <w:tcPr>
            <w:tcW w:w="1590" w:type="dxa"/>
            <w:tcBorders>
              <w:top w:val="nil"/>
              <w:left w:val="nil"/>
              <w:bottom w:val="single" w:sz="4" w:space="0" w:color="auto"/>
              <w:right w:val="single" w:sz="4" w:space="0" w:color="auto"/>
            </w:tcBorders>
            <w:shd w:val="clear" w:color="auto" w:fill="auto"/>
            <w:vAlign w:val="center"/>
            <w:hideMark/>
          </w:tcPr>
          <w:p w14:paraId="472E3330"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1 718</w:t>
            </w:r>
          </w:p>
        </w:tc>
      </w:tr>
      <w:tr w:rsidR="007B546B" w:rsidRPr="00095A13" w14:paraId="6D02CC92"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83070FA" w14:textId="0FD55DFD" w:rsidR="007B546B" w:rsidRPr="00095A13" w:rsidRDefault="007B546B" w:rsidP="00120F79">
            <w:pPr>
              <w:jc w:val="right"/>
              <w:rPr>
                <w:kern w:val="22"/>
                <w:szCs w:val="22"/>
                <w:lang w:val="fr-CA" w:eastAsia="en-CA"/>
              </w:rPr>
            </w:pPr>
            <w:r>
              <w:rPr>
                <w:kern w:val="22"/>
                <w:szCs w:val="22"/>
                <w:lang w:val="fr-CA" w:eastAsia="en-CA"/>
              </w:rPr>
              <w:t>86</w:t>
            </w:r>
          </w:p>
        </w:tc>
        <w:tc>
          <w:tcPr>
            <w:tcW w:w="3966" w:type="dxa"/>
            <w:tcBorders>
              <w:top w:val="nil"/>
              <w:left w:val="nil"/>
              <w:bottom w:val="single" w:sz="4" w:space="0" w:color="auto"/>
              <w:right w:val="single" w:sz="4" w:space="0" w:color="auto"/>
            </w:tcBorders>
            <w:shd w:val="clear" w:color="auto" w:fill="auto"/>
            <w:vAlign w:val="center"/>
            <w:hideMark/>
          </w:tcPr>
          <w:p w14:paraId="756B255F" w14:textId="77777777" w:rsidR="007B546B" w:rsidRPr="00095A13" w:rsidRDefault="007B546B" w:rsidP="00120F79">
            <w:pPr>
              <w:jc w:val="left"/>
              <w:rPr>
                <w:kern w:val="22"/>
                <w:szCs w:val="22"/>
                <w:lang w:val="fr-CA" w:eastAsia="en-CA"/>
              </w:rPr>
            </w:pPr>
            <w:r>
              <w:rPr>
                <w:kern w:val="22"/>
                <w:szCs w:val="22"/>
                <w:lang w:val="fr-CA" w:eastAsia="en-CA"/>
              </w:rPr>
              <w:t>Libé</w:t>
            </w:r>
            <w:r w:rsidRPr="00095A13">
              <w:rPr>
                <w:kern w:val="22"/>
                <w:szCs w:val="22"/>
                <w:lang w:val="fr-CA" w:eastAsia="en-CA"/>
              </w:rPr>
              <w:t>ria</w:t>
            </w:r>
          </w:p>
        </w:tc>
        <w:tc>
          <w:tcPr>
            <w:tcW w:w="1605" w:type="dxa"/>
            <w:tcBorders>
              <w:top w:val="nil"/>
              <w:left w:val="nil"/>
              <w:bottom w:val="single" w:sz="4" w:space="0" w:color="auto"/>
              <w:right w:val="single" w:sz="4" w:space="0" w:color="auto"/>
            </w:tcBorders>
            <w:shd w:val="clear" w:color="auto" w:fill="auto"/>
            <w:vAlign w:val="center"/>
            <w:hideMark/>
          </w:tcPr>
          <w:p w14:paraId="2A85A5C6"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001</w:t>
            </w:r>
          </w:p>
        </w:tc>
        <w:tc>
          <w:tcPr>
            <w:tcW w:w="1610" w:type="dxa"/>
            <w:tcBorders>
              <w:top w:val="nil"/>
              <w:left w:val="nil"/>
              <w:bottom w:val="single" w:sz="4" w:space="0" w:color="auto"/>
              <w:right w:val="single" w:sz="4" w:space="0" w:color="auto"/>
            </w:tcBorders>
            <w:shd w:val="clear" w:color="auto" w:fill="auto"/>
            <w:vAlign w:val="center"/>
            <w:hideMark/>
          </w:tcPr>
          <w:p w14:paraId="643564EF"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001</w:t>
            </w:r>
          </w:p>
        </w:tc>
        <w:tc>
          <w:tcPr>
            <w:tcW w:w="1590" w:type="dxa"/>
            <w:tcBorders>
              <w:top w:val="nil"/>
              <w:left w:val="nil"/>
              <w:bottom w:val="single" w:sz="4" w:space="0" w:color="auto"/>
              <w:right w:val="single" w:sz="4" w:space="0" w:color="auto"/>
            </w:tcBorders>
            <w:shd w:val="clear" w:color="auto" w:fill="auto"/>
            <w:vAlign w:val="center"/>
            <w:hideMark/>
          </w:tcPr>
          <w:p w14:paraId="6F6E1404"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37</w:t>
            </w:r>
          </w:p>
        </w:tc>
      </w:tr>
      <w:tr w:rsidR="007B546B" w:rsidRPr="00095A13" w14:paraId="3A93F87E"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F6EE544" w14:textId="550D4BE1" w:rsidR="007B546B" w:rsidRPr="00095A13" w:rsidRDefault="007B546B" w:rsidP="00120F79">
            <w:pPr>
              <w:jc w:val="right"/>
              <w:rPr>
                <w:kern w:val="22"/>
                <w:szCs w:val="22"/>
                <w:lang w:val="fr-CA" w:eastAsia="en-CA"/>
              </w:rPr>
            </w:pPr>
            <w:r>
              <w:rPr>
                <w:kern w:val="22"/>
                <w:szCs w:val="22"/>
                <w:lang w:val="fr-CA" w:eastAsia="en-CA"/>
              </w:rPr>
              <w:t>87</w:t>
            </w:r>
          </w:p>
        </w:tc>
        <w:tc>
          <w:tcPr>
            <w:tcW w:w="3966" w:type="dxa"/>
            <w:tcBorders>
              <w:top w:val="nil"/>
              <w:left w:val="nil"/>
              <w:bottom w:val="single" w:sz="4" w:space="0" w:color="auto"/>
              <w:right w:val="single" w:sz="4" w:space="0" w:color="auto"/>
            </w:tcBorders>
            <w:shd w:val="clear" w:color="auto" w:fill="auto"/>
            <w:vAlign w:val="center"/>
            <w:hideMark/>
          </w:tcPr>
          <w:p w14:paraId="7C5E2EA7" w14:textId="77777777" w:rsidR="007B546B" w:rsidRPr="00095A13" w:rsidRDefault="007B546B" w:rsidP="00120F79">
            <w:pPr>
              <w:jc w:val="left"/>
              <w:rPr>
                <w:kern w:val="22"/>
                <w:szCs w:val="22"/>
                <w:lang w:val="fr-CA" w:eastAsia="en-CA"/>
              </w:rPr>
            </w:pPr>
            <w:r>
              <w:rPr>
                <w:kern w:val="22"/>
                <w:szCs w:val="22"/>
                <w:lang w:val="fr-CA" w:eastAsia="en-CA"/>
              </w:rPr>
              <w:t>Libye</w:t>
            </w:r>
          </w:p>
        </w:tc>
        <w:tc>
          <w:tcPr>
            <w:tcW w:w="1605" w:type="dxa"/>
            <w:tcBorders>
              <w:top w:val="nil"/>
              <w:left w:val="nil"/>
              <w:bottom w:val="single" w:sz="4" w:space="0" w:color="auto"/>
              <w:right w:val="single" w:sz="4" w:space="0" w:color="auto"/>
            </w:tcBorders>
            <w:shd w:val="clear" w:color="auto" w:fill="auto"/>
            <w:vAlign w:val="center"/>
            <w:hideMark/>
          </w:tcPr>
          <w:p w14:paraId="4430AB69"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030</w:t>
            </w:r>
          </w:p>
        </w:tc>
        <w:tc>
          <w:tcPr>
            <w:tcW w:w="1610" w:type="dxa"/>
            <w:tcBorders>
              <w:top w:val="nil"/>
              <w:left w:val="nil"/>
              <w:bottom w:val="single" w:sz="4" w:space="0" w:color="auto"/>
              <w:right w:val="single" w:sz="4" w:space="0" w:color="auto"/>
            </w:tcBorders>
            <w:shd w:val="clear" w:color="auto" w:fill="auto"/>
            <w:vAlign w:val="center"/>
            <w:hideMark/>
          </w:tcPr>
          <w:p w14:paraId="1A2CC6F8"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043</w:t>
            </w:r>
          </w:p>
        </w:tc>
        <w:tc>
          <w:tcPr>
            <w:tcW w:w="1590" w:type="dxa"/>
            <w:tcBorders>
              <w:top w:val="nil"/>
              <w:left w:val="nil"/>
              <w:bottom w:val="single" w:sz="4" w:space="0" w:color="auto"/>
              <w:right w:val="single" w:sz="4" w:space="0" w:color="auto"/>
            </w:tcBorders>
            <w:shd w:val="clear" w:color="auto" w:fill="auto"/>
            <w:vAlign w:val="center"/>
            <w:hideMark/>
          </w:tcPr>
          <w:p w14:paraId="42D9DA2E"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1 096</w:t>
            </w:r>
          </w:p>
        </w:tc>
      </w:tr>
      <w:tr w:rsidR="007B546B" w:rsidRPr="00095A13" w14:paraId="401D7A2B"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9B0D52F" w14:textId="740EB0A8" w:rsidR="007B546B" w:rsidRPr="00095A13" w:rsidRDefault="007B546B" w:rsidP="00120F79">
            <w:pPr>
              <w:jc w:val="right"/>
              <w:rPr>
                <w:kern w:val="22"/>
                <w:szCs w:val="22"/>
                <w:lang w:val="fr-CA" w:eastAsia="en-CA"/>
              </w:rPr>
            </w:pPr>
            <w:r>
              <w:rPr>
                <w:kern w:val="22"/>
                <w:szCs w:val="22"/>
                <w:lang w:val="fr-CA" w:eastAsia="en-CA"/>
              </w:rPr>
              <w:t>88</w:t>
            </w:r>
          </w:p>
        </w:tc>
        <w:tc>
          <w:tcPr>
            <w:tcW w:w="3966" w:type="dxa"/>
            <w:tcBorders>
              <w:top w:val="nil"/>
              <w:left w:val="nil"/>
              <w:bottom w:val="single" w:sz="4" w:space="0" w:color="auto"/>
              <w:right w:val="single" w:sz="4" w:space="0" w:color="auto"/>
            </w:tcBorders>
            <w:shd w:val="clear" w:color="auto" w:fill="auto"/>
            <w:vAlign w:val="center"/>
            <w:hideMark/>
          </w:tcPr>
          <w:p w14:paraId="6FEF5CFD" w14:textId="77777777" w:rsidR="007B546B" w:rsidRPr="00095A13" w:rsidRDefault="007B546B" w:rsidP="00DD4385">
            <w:pPr>
              <w:jc w:val="left"/>
              <w:rPr>
                <w:kern w:val="22"/>
                <w:szCs w:val="22"/>
                <w:lang w:val="fr-CA" w:eastAsia="en-CA"/>
              </w:rPr>
            </w:pPr>
            <w:r>
              <w:rPr>
                <w:kern w:val="22"/>
                <w:szCs w:val="22"/>
                <w:lang w:val="fr-CA" w:eastAsia="en-CA"/>
              </w:rPr>
              <w:t>Lituanie</w:t>
            </w:r>
          </w:p>
        </w:tc>
        <w:tc>
          <w:tcPr>
            <w:tcW w:w="1605" w:type="dxa"/>
            <w:tcBorders>
              <w:top w:val="nil"/>
              <w:left w:val="nil"/>
              <w:bottom w:val="single" w:sz="4" w:space="0" w:color="auto"/>
              <w:right w:val="single" w:sz="4" w:space="0" w:color="auto"/>
            </w:tcBorders>
            <w:shd w:val="clear" w:color="auto" w:fill="auto"/>
            <w:vAlign w:val="center"/>
            <w:hideMark/>
          </w:tcPr>
          <w:p w14:paraId="4CCF4BD9"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071</w:t>
            </w:r>
          </w:p>
        </w:tc>
        <w:tc>
          <w:tcPr>
            <w:tcW w:w="1610" w:type="dxa"/>
            <w:tcBorders>
              <w:top w:val="nil"/>
              <w:left w:val="nil"/>
              <w:bottom w:val="single" w:sz="4" w:space="0" w:color="auto"/>
              <w:right w:val="single" w:sz="4" w:space="0" w:color="auto"/>
            </w:tcBorders>
            <w:shd w:val="clear" w:color="auto" w:fill="auto"/>
            <w:vAlign w:val="center"/>
            <w:hideMark/>
          </w:tcPr>
          <w:p w14:paraId="479D9A13"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101</w:t>
            </w:r>
          </w:p>
        </w:tc>
        <w:tc>
          <w:tcPr>
            <w:tcW w:w="1590" w:type="dxa"/>
            <w:tcBorders>
              <w:top w:val="nil"/>
              <w:left w:val="nil"/>
              <w:bottom w:val="single" w:sz="4" w:space="0" w:color="auto"/>
              <w:right w:val="single" w:sz="4" w:space="0" w:color="auto"/>
            </w:tcBorders>
            <w:shd w:val="clear" w:color="auto" w:fill="auto"/>
            <w:vAlign w:val="center"/>
            <w:hideMark/>
          </w:tcPr>
          <w:p w14:paraId="042CA75E"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2 595</w:t>
            </w:r>
          </w:p>
        </w:tc>
      </w:tr>
      <w:tr w:rsidR="007B546B" w:rsidRPr="00095A13" w14:paraId="6521CB14"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45E4A63A" w14:textId="66C77ED2" w:rsidR="007B546B" w:rsidRPr="00095A13" w:rsidRDefault="007B546B" w:rsidP="00120F79">
            <w:pPr>
              <w:jc w:val="right"/>
              <w:rPr>
                <w:kern w:val="22"/>
                <w:szCs w:val="22"/>
                <w:lang w:val="fr-CA" w:eastAsia="en-CA"/>
              </w:rPr>
            </w:pPr>
            <w:r>
              <w:rPr>
                <w:kern w:val="22"/>
                <w:szCs w:val="22"/>
                <w:lang w:val="fr-CA" w:eastAsia="en-CA"/>
              </w:rPr>
              <w:t>89</w:t>
            </w:r>
          </w:p>
        </w:tc>
        <w:tc>
          <w:tcPr>
            <w:tcW w:w="3966" w:type="dxa"/>
            <w:tcBorders>
              <w:top w:val="nil"/>
              <w:left w:val="nil"/>
              <w:bottom w:val="single" w:sz="4" w:space="0" w:color="auto"/>
              <w:right w:val="single" w:sz="4" w:space="0" w:color="auto"/>
            </w:tcBorders>
            <w:shd w:val="clear" w:color="auto" w:fill="auto"/>
            <w:vAlign w:val="center"/>
            <w:hideMark/>
          </w:tcPr>
          <w:p w14:paraId="6FC9DA68" w14:textId="77777777" w:rsidR="007B546B" w:rsidRPr="00095A13" w:rsidRDefault="007B546B" w:rsidP="00120F79">
            <w:pPr>
              <w:jc w:val="left"/>
              <w:rPr>
                <w:kern w:val="22"/>
                <w:szCs w:val="22"/>
                <w:lang w:val="fr-CA" w:eastAsia="en-CA"/>
              </w:rPr>
            </w:pPr>
            <w:r w:rsidRPr="00095A13">
              <w:rPr>
                <w:kern w:val="22"/>
                <w:szCs w:val="22"/>
                <w:lang w:val="fr-CA" w:eastAsia="en-CA"/>
              </w:rPr>
              <w:t>Luxembourg</w:t>
            </w:r>
          </w:p>
        </w:tc>
        <w:tc>
          <w:tcPr>
            <w:tcW w:w="1605" w:type="dxa"/>
            <w:tcBorders>
              <w:top w:val="nil"/>
              <w:left w:val="nil"/>
              <w:bottom w:val="single" w:sz="4" w:space="0" w:color="auto"/>
              <w:right w:val="single" w:sz="4" w:space="0" w:color="auto"/>
            </w:tcBorders>
            <w:shd w:val="clear" w:color="auto" w:fill="auto"/>
            <w:vAlign w:val="center"/>
            <w:hideMark/>
          </w:tcPr>
          <w:p w14:paraId="2DCCB1BB"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067</w:t>
            </w:r>
          </w:p>
        </w:tc>
        <w:tc>
          <w:tcPr>
            <w:tcW w:w="1610" w:type="dxa"/>
            <w:tcBorders>
              <w:top w:val="nil"/>
              <w:left w:val="nil"/>
              <w:bottom w:val="single" w:sz="4" w:space="0" w:color="auto"/>
              <w:right w:val="single" w:sz="4" w:space="0" w:color="auto"/>
            </w:tcBorders>
            <w:shd w:val="clear" w:color="auto" w:fill="auto"/>
            <w:vAlign w:val="center"/>
            <w:hideMark/>
          </w:tcPr>
          <w:p w14:paraId="20CB26C8"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096</w:t>
            </w:r>
          </w:p>
        </w:tc>
        <w:tc>
          <w:tcPr>
            <w:tcW w:w="1590" w:type="dxa"/>
            <w:tcBorders>
              <w:top w:val="nil"/>
              <w:left w:val="nil"/>
              <w:bottom w:val="single" w:sz="4" w:space="0" w:color="auto"/>
              <w:right w:val="single" w:sz="4" w:space="0" w:color="auto"/>
            </w:tcBorders>
            <w:shd w:val="clear" w:color="auto" w:fill="auto"/>
            <w:vAlign w:val="center"/>
            <w:hideMark/>
          </w:tcPr>
          <w:p w14:paraId="2C9B83F3"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2 449</w:t>
            </w:r>
          </w:p>
        </w:tc>
      </w:tr>
      <w:tr w:rsidR="007B546B" w:rsidRPr="00095A13" w14:paraId="6967441D"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tcPr>
          <w:p w14:paraId="5C78BB3F" w14:textId="10913B85" w:rsidR="007B546B" w:rsidRPr="00095A13" w:rsidRDefault="007B546B" w:rsidP="00541CDC">
            <w:pPr>
              <w:jc w:val="right"/>
              <w:rPr>
                <w:kern w:val="22"/>
                <w:szCs w:val="22"/>
                <w:lang w:val="fr-CA" w:eastAsia="en-CA"/>
              </w:rPr>
            </w:pPr>
            <w:r>
              <w:rPr>
                <w:kern w:val="22"/>
                <w:szCs w:val="22"/>
                <w:lang w:val="fr-CA" w:eastAsia="en-CA"/>
              </w:rPr>
              <w:t>90</w:t>
            </w:r>
          </w:p>
        </w:tc>
        <w:tc>
          <w:tcPr>
            <w:tcW w:w="3966" w:type="dxa"/>
            <w:tcBorders>
              <w:top w:val="nil"/>
              <w:left w:val="nil"/>
              <w:bottom w:val="single" w:sz="4" w:space="0" w:color="auto"/>
              <w:right w:val="single" w:sz="4" w:space="0" w:color="auto"/>
            </w:tcBorders>
            <w:shd w:val="clear" w:color="auto" w:fill="auto"/>
            <w:vAlign w:val="center"/>
          </w:tcPr>
          <w:p w14:paraId="1EB438D4" w14:textId="77777777" w:rsidR="007B546B" w:rsidRPr="00095A13" w:rsidRDefault="007B546B" w:rsidP="00541CDC">
            <w:pPr>
              <w:jc w:val="left"/>
              <w:rPr>
                <w:kern w:val="22"/>
                <w:szCs w:val="22"/>
                <w:lang w:val="fr-CA" w:eastAsia="en-CA"/>
              </w:rPr>
            </w:pPr>
            <w:r>
              <w:rPr>
                <w:kern w:val="22"/>
                <w:szCs w:val="22"/>
                <w:lang w:val="fr-CA" w:eastAsia="en-CA"/>
              </w:rPr>
              <w:t>Macédoine du Nord</w:t>
            </w:r>
          </w:p>
        </w:tc>
        <w:tc>
          <w:tcPr>
            <w:tcW w:w="1605" w:type="dxa"/>
            <w:tcBorders>
              <w:top w:val="nil"/>
              <w:left w:val="nil"/>
              <w:bottom w:val="single" w:sz="4" w:space="0" w:color="auto"/>
              <w:right w:val="single" w:sz="4" w:space="0" w:color="auto"/>
            </w:tcBorders>
            <w:shd w:val="clear" w:color="auto" w:fill="auto"/>
            <w:vAlign w:val="center"/>
          </w:tcPr>
          <w:p w14:paraId="02F4E7CC"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007</w:t>
            </w:r>
          </w:p>
        </w:tc>
        <w:tc>
          <w:tcPr>
            <w:tcW w:w="1610" w:type="dxa"/>
            <w:tcBorders>
              <w:top w:val="nil"/>
              <w:left w:val="nil"/>
              <w:bottom w:val="single" w:sz="4" w:space="0" w:color="auto"/>
              <w:right w:val="single" w:sz="4" w:space="0" w:color="auto"/>
            </w:tcBorders>
            <w:shd w:val="clear" w:color="auto" w:fill="auto"/>
            <w:vAlign w:val="center"/>
          </w:tcPr>
          <w:p w14:paraId="086D3B3B"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010</w:t>
            </w:r>
          </w:p>
        </w:tc>
        <w:tc>
          <w:tcPr>
            <w:tcW w:w="1590" w:type="dxa"/>
            <w:tcBorders>
              <w:top w:val="nil"/>
              <w:left w:val="nil"/>
              <w:bottom w:val="single" w:sz="4" w:space="0" w:color="auto"/>
              <w:right w:val="single" w:sz="4" w:space="0" w:color="auto"/>
            </w:tcBorders>
            <w:shd w:val="clear" w:color="auto" w:fill="auto"/>
            <w:vAlign w:val="center"/>
          </w:tcPr>
          <w:p w14:paraId="6185E9CD" w14:textId="77777777" w:rsidR="007B546B" w:rsidRPr="00095A13" w:rsidRDefault="007B546B" w:rsidP="007B546B">
            <w:pPr>
              <w:ind w:right="144"/>
              <w:jc w:val="right"/>
              <w:rPr>
                <w:kern w:val="22"/>
                <w:szCs w:val="22"/>
                <w:lang w:val="fr-CA" w:eastAsia="en-CA"/>
              </w:rPr>
            </w:pPr>
            <w:r w:rsidRPr="00095A13">
              <w:rPr>
                <w:kern w:val="22"/>
                <w:szCs w:val="22"/>
                <w:lang w:val="fr-CA" w:eastAsia="en-CA"/>
              </w:rPr>
              <w:t>256</w:t>
            </w:r>
          </w:p>
        </w:tc>
      </w:tr>
      <w:tr w:rsidR="007B546B" w:rsidRPr="00095A13" w14:paraId="3CBBD85D"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9ACF79C" w14:textId="0BD2E0D2" w:rsidR="007B546B" w:rsidRPr="00095A13" w:rsidRDefault="007B546B" w:rsidP="00120F79">
            <w:pPr>
              <w:jc w:val="right"/>
              <w:rPr>
                <w:kern w:val="22"/>
                <w:szCs w:val="22"/>
                <w:lang w:val="fr-CA" w:eastAsia="en-CA"/>
              </w:rPr>
            </w:pPr>
            <w:r>
              <w:rPr>
                <w:kern w:val="22"/>
                <w:szCs w:val="22"/>
                <w:lang w:val="fr-CA" w:eastAsia="en-CA"/>
              </w:rPr>
              <w:t>91</w:t>
            </w:r>
          </w:p>
        </w:tc>
        <w:tc>
          <w:tcPr>
            <w:tcW w:w="3966" w:type="dxa"/>
            <w:tcBorders>
              <w:top w:val="nil"/>
              <w:left w:val="nil"/>
              <w:bottom w:val="single" w:sz="4" w:space="0" w:color="auto"/>
              <w:right w:val="single" w:sz="4" w:space="0" w:color="auto"/>
            </w:tcBorders>
            <w:shd w:val="clear" w:color="auto" w:fill="auto"/>
            <w:vAlign w:val="center"/>
            <w:hideMark/>
          </w:tcPr>
          <w:p w14:paraId="3BA3E4CD" w14:textId="77777777" w:rsidR="007B546B" w:rsidRPr="00095A13" w:rsidRDefault="007B546B" w:rsidP="00120F79">
            <w:pPr>
              <w:jc w:val="left"/>
              <w:rPr>
                <w:kern w:val="22"/>
                <w:szCs w:val="22"/>
                <w:lang w:val="fr-CA" w:eastAsia="en-CA"/>
              </w:rPr>
            </w:pPr>
            <w:r w:rsidRPr="00095A13">
              <w:rPr>
                <w:kern w:val="22"/>
                <w:szCs w:val="22"/>
                <w:lang w:val="fr-CA" w:eastAsia="en-CA"/>
              </w:rPr>
              <w:t>Madagascar</w:t>
            </w:r>
          </w:p>
        </w:tc>
        <w:tc>
          <w:tcPr>
            <w:tcW w:w="1605" w:type="dxa"/>
            <w:tcBorders>
              <w:top w:val="nil"/>
              <w:left w:val="nil"/>
              <w:bottom w:val="single" w:sz="4" w:space="0" w:color="auto"/>
              <w:right w:val="single" w:sz="4" w:space="0" w:color="auto"/>
            </w:tcBorders>
            <w:shd w:val="clear" w:color="auto" w:fill="auto"/>
            <w:vAlign w:val="center"/>
            <w:hideMark/>
          </w:tcPr>
          <w:p w14:paraId="198D711B"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004</w:t>
            </w:r>
          </w:p>
        </w:tc>
        <w:tc>
          <w:tcPr>
            <w:tcW w:w="1610" w:type="dxa"/>
            <w:tcBorders>
              <w:top w:val="nil"/>
              <w:left w:val="nil"/>
              <w:bottom w:val="single" w:sz="4" w:space="0" w:color="auto"/>
              <w:right w:val="single" w:sz="4" w:space="0" w:color="auto"/>
            </w:tcBorders>
            <w:shd w:val="clear" w:color="auto" w:fill="auto"/>
            <w:vAlign w:val="center"/>
            <w:hideMark/>
          </w:tcPr>
          <w:p w14:paraId="6238CA1C"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006</w:t>
            </w:r>
          </w:p>
        </w:tc>
        <w:tc>
          <w:tcPr>
            <w:tcW w:w="1590" w:type="dxa"/>
            <w:tcBorders>
              <w:top w:val="nil"/>
              <w:left w:val="nil"/>
              <w:bottom w:val="single" w:sz="4" w:space="0" w:color="auto"/>
              <w:right w:val="single" w:sz="4" w:space="0" w:color="auto"/>
            </w:tcBorders>
            <w:shd w:val="clear" w:color="auto" w:fill="auto"/>
            <w:vAlign w:val="center"/>
            <w:hideMark/>
          </w:tcPr>
          <w:p w14:paraId="37AE81F1"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146</w:t>
            </w:r>
          </w:p>
        </w:tc>
      </w:tr>
      <w:tr w:rsidR="007B546B" w:rsidRPr="00095A13" w14:paraId="28423817"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D682B26" w14:textId="211F2927" w:rsidR="007B546B" w:rsidRPr="00095A13" w:rsidRDefault="007B546B" w:rsidP="00120F79">
            <w:pPr>
              <w:jc w:val="right"/>
              <w:rPr>
                <w:kern w:val="22"/>
                <w:szCs w:val="22"/>
                <w:lang w:val="fr-CA" w:eastAsia="en-CA"/>
              </w:rPr>
            </w:pPr>
            <w:r>
              <w:rPr>
                <w:kern w:val="22"/>
                <w:szCs w:val="22"/>
                <w:lang w:val="fr-CA" w:eastAsia="en-CA"/>
              </w:rPr>
              <w:t>92</w:t>
            </w:r>
          </w:p>
        </w:tc>
        <w:tc>
          <w:tcPr>
            <w:tcW w:w="3966" w:type="dxa"/>
            <w:tcBorders>
              <w:top w:val="nil"/>
              <w:left w:val="nil"/>
              <w:bottom w:val="single" w:sz="4" w:space="0" w:color="auto"/>
              <w:right w:val="single" w:sz="4" w:space="0" w:color="auto"/>
            </w:tcBorders>
            <w:shd w:val="clear" w:color="auto" w:fill="auto"/>
            <w:vAlign w:val="center"/>
            <w:hideMark/>
          </w:tcPr>
          <w:p w14:paraId="704C0F98" w14:textId="77777777" w:rsidR="007B546B" w:rsidRPr="00095A13" w:rsidRDefault="007B546B" w:rsidP="00120F79">
            <w:pPr>
              <w:jc w:val="left"/>
              <w:rPr>
                <w:kern w:val="22"/>
                <w:szCs w:val="22"/>
                <w:lang w:val="fr-CA" w:eastAsia="en-CA"/>
              </w:rPr>
            </w:pPr>
            <w:r>
              <w:rPr>
                <w:kern w:val="22"/>
                <w:szCs w:val="22"/>
                <w:lang w:val="fr-CA" w:eastAsia="en-CA"/>
              </w:rPr>
              <w:t>Malaisie</w:t>
            </w:r>
          </w:p>
        </w:tc>
        <w:tc>
          <w:tcPr>
            <w:tcW w:w="1605" w:type="dxa"/>
            <w:tcBorders>
              <w:top w:val="nil"/>
              <w:left w:val="nil"/>
              <w:bottom w:val="single" w:sz="4" w:space="0" w:color="auto"/>
              <w:right w:val="single" w:sz="4" w:space="0" w:color="auto"/>
            </w:tcBorders>
            <w:shd w:val="clear" w:color="auto" w:fill="auto"/>
            <w:vAlign w:val="center"/>
            <w:hideMark/>
          </w:tcPr>
          <w:p w14:paraId="30FF1C4D"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341</w:t>
            </w:r>
          </w:p>
        </w:tc>
        <w:tc>
          <w:tcPr>
            <w:tcW w:w="1610" w:type="dxa"/>
            <w:tcBorders>
              <w:top w:val="nil"/>
              <w:left w:val="nil"/>
              <w:bottom w:val="single" w:sz="4" w:space="0" w:color="auto"/>
              <w:right w:val="single" w:sz="4" w:space="0" w:color="auto"/>
            </w:tcBorders>
            <w:shd w:val="clear" w:color="auto" w:fill="auto"/>
            <w:vAlign w:val="center"/>
            <w:hideMark/>
          </w:tcPr>
          <w:p w14:paraId="45ED86F8"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487</w:t>
            </w:r>
          </w:p>
        </w:tc>
        <w:tc>
          <w:tcPr>
            <w:tcW w:w="1590" w:type="dxa"/>
            <w:tcBorders>
              <w:top w:val="nil"/>
              <w:left w:val="nil"/>
              <w:bottom w:val="single" w:sz="4" w:space="0" w:color="auto"/>
              <w:right w:val="single" w:sz="4" w:space="0" w:color="auto"/>
            </w:tcBorders>
            <w:shd w:val="clear" w:color="auto" w:fill="auto"/>
            <w:vAlign w:val="center"/>
            <w:hideMark/>
          </w:tcPr>
          <w:p w14:paraId="445FBF7F"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12 463</w:t>
            </w:r>
          </w:p>
        </w:tc>
      </w:tr>
      <w:tr w:rsidR="007B546B" w:rsidRPr="00095A13" w14:paraId="4E47CA18"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F6E92BD" w14:textId="4D9060F9" w:rsidR="007B546B" w:rsidRPr="00095A13" w:rsidRDefault="007B546B" w:rsidP="00120F79">
            <w:pPr>
              <w:jc w:val="right"/>
              <w:rPr>
                <w:kern w:val="22"/>
                <w:szCs w:val="22"/>
                <w:lang w:val="fr-CA" w:eastAsia="en-CA"/>
              </w:rPr>
            </w:pPr>
            <w:r>
              <w:rPr>
                <w:kern w:val="22"/>
                <w:szCs w:val="22"/>
                <w:lang w:val="fr-CA" w:eastAsia="en-CA"/>
              </w:rPr>
              <w:t>93</w:t>
            </w:r>
          </w:p>
        </w:tc>
        <w:tc>
          <w:tcPr>
            <w:tcW w:w="3966" w:type="dxa"/>
            <w:tcBorders>
              <w:top w:val="nil"/>
              <w:left w:val="nil"/>
              <w:bottom w:val="single" w:sz="4" w:space="0" w:color="auto"/>
              <w:right w:val="single" w:sz="4" w:space="0" w:color="auto"/>
            </w:tcBorders>
            <w:shd w:val="clear" w:color="auto" w:fill="auto"/>
            <w:vAlign w:val="center"/>
            <w:hideMark/>
          </w:tcPr>
          <w:p w14:paraId="200021F9" w14:textId="77777777" w:rsidR="007B546B" w:rsidRPr="00095A13" w:rsidRDefault="007B546B" w:rsidP="00120F79">
            <w:pPr>
              <w:jc w:val="left"/>
              <w:rPr>
                <w:kern w:val="22"/>
                <w:szCs w:val="22"/>
                <w:lang w:val="fr-CA" w:eastAsia="en-CA"/>
              </w:rPr>
            </w:pPr>
            <w:r w:rsidRPr="00095A13">
              <w:rPr>
                <w:kern w:val="22"/>
                <w:szCs w:val="22"/>
                <w:lang w:val="fr-CA" w:eastAsia="en-CA"/>
              </w:rPr>
              <w:t>Malawi</w:t>
            </w:r>
          </w:p>
        </w:tc>
        <w:tc>
          <w:tcPr>
            <w:tcW w:w="1605" w:type="dxa"/>
            <w:tcBorders>
              <w:top w:val="nil"/>
              <w:left w:val="nil"/>
              <w:bottom w:val="single" w:sz="4" w:space="0" w:color="auto"/>
              <w:right w:val="single" w:sz="4" w:space="0" w:color="auto"/>
            </w:tcBorders>
            <w:shd w:val="clear" w:color="auto" w:fill="auto"/>
            <w:vAlign w:val="center"/>
            <w:hideMark/>
          </w:tcPr>
          <w:p w14:paraId="4024019C"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002</w:t>
            </w:r>
          </w:p>
        </w:tc>
        <w:tc>
          <w:tcPr>
            <w:tcW w:w="1610" w:type="dxa"/>
            <w:tcBorders>
              <w:top w:val="nil"/>
              <w:left w:val="nil"/>
              <w:bottom w:val="single" w:sz="4" w:space="0" w:color="auto"/>
              <w:right w:val="single" w:sz="4" w:space="0" w:color="auto"/>
            </w:tcBorders>
            <w:shd w:val="clear" w:color="auto" w:fill="auto"/>
            <w:vAlign w:val="center"/>
            <w:hideMark/>
          </w:tcPr>
          <w:p w14:paraId="405E8155"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003</w:t>
            </w:r>
          </w:p>
        </w:tc>
        <w:tc>
          <w:tcPr>
            <w:tcW w:w="1590" w:type="dxa"/>
            <w:tcBorders>
              <w:top w:val="nil"/>
              <w:left w:val="nil"/>
              <w:bottom w:val="single" w:sz="4" w:space="0" w:color="auto"/>
              <w:right w:val="single" w:sz="4" w:space="0" w:color="auto"/>
            </w:tcBorders>
            <w:shd w:val="clear" w:color="auto" w:fill="auto"/>
            <w:vAlign w:val="center"/>
            <w:hideMark/>
          </w:tcPr>
          <w:p w14:paraId="0494748C"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73</w:t>
            </w:r>
          </w:p>
        </w:tc>
      </w:tr>
      <w:tr w:rsidR="007B546B" w:rsidRPr="00095A13" w14:paraId="1782C187"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320CD24" w14:textId="0AF9E099" w:rsidR="007B546B" w:rsidRPr="00095A13" w:rsidRDefault="007B546B" w:rsidP="00120F79">
            <w:pPr>
              <w:jc w:val="right"/>
              <w:rPr>
                <w:kern w:val="22"/>
                <w:szCs w:val="22"/>
                <w:lang w:val="fr-CA" w:eastAsia="en-CA"/>
              </w:rPr>
            </w:pPr>
            <w:r>
              <w:rPr>
                <w:kern w:val="22"/>
                <w:szCs w:val="22"/>
                <w:lang w:val="fr-CA" w:eastAsia="en-CA"/>
              </w:rPr>
              <w:t>94</w:t>
            </w:r>
          </w:p>
        </w:tc>
        <w:tc>
          <w:tcPr>
            <w:tcW w:w="3966" w:type="dxa"/>
            <w:tcBorders>
              <w:top w:val="nil"/>
              <w:left w:val="nil"/>
              <w:bottom w:val="single" w:sz="4" w:space="0" w:color="auto"/>
              <w:right w:val="single" w:sz="4" w:space="0" w:color="auto"/>
            </w:tcBorders>
            <w:shd w:val="clear" w:color="auto" w:fill="auto"/>
            <w:vAlign w:val="center"/>
            <w:hideMark/>
          </w:tcPr>
          <w:p w14:paraId="0C6AB06E" w14:textId="77777777" w:rsidR="007B546B" w:rsidRPr="00095A13" w:rsidRDefault="007B546B" w:rsidP="00120F79">
            <w:pPr>
              <w:jc w:val="left"/>
              <w:rPr>
                <w:kern w:val="22"/>
                <w:szCs w:val="22"/>
                <w:lang w:val="fr-CA" w:eastAsia="en-CA"/>
              </w:rPr>
            </w:pPr>
            <w:r w:rsidRPr="00095A13">
              <w:rPr>
                <w:kern w:val="22"/>
                <w:szCs w:val="22"/>
                <w:lang w:val="fr-CA" w:eastAsia="en-CA"/>
              </w:rPr>
              <w:t>Maldives</w:t>
            </w:r>
          </w:p>
        </w:tc>
        <w:tc>
          <w:tcPr>
            <w:tcW w:w="1605" w:type="dxa"/>
            <w:tcBorders>
              <w:top w:val="nil"/>
              <w:left w:val="nil"/>
              <w:bottom w:val="single" w:sz="4" w:space="0" w:color="auto"/>
              <w:right w:val="single" w:sz="4" w:space="0" w:color="auto"/>
            </w:tcBorders>
            <w:shd w:val="clear" w:color="auto" w:fill="auto"/>
            <w:vAlign w:val="center"/>
            <w:hideMark/>
          </w:tcPr>
          <w:p w14:paraId="73FF10F9"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004</w:t>
            </w:r>
          </w:p>
        </w:tc>
        <w:tc>
          <w:tcPr>
            <w:tcW w:w="1610" w:type="dxa"/>
            <w:tcBorders>
              <w:top w:val="nil"/>
              <w:left w:val="nil"/>
              <w:bottom w:val="single" w:sz="4" w:space="0" w:color="auto"/>
              <w:right w:val="single" w:sz="4" w:space="0" w:color="auto"/>
            </w:tcBorders>
            <w:shd w:val="clear" w:color="auto" w:fill="auto"/>
            <w:vAlign w:val="center"/>
            <w:hideMark/>
          </w:tcPr>
          <w:p w14:paraId="1B3B1652"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006</w:t>
            </w:r>
          </w:p>
        </w:tc>
        <w:tc>
          <w:tcPr>
            <w:tcW w:w="1590" w:type="dxa"/>
            <w:tcBorders>
              <w:top w:val="nil"/>
              <w:left w:val="nil"/>
              <w:bottom w:val="single" w:sz="4" w:space="0" w:color="auto"/>
              <w:right w:val="single" w:sz="4" w:space="0" w:color="auto"/>
            </w:tcBorders>
            <w:shd w:val="clear" w:color="auto" w:fill="auto"/>
            <w:vAlign w:val="center"/>
            <w:hideMark/>
          </w:tcPr>
          <w:p w14:paraId="44D416FD"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146</w:t>
            </w:r>
          </w:p>
        </w:tc>
      </w:tr>
      <w:tr w:rsidR="007B546B" w:rsidRPr="00095A13" w14:paraId="6C85B39B"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E4714D0" w14:textId="77DF407B" w:rsidR="007B546B" w:rsidRPr="00095A13" w:rsidRDefault="007B546B" w:rsidP="00120F79">
            <w:pPr>
              <w:jc w:val="right"/>
              <w:rPr>
                <w:kern w:val="22"/>
                <w:szCs w:val="22"/>
                <w:lang w:val="fr-CA" w:eastAsia="en-CA"/>
              </w:rPr>
            </w:pPr>
            <w:r>
              <w:rPr>
                <w:kern w:val="22"/>
                <w:szCs w:val="22"/>
                <w:lang w:val="fr-CA" w:eastAsia="en-CA"/>
              </w:rPr>
              <w:t>95</w:t>
            </w:r>
          </w:p>
        </w:tc>
        <w:tc>
          <w:tcPr>
            <w:tcW w:w="3966" w:type="dxa"/>
            <w:tcBorders>
              <w:top w:val="nil"/>
              <w:left w:val="nil"/>
              <w:bottom w:val="single" w:sz="4" w:space="0" w:color="auto"/>
              <w:right w:val="single" w:sz="4" w:space="0" w:color="auto"/>
            </w:tcBorders>
            <w:shd w:val="clear" w:color="auto" w:fill="auto"/>
            <w:vAlign w:val="center"/>
            <w:hideMark/>
          </w:tcPr>
          <w:p w14:paraId="57F62EF3" w14:textId="77777777" w:rsidR="007B546B" w:rsidRPr="00095A13" w:rsidRDefault="007B546B" w:rsidP="00120F79">
            <w:pPr>
              <w:jc w:val="left"/>
              <w:rPr>
                <w:kern w:val="22"/>
                <w:szCs w:val="22"/>
                <w:lang w:val="fr-CA" w:eastAsia="en-CA"/>
              </w:rPr>
            </w:pPr>
            <w:r w:rsidRPr="00095A13">
              <w:rPr>
                <w:kern w:val="22"/>
                <w:szCs w:val="22"/>
                <w:lang w:val="fr-CA" w:eastAsia="en-CA"/>
              </w:rPr>
              <w:t>Mali</w:t>
            </w:r>
          </w:p>
        </w:tc>
        <w:tc>
          <w:tcPr>
            <w:tcW w:w="1605" w:type="dxa"/>
            <w:tcBorders>
              <w:top w:val="nil"/>
              <w:left w:val="nil"/>
              <w:bottom w:val="single" w:sz="4" w:space="0" w:color="auto"/>
              <w:right w:val="single" w:sz="4" w:space="0" w:color="auto"/>
            </w:tcBorders>
            <w:shd w:val="clear" w:color="auto" w:fill="auto"/>
            <w:vAlign w:val="center"/>
            <w:hideMark/>
          </w:tcPr>
          <w:p w14:paraId="1A7413BF"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004</w:t>
            </w:r>
          </w:p>
        </w:tc>
        <w:tc>
          <w:tcPr>
            <w:tcW w:w="1610" w:type="dxa"/>
            <w:tcBorders>
              <w:top w:val="nil"/>
              <w:left w:val="nil"/>
              <w:bottom w:val="single" w:sz="4" w:space="0" w:color="auto"/>
              <w:right w:val="single" w:sz="4" w:space="0" w:color="auto"/>
            </w:tcBorders>
            <w:shd w:val="clear" w:color="auto" w:fill="auto"/>
            <w:vAlign w:val="center"/>
            <w:hideMark/>
          </w:tcPr>
          <w:p w14:paraId="72263657"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006</w:t>
            </w:r>
          </w:p>
        </w:tc>
        <w:tc>
          <w:tcPr>
            <w:tcW w:w="1590" w:type="dxa"/>
            <w:tcBorders>
              <w:top w:val="nil"/>
              <w:left w:val="nil"/>
              <w:bottom w:val="single" w:sz="4" w:space="0" w:color="auto"/>
              <w:right w:val="single" w:sz="4" w:space="0" w:color="auto"/>
            </w:tcBorders>
            <w:shd w:val="clear" w:color="auto" w:fill="auto"/>
            <w:vAlign w:val="center"/>
            <w:hideMark/>
          </w:tcPr>
          <w:p w14:paraId="3EFF8B09"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146</w:t>
            </w:r>
          </w:p>
        </w:tc>
      </w:tr>
      <w:tr w:rsidR="007B546B" w:rsidRPr="00095A13" w14:paraId="6904DECE"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0482B41" w14:textId="6C379E6A" w:rsidR="007B546B" w:rsidRPr="00095A13" w:rsidRDefault="007B546B" w:rsidP="00120F79">
            <w:pPr>
              <w:jc w:val="right"/>
              <w:rPr>
                <w:kern w:val="22"/>
                <w:szCs w:val="22"/>
                <w:lang w:val="fr-CA" w:eastAsia="en-CA"/>
              </w:rPr>
            </w:pPr>
            <w:r>
              <w:rPr>
                <w:kern w:val="22"/>
                <w:szCs w:val="22"/>
                <w:lang w:val="fr-CA" w:eastAsia="en-CA"/>
              </w:rPr>
              <w:t>96</w:t>
            </w:r>
          </w:p>
        </w:tc>
        <w:tc>
          <w:tcPr>
            <w:tcW w:w="3966" w:type="dxa"/>
            <w:tcBorders>
              <w:top w:val="nil"/>
              <w:left w:val="nil"/>
              <w:bottom w:val="single" w:sz="4" w:space="0" w:color="auto"/>
              <w:right w:val="single" w:sz="4" w:space="0" w:color="auto"/>
            </w:tcBorders>
            <w:shd w:val="clear" w:color="auto" w:fill="auto"/>
            <w:vAlign w:val="center"/>
            <w:hideMark/>
          </w:tcPr>
          <w:p w14:paraId="4BB056D2" w14:textId="77777777" w:rsidR="007B546B" w:rsidRPr="00095A13" w:rsidRDefault="007B546B" w:rsidP="00120F79">
            <w:pPr>
              <w:jc w:val="left"/>
              <w:rPr>
                <w:kern w:val="22"/>
                <w:szCs w:val="22"/>
                <w:lang w:val="fr-CA" w:eastAsia="en-CA"/>
              </w:rPr>
            </w:pPr>
            <w:r>
              <w:rPr>
                <w:kern w:val="22"/>
                <w:szCs w:val="22"/>
                <w:lang w:val="fr-CA" w:eastAsia="en-CA"/>
              </w:rPr>
              <w:t>Malte</w:t>
            </w:r>
          </w:p>
        </w:tc>
        <w:tc>
          <w:tcPr>
            <w:tcW w:w="1605" w:type="dxa"/>
            <w:tcBorders>
              <w:top w:val="nil"/>
              <w:left w:val="nil"/>
              <w:bottom w:val="single" w:sz="4" w:space="0" w:color="auto"/>
              <w:right w:val="single" w:sz="4" w:space="0" w:color="auto"/>
            </w:tcBorders>
            <w:shd w:val="clear" w:color="auto" w:fill="auto"/>
            <w:vAlign w:val="center"/>
            <w:hideMark/>
          </w:tcPr>
          <w:p w14:paraId="46FF99F2"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017</w:t>
            </w:r>
          </w:p>
        </w:tc>
        <w:tc>
          <w:tcPr>
            <w:tcW w:w="1610" w:type="dxa"/>
            <w:tcBorders>
              <w:top w:val="nil"/>
              <w:left w:val="nil"/>
              <w:bottom w:val="single" w:sz="4" w:space="0" w:color="auto"/>
              <w:right w:val="single" w:sz="4" w:space="0" w:color="auto"/>
            </w:tcBorders>
            <w:shd w:val="clear" w:color="auto" w:fill="auto"/>
            <w:vAlign w:val="center"/>
            <w:hideMark/>
          </w:tcPr>
          <w:p w14:paraId="56C1A2B8"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024</w:t>
            </w:r>
          </w:p>
        </w:tc>
        <w:tc>
          <w:tcPr>
            <w:tcW w:w="1590" w:type="dxa"/>
            <w:tcBorders>
              <w:top w:val="nil"/>
              <w:left w:val="nil"/>
              <w:bottom w:val="single" w:sz="4" w:space="0" w:color="auto"/>
              <w:right w:val="single" w:sz="4" w:space="0" w:color="auto"/>
            </w:tcBorders>
            <w:shd w:val="clear" w:color="auto" w:fill="auto"/>
            <w:vAlign w:val="center"/>
            <w:hideMark/>
          </w:tcPr>
          <w:p w14:paraId="5D8C4376"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621</w:t>
            </w:r>
          </w:p>
        </w:tc>
      </w:tr>
      <w:tr w:rsidR="007B546B" w:rsidRPr="00095A13" w14:paraId="166C3F46"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AE475F9" w14:textId="265E0D0F" w:rsidR="007B546B" w:rsidRPr="00095A13" w:rsidRDefault="007B546B" w:rsidP="00120F79">
            <w:pPr>
              <w:jc w:val="right"/>
              <w:rPr>
                <w:kern w:val="22"/>
                <w:szCs w:val="22"/>
                <w:lang w:val="fr-CA" w:eastAsia="en-CA"/>
              </w:rPr>
            </w:pPr>
            <w:r>
              <w:rPr>
                <w:kern w:val="22"/>
                <w:szCs w:val="22"/>
                <w:lang w:val="fr-CA" w:eastAsia="en-CA"/>
              </w:rPr>
              <w:t>97</w:t>
            </w:r>
          </w:p>
        </w:tc>
        <w:tc>
          <w:tcPr>
            <w:tcW w:w="3966" w:type="dxa"/>
            <w:tcBorders>
              <w:top w:val="nil"/>
              <w:left w:val="nil"/>
              <w:bottom w:val="single" w:sz="4" w:space="0" w:color="auto"/>
              <w:right w:val="single" w:sz="4" w:space="0" w:color="auto"/>
            </w:tcBorders>
            <w:shd w:val="clear" w:color="auto" w:fill="auto"/>
            <w:vAlign w:val="center"/>
            <w:hideMark/>
          </w:tcPr>
          <w:p w14:paraId="298EDC4D" w14:textId="77777777" w:rsidR="007B546B" w:rsidRPr="00095A13" w:rsidRDefault="007B546B" w:rsidP="00120F79">
            <w:pPr>
              <w:jc w:val="left"/>
              <w:rPr>
                <w:kern w:val="22"/>
                <w:szCs w:val="22"/>
                <w:lang w:val="fr-CA" w:eastAsia="en-CA"/>
              </w:rPr>
            </w:pPr>
            <w:r>
              <w:rPr>
                <w:kern w:val="22"/>
                <w:szCs w:val="22"/>
                <w:lang w:val="fr-CA" w:eastAsia="en-CA"/>
              </w:rPr>
              <w:t>Maroc</w:t>
            </w:r>
          </w:p>
        </w:tc>
        <w:tc>
          <w:tcPr>
            <w:tcW w:w="1605" w:type="dxa"/>
            <w:tcBorders>
              <w:top w:val="nil"/>
              <w:left w:val="nil"/>
              <w:bottom w:val="single" w:sz="4" w:space="0" w:color="auto"/>
              <w:right w:val="single" w:sz="4" w:space="0" w:color="auto"/>
            </w:tcBorders>
            <w:shd w:val="clear" w:color="auto" w:fill="auto"/>
            <w:vAlign w:val="center"/>
            <w:hideMark/>
          </w:tcPr>
          <w:p w14:paraId="68A63FC6"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055</w:t>
            </w:r>
          </w:p>
        </w:tc>
        <w:tc>
          <w:tcPr>
            <w:tcW w:w="1610" w:type="dxa"/>
            <w:tcBorders>
              <w:top w:val="nil"/>
              <w:left w:val="nil"/>
              <w:bottom w:val="single" w:sz="4" w:space="0" w:color="auto"/>
              <w:right w:val="single" w:sz="4" w:space="0" w:color="auto"/>
            </w:tcBorders>
            <w:shd w:val="clear" w:color="auto" w:fill="auto"/>
            <w:vAlign w:val="center"/>
            <w:hideMark/>
          </w:tcPr>
          <w:p w14:paraId="4CE98BE9"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079</w:t>
            </w:r>
          </w:p>
        </w:tc>
        <w:tc>
          <w:tcPr>
            <w:tcW w:w="1590" w:type="dxa"/>
            <w:tcBorders>
              <w:top w:val="nil"/>
              <w:left w:val="nil"/>
              <w:bottom w:val="single" w:sz="4" w:space="0" w:color="auto"/>
              <w:right w:val="single" w:sz="4" w:space="0" w:color="auto"/>
            </w:tcBorders>
            <w:shd w:val="clear" w:color="auto" w:fill="auto"/>
            <w:vAlign w:val="center"/>
            <w:hideMark/>
          </w:tcPr>
          <w:p w14:paraId="36A94296"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2 010</w:t>
            </w:r>
          </w:p>
        </w:tc>
      </w:tr>
      <w:tr w:rsidR="007B546B" w:rsidRPr="00095A13" w14:paraId="15304965"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1C41E8B" w14:textId="6AB64C5C" w:rsidR="007B546B" w:rsidRPr="00095A13" w:rsidRDefault="007B546B" w:rsidP="00120F79">
            <w:pPr>
              <w:jc w:val="right"/>
              <w:rPr>
                <w:kern w:val="22"/>
                <w:szCs w:val="22"/>
                <w:lang w:val="fr-CA" w:eastAsia="en-CA"/>
              </w:rPr>
            </w:pPr>
            <w:r>
              <w:rPr>
                <w:kern w:val="22"/>
                <w:szCs w:val="22"/>
                <w:lang w:val="fr-CA" w:eastAsia="en-CA"/>
              </w:rPr>
              <w:t>98</w:t>
            </w:r>
          </w:p>
        </w:tc>
        <w:tc>
          <w:tcPr>
            <w:tcW w:w="3966" w:type="dxa"/>
            <w:tcBorders>
              <w:top w:val="nil"/>
              <w:left w:val="nil"/>
              <w:bottom w:val="single" w:sz="4" w:space="0" w:color="auto"/>
              <w:right w:val="single" w:sz="4" w:space="0" w:color="auto"/>
            </w:tcBorders>
            <w:shd w:val="clear" w:color="auto" w:fill="auto"/>
            <w:vAlign w:val="center"/>
            <w:hideMark/>
          </w:tcPr>
          <w:p w14:paraId="6BD4AA96" w14:textId="77777777" w:rsidR="007B546B" w:rsidRPr="00095A13" w:rsidRDefault="007B546B" w:rsidP="00120F79">
            <w:pPr>
              <w:jc w:val="left"/>
              <w:rPr>
                <w:kern w:val="22"/>
                <w:szCs w:val="22"/>
                <w:lang w:val="fr-CA" w:eastAsia="en-CA"/>
              </w:rPr>
            </w:pPr>
            <w:r>
              <w:rPr>
                <w:kern w:val="22"/>
                <w:szCs w:val="22"/>
                <w:lang w:val="fr-CA" w:eastAsia="en-CA"/>
              </w:rPr>
              <w:t>Maurice</w:t>
            </w:r>
          </w:p>
        </w:tc>
        <w:tc>
          <w:tcPr>
            <w:tcW w:w="1605" w:type="dxa"/>
            <w:tcBorders>
              <w:top w:val="nil"/>
              <w:left w:val="nil"/>
              <w:bottom w:val="single" w:sz="4" w:space="0" w:color="auto"/>
              <w:right w:val="single" w:sz="4" w:space="0" w:color="auto"/>
            </w:tcBorders>
            <w:shd w:val="clear" w:color="auto" w:fill="auto"/>
            <w:vAlign w:val="center"/>
            <w:hideMark/>
          </w:tcPr>
          <w:p w14:paraId="58A13281"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011</w:t>
            </w:r>
          </w:p>
        </w:tc>
        <w:tc>
          <w:tcPr>
            <w:tcW w:w="1610" w:type="dxa"/>
            <w:tcBorders>
              <w:top w:val="nil"/>
              <w:left w:val="nil"/>
              <w:bottom w:val="single" w:sz="4" w:space="0" w:color="auto"/>
              <w:right w:val="single" w:sz="4" w:space="0" w:color="auto"/>
            </w:tcBorders>
            <w:shd w:val="clear" w:color="auto" w:fill="auto"/>
            <w:vAlign w:val="center"/>
            <w:hideMark/>
          </w:tcPr>
          <w:p w14:paraId="3B1B5C00"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016</w:t>
            </w:r>
          </w:p>
        </w:tc>
        <w:tc>
          <w:tcPr>
            <w:tcW w:w="1590" w:type="dxa"/>
            <w:tcBorders>
              <w:top w:val="nil"/>
              <w:left w:val="nil"/>
              <w:bottom w:val="single" w:sz="4" w:space="0" w:color="auto"/>
              <w:right w:val="single" w:sz="4" w:space="0" w:color="auto"/>
            </w:tcBorders>
            <w:shd w:val="clear" w:color="auto" w:fill="auto"/>
            <w:vAlign w:val="center"/>
            <w:hideMark/>
          </w:tcPr>
          <w:p w14:paraId="23A53D60"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402</w:t>
            </w:r>
          </w:p>
        </w:tc>
      </w:tr>
      <w:tr w:rsidR="007B546B" w:rsidRPr="00095A13" w14:paraId="02ED3CF0"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87C6009" w14:textId="77777777" w:rsidR="007B546B" w:rsidRPr="00095A13" w:rsidRDefault="007B546B" w:rsidP="00120F79">
            <w:pPr>
              <w:jc w:val="right"/>
              <w:rPr>
                <w:kern w:val="22"/>
                <w:szCs w:val="22"/>
                <w:lang w:val="fr-CA" w:eastAsia="en-CA"/>
              </w:rPr>
            </w:pPr>
            <w:r w:rsidRPr="00095A13">
              <w:rPr>
                <w:kern w:val="22"/>
                <w:szCs w:val="22"/>
                <w:lang w:val="fr-CA" w:eastAsia="en-CA"/>
              </w:rPr>
              <w:t>99</w:t>
            </w:r>
          </w:p>
        </w:tc>
        <w:tc>
          <w:tcPr>
            <w:tcW w:w="3966" w:type="dxa"/>
            <w:tcBorders>
              <w:top w:val="nil"/>
              <w:left w:val="nil"/>
              <w:bottom w:val="single" w:sz="4" w:space="0" w:color="auto"/>
              <w:right w:val="single" w:sz="4" w:space="0" w:color="auto"/>
            </w:tcBorders>
            <w:shd w:val="clear" w:color="auto" w:fill="auto"/>
            <w:vAlign w:val="center"/>
            <w:hideMark/>
          </w:tcPr>
          <w:p w14:paraId="567D29E3" w14:textId="77777777" w:rsidR="007B546B" w:rsidRPr="00095A13" w:rsidRDefault="007B546B" w:rsidP="008A5D50">
            <w:pPr>
              <w:jc w:val="left"/>
              <w:rPr>
                <w:kern w:val="22"/>
                <w:szCs w:val="22"/>
                <w:lang w:val="fr-CA" w:eastAsia="en-CA"/>
              </w:rPr>
            </w:pPr>
            <w:r w:rsidRPr="00095A13">
              <w:rPr>
                <w:kern w:val="22"/>
                <w:szCs w:val="22"/>
                <w:lang w:val="fr-CA" w:eastAsia="en-CA"/>
              </w:rPr>
              <w:t>Mauritani</w:t>
            </w:r>
            <w:r>
              <w:rPr>
                <w:kern w:val="22"/>
                <w:szCs w:val="22"/>
                <w:lang w:val="fr-CA" w:eastAsia="en-CA"/>
              </w:rPr>
              <w:t>e</w:t>
            </w:r>
          </w:p>
        </w:tc>
        <w:tc>
          <w:tcPr>
            <w:tcW w:w="1605" w:type="dxa"/>
            <w:tcBorders>
              <w:top w:val="nil"/>
              <w:left w:val="nil"/>
              <w:bottom w:val="single" w:sz="4" w:space="0" w:color="auto"/>
              <w:right w:val="single" w:sz="4" w:space="0" w:color="auto"/>
            </w:tcBorders>
            <w:shd w:val="clear" w:color="auto" w:fill="auto"/>
            <w:vAlign w:val="center"/>
            <w:hideMark/>
          </w:tcPr>
          <w:p w14:paraId="1ABCC39B"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002</w:t>
            </w:r>
          </w:p>
        </w:tc>
        <w:tc>
          <w:tcPr>
            <w:tcW w:w="1610" w:type="dxa"/>
            <w:tcBorders>
              <w:top w:val="nil"/>
              <w:left w:val="nil"/>
              <w:bottom w:val="single" w:sz="4" w:space="0" w:color="auto"/>
              <w:right w:val="single" w:sz="4" w:space="0" w:color="auto"/>
            </w:tcBorders>
            <w:shd w:val="clear" w:color="auto" w:fill="auto"/>
            <w:vAlign w:val="center"/>
            <w:hideMark/>
          </w:tcPr>
          <w:p w14:paraId="56A8D87D"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003</w:t>
            </w:r>
          </w:p>
        </w:tc>
        <w:tc>
          <w:tcPr>
            <w:tcW w:w="1590" w:type="dxa"/>
            <w:tcBorders>
              <w:top w:val="nil"/>
              <w:left w:val="nil"/>
              <w:bottom w:val="single" w:sz="4" w:space="0" w:color="auto"/>
              <w:right w:val="single" w:sz="4" w:space="0" w:color="auto"/>
            </w:tcBorders>
            <w:shd w:val="clear" w:color="auto" w:fill="auto"/>
            <w:vAlign w:val="center"/>
            <w:hideMark/>
          </w:tcPr>
          <w:p w14:paraId="268622AE"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73</w:t>
            </w:r>
          </w:p>
        </w:tc>
      </w:tr>
      <w:tr w:rsidR="007B546B" w:rsidRPr="00095A13" w14:paraId="110D61EA"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24780DA" w14:textId="00FC27E1" w:rsidR="007B546B" w:rsidRPr="00095A13" w:rsidRDefault="007B546B" w:rsidP="00120F79">
            <w:pPr>
              <w:jc w:val="right"/>
              <w:rPr>
                <w:kern w:val="22"/>
                <w:szCs w:val="22"/>
                <w:lang w:val="fr-CA" w:eastAsia="en-CA"/>
              </w:rPr>
            </w:pPr>
            <w:r>
              <w:rPr>
                <w:kern w:val="22"/>
                <w:szCs w:val="22"/>
                <w:lang w:val="fr-CA" w:eastAsia="en-CA"/>
              </w:rPr>
              <w:t>100</w:t>
            </w:r>
          </w:p>
        </w:tc>
        <w:tc>
          <w:tcPr>
            <w:tcW w:w="3966" w:type="dxa"/>
            <w:tcBorders>
              <w:top w:val="nil"/>
              <w:left w:val="nil"/>
              <w:bottom w:val="single" w:sz="4" w:space="0" w:color="auto"/>
              <w:right w:val="single" w:sz="4" w:space="0" w:color="auto"/>
            </w:tcBorders>
            <w:shd w:val="clear" w:color="auto" w:fill="auto"/>
            <w:vAlign w:val="center"/>
            <w:hideMark/>
          </w:tcPr>
          <w:p w14:paraId="6C2717D7" w14:textId="77777777" w:rsidR="007B546B" w:rsidRPr="00095A13" w:rsidRDefault="007B546B" w:rsidP="00120F79">
            <w:pPr>
              <w:jc w:val="left"/>
              <w:rPr>
                <w:kern w:val="22"/>
                <w:szCs w:val="22"/>
                <w:lang w:val="fr-CA" w:eastAsia="en-CA"/>
              </w:rPr>
            </w:pPr>
            <w:r>
              <w:rPr>
                <w:kern w:val="22"/>
                <w:szCs w:val="22"/>
                <w:lang w:val="fr-CA" w:eastAsia="en-CA"/>
              </w:rPr>
              <w:t>Mexique</w:t>
            </w:r>
          </w:p>
        </w:tc>
        <w:tc>
          <w:tcPr>
            <w:tcW w:w="1605" w:type="dxa"/>
            <w:tcBorders>
              <w:top w:val="nil"/>
              <w:left w:val="nil"/>
              <w:bottom w:val="single" w:sz="4" w:space="0" w:color="auto"/>
              <w:right w:val="single" w:sz="4" w:space="0" w:color="auto"/>
            </w:tcBorders>
            <w:shd w:val="clear" w:color="auto" w:fill="auto"/>
            <w:vAlign w:val="center"/>
            <w:hideMark/>
          </w:tcPr>
          <w:p w14:paraId="32CA927C"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1</w:t>
            </w:r>
            <w:r>
              <w:rPr>
                <w:kern w:val="22"/>
                <w:szCs w:val="22"/>
                <w:lang w:val="fr-CA" w:eastAsia="en-CA"/>
              </w:rPr>
              <w:t>,</w:t>
            </w:r>
            <w:r w:rsidRPr="00095A13">
              <w:rPr>
                <w:kern w:val="22"/>
                <w:szCs w:val="22"/>
                <w:lang w:val="fr-CA" w:eastAsia="en-CA"/>
              </w:rPr>
              <w:t>292</w:t>
            </w:r>
          </w:p>
        </w:tc>
        <w:tc>
          <w:tcPr>
            <w:tcW w:w="1610" w:type="dxa"/>
            <w:tcBorders>
              <w:top w:val="nil"/>
              <w:left w:val="nil"/>
              <w:bottom w:val="single" w:sz="4" w:space="0" w:color="auto"/>
              <w:right w:val="single" w:sz="4" w:space="0" w:color="auto"/>
            </w:tcBorders>
            <w:shd w:val="clear" w:color="auto" w:fill="auto"/>
            <w:vAlign w:val="center"/>
            <w:hideMark/>
          </w:tcPr>
          <w:p w14:paraId="206270CC"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1</w:t>
            </w:r>
            <w:r>
              <w:rPr>
                <w:kern w:val="22"/>
                <w:szCs w:val="22"/>
                <w:lang w:val="fr-CA" w:eastAsia="en-CA"/>
              </w:rPr>
              <w:t>,</w:t>
            </w:r>
            <w:r w:rsidRPr="00095A13">
              <w:rPr>
                <w:kern w:val="22"/>
                <w:szCs w:val="22"/>
                <w:lang w:val="fr-CA" w:eastAsia="en-CA"/>
              </w:rPr>
              <w:t>846</w:t>
            </w:r>
          </w:p>
        </w:tc>
        <w:tc>
          <w:tcPr>
            <w:tcW w:w="1590" w:type="dxa"/>
            <w:tcBorders>
              <w:top w:val="nil"/>
              <w:left w:val="nil"/>
              <w:bottom w:val="single" w:sz="4" w:space="0" w:color="auto"/>
              <w:right w:val="single" w:sz="4" w:space="0" w:color="auto"/>
            </w:tcBorders>
            <w:shd w:val="clear" w:color="auto" w:fill="auto"/>
            <w:vAlign w:val="center"/>
            <w:hideMark/>
          </w:tcPr>
          <w:p w14:paraId="7B8DFC1A"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47 221</w:t>
            </w:r>
          </w:p>
        </w:tc>
      </w:tr>
      <w:tr w:rsidR="007B546B" w:rsidRPr="00095A13" w14:paraId="6718A3ED"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49721A36" w14:textId="63803158" w:rsidR="007B546B" w:rsidRPr="00095A13" w:rsidRDefault="007B546B" w:rsidP="00120F79">
            <w:pPr>
              <w:jc w:val="right"/>
              <w:rPr>
                <w:kern w:val="22"/>
                <w:szCs w:val="22"/>
                <w:lang w:val="fr-CA" w:eastAsia="en-CA"/>
              </w:rPr>
            </w:pPr>
            <w:r>
              <w:rPr>
                <w:kern w:val="22"/>
                <w:szCs w:val="22"/>
                <w:lang w:val="fr-CA" w:eastAsia="en-CA"/>
              </w:rPr>
              <w:t>101</w:t>
            </w:r>
          </w:p>
        </w:tc>
        <w:tc>
          <w:tcPr>
            <w:tcW w:w="3966" w:type="dxa"/>
            <w:tcBorders>
              <w:top w:val="nil"/>
              <w:left w:val="nil"/>
              <w:bottom w:val="single" w:sz="4" w:space="0" w:color="auto"/>
              <w:right w:val="single" w:sz="4" w:space="0" w:color="auto"/>
            </w:tcBorders>
            <w:shd w:val="clear" w:color="auto" w:fill="auto"/>
            <w:vAlign w:val="center"/>
            <w:hideMark/>
          </w:tcPr>
          <w:p w14:paraId="3964590B" w14:textId="77777777" w:rsidR="007B546B" w:rsidRPr="00095A13" w:rsidRDefault="007B546B" w:rsidP="00120F79">
            <w:pPr>
              <w:jc w:val="left"/>
              <w:rPr>
                <w:kern w:val="22"/>
                <w:szCs w:val="22"/>
                <w:lang w:val="fr-CA" w:eastAsia="en-CA"/>
              </w:rPr>
            </w:pPr>
            <w:r>
              <w:rPr>
                <w:kern w:val="22"/>
                <w:szCs w:val="22"/>
                <w:lang w:val="fr-CA" w:eastAsia="en-CA"/>
              </w:rPr>
              <w:t>Mongolie</w:t>
            </w:r>
          </w:p>
        </w:tc>
        <w:tc>
          <w:tcPr>
            <w:tcW w:w="1605" w:type="dxa"/>
            <w:tcBorders>
              <w:top w:val="nil"/>
              <w:left w:val="nil"/>
              <w:bottom w:val="single" w:sz="4" w:space="0" w:color="auto"/>
              <w:right w:val="single" w:sz="4" w:space="0" w:color="auto"/>
            </w:tcBorders>
            <w:shd w:val="clear" w:color="auto" w:fill="auto"/>
            <w:vAlign w:val="center"/>
            <w:hideMark/>
          </w:tcPr>
          <w:p w14:paraId="59B8C327"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005</w:t>
            </w:r>
          </w:p>
        </w:tc>
        <w:tc>
          <w:tcPr>
            <w:tcW w:w="1610" w:type="dxa"/>
            <w:tcBorders>
              <w:top w:val="nil"/>
              <w:left w:val="nil"/>
              <w:bottom w:val="single" w:sz="4" w:space="0" w:color="auto"/>
              <w:right w:val="single" w:sz="4" w:space="0" w:color="auto"/>
            </w:tcBorders>
            <w:shd w:val="clear" w:color="auto" w:fill="auto"/>
            <w:vAlign w:val="center"/>
            <w:hideMark/>
          </w:tcPr>
          <w:p w14:paraId="202385F0"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007</w:t>
            </w:r>
          </w:p>
        </w:tc>
        <w:tc>
          <w:tcPr>
            <w:tcW w:w="1590" w:type="dxa"/>
            <w:tcBorders>
              <w:top w:val="nil"/>
              <w:left w:val="nil"/>
              <w:bottom w:val="single" w:sz="4" w:space="0" w:color="auto"/>
              <w:right w:val="single" w:sz="4" w:space="0" w:color="auto"/>
            </w:tcBorders>
            <w:shd w:val="clear" w:color="auto" w:fill="auto"/>
            <w:vAlign w:val="center"/>
            <w:hideMark/>
          </w:tcPr>
          <w:p w14:paraId="0DD608B4"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183</w:t>
            </w:r>
          </w:p>
        </w:tc>
      </w:tr>
      <w:tr w:rsidR="007B546B" w:rsidRPr="00095A13" w14:paraId="07153ADE"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755A054" w14:textId="292B76ED" w:rsidR="007B546B" w:rsidRPr="00095A13" w:rsidRDefault="007B546B" w:rsidP="00120F79">
            <w:pPr>
              <w:jc w:val="right"/>
              <w:rPr>
                <w:kern w:val="22"/>
                <w:szCs w:val="22"/>
                <w:lang w:val="fr-CA" w:eastAsia="en-CA"/>
              </w:rPr>
            </w:pPr>
            <w:r>
              <w:rPr>
                <w:kern w:val="22"/>
                <w:szCs w:val="22"/>
                <w:lang w:val="fr-CA" w:eastAsia="en-CA"/>
              </w:rPr>
              <w:t>102</w:t>
            </w:r>
          </w:p>
        </w:tc>
        <w:tc>
          <w:tcPr>
            <w:tcW w:w="3966" w:type="dxa"/>
            <w:tcBorders>
              <w:top w:val="nil"/>
              <w:left w:val="nil"/>
              <w:bottom w:val="single" w:sz="4" w:space="0" w:color="auto"/>
              <w:right w:val="single" w:sz="4" w:space="0" w:color="auto"/>
            </w:tcBorders>
            <w:shd w:val="clear" w:color="auto" w:fill="auto"/>
            <w:vAlign w:val="center"/>
            <w:hideMark/>
          </w:tcPr>
          <w:p w14:paraId="6AF47933" w14:textId="77777777" w:rsidR="007B546B" w:rsidRPr="00095A13" w:rsidRDefault="007B546B" w:rsidP="00120F79">
            <w:pPr>
              <w:jc w:val="left"/>
              <w:rPr>
                <w:kern w:val="22"/>
                <w:szCs w:val="22"/>
                <w:lang w:val="fr-CA" w:eastAsia="en-CA"/>
              </w:rPr>
            </w:pPr>
            <w:r>
              <w:rPr>
                <w:kern w:val="22"/>
                <w:szCs w:val="22"/>
                <w:lang w:val="fr-CA" w:eastAsia="en-CA"/>
              </w:rPr>
              <w:t>Monténé</w:t>
            </w:r>
            <w:r w:rsidRPr="00095A13">
              <w:rPr>
                <w:kern w:val="22"/>
                <w:szCs w:val="22"/>
                <w:lang w:val="fr-CA" w:eastAsia="en-CA"/>
              </w:rPr>
              <w:t>gro</w:t>
            </w:r>
          </w:p>
        </w:tc>
        <w:tc>
          <w:tcPr>
            <w:tcW w:w="1605" w:type="dxa"/>
            <w:tcBorders>
              <w:top w:val="nil"/>
              <w:left w:val="nil"/>
              <w:bottom w:val="single" w:sz="4" w:space="0" w:color="auto"/>
              <w:right w:val="single" w:sz="4" w:space="0" w:color="auto"/>
            </w:tcBorders>
            <w:shd w:val="clear" w:color="auto" w:fill="auto"/>
            <w:vAlign w:val="center"/>
            <w:hideMark/>
          </w:tcPr>
          <w:p w14:paraId="3FDA8CB1"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004</w:t>
            </w:r>
          </w:p>
        </w:tc>
        <w:tc>
          <w:tcPr>
            <w:tcW w:w="1610" w:type="dxa"/>
            <w:tcBorders>
              <w:top w:val="nil"/>
              <w:left w:val="nil"/>
              <w:bottom w:val="single" w:sz="4" w:space="0" w:color="auto"/>
              <w:right w:val="single" w:sz="4" w:space="0" w:color="auto"/>
            </w:tcBorders>
            <w:shd w:val="clear" w:color="auto" w:fill="auto"/>
            <w:vAlign w:val="center"/>
            <w:hideMark/>
          </w:tcPr>
          <w:p w14:paraId="3E54432F"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006</w:t>
            </w:r>
          </w:p>
        </w:tc>
        <w:tc>
          <w:tcPr>
            <w:tcW w:w="1590" w:type="dxa"/>
            <w:tcBorders>
              <w:top w:val="nil"/>
              <w:left w:val="nil"/>
              <w:bottom w:val="single" w:sz="4" w:space="0" w:color="auto"/>
              <w:right w:val="single" w:sz="4" w:space="0" w:color="auto"/>
            </w:tcBorders>
            <w:shd w:val="clear" w:color="auto" w:fill="auto"/>
            <w:vAlign w:val="center"/>
            <w:hideMark/>
          </w:tcPr>
          <w:p w14:paraId="41A23698"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146</w:t>
            </w:r>
          </w:p>
        </w:tc>
      </w:tr>
      <w:tr w:rsidR="007B546B" w:rsidRPr="00095A13" w14:paraId="6A63580F"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47FFB5D" w14:textId="1A1F36C5" w:rsidR="007B546B" w:rsidRPr="00095A13" w:rsidRDefault="007B546B" w:rsidP="00120F79">
            <w:pPr>
              <w:jc w:val="right"/>
              <w:rPr>
                <w:kern w:val="22"/>
                <w:szCs w:val="22"/>
                <w:lang w:val="fr-CA" w:eastAsia="en-CA"/>
              </w:rPr>
            </w:pPr>
            <w:r>
              <w:rPr>
                <w:kern w:val="22"/>
                <w:szCs w:val="22"/>
                <w:lang w:val="fr-CA" w:eastAsia="en-CA"/>
              </w:rPr>
              <w:t>103</w:t>
            </w:r>
          </w:p>
        </w:tc>
        <w:tc>
          <w:tcPr>
            <w:tcW w:w="3966" w:type="dxa"/>
            <w:tcBorders>
              <w:top w:val="nil"/>
              <w:left w:val="nil"/>
              <w:bottom w:val="single" w:sz="4" w:space="0" w:color="auto"/>
              <w:right w:val="single" w:sz="4" w:space="0" w:color="auto"/>
            </w:tcBorders>
            <w:shd w:val="clear" w:color="auto" w:fill="auto"/>
            <w:vAlign w:val="center"/>
            <w:hideMark/>
          </w:tcPr>
          <w:p w14:paraId="4CDAF8C6" w14:textId="77777777" w:rsidR="007B546B" w:rsidRPr="00095A13" w:rsidRDefault="007B546B" w:rsidP="00120F79">
            <w:pPr>
              <w:jc w:val="left"/>
              <w:rPr>
                <w:kern w:val="22"/>
                <w:szCs w:val="22"/>
                <w:lang w:val="fr-CA" w:eastAsia="en-CA"/>
              </w:rPr>
            </w:pPr>
            <w:r w:rsidRPr="00095A13">
              <w:rPr>
                <w:kern w:val="22"/>
                <w:szCs w:val="22"/>
                <w:lang w:val="fr-CA" w:eastAsia="en-CA"/>
              </w:rPr>
              <w:t>Mozambique</w:t>
            </w:r>
          </w:p>
        </w:tc>
        <w:tc>
          <w:tcPr>
            <w:tcW w:w="1605" w:type="dxa"/>
            <w:tcBorders>
              <w:top w:val="nil"/>
              <w:left w:val="nil"/>
              <w:bottom w:val="single" w:sz="4" w:space="0" w:color="auto"/>
              <w:right w:val="single" w:sz="4" w:space="0" w:color="auto"/>
            </w:tcBorders>
            <w:shd w:val="clear" w:color="auto" w:fill="auto"/>
            <w:vAlign w:val="center"/>
            <w:hideMark/>
          </w:tcPr>
          <w:p w14:paraId="0786A38B"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004</w:t>
            </w:r>
          </w:p>
        </w:tc>
        <w:tc>
          <w:tcPr>
            <w:tcW w:w="1610" w:type="dxa"/>
            <w:tcBorders>
              <w:top w:val="nil"/>
              <w:left w:val="nil"/>
              <w:bottom w:val="single" w:sz="4" w:space="0" w:color="auto"/>
              <w:right w:val="single" w:sz="4" w:space="0" w:color="auto"/>
            </w:tcBorders>
            <w:shd w:val="clear" w:color="auto" w:fill="auto"/>
            <w:vAlign w:val="center"/>
            <w:hideMark/>
          </w:tcPr>
          <w:p w14:paraId="533CB648"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006</w:t>
            </w:r>
          </w:p>
        </w:tc>
        <w:tc>
          <w:tcPr>
            <w:tcW w:w="1590" w:type="dxa"/>
            <w:tcBorders>
              <w:top w:val="nil"/>
              <w:left w:val="nil"/>
              <w:bottom w:val="single" w:sz="4" w:space="0" w:color="auto"/>
              <w:right w:val="single" w:sz="4" w:space="0" w:color="auto"/>
            </w:tcBorders>
            <w:shd w:val="clear" w:color="auto" w:fill="auto"/>
            <w:vAlign w:val="center"/>
            <w:hideMark/>
          </w:tcPr>
          <w:p w14:paraId="5B29B721"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146</w:t>
            </w:r>
          </w:p>
        </w:tc>
      </w:tr>
      <w:tr w:rsidR="007B546B" w:rsidRPr="00095A13" w14:paraId="3EA9417B"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03626F2" w14:textId="190906D4" w:rsidR="007B546B" w:rsidRPr="00095A13" w:rsidRDefault="007B546B" w:rsidP="00120F79">
            <w:pPr>
              <w:jc w:val="right"/>
              <w:rPr>
                <w:kern w:val="22"/>
                <w:szCs w:val="22"/>
                <w:lang w:val="fr-CA" w:eastAsia="en-CA"/>
              </w:rPr>
            </w:pPr>
            <w:r>
              <w:rPr>
                <w:kern w:val="22"/>
                <w:szCs w:val="22"/>
                <w:lang w:val="fr-CA" w:eastAsia="en-CA"/>
              </w:rPr>
              <w:t>104</w:t>
            </w:r>
          </w:p>
        </w:tc>
        <w:tc>
          <w:tcPr>
            <w:tcW w:w="3966" w:type="dxa"/>
            <w:tcBorders>
              <w:top w:val="nil"/>
              <w:left w:val="nil"/>
              <w:bottom w:val="single" w:sz="4" w:space="0" w:color="auto"/>
              <w:right w:val="single" w:sz="4" w:space="0" w:color="auto"/>
            </w:tcBorders>
            <w:shd w:val="clear" w:color="auto" w:fill="auto"/>
            <w:vAlign w:val="center"/>
            <w:hideMark/>
          </w:tcPr>
          <w:p w14:paraId="3880D02E" w14:textId="77777777" w:rsidR="007B546B" w:rsidRPr="00095A13" w:rsidRDefault="007B546B" w:rsidP="00120F79">
            <w:pPr>
              <w:jc w:val="left"/>
              <w:rPr>
                <w:kern w:val="22"/>
                <w:szCs w:val="22"/>
                <w:lang w:val="fr-CA" w:eastAsia="en-CA"/>
              </w:rPr>
            </w:pPr>
            <w:r w:rsidRPr="00095A13">
              <w:rPr>
                <w:kern w:val="22"/>
                <w:szCs w:val="22"/>
                <w:lang w:val="fr-CA" w:eastAsia="en-CA"/>
              </w:rPr>
              <w:t>Myanmar</w:t>
            </w:r>
          </w:p>
        </w:tc>
        <w:tc>
          <w:tcPr>
            <w:tcW w:w="1605" w:type="dxa"/>
            <w:tcBorders>
              <w:top w:val="nil"/>
              <w:left w:val="nil"/>
              <w:bottom w:val="single" w:sz="4" w:space="0" w:color="auto"/>
              <w:right w:val="single" w:sz="4" w:space="0" w:color="auto"/>
            </w:tcBorders>
            <w:shd w:val="clear" w:color="auto" w:fill="auto"/>
            <w:vAlign w:val="center"/>
            <w:hideMark/>
          </w:tcPr>
          <w:p w14:paraId="40BF4C61"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010</w:t>
            </w:r>
          </w:p>
        </w:tc>
        <w:tc>
          <w:tcPr>
            <w:tcW w:w="1610" w:type="dxa"/>
            <w:tcBorders>
              <w:top w:val="nil"/>
              <w:left w:val="nil"/>
              <w:bottom w:val="single" w:sz="4" w:space="0" w:color="auto"/>
              <w:right w:val="single" w:sz="4" w:space="0" w:color="auto"/>
            </w:tcBorders>
            <w:shd w:val="clear" w:color="auto" w:fill="auto"/>
            <w:vAlign w:val="center"/>
            <w:hideMark/>
          </w:tcPr>
          <w:p w14:paraId="05E1FB09"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010</w:t>
            </w:r>
          </w:p>
        </w:tc>
        <w:tc>
          <w:tcPr>
            <w:tcW w:w="1590" w:type="dxa"/>
            <w:tcBorders>
              <w:top w:val="nil"/>
              <w:left w:val="nil"/>
              <w:bottom w:val="single" w:sz="4" w:space="0" w:color="auto"/>
              <w:right w:val="single" w:sz="4" w:space="0" w:color="auto"/>
            </w:tcBorders>
            <w:shd w:val="clear" w:color="auto" w:fill="auto"/>
            <w:vAlign w:val="center"/>
            <w:hideMark/>
          </w:tcPr>
          <w:p w14:paraId="49683AEC" w14:textId="77777777" w:rsidR="007B546B" w:rsidRPr="00095A13" w:rsidRDefault="007B546B" w:rsidP="007B546B">
            <w:pPr>
              <w:ind w:right="144"/>
              <w:jc w:val="right"/>
              <w:rPr>
                <w:kern w:val="22"/>
                <w:szCs w:val="22"/>
                <w:lang w:val="fr-CA" w:eastAsia="en-CA"/>
              </w:rPr>
            </w:pPr>
            <w:r w:rsidRPr="00095A13">
              <w:rPr>
                <w:kern w:val="22"/>
                <w:szCs w:val="22"/>
                <w:lang w:val="fr-CA" w:eastAsia="en-CA"/>
              </w:rPr>
              <w:t>256</w:t>
            </w:r>
          </w:p>
        </w:tc>
      </w:tr>
      <w:tr w:rsidR="007B546B" w:rsidRPr="00095A13" w14:paraId="4A0CE71F"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E41EC0A" w14:textId="62E53B8D" w:rsidR="007B546B" w:rsidRPr="00095A13" w:rsidRDefault="007B546B" w:rsidP="00120F79">
            <w:pPr>
              <w:jc w:val="right"/>
              <w:rPr>
                <w:kern w:val="22"/>
                <w:szCs w:val="22"/>
                <w:lang w:val="fr-CA" w:eastAsia="en-CA"/>
              </w:rPr>
            </w:pPr>
            <w:r>
              <w:rPr>
                <w:kern w:val="22"/>
                <w:szCs w:val="22"/>
                <w:lang w:val="fr-CA" w:eastAsia="en-CA"/>
              </w:rPr>
              <w:t>105</w:t>
            </w:r>
          </w:p>
        </w:tc>
        <w:tc>
          <w:tcPr>
            <w:tcW w:w="3966" w:type="dxa"/>
            <w:tcBorders>
              <w:top w:val="nil"/>
              <w:left w:val="nil"/>
              <w:bottom w:val="single" w:sz="4" w:space="0" w:color="auto"/>
              <w:right w:val="single" w:sz="4" w:space="0" w:color="auto"/>
            </w:tcBorders>
            <w:shd w:val="clear" w:color="auto" w:fill="auto"/>
            <w:vAlign w:val="center"/>
            <w:hideMark/>
          </w:tcPr>
          <w:p w14:paraId="42092C1A" w14:textId="77777777" w:rsidR="007B546B" w:rsidRPr="00095A13" w:rsidRDefault="007B546B" w:rsidP="00120F79">
            <w:pPr>
              <w:jc w:val="left"/>
              <w:rPr>
                <w:kern w:val="22"/>
                <w:szCs w:val="22"/>
                <w:lang w:val="fr-CA" w:eastAsia="en-CA"/>
              </w:rPr>
            </w:pPr>
            <w:r>
              <w:rPr>
                <w:kern w:val="22"/>
                <w:szCs w:val="22"/>
                <w:lang w:val="fr-CA" w:eastAsia="en-CA"/>
              </w:rPr>
              <w:t>Namibie</w:t>
            </w:r>
          </w:p>
        </w:tc>
        <w:tc>
          <w:tcPr>
            <w:tcW w:w="1605" w:type="dxa"/>
            <w:tcBorders>
              <w:top w:val="nil"/>
              <w:left w:val="nil"/>
              <w:bottom w:val="single" w:sz="4" w:space="0" w:color="auto"/>
              <w:right w:val="single" w:sz="4" w:space="0" w:color="auto"/>
            </w:tcBorders>
            <w:shd w:val="clear" w:color="auto" w:fill="auto"/>
            <w:vAlign w:val="center"/>
            <w:hideMark/>
          </w:tcPr>
          <w:p w14:paraId="74EDADA5"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009</w:t>
            </w:r>
          </w:p>
        </w:tc>
        <w:tc>
          <w:tcPr>
            <w:tcW w:w="1610" w:type="dxa"/>
            <w:tcBorders>
              <w:top w:val="nil"/>
              <w:left w:val="nil"/>
              <w:bottom w:val="single" w:sz="4" w:space="0" w:color="auto"/>
              <w:right w:val="single" w:sz="4" w:space="0" w:color="auto"/>
            </w:tcBorders>
            <w:shd w:val="clear" w:color="auto" w:fill="auto"/>
            <w:vAlign w:val="center"/>
            <w:hideMark/>
          </w:tcPr>
          <w:p w14:paraId="5D2B88BA"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013</w:t>
            </w:r>
          </w:p>
        </w:tc>
        <w:tc>
          <w:tcPr>
            <w:tcW w:w="1590" w:type="dxa"/>
            <w:tcBorders>
              <w:top w:val="nil"/>
              <w:left w:val="nil"/>
              <w:bottom w:val="single" w:sz="4" w:space="0" w:color="auto"/>
              <w:right w:val="single" w:sz="4" w:space="0" w:color="auto"/>
            </w:tcBorders>
            <w:shd w:val="clear" w:color="auto" w:fill="auto"/>
            <w:vAlign w:val="center"/>
            <w:hideMark/>
          </w:tcPr>
          <w:p w14:paraId="6A293616" w14:textId="77777777" w:rsidR="007B546B" w:rsidRPr="00095A13" w:rsidRDefault="007B546B" w:rsidP="007B546B">
            <w:pPr>
              <w:ind w:right="144"/>
              <w:jc w:val="right"/>
              <w:rPr>
                <w:kern w:val="22"/>
                <w:szCs w:val="22"/>
                <w:lang w:val="fr-CA" w:eastAsia="en-CA"/>
              </w:rPr>
            </w:pPr>
            <w:r w:rsidRPr="00095A13">
              <w:rPr>
                <w:kern w:val="22"/>
                <w:szCs w:val="22"/>
                <w:lang w:val="fr-CA" w:eastAsia="en-CA"/>
              </w:rPr>
              <w:t>329</w:t>
            </w:r>
          </w:p>
        </w:tc>
      </w:tr>
      <w:tr w:rsidR="007B546B" w:rsidRPr="00095A13" w14:paraId="3305C0CC"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C0B7723" w14:textId="6C27B778" w:rsidR="007B546B" w:rsidRPr="00095A13" w:rsidRDefault="007B546B" w:rsidP="00120F79">
            <w:pPr>
              <w:jc w:val="right"/>
              <w:rPr>
                <w:kern w:val="22"/>
                <w:szCs w:val="22"/>
                <w:lang w:val="fr-CA" w:eastAsia="en-CA"/>
              </w:rPr>
            </w:pPr>
            <w:r>
              <w:rPr>
                <w:kern w:val="22"/>
                <w:szCs w:val="22"/>
                <w:lang w:val="fr-CA" w:eastAsia="en-CA"/>
              </w:rPr>
              <w:t>106</w:t>
            </w:r>
          </w:p>
        </w:tc>
        <w:tc>
          <w:tcPr>
            <w:tcW w:w="3966" w:type="dxa"/>
            <w:tcBorders>
              <w:top w:val="nil"/>
              <w:left w:val="nil"/>
              <w:bottom w:val="single" w:sz="4" w:space="0" w:color="auto"/>
              <w:right w:val="single" w:sz="4" w:space="0" w:color="auto"/>
            </w:tcBorders>
            <w:shd w:val="clear" w:color="auto" w:fill="auto"/>
            <w:vAlign w:val="center"/>
            <w:hideMark/>
          </w:tcPr>
          <w:p w14:paraId="0EE6629E" w14:textId="77777777" w:rsidR="007B546B" w:rsidRPr="00095A13" w:rsidRDefault="007B546B" w:rsidP="00120F79">
            <w:pPr>
              <w:jc w:val="left"/>
              <w:rPr>
                <w:kern w:val="22"/>
                <w:szCs w:val="22"/>
                <w:lang w:val="fr-CA" w:eastAsia="en-CA"/>
              </w:rPr>
            </w:pPr>
            <w:r w:rsidRPr="00095A13">
              <w:rPr>
                <w:kern w:val="22"/>
                <w:szCs w:val="22"/>
                <w:lang w:val="fr-CA" w:eastAsia="en-CA"/>
              </w:rPr>
              <w:t>Nauru</w:t>
            </w:r>
          </w:p>
        </w:tc>
        <w:tc>
          <w:tcPr>
            <w:tcW w:w="1605" w:type="dxa"/>
            <w:tcBorders>
              <w:top w:val="nil"/>
              <w:left w:val="nil"/>
              <w:bottom w:val="single" w:sz="4" w:space="0" w:color="auto"/>
              <w:right w:val="single" w:sz="4" w:space="0" w:color="auto"/>
            </w:tcBorders>
            <w:shd w:val="clear" w:color="auto" w:fill="auto"/>
            <w:vAlign w:val="center"/>
            <w:hideMark/>
          </w:tcPr>
          <w:p w14:paraId="37620644"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001</w:t>
            </w:r>
          </w:p>
        </w:tc>
        <w:tc>
          <w:tcPr>
            <w:tcW w:w="1610" w:type="dxa"/>
            <w:tcBorders>
              <w:top w:val="nil"/>
              <w:left w:val="nil"/>
              <w:bottom w:val="single" w:sz="4" w:space="0" w:color="auto"/>
              <w:right w:val="single" w:sz="4" w:space="0" w:color="auto"/>
            </w:tcBorders>
            <w:shd w:val="clear" w:color="auto" w:fill="auto"/>
            <w:vAlign w:val="center"/>
            <w:hideMark/>
          </w:tcPr>
          <w:p w14:paraId="46972164"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001</w:t>
            </w:r>
          </w:p>
        </w:tc>
        <w:tc>
          <w:tcPr>
            <w:tcW w:w="1590" w:type="dxa"/>
            <w:tcBorders>
              <w:top w:val="nil"/>
              <w:left w:val="nil"/>
              <w:bottom w:val="single" w:sz="4" w:space="0" w:color="auto"/>
              <w:right w:val="single" w:sz="4" w:space="0" w:color="auto"/>
            </w:tcBorders>
            <w:shd w:val="clear" w:color="auto" w:fill="auto"/>
            <w:vAlign w:val="center"/>
            <w:hideMark/>
          </w:tcPr>
          <w:p w14:paraId="2EE8C622" w14:textId="77777777" w:rsidR="007B546B" w:rsidRPr="00095A13" w:rsidRDefault="007B546B" w:rsidP="007B546B">
            <w:pPr>
              <w:ind w:right="144"/>
              <w:jc w:val="right"/>
              <w:rPr>
                <w:kern w:val="22"/>
                <w:szCs w:val="22"/>
                <w:lang w:val="fr-CA" w:eastAsia="en-CA"/>
              </w:rPr>
            </w:pPr>
            <w:r w:rsidRPr="00095A13">
              <w:rPr>
                <w:kern w:val="22"/>
                <w:szCs w:val="22"/>
                <w:lang w:val="fr-CA" w:eastAsia="en-CA"/>
              </w:rPr>
              <w:t>37</w:t>
            </w:r>
          </w:p>
        </w:tc>
      </w:tr>
      <w:tr w:rsidR="007B546B" w:rsidRPr="00095A13" w14:paraId="74EB469C"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EC21FA8" w14:textId="5374333D" w:rsidR="007B546B" w:rsidRPr="00095A13" w:rsidRDefault="007B546B" w:rsidP="00120F79">
            <w:pPr>
              <w:jc w:val="right"/>
              <w:rPr>
                <w:kern w:val="22"/>
                <w:szCs w:val="22"/>
                <w:lang w:val="fr-CA" w:eastAsia="en-CA"/>
              </w:rPr>
            </w:pPr>
            <w:r>
              <w:rPr>
                <w:kern w:val="22"/>
                <w:szCs w:val="22"/>
                <w:lang w:val="fr-CA" w:eastAsia="en-CA"/>
              </w:rPr>
              <w:t>107</w:t>
            </w:r>
          </w:p>
        </w:tc>
        <w:tc>
          <w:tcPr>
            <w:tcW w:w="3966" w:type="dxa"/>
            <w:tcBorders>
              <w:top w:val="nil"/>
              <w:left w:val="nil"/>
              <w:bottom w:val="single" w:sz="4" w:space="0" w:color="auto"/>
              <w:right w:val="single" w:sz="4" w:space="0" w:color="auto"/>
            </w:tcBorders>
            <w:shd w:val="clear" w:color="auto" w:fill="auto"/>
            <w:vAlign w:val="center"/>
            <w:hideMark/>
          </w:tcPr>
          <w:p w14:paraId="78457028" w14:textId="77777777" w:rsidR="007B546B" w:rsidRPr="00095A13" w:rsidRDefault="007B546B" w:rsidP="00120F79">
            <w:pPr>
              <w:jc w:val="left"/>
              <w:rPr>
                <w:kern w:val="22"/>
                <w:szCs w:val="22"/>
                <w:lang w:val="fr-CA" w:eastAsia="en-CA"/>
              </w:rPr>
            </w:pPr>
            <w:r w:rsidRPr="00095A13">
              <w:rPr>
                <w:kern w:val="22"/>
                <w:szCs w:val="22"/>
                <w:lang w:val="fr-CA" w:eastAsia="en-CA"/>
              </w:rPr>
              <w:t>Nicaragua</w:t>
            </w:r>
          </w:p>
        </w:tc>
        <w:tc>
          <w:tcPr>
            <w:tcW w:w="1605" w:type="dxa"/>
            <w:tcBorders>
              <w:top w:val="nil"/>
              <w:left w:val="nil"/>
              <w:bottom w:val="single" w:sz="4" w:space="0" w:color="auto"/>
              <w:right w:val="single" w:sz="4" w:space="0" w:color="auto"/>
            </w:tcBorders>
            <w:shd w:val="clear" w:color="auto" w:fill="auto"/>
            <w:vAlign w:val="center"/>
            <w:hideMark/>
          </w:tcPr>
          <w:p w14:paraId="1AEC9FC0"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005</w:t>
            </w:r>
          </w:p>
        </w:tc>
        <w:tc>
          <w:tcPr>
            <w:tcW w:w="1610" w:type="dxa"/>
            <w:tcBorders>
              <w:top w:val="nil"/>
              <w:left w:val="nil"/>
              <w:bottom w:val="single" w:sz="4" w:space="0" w:color="auto"/>
              <w:right w:val="single" w:sz="4" w:space="0" w:color="auto"/>
            </w:tcBorders>
            <w:shd w:val="clear" w:color="auto" w:fill="auto"/>
            <w:vAlign w:val="center"/>
            <w:hideMark/>
          </w:tcPr>
          <w:p w14:paraId="02B94DEA"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007</w:t>
            </w:r>
          </w:p>
        </w:tc>
        <w:tc>
          <w:tcPr>
            <w:tcW w:w="1590" w:type="dxa"/>
            <w:tcBorders>
              <w:top w:val="nil"/>
              <w:left w:val="nil"/>
              <w:bottom w:val="single" w:sz="4" w:space="0" w:color="auto"/>
              <w:right w:val="single" w:sz="4" w:space="0" w:color="auto"/>
            </w:tcBorders>
            <w:shd w:val="clear" w:color="auto" w:fill="auto"/>
            <w:vAlign w:val="center"/>
            <w:hideMark/>
          </w:tcPr>
          <w:p w14:paraId="19EEB039" w14:textId="77777777" w:rsidR="007B546B" w:rsidRPr="00095A13" w:rsidRDefault="007B546B" w:rsidP="007B546B">
            <w:pPr>
              <w:ind w:right="144"/>
              <w:jc w:val="right"/>
              <w:rPr>
                <w:kern w:val="22"/>
                <w:szCs w:val="22"/>
                <w:lang w:val="fr-CA" w:eastAsia="en-CA"/>
              </w:rPr>
            </w:pPr>
            <w:r w:rsidRPr="00095A13">
              <w:rPr>
                <w:kern w:val="22"/>
                <w:szCs w:val="22"/>
                <w:lang w:val="fr-CA" w:eastAsia="en-CA"/>
              </w:rPr>
              <w:t>183</w:t>
            </w:r>
          </w:p>
        </w:tc>
      </w:tr>
      <w:tr w:rsidR="007B546B" w:rsidRPr="00095A13" w14:paraId="53A3FF03"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100BF98" w14:textId="1572A237" w:rsidR="007B546B" w:rsidRPr="00095A13" w:rsidRDefault="007B546B" w:rsidP="00120F79">
            <w:pPr>
              <w:jc w:val="right"/>
              <w:rPr>
                <w:kern w:val="22"/>
                <w:szCs w:val="22"/>
                <w:lang w:val="fr-CA" w:eastAsia="en-CA"/>
              </w:rPr>
            </w:pPr>
            <w:r>
              <w:rPr>
                <w:kern w:val="22"/>
                <w:szCs w:val="22"/>
                <w:lang w:val="fr-CA" w:eastAsia="en-CA"/>
              </w:rPr>
              <w:t>108</w:t>
            </w:r>
          </w:p>
        </w:tc>
        <w:tc>
          <w:tcPr>
            <w:tcW w:w="3966" w:type="dxa"/>
            <w:tcBorders>
              <w:top w:val="nil"/>
              <w:left w:val="nil"/>
              <w:bottom w:val="single" w:sz="4" w:space="0" w:color="auto"/>
              <w:right w:val="single" w:sz="4" w:space="0" w:color="auto"/>
            </w:tcBorders>
            <w:shd w:val="clear" w:color="auto" w:fill="auto"/>
            <w:vAlign w:val="center"/>
            <w:hideMark/>
          </w:tcPr>
          <w:p w14:paraId="14C2D382" w14:textId="77777777" w:rsidR="007B546B" w:rsidRPr="00095A13" w:rsidRDefault="007B546B" w:rsidP="00120F79">
            <w:pPr>
              <w:jc w:val="left"/>
              <w:rPr>
                <w:kern w:val="22"/>
                <w:szCs w:val="22"/>
                <w:lang w:val="fr-CA" w:eastAsia="en-CA"/>
              </w:rPr>
            </w:pPr>
            <w:r w:rsidRPr="00095A13">
              <w:rPr>
                <w:kern w:val="22"/>
                <w:szCs w:val="22"/>
                <w:lang w:val="fr-CA" w:eastAsia="en-CA"/>
              </w:rPr>
              <w:t>Niger</w:t>
            </w:r>
          </w:p>
        </w:tc>
        <w:tc>
          <w:tcPr>
            <w:tcW w:w="1605" w:type="dxa"/>
            <w:tcBorders>
              <w:top w:val="nil"/>
              <w:left w:val="nil"/>
              <w:bottom w:val="single" w:sz="4" w:space="0" w:color="auto"/>
              <w:right w:val="single" w:sz="4" w:space="0" w:color="auto"/>
            </w:tcBorders>
            <w:shd w:val="clear" w:color="auto" w:fill="auto"/>
            <w:vAlign w:val="center"/>
            <w:hideMark/>
          </w:tcPr>
          <w:p w14:paraId="1138D8EE"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002</w:t>
            </w:r>
          </w:p>
        </w:tc>
        <w:tc>
          <w:tcPr>
            <w:tcW w:w="1610" w:type="dxa"/>
            <w:tcBorders>
              <w:top w:val="nil"/>
              <w:left w:val="nil"/>
              <w:bottom w:val="single" w:sz="4" w:space="0" w:color="auto"/>
              <w:right w:val="single" w:sz="4" w:space="0" w:color="auto"/>
            </w:tcBorders>
            <w:shd w:val="clear" w:color="auto" w:fill="auto"/>
            <w:vAlign w:val="center"/>
            <w:hideMark/>
          </w:tcPr>
          <w:p w14:paraId="4CE6D201"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003</w:t>
            </w:r>
          </w:p>
        </w:tc>
        <w:tc>
          <w:tcPr>
            <w:tcW w:w="1590" w:type="dxa"/>
            <w:tcBorders>
              <w:top w:val="nil"/>
              <w:left w:val="nil"/>
              <w:bottom w:val="single" w:sz="4" w:space="0" w:color="auto"/>
              <w:right w:val="single" w:sz="4" w:space="0" w:color="auto"/>
            </w:tcBorders>
            <w:shd w:val="clear" w:color="auto" w:fill="auto"/>
            <w:vAlign w:val="center"/>
            <w:hideMark/>
          </w:tcPr>
          <w:p w14:paraId="4E1340A6" w14:textId="77777777" w:rsidR="007B546B" w:rsidRPr="00095A13" w:rsidRDefault="007B546B" w:rsidP="007B546B">
            <w:pPr>
              <w:ind w:right="144"/>
              <w:jc w:val="right"/>
              <w:rPr>
                <w:kern w:val="22"/>
                <w:szCs w:val="22"/>
                <w:lang w:val="fr-CA" w:eastAsia="en-CA"/>
              </w:rPr>
            </w:pPr>
            <w:r w:rsidRPr="00095A13">
              <w:rPr>
                <w:kern w:val="22"/>
                <w:szCs w:val="22"/>
                <w:lang w:val="fr-CA" w:eastAsia="en-CA"/>
              </w:rPr>
              <w:t>73</w:t>
            </w:r>
          </w:p>
        </w:tc>
      </w:tr>
      <w:tr w:rsidR="007B546B" w:rsidRPr="00095A13" w14:paraId="31D8B9CA"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57B06B5" w14:textId="6440777E" w:rsidR="007B546B" w:rsidRPr="00095A13" w:rsidRDefault="007B546B" w:rsidP="00120F79">
            <w:pPr>
              <w:jc w:val="right"/>
              <w:rPr>
                <w:kern w:val="22"/>
                <w:szCs w:val="22"/>
                <w:lang w:val="fr-CA" w:eastAsia="en-CA"/>
              </w:rPr>
            </w:pPr>
            <w:r>
              <w:rPr>
                <w:kern w:val="22"/>
                <w:szCs w:val="22"/>
                <w:lang w:val="fr-CA" w:eastAsia="en-CA"/>
              </w:rPr>
              <w:t>109</w:t>
            </w:r>
          </w:p>
        </w:tc>
        <w:tc>
          <w:tcPr>
            <w:tcW w:w="3966" w:type="dxa"/>
            <w:tcBorders>
              <w:top w:val="nil"/>
              <w:left w:val="nil"/>
              <w:bottom w:val="single" w:sz="4" w:space="0" w:color="auto"/>
              <w:right w:val="single" w:sz="4" w:space="0" w:color="auto"/>
            </w:tcBorders>
            <w:shd w:val="clear" w:color="auto" w:fill="auto"/>
            <w:vAlign w:val="center"/>
            <w:hideMark/>
          </w:tcPr>
          <w:p w14:paraId="6BBD27D1" w14:textId="77777777" w:rsidR="007B546B" w:rsidRPr="00095A13" w:rsidRDefault="007B546B" w:rsidP="00120F79">
            <w:pPr>
              <w:jc w:val="left"/>
              <w:rPr>
                <w:kern w:val="22"/>
                <w:szCs w:val="22"/>
                <w:lang w:val="fr-CA" w:eastAsia="en-CA"/>
              </w:rPr>
            </w:pPr>
            <w:r>
              <w:rPr>
                <w:kern w:val="22"/>
                <w:szCs w:val="22"/>
                <w:lang w:val="fr-CA" w:eastAsia="en-CA"/>
              </w:rPr>
              <w:t>Nigé</w:t>
            </w:r>
            <w:r w:rsidRPr="00095A13">
              <w:rPr>
                <w:kern w:val="22"/>
                <w:szCs w:val="22"/>
                <w:lang w:val="fr-CA" w:eastAsia="en-CA"/>
              </w:rPr>
              <w:t>ria</w:t>
            </w:r>
          </w:p>
        </w:tc>
        <w:tc>
          <w:tcPr>
            <w:tcW w:w="1605" w:type="dxa"/>
            <w:tcBorders>
              <w:top w:val="nil"/>
              <w:left w:val="nil"/>
              <w:bottom w:val="single" w:sz="4" w:space="0" w:color="auto"/>
              <w:right w:val="single" w:sz="4" w:space="0" w:color="auto"/>
            </w:tcBorders>
            <w:shd w:val="clear" w:color="auto" w:fill="auto"/>
            <w:vAlign w:val="center"/>
            <w:hideMark/>
          </w:tcPr>
          <w:p w14:paraId="52AD6380"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250</w:t>
            </w:r>
          </w:p>
        </w:tc>
        <w:tc>
          <w:tcPr>
            <w:tcW w:w="1610" w:type="dxa"/>
            <w:tcBorders>
              <w:top w:val="nil"/>
              <w:left w:val="nil"/>
              <w:bottom w:val="single" w:sz="4" w:space="0" w:color="auto"/>
              <w:right w:val="single" w:sz="4" w:space="0" w:color="auto"/>
            </w:tcBorders>
            <w:shd w:val="clear" w:color="auto" w:fill="auto"/>
            <w:vAlign w:val="center"/>
            <w:hideMark/>
          </w:tcPr>
          <w:p w14:paraId="60CF18F6"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357</w:t>
            </w:r>
          </w:p>
        </w:tc>
        <w:tc>
          <w:tcPr>
            <w:tcW w:w="1590" w:type="dxa"/>
            <w:tcBorders>
              <w:top w:val="nil"/>
              <w:left w:val="nil"/>
              <w:bottom w:val="single" w:sz="4" w:space="0" w:color="auto"/>
              <w:right w:val="single" w:sz="4" w:space="0" w:color="auto"/>
            </w:tcBorders>
            <w:shd w:val="clear" w:color="auto" w:fill="auto"/>
            <w:vAlign w:val="center"/>
            <w:hideMark/>
          </w:tcPr>
          <w:p w14:paraId="03FD920D" w14:textId="77777777" w:rsidR="007B546B" w:rsidRPr="00095A13" w:rsidRDefault="007B546B" w:rsidP="007B546B">
            <w:pPr>
              <w:ind w:right="144"/>
              <w:jc w:val="right"/>
              <w:rPr>
                <w:kern w:val="22"/>
                <w:szCs w:val="22"/>
                <w:lang w:val="fr-CA" w:eastAsia="en-CA"/>
              </w:rPr>
            </w:pPr>
            <w:r w:rsidRPr="00095A13">
              <w:rPr>
                <w:kern w:val="22"/>
                <w:szCs w:val="22"/>
                <w:lang w:val="fr-CA" w:eastAsia="en-CA"/>
              </w:rPr>
              <w:t>9 137</w:t>
            </w:r>
          </w:p>
        </w:tc>
      </w:tr>
      <w:tr w:rsidR="007B546B" w:rsidRPr="00095A13" w14:paraId="5204C0FF"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25C55A5" w14:textId="464CAF85" w:rsidR="007B546B" w:rsidRPr="00095A13" w:rsidRDefault="007B546B" w:rsidP="00120F79">
            <w:pPr>
              <w:jc w:val="right"/>
              <w:rPr>
                <w:kern w:val="22"/>
                <w:szCs w:val="22"/>
                <w:lang w:val="fr-CA" w:eastAsia="en-CA"/>
              </w:rPr>
            </w:pPr>
            <w:r>
              <w:rPr>
                <w:kern w:val="22"/>
                <w:szCs w:val="22"/>
                <w:lang w:val="fr-CA" w:eastAsia="en-CA"/>
              </w:rPr>
              <w:t>110</w:t>
            </w:r>
          </w:p>
        </w:tc>
        <w:tc>
          <w:tcPr>
            <w:tcW w:w="3966" w:type="dxa"/>
            <w:tcBorders>
              <w:top w:val="nil"/>
              <w:left w:val="nil"/>
              <w:bottom w:val="single" w:sz="4" w:space="0" w:color="auto"/>
              <w:right w:val="single" w:sz="4" w:space="0" w:color="auto"/>
            </w:tcBorders>
            <w:shd w:val="clear" w:color="auto" w:fill="auto"/>
            <w:vAlign w:val="center"/>
            <w:hideMark/>
          </w:tcPr>
          <w:p w14:paraId="0B4E7DED" w14:textId="77777777" w:rsidR="007B546B" w:rsidRPr="00095A13" w:rsidRDefault="007B546B" w:rsidP="008A5D50">
            <w:pPr>
              <w:jc w:val="left"/>
              <w:rPr>
                <w:kern w:val="22"/>
                <w:szCs w:val="22"/>
                <w:lang w:val="fr-CA" w:eastAsia="en-CA"/>
              </w:rPr>
            </w:pPr>
            <w:r>
              <w:rPr>
                <w:kern w:val="22"/>
                <w:szCs w:val="22"/>
                <w:lang w:val="fr-CA" w:eastAsia="en-CA"/>
              </w:rPr>
              <w:t>Nioué</w:t>
            </w:r>
          </w:p>
        </w:tc>
        <w:tc>
          <w:tcPr>
            <w:tcW w:w="1605" w:type="dxa"/>
            <w:tcBorders>
              <w:top w:val="nil"/>
              <w:left w:val="nil"/>
              <w:bottom w:val="single" w:sz="4" w:space="0" w:color="auto"/>
              <w:right w:val="single" w:sz="4" w:space="0" w:color="auto"/>
            </w:tcBorders>
            <w:shd w:val="clear" w:color="auto" w:fill="auto"/>
            <w:vAlign w:val="center"/>
            <w:hideMark/>
          </w:tcPr>
          <w:p w14:paraId="5D419E8D"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001</w:t>
            </w:r>
          </w:p>
        </w:tc>
        <w:tc>
          <w:tcPr>
            <w:tcW w:w="1610" w:type="dxa"/>
            <w:tcBorders>
              <w:top w:val="nil"/>
              <w:left w:val="nil"/>
              <w:bottom w:val="single" w:sz="4" w:space="0" w:color="auto"/>
              <w:right w:val="single" w:sz="4" w:space="0" w:color="auto"/>
            </w:tcBorders>
            <w:shd w:val="clear" w:color="auto" w:fill="auto"/>
            <w:vAlign w:val="center"/>
            <w:hideMark/>
          </w:tcPr>
          <w:p w14:paraId="396C5C91"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001</w:t>
            </w:r>
          </w:p>
        </w:tc>
        <w:tc>
          <w:tcPr>
            <w:tcW w:w="1590" w:type="dxa"/>
            <w:tcBorders>
              <w:top w:val="nil"/>
              <w:left w:val="nil"/>
              <w:bottom w:val="single" w:sz="4" w:space="0" w:color="auto"/>
              <w:right w:val="single" w:sz="4" w:space="0" w:color="auto"/>
            </w:tcBorders>
            <w:shd w:val="clear" w:color="auto" w:fill="auto"/>
            <w:vAlign w:val="center"/>
            <w:hideMark/>
          </w:tcPr>
          <w:p w14:paraId="0D27FC3F" w14:textId="77777777" w:rsidR="007B546B" w:rsidRPr="00095A13" w:rsidRDefault="007B546B" w:rsidP="007B546B">
            <w:pPr>
              <w:ind w:right="144"/>
              <w:jc w:val="right"/>
              <w:rPr>
                <w:kern w:val="22"/>
                <w:szCs w:val="22"/>
                <w:lang w:val="fr-CA" w:eastAsia="en-CA"/>
              </w:rPr>
            </w:pPr>
            <w:r w:rsidRPr="00095A13">
              <w:rPr>
                <w:kern w:val="22"/>
                <w:szCs w:val="22"/>
                <w:lang w:val="fr-CA" w:eastAsia="en-CA"/>
              </w:rPr>
              <w:t>37</w:t>
            </w:r>
          </w:p>
        </w:tc>
      </w:tr>
      <w:tr w:rsidR="007B546B" w:rsidRPr="00095A13" w14:paraId="75E3739D"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tcPr>
          <w:p w14:paraId="1B6CD4C0" w14:textId="369AA21B" w:rsidR="007B546B" w:rsidRPr="00095A13" w:rsidRDefault="007B546B" w:rsidP="00541CDC">
            <w:pPr>
              <w:jc w:val="right"/>
              <w:rPr>
                <w:kern w:val="22"/>
                <w:szCs w:val="22"/>
                <w:lang w:val="fr-CA" w:eastAsia="en-CA"/>
              </w:rPr>
            </w:pPr>
            <w:r>
              <w:rPr>
                <w:kern w:val="22"/>
                <w:szCs w:val="22"/>
                <w:lang w:val="fr-CA" w:eastAsia="en-CA"/>
              </w:rPr>
              <w:t>111</w:t>
            </w:r>
          </w:p>
        </w:tc>
        <w:tc>
          <w:tcPr>
            <w:tcW w:w="3966" w:type="dxa"/>
            <w:tcBorders>
              <w:top w:val="nil"/>
              <w:left w:val="nil"/>
              <w:bottom w:val="single" w:sz="4" w:space="0" w:color="auto"/>
              <w:right w:val="single" w:sz="4" w:space="0" w:color="auto"/>
            </w:tcBorders>
            <w:shd w:val="clear" w:color="auto" w:fill="auto"/>
            <w:vAlign w:val="center"/>
            <w:hideMark/>
          </w:tcPr>
          <w:p w14:paraId="392A829F" w14:textId="77777777" w:rsidR="007B546B" w:rsidRPr="00095A13" w:rsidRDefault="007B546B" w:rsidP="00541CDC">
            <w:pPr>
              <w:jc w:val="left"/>
              <w:rPr>
                <w:kern w:val="22"/>
                <w:szCs w:val="22"/>
                <w:lang w:val="fr-CA" w:eastAsia="en-CA"/>
              </w:rPr>
            </w:pPr>
            <w:r>
              <w:rPr>
                <w:kern w:val="22"/>
                <w:szCs w:val="22"/>
                <w:lang w:val="fr-CA" w:eastAsia="en-CA"/>
              </w:rPr>
              <w:t>Norvège</w:t>
            </w:r>
          </w:p>
        </w:tc>
        <w:tc>
          <w:tcPr>
            <w:tcW w:w="1605" w:type="dxa"/>
            <w:tcBorders>
              <w:top w:val="nil"/>
              <w:left w:val="nil"/>
              <w:bottom w:val="single" w:sz="4" w:space="0" w:color="auto"/>
              <w:right w:val="single" w:sz="4" w:space="0" w:color="auto"/>
            </w:tcBorders>
            <w:shd w:val="clear" w:color="auto" w:fill="auto"/>
            <w:vAlign w:val="center"/>
            <w:hideMark/>
          </w:tcPr>
          <w:p w14:paraId="2EE1E26F"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754</w:t>
            </w:r>
          </w:p>
        </w:tc>
        <w:tc>
          <w:tcPr>
            <w:tcW w:w="1610" w:type="dxa"/>
            <w:tcBorders>
              <w:top w:val="nil"/>
              <w:left w:val="nil"/>
              <w:bottom w:val="single" w:sz="4" w:space="0" w:color="auto"/>
              <w:right w:val="single" w:sz="4" w:space="0" w:color="auto"/>
            </w:tcBorders>
            <w:shd w:val="clear" w:color="auto" w:fill="auto"/>
            <w:vAlign w:val="center"/>
            <w:hideMark/>
          </w:tcPr>
          <w:p w14:paraId="2AB8798B" w14:textId="77777777" w:rsidR="007B546B" w:rsidRPr="00095A13" w:rsidRDefault="007B546B" w:rsidP="007B546B">
            <w:pPr>
              <w:ind w:right="144"/>
              <w:jc w:val="right"/>
              <w:rPr>
                <w:kern w:val="22"/>
                <w:szCs w:val="22"/>
                <w:lang w:val="fr-CA" w:eastAsia="en-CA"/>
              </w:rPr>
            </w:pPr>
            <w:r w:rsidRPr="00095A13">
              <w:rPr>
                <w:kern w:val="22"/>
                <w:szCs w:val="22"/>
                <w:lang w:val="fr-CA" w:eastAsia="en-CA"/>
              </w:rPr>
              <w:t>1</w:t>
            </w:r>
            <w:r>
              <w:rPr>
                <w:kern w:val="22"/>
                <w:szCs w:val="22"/>
                <w:lang w:val="fr-CA" w:eastAsia="en-CA"/>
              </w:rPr>
              <w:t>,</w:t>
            </w:r>
            <w:r w:rsidRPr="00095A13">
              <w:rPr>
                <w:kern w:val="22"/>
                <w:szCs w:val="22"/>
                <w:lang w:val="fr-CA" w:eastAsia="en-CA"/>
              </w:rPr>
              <w:t>077</w:t>
            </w:r>
          </w:p>
        </w:tc>
        <w:tc>
          <w:tcPr>
            <w:tcW w:w="1590" w:type="dxa"/>
            <w:tcBorders>
              <w:top w:val="nil"/>
              <w:left w:val="nil"/>
              <w:bottom w:val="single" w:sz="4" w:space="0" w:color="auto"/>
              <w:right w:val="single" w:sz="4" w:space="0" w:color="auto"/>
            </w:tcBorders>
            <w:shd w:val="clear" w:color="auto" w:fill="auto"/>
            <w:vAlign w:val="center"/>
            <w:hideMark/>
          </w:tcPr>
          <w:p w14:paraId="021B8C56" w14:textId="77777777" w:rsidR="007B546B" w:rsidRPr="00095A13" w:rsidRDefault="007B546B" w:rsidP="007B546B">
            <w:pPr>
              <w:ind w:right="144"/>
              <w:jc w:val="right"/>
              <w:rPr>
                <w:kern w:val="22"/>
                <w:szCs w:val="22"/>
                <w:lang w:val="fr-CA" w:eastAsia="en-CA"/>
              </w:rPr>
            </w:pPr>
            <w:r w:rsidRPr="00095A13">
              <w:rPr>
                <w:kern w:val="22"/>
                <w:szCs w:val="22"/>
                <w:lang w:val="fr-CA" w:eastAsia="en-CA"/>
              </w:rPr>
              <w:t>27 558</w:t>
            </w:r>
          </w:p>
        </w:tc>
      </w:tr>
      <w:tr w:rsidR="007B546B" w:rsidRPr="00095A13" w14:paraId="7452DBB7"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1D74CF8" w14:textId="583EC101" w:rsidR="007B546B" w:rsidRPr="00095A13" w:rsidRDefault="007B546B" w:rsidP="00120F79">
            <w:pPr>
              <w:jc w:val="right"/>
              <w:rPr>
                <w:kern w:val="22"/>
                <w:szCs w:val="22"/>
                <w:lang w:val="fr-CA" w:eastAsia="en-CA"/>
              </w:rPr>
            </w:pPr>
            <w:r>
              <w:rPr>
                <w:kern w:val="22"/>
                <w:szCs w:val="22"/>
                <w:lang w:val="fr-CA" w:eastAsia="en-CA"/>
              </w:rPr>
              <w:t>112</w:t>
            </w:r>
          </w:p>
        </w:tc>
        <w:tc>
          <w:tcPr>
            <w:tcW w:w="3966" w:type="dxa"/>
            <w:tcBorders>
              <w:top w:val="nil"/>
              <w:left w:val="nil"/>
              <w:bottom w:val="single" w:sz="4" w:space="0" w:color="auto"/>
              <w:right w:val="single" w:sz="4" w:space="0" w:color="auto"/>
            </w:tcBorders>
            <w:shd w:val="clear" w:color="auto" w:fill="auto"/>
            <w:vAlign w:val="center"/>
            <w:hideMark/>
          </w:tcPr>
          <w:p w14:paraId="2BB0851C" w14:textId="77777777" w:rsidR="007B546B" w:rsidRPr="00095A13" w:rsidRDefault="007B546B" w:rsidP="00120F79">
            <w:pPr>
              <w:jc w:val="left"/>
              <w:rPr>
                <w:kern w:val="22"/>
                <w:szCs w:val="22"/>
                <w:lang w:val="fr-CA" w:eastAsia="en-CA"/>
              </w:rPr>
            </w:pPr>
            <w:r>
              <w:rPr>
                <w:kern w:val="22"/>
                <w:szCs w:val="22"/>
                <w:lang w:val="fr-CA" w:eastAsia="en-CA"/>
              </w:rPr>
              <w:t>Nouvelle-Zélande</w:t>
            </w:r>
          </w:p>
        </w:tc>
        <w:tc>
          <w:tcPr>
            <w:tcW w:w="1605" w:type="dxa"/>
            <w:tcBorders>
              <w:top w:val="nil"/>
              <w:left w:val="nil"/>
              <w:bottom w:val="single" w:sz="4" w:space="0" w:color="auto"/>
              <w:right w:val="single" w:sz="4" w:space="0" w:color="auto"/>
            </w:tcBorders>
            <w:shd w:val="clear" w:color="auto" w:fill="auto"/>
            <w:vAlign w:val="center"/>
            <w:hideMark/>
          </w:tcPr>
          <w:p w14:paraId="2DEF53CC"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291</w:t>
            </w:r>
          </w:p>
        </w:tc>
        <w:tc>
          <w:tcPr>
            <w:tcW w:w="1610" w:type="dxa"/>
            <w:tcBorders>
              <w:top w:val="nil"/>
              <w:left w:val="nil"/>
              <w:bottom w:val="single" w:sz="4" w:space="0" w:color="auto"/>
              <w:right w:val="single" w:sz="4" w:space="0" w:color="auto"/>
            </w:tcBorders>
            <w:shd w:val="clear" w:color="auto" w:fill="auto"/>
            <w:vAlign w:val="center"/>
            <w:hideMark/>
          </w:tcPr>
          <w:p w14:paraId="516E7DAB"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416</w:t>
            </w:r>
          </w:p>
        </w:tc>
        <w:tc>
          <w:tcPr>
            <w:tcW w:w="1590" w:type="dxa"/>
            <w:tcBorders>
              <w:top w:val="nil"/>
              <w:left w:val="nil"/>
              <w:bottom w:val="single" w:sz="4" w:space="0" w:color="auto"/>
              <w:right w:val="single" w:sz="4" w:space="0" w:color="auto"/>
            </w:tcBorders>
            <w:shd w:val="clear" w:color="auto" w:fill="auto"/>
            <w:vAlign w:val="center"/>
            <w:hideMark/>
          </w:tcPr>
          <w:p w14:paraId="16D7EAAE" w14:textId="77777777" w:rsidR="007B546B" w:rsidRPr="00095A13" w:rsidRDefault="007B546B" w:rsidP="007B546B">
            <w:pPr>
              <w:ind w:right="144"/>
              <w:jc w:val="right"/>
              <w:rPr>
                <w:kern w:val="22"/>
                <w:szCs w:val="22"/>
                <w:lang w:val="fr-CA" w:eastAsia="en-CA"/>
              </w:rPr>
            </w:pPr>
            <w:r w:rsidRPr="00095A13">
              <w:rPr>
                <w:kern w:val="22"/>
                <w:szCs w:val="22"/>
                <w:lang w:val="fr-CA" w:eastAsia="en-CA"/>
              </w:rPr>
              <w:t>10 636</w:t>
            </w:r>
          </w:p>
        </w:tc>
      </w:tr>
      <w:tr w:rsidR="007B546B" w:rsidRPr="00095A13" w14:paraId="6CFE48AA"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tcPr>
          <w:p w14:paraId="29C3F8C3" w14:textId="797086FB" w:rsidR="007B546B" w:rsidRPr="00095A13" w:rsidRDefault="007B546B" w:rsidP="00541CDC">
            <w:pPr>
              <w:jc w:val="right"/>
              <w:rPr>
                <w:kern w:val="22"/>
                <w:szCs w:val="22"/>
                <w:lang w:val="fr-CA" w:eastAsia="en-CA"/>
              </w:rPr>
            </w:pPr>
            <w:r>
              <w:rPr>
                <w:kern w:val="22"/>
                <w:szCs w:val="22"/>
                <w:lang w:val="fr-CA" w:eastAsia="en-CA"/>
              </w:rPr>
              <w:t>113</w:t>
            </w:r>
          </w:p>
        </w:tc>
        <w:tc>
          <w:tcPr>
            <w:tcW w:w="3966" w:type="dxa"/>
            <w:tcBorders>
              <w:top w:val="nil"/>
              <w:left w:val="nil"/>
              <w:bottom w:val="single" w:sz="4" w:space="0" w:color="auto"/>
              <w:right w:val="single" w:sz="4" w:space="0" w:color="auto"/>
            </w:tcBorders>
            <w:shd w:val="clear" w:color="auto" w:fill="auto"/>
            <w:vAlign w:val="center"/>
            <w:hideMark/>
          </w:tcPr>
          <w:p w14:paraId="5E2B1F4A" w14:textId="77777777" w:rsidR="007B546B" w:rsidRPr="00095A13" w:rsidRDefault="007B546B" w:rsidP="00541CDC">
            <w:pPr>
              <w:jc w:val="left"/>
              <w:rPr>
                <w:kern w:val="22"/>
                <w:szCs w:val="22"/>
                <w:lang w:val="fr-CA" w:eastAsia="en-CA"/>
              </w:rPr>
            </w:pPr>
            <w:r w:rsidRPr="00095A13">
              <w:rPr>
                <w:kern w:val="22"/>
                <w:szCs w:val="22"/>
                <w:lang w:val="fr-CA" w:eastAsia="en-CA"/>
              </w:rPr>
              <w:t>Oman</w:t>
            </w:r>
          </w:p>
        </w:tc>
        <w:tc>
          <w:tcPr>
            <w:tcW w:w="1605" w:type="dxa"/>
            <w:tcBorders>
              <w:top w:val="nil"/>
              <w:left w:val="nil"/>
              <w:bottom w:val="single" w:sz="4" w:space="0" w:color="auto"/>
              <w:right w:val="single" w:sz="4" w:space="0" w:color="auto"/>
            </w:tcBorders>
            <w:shd w:val="clear" w:color="auto" w:fill="auto"/>
            <w:vAlign w:val="center"/>
            <w:hideMark/>
          </w:tcPr>
          <w:p w14:paraId="375C3A8B"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115</w:t>
            </w:r>
          </w:p>
        </w:tc>
        <w:tc>
          <w:tcPr>
            <w:tcW w:w="1610" w:type="dxa"/>
            <w:tcBorders>
              <w:top w:val="nil"/>
              <w:left w:val="nil"/>
              <w:bottom w:val="single" w:sz="4" w:space="0" w:color="auto"/>
              <w:right w:val="single" w:sz="4" w:space="0" w:color="auto"/>
            </w:tcBorders>
            <w:shd w:val="clear" w:color="auto" w:fill="auto"/>
            <w:vAlign w:val="center"/>
            <w:hideMark/>
          </w:tcPr>
          <w:p w14:paraId="683EA61C"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164</w:t>
            </w:r>
          </w:p>
        </w:tc>
        <w:tc>
          <w:tcPr>
            <w:tcW w:w="1590" w:type="dxa"/>
            <w:tcBorders>
              <w:top w:val="nil"/>
              <w:left w:val="nil"/>
              <w:bottom w:val="single" w:sz="4" w:space="0" w:color="auto"/>
              <w:right w:val="single" w:sz="4" w:space="0" w:color="auto"/>
            </w:tcBorders>
            <w:shd w:val="clear" w:color="auto" w:fill="auto"/>
            <w:vAlign w:val="center"/>
            <w:hideMark/>
          </w:tcPr>
          <w:p w14:paraId="4677622E" w14:textId="77777777" w:rsidR="007B546B" w:rsidRPr="00095A13" w:rsidRDefault="007B546B" w:rsidP="007B546B">
            <w:pPr>
              <w:ind w:right="144"/>
              <w:jc w:val="right"/>
              <w:rPr>
                <w:kern w:val="22"/>
                <w:szCs w:val="22"/>
                <w:lang w:val="fr-CA" w:eastAsia="en-CA"/>
              </w:rPr>
            </w:pPr>
            <w:r w:rsidRPr="00095A13">
              <w:rPr>
                <w:kern w:val="22"/>
                <w:szCs w:val="22"/>
                <w:lang w:val="fr-CA" w:eastAsia="en-CA"/>
              </w:rPr>
              <w:t>4 203</w:t>
            </w:r>
          </w:p>
        </w:tc>
      </w:tr>
      <w:tr w:rsidR="007B546B" w:rsidRPr="00095A13" w14:paraId="793C1C35"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236864F" w14:textId="6710DB54" w:rsidR="007B546B" w:rsidRPr="00095A13" w:rsidRDefault="007B546B" w:rsidP="005066EB">
            <w:pPr>
              <w:jc w:val="right"/>
              <w:rPr>
                <w:kern w:val="22"/>
                <w:szCs w:val="22"/>
                <w:lang w:val="fr-CA" w:eastAsia="en-CA"/>
              </w:rPr>
            </w:pPr>
            <w:r>
              <w:rPr>
                <w:kern w:val="22"/>
                <w:szCs w:val="22"/>
                <w:lang w:val="fr-CA" w:eastAsia="en-CA"/>
              </w:rPr>
              <w:t>114</w:t>
            </w:r>
          </w:p>
        </w:tc>
        <w:tc>
          <w:tcPr>
            <w:tcW w:w="3966" w:type="dxa"/>
            <w:tcBorders>
              <w:top w:val="nil"/>
              <w:left w:val="nil"/>
              <w:bottom w:val="single" w:sz="4" w:space="0" w:color="auto"/>
              <w:right w:val="single" w:sz="4" w:space="0" w:color="auto"/>
            </w:tcBorders>
            <w:shd w:val="clear" w:color="auto" w:fill="auto"/>
            <w:vAlign w:val="center"/>
            <w:hideMark/>
          </w:tcPr>
          <w:p w14:paraId="30CB7BE9" w14:textId="77777777" w:rsidR="007B546B" w:rsidRPr="00095A13" w:rsidRDefault="007B546B" w:rsidP="005066EB">
            <w:pPr>
              <w:jc w:val="left"/>
              <w:rPr>
                <w:kern w:val="22"/>
                <w:szCs w:val="22"/>
                <w:lang w:val="fr-CA" w:eastAsia="en-CA"/>
              </w:rPr>
            </w:pPr>
            <w:r>
              <w:rPr>
                <w:kern w:val="22"/>
                <w:szCs w:val="22"/>
                <w:lang w:val="fr-CA" w:eastAsia="en-CA"/>
              </w:rPr>
              <w:t>Ou</w:t>
            </w:r>
            <w:r w:rsidRPr="00095A13">
              <w:rPr>
                <w:kern w:val="22"/>
                <w:szCs w:val="22"/>
                <w:lang w:val="fr-CA" w:eastAsia="en-CA"/>
              </w:rPr>
              <w:t>ganda</w:t>
            </w:r>
          </w:p>
        </w:tc>
        <w:tc>
          <w:tcPr>
            <w:tcW w:w="1605" w:type="dxa"/>
            <w:tcBorders>
              <w:top w:val="nil"/>
              <w:left w:val="nil"/>
              <w:bottom w:val="single" w:sz="4" w:space="0" w:color="auto"/>
              <w:right w:val="single" w:sz="4" w:space="0" w:color="auto"/>
            </w:tcBorders>
            <w:shd w:val="clear" w:color="auto" w:fill="auto"/>
            <w:vAlign w:val="center"/>
            <w:hideMark/>
          </w:tcPr>
          <w:p w14:paraId="095D7330"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008</w:t>
            </w:r>
          </w:p>
        </w:tc>
        <w:tc>
          <w:tcPr>
            <w:tcW w:w="1610" w:type="dxa"/>
            <w:tcBorders>
              <w:top w:val="nil"/>
              <w:left w:val="nil"/>
              <w:bottom w:val="single" w:sz="4" w:space="0" w:color="auto"/>
              <w:right w:val="single" w:sz="4" w:space="0" w:color="auto"/>
            </w:tcBorders>
            <w:shd w:val="clear" w:color="auto" w:fill="auto"/>
            <w:vAlign w:val="center"/>
            <w:hideMark/>
          </w:tcPr>
          <w:p w14:paraId="6118AE3C"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010</w:t>
            </w:r>
          </w:p>
        </w:tc>
        <w:tc>
          <w:tcPr>
            <w:tcW w:w="1590" w:type="dxa"/>
            <w:tcBorders>
              <w:top w:val="nil"/>
              <w:left w:val="nil"/>
              <w:bottom w:val="single" w:sz="4" w:space="0" w:color="auto"/>
              <w:right w:val="single" w:sz="4" w:space="0" w:color="auto"/>
            </w:tcBorders>
            <w:shd w:val="clear" w:color="auto" w:fill="auto"/>
            <w:vAlign w:val="center"/>
            <w:hideMark/>
          </w:tcPr>
          <w:p w14:paraId="0AE11DAD" w14:textId="77777777" w:rsidR="007B546B" w:rsidRPr="00095A13" w:rsidRDefault="007B546B" w:rsidP="007B546B">
            <w:pPr>
              <w:ind w:right="144"/>
              <w:jc w:val="right"/>
              <w:rPr>
                <w:kern w:val="22"/>
                <w:szCs w:val="22"/>
                <w:lang w:val="fr-CA" w:eastAsia="en-CA"/>
              </w:rPr>
            </w:pPr>
            <w:r w:rsidRPr="00095A13">
              <w:rPr>
                <w:kern w:val="22"/>
                <w:szCs w:val="22"/>
                <w:lang w:val="fr-CA" w:eastAsia="en-CA"/>
              </w:rPr>
              <w:t>256</w:t>
            </w:r>
          </w:p>
        </w:tc>
      </w:tr>
      <w:tr w:rsidR="007B546B" w:rsidRPr="00095A13" w14:paraId="674975FC"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2131D76" w14:textId="0104E825" w:rsidR="007B546B" w:rsidRPr="00095A13" w:rsidRDefault="007B546B" w:rsidP="005066EB">
            <w:pPr>
              <w:jc w:val="right"/>
              <w:rPr>
                <w:kern w:val="22"/>
                <w:szCs w:val="22"/>
                <w:lang w:val="fr-CA" w:eastAsia="en-CA"/>
              </w:rPr>
            </w:pPr>
            <w:r>
              <w:rPr>
                <w:kern w:val="22"/>
                <w:szCs w:val="22"/>
                <w:lang w:val="fr-CA" w:eastAsia="en-CA"/>
              </w:rPr>
              <w:t>115</w:t>
            </w:r>
          </w:p>
        </w:tc>
        <w:tc>
          <w:tcPr>
            <w:tcW w:w="3966" w:type="dxa"/>
            <w:tcBorders>
              <w:top w:val="nil"/>
              <w:left w:val="nil"/>
              <w:bottom w:val="single" w:sz="4" w:space="0" w:color="auto"/>
              <w:right w:val="single" w:sz="4" w:space="0" w:color="auto"/>
            </w:tcBorders>
            <w:shd w:val="clear" w:color="auto" w:fill="auto"/>
            <w:vAlign w:val="center"/>
            <w:hideMark/>
          </w:tcPr>
          <w:p w14:paraId="025DE341" w14:textId="77777777" w:rsidR="007B546B" w:rsidRPr="00095A13" w:rsidRDefault="007B546B" w:rsidP="008A5D50">
            <w:pPr>
              <w:jc w:val="left"/>
              <w:rPr>
                <w:kern w:val="22"/>
                <w:szCs w:val="22"/>
                <w:lang w:val="fr-CA" w:eastAsia="en-CA"/>
              </w:rPr>
            </w:pPr>
            <w:r>
              <w:rPr>
                <w:kern w:val="22"/>
                <w:szCs w:val="22"/>
                <w:lang w:val="fr-CA" w:eastAsia="en-CA"/>
              </w:rPr>
              <w:t>Ou</w:t>
            </w:r>
            <w:r w:rsidRPr="00095A13">
              <w:rPr>
                <w:kern w:val="22"/>
                <w:szCs w:val="22"/>
                <w:lang w:val="fr-CA" w:eastAsia="en-CA"/>
              </w:rPr>
              <w:t>zb</w:t>
            </w:r>
            <w:r>
              <w:rPr>
                <w:kern w:val="22"/>
                <w:szCs w:val="22"/>
                <w:lang w:val="fr-CA" w:eastAsia="en-CA"/>
              </w:rPr>
              <w:t>é</w:t>
            </w:r>
            <w:r w:rsidRPr="00095A13">
              <w:rPr>
                <w:kern w:val="22"/>
                <w:szCs w:val="22"/>
                <w:lang w:val="fr-CA" w:eastAsia="en-CA"/>
              </w:rPr>
              <w:t>kistan</w:t>
            </w:r>
          </w:p>
        </w:tc>
        <w:tc>
          <w:tcPr>
            <w:tcW w:w="1605" w:type="dxa"/>
            <w:tcBorders>
              <w:top w:val="nil"/>
              <w:left w:val="nil"/>
              <w:bottom w:val="single" w:sz="4" w:space="0" w:color="auto"/>
              <w:right w:val="single" w:sz="4" w:space="0" w:color="auto"/>
            </w:tcBorders>
            <w:shd w:val="clear" w:color="auto" w:fill="auto"/>
            <w:vAlign w:val="center"/>
            <w:hideMark/>
          </w:tcPr>
          <w:p w14:paraId="66E3EE9B"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032</w:t>
            </w:r>
          </w:p>
        </w:tc>
        <w:tc>
          <w:tcPr>
            <w:tcW w:w="1610" w:type="dxa"/>
            <w:tcBorders>
              <w:top w:val="nil"/>
              <w:left w:val="nil"/>
              <w:bottom w:val="single" w:sz="4" w:space="0" w:color="auto"/>
              <w:right w:val="single" w:sz="4" w:space="0" w:color="auto"/>
            </w:tcBorders>
            <w:shd w:val="clear" w:color="auto" w:fill="auto"/>
            <w:vAlign w:val="center"/>
            <w:hideMark/>
          </w:tcPr>
          <w:p w14:paraId="5145A0C7"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046</w:t>
            </w:r>
          </w:p>
        </w:tc>
        <w:tc>
          <w:tcPr>
            <w:tcW w:w="1590" w:type="dxa"/>
            <w:tcBorders>
              <w:top w:val="nil"/>
              <w:left w:val="nil"/>
              <w:bottom w:val="single" w:sz="4" w:space="0" w:color="auto"/>
              <w:right w:val="single" w:sz="4" w:space="0" w:color="auto"/>
            </w:tcBorders>
            <w:shd w:val="clear" w:color="auto" w:fill="auto"/>
            <w:vAlign w:val="center"/>
            <w:hideMark/>
          </w:tcPr>
          <w:p w14:paraId="7735D56C" w14:textId="77777777" w:rsidR="007B546B" w:rsidRPr="00095A13" w:rsidRDefault="007B546B" w:rsidP="007B546B">
            <w:pPr>
              <w:ind w:right="144"/>
              <w:jc w:val="right"/>
              <w:rPr>
                <w:kern w:val="22"/>
                <w:szCs w:val="22"/>
                <w:lang w:val="fr-CA" w:eastAsia="en-CA"/>
              </w:rPr>
            </w:pPr>
            <w:r w:rsidRPr="00095A13">
              <w:rPr>
                <w:kern w:val="22"/>
                <w:szCs w:val="22"/>
                <w:lang w:val="fr-CA" w:eastAsia="en-CA"/>
              </w:rPr>
              <w:t>1 170</w:t>
            </w:r>
          </w:p>
        </w:tc>
      </w:tr>
      <w:tr w:rsidR="007B546B" w:rsidRPr="00095A13" w14:paraId="2ABCB279"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tcPr>
          <w:p w14:paraId="0840382A" w14:textId="27079B00" w:rsidR="007B546B" w:rsidRPr="00095A13" w:rsidRDefault="007B546B" w:rsidP="00541CDC">
            <w:pPr>
              <w:jc w:val="right"/>
              <w:rPr>
                <w:kern w:val="22"/>
                <w:szCs w:val="22"/>
                <w:lang w:val="fr-CA" w:eastAsia="en-CA"/>
              </w:rPr>
            </w:pPr>
            <w:r>
              <w:rPr>
                <w:kern w:val="22"/>
                <w:szCs w:val="22"/>
                <w:lang w:val="fr-CA" w:eastAsia="en-CA"/>
              </w:rPr>
              <w:t>116</w:t>
            </w:r>
          </w:p>
        </w:tc>
        <w:tc>
          <w:tcPr>
            <w:tcW w:w="3966" w:type="dxa"/>
            <w:tcBorders>
              <w:top w:val="nil"/>
              <w:left w:val="nil"/>
              <w:bottom w:val="single" w:sz="4" w:space="0" w:color="auto"/>
              <w:right w:val="single" w:sz="4" w:space="0" w:color="auto"/>
            </w:tcBorders>
            <w:shd w:val="clear" w:color="auto" w:fill="auto"/>
            <w:vAlign w:val="center"/>
            <w:hideMark/>
          </w:tcPr>
          <w:p w14:paraId="22B76127" w14:textId="77777777" w:rsidR="007B546B" w:rsidRPr="00095A13" w:rsidRDefault="007B546B" w:rsidP="00541CDC">
            <w:pPr>
              <w:jc w:val="left"/>
              <w:rPr>
                <w:kern w:val="22"/>
                <w:szCs w:val="22"/>
                <w:lang w:val="fr-CA" w:eastAsia="en-CA"/>
              </w:rPr>
            </w:pPr>
            <w:r w:rsidRPr="00095A13">
              <w:rPr>
                <w:kern w:val="22"/>
                <w:szCs w:val="22"/>
                <w:lang w:val="fr-CA" w:eastAsia="en-CA"/>
              </w:rPr>
              <w:t>Pakistan</w:t>
            </w:r>
          </w:p>
        </w:tc>
        <w:tc>
          <w:tcPr>
            <w:tcW w:w="1605" w:type="dxa"/>
            <w:tcBorders>
              <w:top w:val="nil"/>
              <w:left w:val="nil"/>
              <w:bottom w:val="single" w:sz="4" w:space="0" w:color="auto"/>
              <w:right w:val="single" w:sz="4" w:space="0" w:color="auto"/>
            </w:tcBorders>
            <w:shd w:val="clear" w:color="auto" w:fill="auto"/>
            <w:vAlign w:val="center"/>
            <w:hideMark/>
          </w:tcPr>
          <w:p w14:paraId="7016C9FD"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115</w:t>
            </w:r>
          </w:p>
        </w:tc>
        <w:tc>
          <w:tcPr>
            <w:tcW w:w="1610" w:type="dxa"/>
            <w:tcBorders>
              <w:top w:val="nil"/>
              <w:left w:val="nil"/>
              <w:bottom w:val="single" w:sz="4" w:space="0" w:color="auto"/>
              <w:right w:val="single" w:sz="4" w:space="0" w:color="auto"/>
            </w:tcBorders>
            <w:shd w:val="clear" w:color="auto" w:fill="auto"/>
            <w:vAlign w:val="center"/>
            <w:hideMark/>
          </w:tcPr>
          <w:p w14:paraId="354FF149"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164</w:t>
            </w:r>
          </w:p>
        </w:tc>
        <w:tc>
          <w:tcPr>
            <w:tcW w:w="1590" w:type="dxa"/>
            <w:tcBorders>
              <w:top w:val="nil"/>
              <w:left w:val="nil"/>
              <w:bottom w:val="single" w:sz="4" w:space="0" w:color="auto"/>
              <w:right w:val="single" w:sz="4" w:space="0" w:color="auto"/>
            </w:tcBorders>
            <w:shd w:val="clear" w:color="auto" w:fill="auto"/>
            <w:vAlign w:val="center"/>
            <w:hideMark/>
          </w:tcPr>
          <w:p w14:paraId="56E85975" w14:textId="77777777" w:rsidR="007B546B" w:rsidRPr="00095A13" w:rsidRDefault="007B546B" w:rsidP="007B546B">
            <w:pPr>
              <w:ind w:right="144"/>
              <w:jc w:val="right"/>
              <w:rPr>
                <w:kern w:val="22"/>
                <w:szCs w:val="22"/>
                <w:lang w:val="fr-CA" w:eastAsia="en-CA"/>
              </w:rPr>
            </w:pPr>
            <w:r w:rsidRPr="00095A13">
              <w:rPr>
                <w:kern w:val="22"/>
                <w:szCs w:val="22"/>
                <w:lang w:val="fr-CA" w:eastAsia="en-CA"/>
              </w:rPr>
              <w:t>4 203</w:t>
            </w:r>
          </w:p>
        </w:tc>
      </w:tr>
      <w:tr w:rsidR="007B546B" w:rsidRPr="00095A13" w14:paraId="4DABBCCD"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tcPr>
          <w:p w14:paraId="2417A50C" w14:textId="399499F8" w:rsidR="007B546B" w:rsidRPr="00095A13" w:rsidRDefault="007B546B" w:rsidP="00541CDC">
            <w:pPr>
              <w:jc w:val="right"/>
              <w:rPr>
                <w:kern w:val="22"/>
                <w:szCs w:val="22"/>
                <w:lang w:val="fr-CA" w:eastAsia="en-CA"/>
              </w:rPr>
            </w:pPr>
            <w:r>
              <w:rPr>
                <w:kern w:val="22"/>
                <w:szCs w:val="22"/>
                <w:lang w:val="fr-CA" w:eastAsia="en-CA"/>
              </w:rPr>
              <w:t>117</w:t>
            </w:r>
          </w:p>
        </w:tc>
        <w:tc>
          <w:tcPr>
            <w:tcW w:w="3966" w:type="dxa"/>
            <w:tcBorders>
              <w:top w:val="nil"/>
              <w:left w:val="nil"/>
              <w:bottom w:val="single" w:sz="4" w:space="0" w:color="auto"/>
              <w:right w:val="single" w:sz="4" w:space="0" w:color="auto"/>
            </w:tcBorders>
            <w:shd w:val="clear" w:color="auto" w:fill="auto"/>
            <w:vAlign w:val="center"/>
            <w:hideMark/>
          </w:tcPr>
          <w:p w14:paraId="3A239613" w14:textId="77777777" w:rsidR="007B546B" w:rsidRPr="00095A13" w:rsidRDefault="007B546B" w:rsidP="00541CDC">
            <w:pPr>
              <w:jc w:val="left"/>
              <w:rPr>
                <w:kern w:val="22"/>
                <w:szCs w:val="22"/>
                <w:lang w:val="fr-CA" w:eastAsia="en-CA"/>
              </w:rPr>
            </w:pPr>
            <w:r w:rsidRPr="00095A13">
              <w:rPr>
                <w:kern w:val="22"/>
                <w:szCs w:val="22"/>
                <w:lang w:val="fr-CA" w:eastAsia="en-CA"/>
              </w:rPr>
              <w:t>Palau</w:t>
            </w:r>
          </w:p>
        </w:tc>
        <w:tc>
          <w:tcPr>
            <w:tcW w:w="1605" w:type="dxa"/>
            <w:tcBorders>
              <w:top w:val="nil"/>
              <w:left w:val="nil"/>
              <w:bottom w:val="single" w:sz="4" w:space="0" w:color="auto"/>
              <w:right w:val="single" w:sz="4" w:space="0" w:color="auto"/>
            </w:tcBorders>
            <w:shd w:val="clear" w:color="auto" w:fill="auto"/>
            <w:vAlign w:val="center"/>
            <w:hideMark/>
          </w:tcPr>
          <w:p w14:paraId="02413325"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001</w:t>
            </w:r>
          </w:p>
        </w:tc>
        <w:tc>
          <w:tcPr>
            <w:tcW w:w="1610" w:type="dxa"/>
            <w:tcBorders>
              <w:top w:val="nil"/>
              <w:left w:val="nil"/>
              <w:bottom w:val="single" w:sz="4" w:space="0" w:color="auto"/>
              <w:right w:val="single" w:sz="4" w:space="0" w:color="auto"/>
            </w:tcBorders>
            <w:shd w:val="clear" w:color="auto" w:fill="auto"/>
            <w:vAlign w:val="center"/>
            <w:hideMark/>
          </w:tcPr>
          <w:p w14:paraId="1A53B68F"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001</w:t>
            </w:r>
          </w:p>
        </w:tc>
        <w:tc>
          <w:tcPr>
            <w:tcW w:w="1590" w:type="dxa"/>
            <w:tcBorders>
              <w:top w:val="nil"/>
              <w:left w:val="nil"/>
              <w:bottom w:val="single" w:sz="4" w:space="0" w:color="auto"/>
              <w:right w:val="single" w:sz="4" w:space="0" w:color="auto"/>
            </w:tcBorders>
            <w:shd w:val="clear" w:color="auto" w:fill="auto"/>
            <w:vAlign w:val="center"/>
            <w:hideMark/>
          </w:tcPr>
          <w:p w14:paraId="188F548F" w14:textId="77777777" w:rsidR="007B546B" w:rsidRPr="00095A13" w:rsidRDefault="007B546B" w:rsidP="007B546B">
            <w:pPr>
              <w:ind w:right="144"/>
              <w:jc w:val="right"/>
              <w:rPr>
                <w:kern w:val="22"/>
                <w:szCs w:val="22"/>
                <w:lang w:val="fr-CA" w:eastAsia="en-CA"/>
              </w:rPr>
            </w:pPr>
            <w:r w:rsidRPr="00095A13">
              <w:rPr>
                <w:kern w:val="22"/>
                <w:szCs w:val="22"/>
                <w:lang w:val="fr-CA" w:eastAsia="en-CA"/>
              </w:rPr>
              <w:t>37</w:t>
            </w:r>
          </w:p>
        </w:tc>
      </w:tr>
      <w:tr w:rsidR="007B546B" w:rsidRPr="00095A13" w14:paraId="06ECCFF5"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tcPr>
          <w:p w14:paraId="5076EFEB" w14:textId="7B5D6FC2" w:rsidR="007B546B" w:rsidRPr="00095A13" w:rsidRDefault="007B546B" w:rsidP="00541CDC">
            <w:pPr>
              <w:jc w:val="right"/>
              <w:rPr>
                <w:kern w:val="22"/>
                <w:szCs w:val="22"/>
                <w:lang w:val="fr-CA" w:eastAsia="en-CA"/>
              </w:rPr>
            </w:pPr>
            <w:r>
              <w:rPr>
                <w:kern w:val="22"/>
                <w:szCs w:val="22"/>
                <w:lang w:val="fr-CA" w:eastAsia="en-CA"/>
              </w:rPr>
              <w:t>118</w:t>
            </w:r>
          </w:p>
        </w:tc>
        <w:tc>
          <w:tcPr>
            <w:tcW w:w="3966" w:type="dxa"/>
            <w:tcBorders>
              <w:top w:val="nil"/>
              <w:left w:val="nil"/>
              <w:bottom w:val="single" w:sz="4" w:space="0" w:color="auto"/>
              <w:right w:val="single" w:sz="4" w:space="0" w:color="auto"/>
            </w:tcBorders>
            <w:shd w:val="clear" w:color="auto" w:fill="auto"/>
            <w:vAlign w:val="center"/>
            <w:hideMark/>
          </w:tcPr>
          <w:p w14:paraId="7DDEF657" w14:textId="77777777" w:rsidR="007B546B" w:rsidRPr="00095A13" w:rsidRDefault="007B546B" w:rsidP="00541CDC">
            <w:pPr>
              <w:jc w:val="left"/>
              <w:rPr>
                <w:kern w:val="22"/>
                <w:szCs w:val="22"/>
                <w:lang w:val="fr-CA" w:eastAsia="en-CA"/>
              </w:rPr>
            </w:pPr>
            <w:r w:rsidRPr="00095A13">
              <w:rPr>
                <w:kern w:val="22"/>
                <w:szCs w:val="22"/>
                <w:lang w:val="fr-CA" w:eastAsia="en-CA"/>
              </w:rPr>
              <w:t>Panama</w:t>
            </w:r>
          </w:p>
        </w:tc>
        <w:tc>
          <w:tcPr>
            <w:tcW w:w="1605" w:type="dxa"/>
            <w:tcBorders>
              <w:top w:val="nil"/>
              <w:left w:val="nil"/>
              <w:bottom w:val="single" w:sz="4" w:space="0" w:color="auto"/>
              <w:right w:val="single" w:sz="4" w:space="0" w:color="auto"/>
            </w:tcBorders>
            <w:shd w:val="clear" w:color="auto" w:fill="auto"/>
            <w:vAlign w:val="center"/>
            <w:hideMark/>
          </w:tcPr>
          <w:p w14:paraId="6D9D5DFD"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045</w:t>
            </w:r>
          </w:p>
        </w:tc>
        <w:tc>
          <w:tcPr>
            <w:tcW w:w="1610" w:type="dxa"/>
            <w:tcBorders>
              <w:top w:val="nil"/>
              <w:left w:val="nil"/>
              <w:bottom w:val="single" w:sz="4" w:space="0" w:color="auto"/>
              <w:right w:val="single" w:sz="4" w:space="0" w:color="auto"/>
            </w:tcBorders>
            <w:shd w:val="clear" w:color="auto" w:fill="auto"/>
            <w:vAlign w:val="center"/>
            <w:hideMark/>
          </w:tcPr>
          <w:p w14:paraId="492BB2D0"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064</w:t>
            </w:r>
          </w:p>
        </w:tc>
        <w:tc>
          <w:tcPr>
            <w:tcW w:w="1590" w:type="dxa"/>
            <w:tcBorders>
              <w:top w:val="nil"/>
              <w:left w:val="nil"/>
              <w:bottom w:val="single" w:sz="4" w:space="0" w:color="auto"/>
              <w:right w:val="single" w:sz="4" w:space="0" w:color="auto"/>
            </w:tcBorders>
            <w:shd w:val="clear" w:color="auto" w:fill="auto"/>
            <w:vAlign w:val="center"/>
            <w:hideMark/>
          </w:tcPr>
          <w:p w14:paraId="2C77B1CD" w14:textId="77777777" w:rsidR="007B546B" w:rsidRPr="00095A13" w:rsidRDefault="007B546B" w:rsidP="007B546B">
            <w:pPr>
              <w:ind w:right="144"/>
              <w:jc w:val="right"/>
              <w:rPr>
                <w:kern w:val="22"/>
                <w:szCs w:val="22"/>
                <w:lang w:val="fr-CA" w:eastAsia="en-CA"/>
              </w:rPr>
            </w:pPr>
            <w:r w:rsidRPr="00095A13">
              <w:rPr>
                <w:kern w:val="22"/>
                <w:szCs w:val="22"/>
                <w:lang w:val="fr-CA" w:eastAsia="en-CA"/>
              </w:rPr>
              <w:t>1 645</w:t>
            </w:r>
          </w:p>
        </w:tc>
      </w:tr>
      <w:tr w:rsidR="007B546B" w:rsidRPr="00095A13" w14:paraId="0357F766"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tcPr>
          <w:p w14:paraId="45F28C3F" w14:textId="60D4F119" w:rsidR="007B546B" w:rsidRPr="00095A13" w:rsidRDefault="007B546B" w:rsidP="00541CDC">
            <w:pPr>
              <w:jc w:val="right"/>
              <w:rPr>
                <w:kern w:val="22"/>
                <w:szCs w:val="22"/>
                <w:lang w:val="fr-CA" w:eastAsia="en-CA"/>
              </w:rPr>
            </w:pPr>
            <w:r>
              <w:rPr>
                <w:kern w:val="22"/>
                <w:szCs w:val="22"/>
                <w:lang w:val="fr-CA" w:eastAsia="en-CA"/>
              </w:rPr>
              <w:t>119</w:t>
            </w:r>
          </w:p>
        </w:tc>
        <w:tc>
          <w:tcPr>
            <w:tcW w:w="3966" w:type="dxa"/>
            <w:tcBorders>
              <w:top w:val="nil"/>
              <w:left w:val="nil"/>
              <w:bottom w:val="single" w:sz="4" w:space="0" w:color="auto"/>
              <w:right w:val="single" w:sz="4" w:space="0" w:color="auto"/>
            </w:tcBorders>
            <w:shd w:val="clear" w:color="auto" w:fill="auto"/>
            <w:vAlign w:val="center"/>
            <w:hideMark/>
          </w:tcPr>
          <w:p w14:paraId="04FB271B" w14:textId="77777777" w:rsidR="007B546B" w:rsidRPr="00095A13" w:rsidRDefault="007B546B" w:rsidP="00541CDC">
            <w:pPr>
              <w:jc w:val="left"/>
              <w:rPr>
                <w:kern w:val="22"/>
                <w:szCs w:val="22"/>
                <w:lang w:val="fr-CA" w:eastAsia="en-CA"/>
              </w:rPr>
            </w:pPr>
            <w:r>
              <w:rPr>
                <w:kern w:val="22"/>
                <w:szCs w:val="22"/>
                <w:lang w:val="fr-CA" w:eastAsia="en-CA"/>
              </w:rPr>
              <w:t>Papouasie-Nouvelle-Guinée</w:t>
            </w:r>
          </w:p>
        </w:tc>
        <w:tc>
          <w:tcPr>
            <w:tcW w:w="1605" w:type="dxa"/>
            <w:tcBorders>
              <w:top w:val="nil"/>
              <w:left w:val="nil"/>
              <w:bottom w:val="single" w:sz="4" w:space="0" w:color="auto"/>
              <w:right w:val="single" w:sz="4" w:space="0" w:color="auto"/>
            </w:tcBorders>
            <w:shd w:val="clear" w:color="auto" w:fill="auto"/>
            <w:vAlign w:val="center"/>
            <w:hideMark/>
          </w:tcPr>
          <w:p w14:paraId="3217DE99"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010</w:t>
            </w:r>
          </w:p>
        </w:tc>
        <w:tc>
          <w:tcPr>
            <w:tcW w:w="1610" w:type="dxa"/>
            <w:tcBorders>
              <w:top w:val="nil"/>
              <w:left w:val="nil"/>
              <w:bottom w:val="single" w:sz="4" w:space="0" w:color="auto"/>
              <w:right w:val="single" w:sz="4" w:space="0" w:color="auto"/>
            </w:tcBorders>
            <w:shd w:val="clear" w:color="auto" w:fill="auto"/>
            <w:vAlign w:val="center"/>
            <w:hideMark/>
          </w:tcPr>
          <w:p w14:paraId="58C3585D"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014</w:t>
            </w:r>
          </w:p>
        </w:tc>
        <w:tc>
          <w:tcPr>
            <w:tcW w:w="1590" w:type="dxa"/>
            <w:tcBorders>
              <w:top w:val="nil"/>
              <w:left w:val="nil"/>
              <w:bottom w:val="single" w:sz="4" w:space="0" w:color="auto"/>
              <w:right w:val="single" w:sz="4" w:space="0" w:color="auto"/>
            </w:tcBorders>
            <w:shd w:val="clear" w:color="auto" w:fill="auto"/>
            <w:vAlign w:val="center"/>
            <w:hideMark/>
          </w:tcPr>
          <w:p w14:paraId="5921DE3F" w14:textId="77777777" w:rsidR="007B546B" w:rsidRPr="00095A13" w:rsidRDefault="007B546B" w:rsidP="007B546B">
            <w:pPr>
              <w:ind w:right="144"/>
              <w:jc w:val="right"/>
              <w:rPr>
                <w:kern w:val="22"/>
                <w:szCs w:val="22"/>
                <w:lang w:val="fr-CA" w:eastAsia="en-CA"/>
              </w:rPr>
            </w:pPr>
            <w:r w:rsidRPr="00095A13">
              <w:rPr>
                <w:kern w:val="22"/>
                <w:szCs w:val="22"/>
                <w:lang w:val="fr-CA" w:eastAsia="en-CA"/>
              </w:rPr>
              <w:t>365</w:t>
            </w:r>
          </w:p>
        </w:tc>
      </w:tr>
      <w:tr w:rsidR="007B546B" w:rsidRPr="00095A13" w14:paraId="741FE20B"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tcPr>
          <w:p w14:paraId="60BAB5BB" w14:textId="72F9BF80" w:rsidR="007B546B" w:rsidRPr="00095A13" w:rsidRDefault="007B546B" w:rsidP="00541CDC">
            <w:pPr>
              <w:jc w:val="right"/>
              <w:rPr>
                <w:kern w:val="22"/>
                <w:szCs w:val="22"/>
                <w:lang w:val="fr-CA" w:eastAsia="en-CA"/>
              </w:rPr>
            </w:pPr>
            <w:r>
              <w:rPr>
                <w:kern w:val="22"/>
                <w:szCs w:val="22"/>
                <w:lang w:val="fr-CA" w:eastAsia="en-CA"/>
              </w:rPr>
              <w:t>120</w:t>
            </w:r>
          </w:p>
        </w:tc>
        <w:tc>
          <w:tcPr>
            <w:tcW w:w="3966" w:type="dxa"/>
            <w:tcBorders>
              <w:top w:val="nil"/>
              <w:left w:val="nil"/>
              <w:bottom w:val="single" w:sz="4" w:space="0" w:color="auto"/>
              <w:right w:val="single" w:sz="4" w:space="0" w:color="auto"/>
            </w:tcBorders>
            <w:shd w:val="clear" w:color="auto" w:fill="auto"/>
            <w:vAlign w:val="center"/>
            <w:hideMark/>
          </w:tcPr>
          <w:p w14:paraId="75DAB12E" w14:textId="77777777" w:rsidR="007B546B" w:rsidRPr="00095A13" w:rsidRDefault="007B546B" w:rsidP="00541CDC">
            <w:pPr>
              <w:jc w:val="left"/>
              <w:rPr>
                <w:kern w:val="22"/>
                <w:szCs w:val="22"/>
                <w:lang w:val="fr-CA" w:eastAsia="en-CA"/>
              </w:rPr>
            </w:pPr>
            <w:r w:rsidRPr="00095A13">
              <w:rPr>
                <w:kern w:val="22"/>
                <w:szCs w:val="22"/>
                <w:lang w:val="fr-CA" w:eastAsia="en-CA"/>
              </w:rPr>
              <w:t>Paraguay</w:t>
            </w:r>
          </w:p>
        </w:tc>
        <w:tc>
          <w:tcPr>
            <w:tcW w:w="1605" w:type="dxa"/>
            <w:tcBorders>
              <w:top w:val="nil"/>
              <w:left w:val="nil"/>
              <w:bottom w:val="single" w:sz="4" w:space="0" w:color="auto"/>
              <w:right w:val="single" w:sz="4" w:space="0" w:color="auto"/>
            </w:tcBorders>
            <w:shd w:val="clear" w:color="auto" w:fill="auto"/>
            <w:vAlign w:val="center"/>
            <w:hideMark/>
          </w:tcPr>
          <w:p w14:paraId="61CC2147"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016</w:t>
            </w:r>
          </w:p>
        </w:tc>
        <w:tc>
          <w:tcPr>
            <w:tcW w:w="1610" w:type="dxa"/>
            <w:tcBorders>
              <w:top w:val="nil"/>
              <w:left w:val="nil"/>
              <w:bottom w:val="single" w:sz="4" w:space="0" w:color="auto"/>
              <w:right w:val="single" w:sz="4" w:space="0" w:color="auto"/>
            </w:tcBorders>
            <w:shd w:val="clear" w:color="auto" w:fill="auto"/>
            <w:vAlign w:val="center"/>
            <w:hideMark/>
          </w:tcPr>
          <w:p w14:paraId="6F258C76"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023</w:t>
            </w:r>
          </w:p>
        </w:tc>
        <w:tc>
          <w:tcPr>
            <w:tcW w:w="1590" w:type="dxa"/>
            <w:tcBorders>
              <w:top w:val="nil"/>
              <w:left w:val="nil"/>
              <w:bottom w:val="single" w:sz="4" w:space="0" w:color="auto"/>
              <w:right w:val="single" w:sz="4" w:space="0" w:color="auto"/>
            </w:tcBorders>
            <w:shd w:val="clear" w:color="auto" w:fill="auto"/>
            <w:vAlign w:val="center"/>
            <w:hideMark/>
          </w:tcPr>
          <w:p w14:paraId="0E8A8BBF" w14:textId="77777777" w:rsidR="007B546B" w:rsidRPr="00095A13" w:rsidRDefault="007B546B" w:rsidP="007B546B">
            <w:pPr>
              <w:ind w:right="144"/>
              <w:jc w:val="right"/>
              <w:rPr>
                <w:kern w:val="22"/>
                <w:szCs w:val="22"/>
                <w:lang w:val="fr-CA" w:eastAsia="en-CA"/>
              </w:rPr>
            </w:pPr>
            <w:r w:rsidRPr="00095A13">
              <w:rPr>
                <w:kern w:val="22"/>
                <w:szCs w:val="22"/>
                <w:lang w:val="fr-CA" w:eastAsia="en-CA"/>
              </w:rPr>
              <w:t>585</w:t>
            </w:r>
          </w:p>
        </w:tc>
      </w:tr>
      <w:tr w:rsidR="007B546B" w:rsidRPr="00095A13" w14:paraId="4493BAB6"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62FC107" w14:textId="61628AA1" w:rsidR="007B546B" w:rsidRPr="00095A13" w:rsidRDefault="007B546B" w:rsidP="00120F79">
            <w:pPr>
              <w:jc w:val="right"/>
              <w:rPr>
                <w:kern w:val="22"/>
                <w:szCs w:val="22"/>
                <w:lang w:val="fr-CA" w:eastAsia="en-CA"/>
              </w:rPr>
            </w:pPr>
            <w:r>
              <w:rPr>
                <w:kern w:val="22"/>
                <w:szCs w:val="22"/>
                <w:lang w:val="fr-CA" w:eastAsia="en-CA"/>
              </w:rPr>
              <w:t>121</w:t>
            </w:r>
          </w:p>
        </w:tc>
        <w:tc>
          <w:tcPr>
            <w:tcW w:w="3966" w:type="dxa"/>
            <w:tcBorders>
              <w:top w:val="nil"/>
              <w:left w:val="nil"/>
              <w:bottom w:val="single" w:sz="4" w:space="0" w:color="auto"/>
              <w:right w:val="single" w:sz="4" w:space="0" w:color="auto"/>
            </w:tcBorders>
            <w:shd w:val="clear" w:color="auto" w:fill="auto"/>
            <w:vAlign w:val="center"/>
            <w:hideMark/>
          </w:tcPr>
          <w:p w14:paraId="710CD4EC" w14:textId="77777777" w:rsidR="007B546B" w:rsidRPr="00095A13" w:rsidRDefault="007B546B" w:rsidP="00120F79">
            <w:pPr>
              <w:jc w:val="left"/>
              <w:rPr>
                <w:kern w:val="22"/>
                <w:szCs w:val="22"/>
                <w:lang w:val="fr-CA" w:eastAsia="en-CA"/>
              </w:rPr>
            </w:pPr>
            <w:r>
              <w:rPr>
                <w:kern w:val="22"/>
                <w:szCs w:val="22"/>
                <w:lang w:val="fr-CA" w:eastAsia="en-CA"/>
              </w:rPr>
              <w:t>Pays-Bas</w:t>
            </w:r>
          </w:p>
        </w:tc>
        <w:tc>
          <w:tcPr>
            <w:tcW w:w="1605" w:type="dxa"/>
            <w:tcBorders>
              <w:top w:val="nil"/>
              <w:left w:val="nil"/>
              <w:bottom w:val="single" w:sz="4" w:space="0" w:color="auto"/>
              <w:right w:val="single" w:sz="4" w:space="0" w:color="auto"/>
            </w:tcBorders>
            <w:shd w:val="clear" w:color="auto" w:fill="auto"/>
            <w:vAlign w:val="center"/>
            <w:hideMark/>
          </w:tcPr>
          <w:p w14:paraId="14516875" w14:textId="77777777" w:rsidR="007B546B" w:rsidRPr="00095A13" w:rsidRDefault="007B546B" w:rsidP="007B546B">
            <w:pPr>
              <w:ind w:right="144"/>
              <w:jc w:val="right"/>
              <w:rPr>
                <w:kern w:val="22"/>
                <w:szCs w:val="22"/>
                <w:lang w:val="fr-CA" w:eastAsia="en-CA"/>
              </w:rPr>
            </w:pPr>
            <w:r w:rsidRPr="00095A13">
              <w:rPr>
                <w:kern w:val="22"/>
                <w:szCs w:val="22"/>
                <w:lang w:val="fr-CA" w:eastAsia="en-CA"/>
              </w:rPr>
              <w:t>1</w:t>
            </w:r>
            <w:r>
              <w:rPr>
                <w:kern w:val="22"/>
                <w:szCs w:val="22"/>
                <w:lang w:val="fr-CA" w:eastAsia="en-CA"/>
              </w:rPr>
              <w:t>,</w:t>
            </w:r>
            <w:r w:rsidRPr="00095A13">
              <w:rPr>
                <w:kern w:val="22"/>
                <w:szCs w:val="22"/>
                <w:lang w:val="fr-CA" w:eastAsia="en-CA"/>
              </w:rPr>
              <w:t>356</w:t>
            </w:r>
          </w:p>
        </w:tc>
        <w:tc>
          <w:tcPr>
            <w:tcW w:w="1610" w:type="dxa"/>
            <w:tcBorders>
              <w:top w:val="nil"/>
              <w:left w:val="nil"/>
              <w:bottom w:val="single" w:sz="4" w:space="0" w:color="auto"/>
              <w:right w:val="single" w:sz="4" w:space="0" w:color="auto"/>
            </w:tcBorders>
            <w:shd w:val="clear" w:color="auto" w:fill="auto"/>
            <w:vAlign w:val="center"/>
            <w:hideMark/>
          </w:tcPr>
          <w:p w14:paraId="12211AC3" w14:textId="77777777" w:rsidR="007B546B" w:rsidRPr="00095A13" w:rsidRDefault="007B546B" w:rsidP="007B546B">
            <w:pPr>
              <w:ind w:right="144"/>
              <w:jc w:val="right"/>
              <w:rPr>
                <w:kern w:val="22"/>
                <w:szCs w:val="22"/>
                <w:lang w:val="fr-CA" w:eastAsia="en-CA"/>
              </w:rPr>
            </w:pPr>
            <w:r w:rsidRPr="00095A13">
              <w:rPr>
                <w:kern w:val="22"/>
                <w:szCs w:val="22"/>
                <w:lang w:val="fr-CA" w:eastAsia="en-CA"/>
              </w:rPr>
              <w:t>1</w:t>
            </w:r>
            <w:r>
              <w:rPr>
                <w:kern w:val="22"/>
                <w:szCs w:val="22"/>
                <w:lang w:val="fr-CA" w:eastAsia="en-CA"/>
              </w:rPr>
              <w:t>,</w:t>
            </w:r>
            <w:r w:rsidRPr="00095A13">
              <w:rPr>
                <w:kern w:val="22"/>
                <w:szCs w:val="22"/>
                <w:lang w:val="fr-CA" w:eastAsia="en-CA"/>
              </w:rPr>
              <w:t>937</w:t>
            </w:r>
          </w:p>
        </w:tc>
        <w:tc>
          <w:tcPr>
            <w:tcW w:w="1590" w:type="dxa"/>
            <w:tcBorders>
              <w:top w:val="nil"/>
              <w:left w:val="nil"/>
              <w:bottom w:val="single" w:sz="4" w:space="0" w:color="auto"/>
              <w:right w:val="single" w:sz="4" w:space="0" w:color="auto"/>
            </w:tcBorders>
            <w:shd w:val="clear" w:color="auto" w:fill="auto"/>
            <w:vAlign w:val="center"/>
            <w:hideMark/>
          </w:tcPr>
          <w:p w14:paraId="1B0C5E8B" w14:textId="77777777" w:rsidR="007B546B" w:rsidRPr="00095A13" w:rsidRDefault="007B546B" w:rsidP="007B546B">
            <w:pPr>
              <w:ind w:right="144"/>
              <w:jc w:val="right"/>
              <w:rPr>
                <w:kern w:val="22"/>
                <w:szCs w:val="22"/>
                <w:lang w:val="fr-CA" w:eastAsia="en-CA"/>
              </w:rPr>
            </w:pPr>
            <w:r w:rsidRPr="00095A13">
              <w:rPr>
                <w:kern w:val="22"/>
                <w:szCs w:val="22"/>
                <w:lang w:val="fr-CA" w:eastAsia="en-CA"/>
              </w:rPr>
              <w:t>49 560</w:t>
            </w:r>
          </w:p>
        </w:tc>
      </w:tr>
      <w:tr w:rsidR="007B546B" w:rsidRPr="00095A13" w14:paraId="690A4006"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tcPr>
          <w:p w14:paraId="726EA524" w14:textId="20D914B5" w:rsidR="007B546B" w:rsidRPr="00095A13" w:rsidRDefault="007B546B" w:rsidP="00541CDC">
            <w:pPr>
              <w:jc w:val="right"/>
              <w:rPr>
                <w:kern w:val="22"/>
                <w:szCs w:val="22"/>
                <w:lang w:val="fr-CA" w:eastAsia="en-CA"/>
              </w:rPr>
            </w:pPr>
            <w:r>
              <w:rPr>
                <w:kern w:val="22"/>
                <w:szCs w:val="22"/>
                <w:lang w:val="fr-CA" w:eastAsia="en-CA"/>
              </w:rPr>
              <w:t>122</w:t>
            </w:r>
          </w:p>
        </w:tc>
        <w:tc>
          <w:tcPr>
            <w:tcW w:w="3966" w:type="dxa"/>
            <w:tcBorders>
              <w:top w:val="nil"/>
              <w:left w:val="nil"/>
              <w:bottom w:val="single" w:sz="4" w:space="0" w:color="auto"/>
              <w:right w:val="single" w:sz="4" w:space="0" w:color="auto"/>
            </w:tcBorders>
            <w:shd w:val="clear" w:color="auto" w:fill="auto"/>
            <w:vAlign w:val="center"/>
            <w:hideMark/>
          </w:tcPr>
          <w:p w14:paraId="19C24BCB" w14:textId="77777777" w:rsidR="007B546B" w:rsidRPr="00095A13" w:rsidRDefault="007B546B" w:rsidP="00541CDC">
            <w:pPr>
              <w:jc w:val="left"/>
              <w:rPr>
                <w:kern w:val="22"/>
                <w:szCs w:val="22"/>
                <w:lang w:val="fr-CA" w:eastAsia="en-CA"/>
              </w:rPr>
            </w:pPr>
            <w:r>
              <w:rPr>
                <w:kern w:val="22"/>
                <w:szCs w:val="22"/>
                <w:lang w:val="fr-CA" w:eastAsia="en-CA"/>
              </w:rPr>
              <w:t>Pérou</w:t>
            </w:r>
          </w:p>
        </w:tc>
        <w:tc>
          <w:tcPr>
            <w:tcW w:w="1605" w:type="dxa"/>
            <w:tcBorders>
              <w:top w:val="nil"/>
              <w:left w:val="nil"/>
              <w:bottom w:val="single" w:sz="4" w:space="0" w:color="auto"/>
              <w:right w:val="single" w:sz="4" w:space="0" w:color="auto"/>
            </w:tcBorders>
            <w:shd w:val="clear" w:color="auto" w:fill="auto"/>
            <w:vAlign w:val="center"/>
            <w:hideMark/>
          </w:tcPr>
          <w:p w14:paraId="4DE26C02"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152</w:t>
            </w:r>
          </w:p>
        </w:tc>
        <w:tc>
          <w:tcPr>
            <w:tcW w:w="1610" w:type="dxa"/>
            <w:tcBorders>
              <w:top w:val="nil"/>
              <w:left w:val="nil"/>
              <w:bottom w:val="single" w:sz="4" w:space="0" w:color="auto"/>
              <w:right w:val="single" w:sz="4" w:space="0" w:color="auto"/>
            </w:tcBorders>
            <w:shd w:val="clear" w:color="auto" w:fill="auto"/>
            <w:vAlign w:val="center"/>
            <w:hideMark/>
          </w:tcPr>
          <w:p w14:paraId="02566A96"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217</w:t>
            </w:r>
          </w:p>
        </w:tc>
        <w:tc>
          <w:tcPr>
            <w:tcW w:w="1590" w:type="dxa"/>
            <w:tcBorders>
              <w:top w:val="nil"/>
              <w:left w:val="nil"/>
              <w:bottom w:val="single" w:sz="4" w:space="0" w:color="auto"/>
              <w:right w:val="single" w:sz="4" w:space="0" w:color="auto"/>
            </w:tcBorders>
            <w:shd w:val="clear" w:color="auto" w:fill="auto"/>
            <w:vAlign w:val="center"/>
            <w:hideMark/>
          </w:tcPr>
          <w:p w14:paraId="4843B882" w14:textId="77777777" w:rsidR="007B546B" w:rsidRPr="00095A13" w:rsidRDefault="007B546B" w:rsidP="007B546B">
            <w:pPr>
              <w:ind w:right="144"/>
              <w:jc w:val="right"/>
              <w:rPr>
                <w:kern w:val="22"/>
                <w:szCs w:val="22"/>
                <w:lang w:val="fr-CA" w:eastAsia="en-CA"/>
              </w:rPr>
            </w:pPr>
            <w:r w:rsidRPr="00095A13">
              <w:rPr>
                <w:kern w:val="22"/>
                <w:szCs w:val="22"/>
                <w:lang w:val="fr-CA" w:eastAsia="en-CA"/>
              </w:rPr>
              <w:t>5 555</w:t>
            </w:r>
          </w:p>
        </w:tc>
      </w:tr>
      <w:tr w:rsidR="007B546B" w:rsidRPr="00095A13" w14:paraId="1E686243"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tcPr>
          <w:p w14:paraId="49470D22" w14:textId="5E7B286E" w:rsidR="007B546B" w:rsidRPr="00095A13" w:rsidRDefault="007B546B" w:rsidP="00541CDC">
            <w:pPr>
              <w:jc w:val="right"/>
              <w:rPr>
                <w:kern w:val="22"/>
                <w:szCs w:val="22"/>
                <w:lang w:val="fr-CA" w:eastAsia="en-CA"/>
              </w:rPr>
            </w:pPr>
            <w:r>
              <w:rPr>
                <w:kern w:val="22"/>
                <w:szCs w:val="22"/>
                <w:lang w:val="fr-CA" w:eastAsia="en-CA"/>
              </w:rPr>
              <w:t>123</w:t>
            </w:r>
          </w:p>
        </w:tc>
        <w:tc>
          <w:tcPr>
            <w:tcW w:w="3966" w:type="dxa"/>
            <w:tcBorders>
              <w:top w:val="nil"/>
              <w:left w:val="nil"/>
              <w:bottom w:val="single" w:sz="4" w:space="0" w:color="auto"/>
              <w:right w:val="single" w:sz="4" w:space="0" w:color="auto"/>
            </w:tcBorders>
            <w:shd w:val="clear" w:color="auto" w:fill="auto"/>
            <w:vAlign w:val="center"/>
            <w:hideMark/>
          </w:tcPr>
          <w:p w14:paraId="45CF9ADB" w14:textId="77777777" w:rsidR="007B546B" w:rsidRPr="00095A13" w:rsidRDefault="007B546B" w:rsidP="00541CDC">
            <w:pPr>
              <w:jc w:val="left"/>
              <w:rPr>
                <w:kern w:val="22"/>
                <w:szCs w:val="22"/>
                <w:lang w:val="fr-CA" w:eastAsia="en-CA"/>
              </w:rPr>
            </w:pPr>
            <w:r w:rsidRPr="00095A13">
              <w:rPr>
                <w:kern w:val="22"/>
                <w:szCs w:val="22"/>
                <w:lang w:val="fr-CA" w:eastAsia="en-CA"/>
              </w:rPr>
              <w:t>Philippines</w:t>
            </w:r>
          </w:p>
        </w:tc>
        <w:tc>
          <w:tcPr>
            <w:tcW w:w="1605" w:type="dxa"/>
            <w:tcBorders>
              <w:top w:val="nil"/>
              <w:left w:val="nil"/>
              <w:bottom w:val="single" w:sz="4" w:space="0" w:color="auto"/>
              <w:right w:val="single" w:sz="4" w:space="0" w:color="auto"/>
            </w:tcBorders>
            <w:shd w:val="clear" w:color="auto" w:fill="auto"/>
            <w:vAlign w:val="center"/>
            <w:hideMark/>
          </w:tcPr>
          <w:p w14:paraId="4874A4AA"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205</w:t>
            </w:r>
          </w:p>
        </w:tc>
        <w:tc>
          <w:tcPr>
            <w:tcW w:w="1610" w:type="dxa"/>
            <w:tcBorders>
              <w:top w:val="nil"/>
              <w:left w:val="nil"/>
              <w:bottom w:val="single" w:sz="4" w:space="0" w:color="auto"/>
              <w:right w:val="single" w:sz="4" w:space="0" w:color="auto"/>
            </w:tcBorders>
            <w:shd w:val="clear" w:color="auto" w:fill="auto"/>
            <w:vAlign w:val="center"/>
            <w:hideMark/>
          </w:tcPr>
          <w:p w14:paraId="3DDDF72F"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293</w:t>
            </w:r>
          </w:p>
        </w:tc>
        <w:tc>
          <w:tcPr>
            <w:tcW w:w="1590" w:type="dxa"/>
            <w:tcBorders>
              <w:top w:val="nil"/>
              <w:left w:val="nil"/>
              <w:bottom w:val="single" w:sz="4" w:space="0" w:color="auto"/>
              <w:right w:val="single" w:sz="4" w:space="0" w:color="auto"/>
            </w:tcBorders>
            <w:shd w:val="clear" w:color="auto" w:fill="auto"/>
            <w:vAlign w:val="center"/>
            <w:hideMark/>
          </w:tcPr>
          <w:p w14:paraId="07608F5C" w14:textId="77777777" w:rsidR="007B546B" w:rsidRPr="00095A13" w:rsidRDefault="007B546B" w:rsidP="007B546B">
            <w:pPr>
              <w:ind w:right="144"/>
              <w:jc w:val="right"/>
              <w:rPr>
                <w:kern w:val="22"/>
                <w:szCs w:val="22"/>
                <w:lang w:val="fr-CA" w:eastAsia="en-CA"/>
              </w:rPr>
            </w:pPr>
            <w:r w:rsidRPr="00095A13">
              <w:rPr>
                <w:kern w:val="22"/>
                <w:szCs w:val="22"/>
                <w:lang w:val="fr-CA" w:eastAsia="en-CA"/>
              </w:rPr>
              <w:t>7 492</w:t>
            </w:r>
          </w:p>
        </w:tc>
      </w:tr>
      <w:tr w:rsidR="007B546B" w:rsidRPr="00095A13" w14:paraId="68AE3998"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tcPr>
          <w:p w14:paraId="258E73C4" w14:textId="42ABD325" w:rsidR="007B546B" w:rsidRPr="00095A13" w:rsidRDefault="007B546B" w:rsidP="00541CDC">
            <w:pPr>
              <w:jc w:val="right"/>
              <w:rPr>
                <w:kern w:val="22"/>
                <w:szCs w:val="22"/>
                <w:lang w:val="fr-CA" w:eastAsia="en-CA"/>
              </w:rPr>
            </w:pPr>
            <w:r>
              <w:rPr>
                <w:kern w:val="22"/>
                <w:szCs w:val="22"/>
                <w:lang w:val="fr-CA" w:eastAsia="en-CA"/>
              </w:rPr>
              <w:t>124</w:t>
            </w:r>
          </w:p>
        </w:tc>
        <w:tc>
          <w:tcPr>
            <w:tcW w:w="3966" w:type="dxa"/>
            <w:tcBorders>
              <w:top w:val="nil"/>
              <w:left w:val="nil"/>
              <w:bottom w:val="single" w:sz="4" w:space="0" w:color="auto"/>
              <w:right w:val="single" w:sz="4" w:space="0" w:color="auto"/>
            </w:tcBorders>
            <w:shd w:val="clear" w:color="auto" w:fill="auto"/>
            <w:vAlign w:val="center"/>
            <w:hideMark/>
          </w:tcPr>
          <w:p w14:paraId="64FBEE5B" w14:textId="77777777" w:rsidR="007B546B" w:rsidRPr="00095A13" w:rsidRDefault="007B546B" w:rsidP="00541CDC">
            <w:pPr>
              <w:jc w:val="left"/>
              <w:rPr>
                <w:kern w:val="22"/>
                <w:szCs w:val="22"/>
                <w:lang w:val="fr-CA" w:eastAsia="en-CA"/>
              </w:rPr>
            </w:pPr>
            <w:r>
              <w:rPr>
                <w:kern w:val="22"/>
                <w:szCs w:val="22"/>
                <w:lang w:val="fr-CA" w:eastAsia="en-CA"/>
              </w:rPr>
              <w:t>Pologne</w:t>
            </w:r>
          </w:p>
        </w:tc>
        <w:tc>
          <w:tcPr>
            <w:tcW w:w="1605" w:type="dxa"/>
            <w:tcBorders>
              <w:top w:val="nil"/>
              <w:left w:val="nil"/>
              <w:bottom w:val="single" w:sz="4" w:space="0" w:color="auto"/>
              <w:right w:val="single" w:sz="4" w:space="0" w:color="auto"/>
            </w:tcBorders>
            <w:shd w:val="clear" w:color="auto" w:fill="auto"/>
            <w:vAlign w:val="center"/>
            <w:hideMark/>
          </w:tcPr>
          <w:p w14:paraId="2FF41631"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802</w:t>
            </w:r>
          </w:p>
        </w:tc>
        <w:tc>
          <w:tcPr>
            <w:tcW w:w="1610" w:type="dxa"/>
            <w:tcBorders>
              <w:top w:val="nil"/>
              <w:left w:val="nil"/>
              <w:bottom w:val="single" w:sz="4" w:space="0" w:color="auto"/>
              <w:right w:val="single" w:sz="4" w:space="0" w:color="auto"/>
            </w:tcBorders>
            <w:shd w:val="clear" w:color="auto" w:fill="auto"/>
            <w:vAlign w:val="center"/>
            <w:hideMark/>
          </w:tcPr>
          <w:p w14:paraId="42041650" w14:textId="77777777" w:rsidR="007B546B" w:rsidRPr="00095A13" w:rsidRDefault="007B546B" w:rsidP="007B546B">
            <w:pPr>
              <w:ind w:right="144"/>
              <w:jc w:val="right"/>
              <w:rPr>
                <w:kern w:val="22"/>
                <w:szCs w:val="22"/>
                <w:lang w:val="fr-CA" w:eastAsia="en-CA"/>
              </w:rPr>
            </w:pPr>
            <w:r w:rsidRPr="00095A13">
              <w:rPr>
                <w:kern w:val="22"/>
                <w:szCs w:val="22"/>
                <w:lang w:val="fr-CA" w:eastAsia="en-CA"/>
              </w:rPr>
              <w:t>1</w:t>
            </w:r>
            <w:r>
              <w:rPr>
                <w:kern w:val="22"/>
                <w:szCs w:val="22"/>
                <w:lang w:val="fr-CA" w:eastAsia="en-CA"/>
              </w:rPr>
              <w:t>,</w:t>
            </w:r>
            <w:r w:rsidRPr="00095A13">
              <w:rPr>
                <w:kern w:val="22"/>
                <w:szCs w:val="22"/>
                <w:lang w:val="fr-CA" w:eastAsia="en-CA"/>
              </w:rPr>
              <w:t>146</w:t>
            </w:r>
          </w:p>
        </w:tc>
        <w:tc>
          <w:tcPr>
            <w:tcW w:w="1590" w:type="dxa"/>
            <w:tcBorders>
              <w:top w:val="nil"/>
              <w:left w:val="nil"/>
              <w:bottom w:val="single" w:sz="4" w:space="0" w:color="auto"/>
              <w:right w:val="single" w:sz="4" w:space="0" w:color="auto"/>
            </w:tcBorders>
            <w:shd w:val="clear" w:color="auto" w:fill="auto"/>
            <w:vAlign w:val="center"/>
            <w:hideMark/>
          </w:tcPr>
          <w:p w14:paraId="31D8E3F7" w14:textId="77777777" w:rsidR="007B546B" w:rsidRPr="00095A13" w:rsidRDefault="007B546B" w:rsidP="007B546B">
            <w:pPr>
              <w:ind w:right="144"/>
              <w:jc w:val="right"/>
              <w:rPr>
                <w:kern w:val="22"/>
                <w:szCs w:val="22"/>
                <w:lang w:val="fr-CA" w:eastAsia="en-CA"/>
              </w:rPr>
            </w:pPr>
            <w:r w:rsidRPr="00095A13">
              <w:rPr>
                <w:kern w:val="22"/>
                <w:szCs w:val="22"/>
                <w:lang w:val="fr-CA" w:eastAsia="en-CA"/>
              </w:rPr>
              <w:t>29 312</w:t>
            </w:r>
          </w:p>
        </w:tc>
      </w:tr>
      <w:tr w:rsidR="007B546B" w:rsidRPr="00095A13" w14:paraId="3F88032D"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tcPr>
          <w:p w14:paraId="7EE46544" w14:textId="4C62B89B" w:rsidR="007B546B" w:rsidRPr="00095A13" w:rsidRDefault="007B546B" w:rsidP="00541CDC">
            <w:pPr>
              <w:jc w:val="right"/>
              <w:rPr>
                <w:kern w:val="22"/>
                <w:szCs w:val="22"/>
                <w:lang w:val="fr-CA" w:eastAsia="en-CA"/>
              </w:rPr>
            </w:pPr>
            <w:r>
              <w:rPr>
                <w:kern w:val="22"/>
                <w:szCs w:val="22"/>
                <w:lang w:val="fr-CA" w:eastAsia="en-CA"/>
              </w:rPr>
              <w:t>125</w:t>
            </w:r>
          </w:p>
        </w:tc>
        <w:tc>
          <w:tcPr>
            <w:tcW w:w="3966" w:type="dxa"/>
            <w:tcBorders>
              <w:top w:val="nil"/>
              <w:left w:val="nil"/>
              <w:bottom w:val="single" w:sz="4" w:space="0" w:color="auto"/>
              <w:right w:val="single" w:sz="4" w:space="0" w:color="auto"/>
            </w:tcBorders>
            <w:shd w:val="clear" w:color="auto" w:fill="auto"/>
            <w:vAlign w:val="center"/>
            <w:hideMark/>
          </w:tcPr>
          <w:p w14:paraId="1B0DD4DF" w14:textId="77777777" w:rsidR="007B546B" w:rsidRPr="00095A13" w:rsidRDefault="007B546B" w:rsidP="00541CDC">
            <w:pPr>
              <w:jc w:val="left"/>
              <w:rPr>
                <w:kern w:val="22"/>
                <w:szCs w:val="22"/>
                <w:lang w:val="fr-CA" w:eastAsia="en-CA"/>
              </w:rPr>
            </w:pPr>
            <w:r w:rsidRPr="00095A13">
              <w:rPr>
                <w:kern w:val="22"/>
                <w:szCs w:val="22"/>
                <w:lang w:val="fr-CA" w:eastAsia="en-CA"/>
              </w:rPr>
              <w:t>Portugal</w:t>
            </w:r>
          </w:p>
        </w:tc>
        <w:tc>
          <w:tcPr>
            <w:tcW w:w="1605" w:type="dxa"/>
            <w:tcBorders>
              <w:top w:val="nil"/>
              <w:left w:val="nil"/>
              <w:bottom w:val="single" w:sz="4" w:space="0" w:color="auto"/>
              <w:right w:val="single" w:sz="4" w:space="0" w:color="auto"/>
            </w:tcBorders>
            <w:shd w:val="clear" w:color="auto" w:fill="auto"/>
            <w:vAlign w:val="center"/>
            <w:hideMark/>
          </w:tcPr>
          <w:p w14:paraId="7CAC2987"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350</w:t>
            </w:r>
          </w:p>
        </w:tc>
        <w:tc>
          <w:tcPr>
            <w:tcW w:w="1610" w:type="dxa"/>
            <w:tcBorders>
              <w:top w:val="nil"/>
              <w:left w:val="nil"/>
              <w:bottom w:val="single" w:sz="4" w:space="0" w:color="auto"/>
              <w:right w:val="single" w:sz="4" w:space="0" w:color="auto"/>
            </w:tcBorders>
            <w:shd w:val="clear" w:color="auto" w:fill="auto"/>
            <w:vAlign w:val="center"/>
            <w:hideMark/>
          </w:tcPr>
          <w:p w14:paraId="73C21AEC"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500</w:t>
            </w:r>
          </w:p>
        </w:tc>
        <w:tc>
          <w:tcPr>
            <w:tcW w:w="1590" w:type="dxa"/>
            <w:tcBorders>
              <w:top w:val="nil"/>
              <w:left w:val="nil"/>
              <w:bottom w:val="single" w:sz="4" w:space="0" w:color="auto"/>
              <w:right w:val="single" w:sz="4" w:space="0" w:color="auto"/>
            </w:tcBorders>
            <w:shd w:val="clear" w:color="auto" w:fill="auto"/>
            <w:vAlign w:val="center"/>
            <w:hideMark/>
          </w:tcPr>
          <w:p w14:paraId="788FCBBD" w14:textId="77777777" w:rsidR="007B546B" w:rsidRPr="00095A13" w:rsidRDefault="007B546B" w:rsidP="007B546B">
            <w:pPr>
              <w:ind w:right="144"/>
              <w:jc w:val="right"/>
              <w:rPr>
                <w:kern w:val="22"/>
                <w:szCs w:val="22"/>
                <w:lang w:val="fr-CA" w:eastAsia="en-CA"/>
              </w:rPr>
            </w:pPr>
            <w:r w:rsidRPr="00095A13">
              <w:rPr>
                <w:kern w:val="22"/>
                <w:szCs w:val="22"/>
                <w:lang w:val="fr-CA" w:eastAsia="en-CA"/>
              </w:rPr>
              <w:t>12 792</w:t>
            </w:r>
          </w:p>
        </w:tc>
      </w:tr>
      <w:tr w:rsidR="007B546B" w:rsidRPr="00095A13" w14:paraId="5EF47B75"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tcPr>
          <w:p w14:paraId="5FEEB661" w14:textId="7363D7C9" w:rsidR="007B546B" w:rsidRPr="00095A13" w:rsidRDefault="007B546B" w:rsidP="00541CDC">
            <w:pPr>
              <w:jc w:val="right"/>
              <w:rPr>
                <w:kern w:val="22"/>
                <w:szCs w:val="22"/>
                <w:lang w:val="fr-CA" w:eastAsia="en-CA"/>
              </w:rPr>
            </w:pPr>
            <w:r>
              <w:rPr>
                <w:kern w:val="22"/>
                <w:szCs w:val="22"/>
                <w:lang w:val="fr-CA" w:eastAsia="en-CA"/>
              </w:rPr>
              <w:t>126</w:t>
            </w:r>
          </w:p>
        </w:tc>
        <w:tc>
          <w:tcPr>
            <w:tcW w:w="3966" w:type="dxa"/>
            <w:tcBorders>
              <w:top w:val="nil"/>
              <w:left w:val="nil"/>
              <w:bottom w:val="single" w:sz="4" w:space="0" w:color="auto"/>
              <w:right w:val="single" w:sz="4" w:space="0" w:color="auto"/>
            </w:tcBorders>
            <w:shd w:val="clear" w:color="auto" w:fill="auto"/>
            <w:vAlign w:val="center"/>
            <w:hideMark/>
          </w:tcPr>
          <w:p w14:paraId="63D789B1" w14:textId="77777777" w:rsidR="007B546B" w:rsidRPr="00095A13" w:rsidRDefault="007B546B" w:rsidP="00541CDC">
            <w:pPr>
              <w:jc w:val="left"/>
              <w:rPr>
                <w:kern w:val="22"/>
                <w:szCs w:val="22"/>
                <w:lang w:val="fr-CA" w:eastAsia="en-CA"/>
              </w:rPr>
            </w:pPr>
            <w:r w:rsidRPr="00095A13">
              <w:rPr>
                <w:kern w:val="22"/>
                <w:szCs w:val="22"/>
                <w:lang w:val="fr-CA" w:eastAsia="en-CA"/>
              </w:rPr>
              <w:t>Qatar</w:t>
            </w:r>
          </w:p>
        </w:tc>
        <w:tc>
          <w:tcPr>
            <w:tcW w:w="1605" w:type="dxa"/>
            <w:tcBorders>
              <w:top w:val="nil"/>
              <w:left w:val="nil"/>
              <w:bottom w:val="single" w:sz="4" w:space="0" w:color="auto"/>
              <w:right w:val="single" w:sz="4" w:space="0" w:color="auto"/>
            </w:tcBorders>
            <w:shd w:val="clear" w:color="auto" w:fill="auto"/>
            <w:vAlign w:val="center"/>
            <w:hideMark/>
          </w:tcPr>
          <w:p w14:paraId="5ECA3F10"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282</w:t>
            </w:r>
          </w:p>
        </w:tc>
        <w:tc>
          <w:tcPr>
            <w:tcW w:w="1610" w:type="dxa"/>
            <w:tcBorders>
              <w:top w:val="nil"/>
              <w:left w:val="nil"/>
              <w:bottom w:val="single" w:sz="4" w:space="0" w:color="auto"/>
              <w:right w:val="single" w:sz="4" w:space="0" w:color="auto"/>
            </w:tcBorders>
            <w:shd w:val="clear" w:color="auto" w:fill="auto"/>
            <w:vAlign w:val="center"/>
            <w:hideMark/>
          </w:tcPr>
          <w:p w14:paraId="0FE23B02"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403</w:t>
            </w:r>
          </w:p>
        </w:tc>
        <w:tc>
          <w:tcPr>
            <w:tcW w:w="1590" w:type="dxa"/>
            <w:tcBorders>
              <w:top w:val="nil"/>
              <w:left w:val="nil"/>
              <w:bottom w:val="single" w:sz="4" w:space="0" w:color="auto"/>
              <w:right w:val="single" w:sz="4" w:space="0" w:color="auto"/>
            </w:tcBorders>
            <w:shd w:val="clear" w:color="auto" w:fill="auto"/>
            <w:vAlign w:val="center"/>
            <w:hideMark/>
          </w:tcPr>
          <w:p w14:paraId="74FE684E" w14:textId="77777777" w:rsidR="007B546B" w:rsidRPr="00095A13" w:rsidRDefault="007B546B" w:rsidP="007B546B">
            <w:pPr>
              <w:ind w:right="144"/>
              <w:jc w:val="right"/>
              <w:rPr>
                <w:kern w:val="22"/>
                <w:szCs w:val="22"/>
                <w:lang w:val="fr-CA" w:eastAsia="en-CA"/>
              </w:rPr>
            </w:pPr>
            <w:r w:rsidRPr="00095A13">
              <w:rPr>
                <w:kern w:val="22"/>
                <w:szCs w:val="22"/>
                <w:lang w:val="fr-CA" w:eastAsia="en-CA"/>
              </w:rPr>
              <w:t>10 307</w:t>
            </w:r>
          </w:p>
        </w:tc>
      </w:tr>
      <w:tr w:rsidR="007B546B" w:rsidRPr="00095A13" w14:paraId="7C4AB98E"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tcPr>
          <w:p w14:paraId="643132E9" w14:textId="1986B93A" w:rsidR="007B546B" w:rsidRPr="00095A13" w:rsidRDefault="007B546B" w:rsidP="005066EB">
            <w:pPr>
              <w:jc w:val="right"/>
              <w:rPr>
                <w:kern w:val="22"/>
                <w:szCs w:val="22"/>
                <w:lang w:val="fr-CA" w:eastAsia="en-CA"/>
              </w:rPr>
            </w:pPr>
            <w:r>
              <w:rPr>
                <w:kern w:val="22"/>
                <w:szCs w:val="22"/>
                <w:lang w:val="fr-CA" w:eastAsia="en-CA"/>
              </w:rPr>
              <w:t>127</w:t>
            </w:r>
          </w:p>
        </w:tc>
        <w:tc>
          <w:tcPr>
            <w:tcW w:w="3966" w:type="dxa"/>
            <w:tcBorders>
              <w:top w:val="nil"/>
              <w:left w:val="nil"/>
              <w:bottom w:val="single" w:sz="4" w:space="0" w:color="auto"/>
              <w:right w:val="single" w:sz="4" w:space="0" w:color="auto"/>
            </w:tcBorders>
            <w:shd w:val="clear" w:color="auto" w:fill="auto"/>
            <w:vAlign w:val="center"/>
            <w:hideMark/>
          </w:tcPr>
          <w:p w14:paraId="4E7AF4B4" w14:textId="77777777" w:rsidR="007B546B" w:rsidRPr="00095A13" w:rsidRDefault="007B546B" w:rsidP="005066EB">
            <w:pPr>
              <w:jc w:val="left"/>
              <w:rPr>
                <w:kern w:val="22"/>
                <w:szCs w:val="22"/>
                <w:lang w:val="fr-CA" w:eastAsia="en-CA"/>
              </w:rPr>
            </w:pPr>
            <w:r>
              <w:rPr>
                <w:kern w:val="22"/>
                <w:szCs w:val="22"/>
                <w:lang w:val="fr-CA" w:eastAsia="en-CA"/>
              </w:rPr>
              <w:t>République arabe syrienne</w:t>
            </w:r>
          </w:p>
        </w:tc>
        <w:tc>
          <w:tcPr>
            <w:tcW w:w="1605" w:type="dxa"/>
            <w:tcBorders>
              <w:top w:val="nil"/>
              <w:left w:val="nil"/>
              <w:bottom w:val="single" w:sz="4" w:space="0" w:color="auto"/>
              <w:right w:val="single" w:sz="4" w:space="0" w:color="auto"/>
            </w:tcBorders>
            <w:shd w:val="clear" w:color="auto" w:fill="auto"/>
            <w:vAlign w:val="center"/>
            <w:hideMark/>
          </w:tcPr>
          <w:p w14:paraId="5E0A71FC"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011</w:t>
            </w:r>
          </w:p>
        </w:tc>
        <w:tc>
          <w:tcPr>
            <w:tcW w:w="1610" w:type="dxa"/>
            <w:tcBorders>
              <w:top w:val="nil"/>
              <w:left w:val="nil"/>
              <w:bottom w:val="single" w:sz="4" w:space="0" w:color="auto"/>
              <w:right w:val="single" w:sz="4" w:space="0" w:color="auto"/>
            </w:tcBorders>
            <w:shd w:val="clear" w:color="auto" w:fill="auto"/>
            <w:vAlign w:val="center"/>
            <w:hideMark/>
          </w:tcPr>
          <w:p w14:paraId="51C3AD28"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016</w:t>
            </w:r>
          </w:p>
        </w:tc>
        <w:tc>
          <w:tcPr>
            <w:tcW w:w="1590" w:type="dxa"/>
            <w:tcBorders>
              <w:top w:val="nil"/>
              <w:left w:val="nil"/>
              <w:bottom w:val="single" w:sz="4" w:space="0" w:color="auto"/>
              <w:right w:val="single" w:sz="4" w:space="0" w:color="auto"/>
            </w:tcBorders>
            <w:shd w:val="clear" w:color="auto" w:fill="auto"/>
            <w:vAlign w:val="center"/>
            <w:hideMark/>
          </w:tcPr>
          <w:p w14:paraId="5AD6C4DA" w14:textId="77777777" w:rsidR="007B546B" w:rsidRPr="00095A13" w:rsidRDefault="007B546B" w:rsidP="007B546B">
            <w:pPr>
              <w:ind w:right="144"/>
              <w:jc w:val="right"/>
              <w:rPr>
                <w:kern w:val="22"/>
                <w:szCs w:val="22"/>
                <w:lang w:val="fr-CA" w:eastAsia="en-CA"/>
              </w:rPr>
            </w:pPr>
            <w:r w:rsidRPr="00095A13">
              <w:rPr>
                <w:kern w:val="22"/>
                <w:szCs w:val="22"/>
                <w:lang w:val="fr-CA" w:eastAsia="en-CA"/>
              </w:rPr>
              <w:t>402</w:t>
            </w:r>
          </w:p>
        </w:tc>
      </w:tr>
      <w:tr w:rsidR="007B546B" w:rsidRPr="005C598A" w14:paraId="37558293"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9BD7F09" w14:textId="2ADE5635" w:rsidR="007B546B" w:rsidRPr="005C598A" w:rsidRDefault="007B546B" w:rsidP="00120F79">
            <w:pPr>
              <w:jc w:val="right"/>
              <w:rPr>
                <w:kern w:val="22"/>
                <w:szCs w:val="22"/>
                <w:lang w:val="fr-CA" w:eastAsia="en-CA"/>
              </w:rPr>
            </w:pPr>
            <w:r>
              <w:rPr>
                <w:kern w:val="22"/>
                <w:szCs w:val="22"/>
                <w:lang w:val="fr-CA" w:eastAsia="en-CA"/>
              </w:rPr>
              <w:t>128</w:t>
            </w:r>
          </w:p>
        </w:tc>
        <w:tc>
          <w:tcPr>
            <w:tcW w:w="3966" w:type="dxa"/>
            <w:tcBorders>
              <w:top w:val="nil"/>
              <w:left w:val="nil"/>
              <w:bottom w:val="single" w:sz="4" w:space="0" w:color="auto"/>
              <w:right w:val="single" w:sz="4" w:space="0" w:color="auto"/>
            </w:tcBorders>
            <w:shd w:val="clear" w:color="auto" w:fill="auto"/>
            <w:vAlign w:val="center"/>
            <w:hideMark/>
          </w:tcPr>
          <w:p w14:paraId="55BF5F40" w14:textId="77777777" w:rsidR="007B546B" w:rsidRPr="005C598A" w:rsidRDefault="007B546B" w:rsidP="00120F79">
            <w:pPr>
              <w:jc w:val="left"/>
              <w:rPr>
                <w:kern w:val="22"/>
                <w:szCs w:val="22"/>
                <w:lang w:val="fr-CA" w:eastAsia="en-CA"/>
              </w:rPr>
            </w:pPr>
            <w:r>
              <w:rPr>
                <w:kern w:val="22"/>
                <w:szCs w:val="22"/>
                <w:lang w:val="fr-CA" w:eastAsia="en-CA"/>
              </w:rPr>
              <w:t>République centrafricaine</w:t>
            </w:r>
          </w:p>
        </w:tc>
        <w:tc>
          <w:tcPr>
            <w:tcW w:w="1605" w:type="dxa"/>
            <w:tcBorders>
              <w:top w:val="nil"/>
              <w:left w:val="nil"/>
              <w:bottom w:val="single" w:sz="4" w:space="0" w:color="auto"/>
              <w:right w:val="single" w:sz="4" w:space="0" w:color="auto"/>
            </w:tcBorders>
            <w:shd w:val="clear" w:color="auto" w:fill="auto"/>
            <w:vAlign w:val="center"/>
            <w:hideMark/>
          </w:tcPr>
          <w:p w14:paraId="29B5F211"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001</w:t>
            </w:r>
          </w:p>
        </w:tc>
        <w:tc>
          <w:tcPr>
            <w:tcW w:w="1610" w:type="dxa"/>
            <w:tcBorders>
              <w:top w:val="nil"/>
              <w:left w:val="nil"/>
              <w:bottom w:val="single" w:sz="4" w:space="0" w:color="auto"/>
              <w:right w:val="single" w:sz="4" w:space="0" w:color="auto"/>
            </w:tcBorders>
            <w:shd w:val="clear" w:color="auto" w:fill="auto"/>
            <w:vAlign w:val="center"/>
            <w:hideMark/>
          </w:tcPr>
          <w:p w14:paraId="44144B85"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001</w:t>
            </w:r>
          </w:p>
        </w:tc>
        <w:tc>
          <w:tcPr>
            <w:tcW w:w="1590" w:type="dxa"/>
            <w:tcBorders>
              <w:top w:val="nil"/>
              <w:left w:val="nil"/>
              <w:bottom w:val="single" w:sz="4" w:space="0" w:color="auto"/>
              <w:right w:val="single" w:sz="4" w:space="0" w:color="auto"/>
            </w:tcBorders>
            <w:shd w:val="clear" w:color="auto" w:fill="auto"/>
            <w:vAlign w:val="center"/>
            <w:hideMark/>
          </w:tcPr>
          <w:p w14:paraId="59A202E2" w14:textId="77777777" w:rsidR="007B546B" w:rsidRPr="005C598A" w:rsidRDefault="007B546B" w:rsidP="007B546B">
            <w:pPr>
              <w:ind w:right="144"/>
              <w:jc w:val="right"/>
              <w:rPr>
                <w:kern w:val="22"/>
                <w:szCs w:val="22"/>
                <w:lang w:val="fr-CA" w:eastAsia="en-CA"/>
              </w:rPr>
            </w:pPr>
            <w:r w:rsidRPr="005C598A">
              <w:rPr>
                <w:kern w:val="22"/>
                <w:szCs w:val="22"/>
                <w:lang w:val="fr-CA" w:eastAsia="en-CA"/>
              </w:rPr>
              <w:t>37</w:t>
            </w:r>
          </w:p>
        </w:tc>
      </w:tr>
      <w:tr w:rsidR="007B546B" w:rsidRPr="00095A13" w14:paraId="79F29B11"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tcPr>
          <w:p w14:paraId="667F1F83" w14:textId="7FD28F42" w:rsidR="007B546B" w:rsidRPr="00095A13" w:rsidRDefault="007B546B" w:rsidP="00541CDC">
            <w:pPr>
              <w:jc w:val="right"/>
              <w:rPr>
                <w:kern w:val="22"/>
                <w:szCs w:val="22"/>
                <w:lang w:val="fr-CA" w:eastAsia="en-CA"/>
              </w:rPr>
            </w:pPr>
            <w:r>
              <w:rPr>
                <w:kern w:val="22"/>
                <w:szCs w:val="22"/>
                <w:lang w:val="fr-CA" w:eastAsia="en-CA"/>
              </w:rPr>
              <w:t>129</w:t>
            </w:r>
          </w:p>
        </w:tc>
        <w:tc>
          <w:tcPr>
            <w:tcW w:w="3966" w:type="dxa"/>
            <w:tcBorders>
              <w:top w:val="nil"/>
              <w:left w:val="nil"/>
              <w:bottom w:val="single" w:sz="4" w:space="0" w:color="auto"/>
              <w:right w:val="single" w:sz="4" w:space="0" w:color="auto"/>
            </w:tcBorders>
            <w:shd w:val="clear" w:color="auto" w:fill="auto"/>
            <w:vAlign w:val="center"/>
            <w:hideMark/>
          </w:tcPr>
          <w:p w14:paraId="35E8C3D3" w14:textId="77777777" w:rsidR="007B546B" w:rsidRPr="00095A13" w:rsidRDefault="007B546B" w:rsidP="00541CDC">
            <w:pPr>
              <w:jc w:val="left"/>
              <w:rPr>
                <w:kern w:val="22"/>
                <w:szCs w:val="22"/>
                <w:lang w:val="fr-CA" w:eastAsia="en-CA"/>
              </w:rPr>
            </w:pPr>
            <w:r>
              <w:rPr>
                <w:kern w:val="22"/>
                <w:szCs w:val="22"/>
                <w:lang w:val="fr-CA" w:eastAsia="en-CA"/>
              </w:rPr>
              <w:t>République de Corée</w:t>
            </w:r>
          </w:p>
        </w:tc>
        <w:tc>
          <w:tcPr>
            <w:tcW w:w="1605" w:type="dxa"/>
            <w:tcBorders>
              <w:top w:val="nil"/>
              <w:left w:val="nil"/>
              <w:bottom w:val="single" w:sz="4" w:space="0" w:color="auto"/>
              <w:right w:val="single" w:sz="4" w:space="0" w:color="auto"/>
            </w:tcBorders>
            <w:shd w:val="clear" w:color="auto" w:fill="auto"/>
            <w:vAlign w:val="center"/>
            <w:hideMark/>
          </w:tcPr>
          <w:p w14:paraId="3DAD4A52" w14:textId="77777777" w:rsidR="007B546B" w:rsidRPr="00095A13" w:rsidRDefault="007B546B" w:rsidP="007B546B">
            <w:pPr>
              <w:ind w:right="144"/>
              <w:jc w:val="right"/>
              <w:rPr>
                <w:kern w:val="22"/>
                <w:szCs w:val="22"/>
                <w:lang w:val="fr-CA" w:eastAsia="en-CA"/>
              </w:rPr>
            </w:pPr>
            <w:r w:rsidRPr="00095A13">
              <w:rPr>
                <w:kern w:val="22"/>
                <w:szCs w:val="22"/>
                <w:lang w:val="fr-CA" w:eastAsia="en-CA"/>
              </w:rPr>
              <w:t>2</w:t>
            </w:r>
            <w:r>
              <w:rPr>
                <w:kern w:val="22"/>
                <w:szCs w:val="22"/>
                <w:lang w:val="fr-CA" w:eastAsia="en-CA"/>
              </w:rPr>
              <w:t>,</w:t>
            </w:r>
            <w:r w:rsidRPr="00095A13">
              <w:rPr>
                <w:kern w:val="22"/>
                <w:szCs w:val="22"/>
                <w:lang w:val="fr-CA" w:eastAsia="en-CA"/>
              </w:rPr>
              <w:t>267</w:t>
            </w:r>
          </w:p>
        </w:tc>
        <w:tc>
          <w:tcPr>
            <w:tcW w:w="1610" w:type="dxa"/>
            <w:tcBorders>
              <w:top w:val="nil"/>
              <w:left w:val="nil"/>
              <w:bottom w:val="single" w:sz="4" w:space="0" w:color="auto"/>
              <w:right w:val="single" w:sz="4" w:space="0" w:color="auto"/>
            </w:tcBorders>
            <w:shd w:val="clear" w:color="auto" w:fill="auto"/>
            <w:vAlign w:val="center"/>
            <w:hideMark/>
          </w:tcPr>
          <w:p w14:paraId="3C090F5F" w14:textId="77777777" w:rsidR="007B546B" w:rsidRPr="00095A13" w:rsidRDefault="007B546B" w:rsidP="007B546B">
            <w:pPr>
              <w:ind w:right="144"/>
              <w:jc w:val="right"/>
              <w:rPr>
                <w:kern w:val="22"/>
                <w:szCs w:val="22"/>
                <w:lang w:val="fr-CA" w:eastAsia="en-CA"/>
              </w:rPr>
            </w:pPr>
            <w:r w:rsidRPr="00095A13">
              <w:rPr>
                <w:kern w:val="22"/>
                <w:szCs w:val="22"/>
                <w:lang w:val="fr-CA" w:eastAsia="en-CA"/>
              </w:rPr>
              <w:t>3</w:t>
            </w:r>
            <w:r>
              <w:rPr>
                <w:kern w:val="22"/>
                <w:szCs w:val="22"/>
                <w:lang w:val="fr-CA" w:eastAsia="en-CA"/>
              </w:rPr>
              <w:t>,</w:t>
            </w:r>
            <w:r w:rsidRPr="00095A13">
              <w:rPr>
                <w:kern w:val="22"/>
                <w:szCs w:val="22"/>
                <w:lang w:val="fr-CA" w:eastAsia="en-CA"/>
              </w:rPr>
              <w:t>239</w:t>
            </w:r>
          </w:p>
        </w:tc>
        <w:tc>
          <w:tcPr>
            <w:tcW w:w="1590" w:type="dxa"/>
            <w:tcBorders>
              <w:top w:val="nil"/>
              <w:left w:val="nil"/>
              <w:bottom w:val="single" w:sz="4" w:space="0" w:color="auto"/>
              <w:right w:val="single" w:sz="4" w:space="0" w:color="auto"/>
            </w:tcBorders>
            <w:shd w:val="clear" w:color="auto" w:fill="auto"/>
            <w:vAlign w:val="center"/>
            <w:hideMark/>
          </w:tcPr>
          <w:p w14:paraId="429F7259" w14:textId="77777777" w:rsidR="007B546B" w:rsidRPr="00095A13" w:rsidRDefault="007B546B" w:rsidP="007B546B">
            <w:pPr>
              <w:ind w:right="144"/>
              <w:jc w:val="right"/>
              <w:rPr>
                <w:kern w:val="22"/>
                <w:szCs w:val="22"/>
                <w:lang w:val="fr-CA" w:eastAsia="en-CA"/>
              </w:rPr>
            </w:pPr>
            <w:r w:rsidRPr="00095A13">
              <w:rPr>
                <w:kern w:val="22"/>
                <w:szCs w:val="22"/>
                <w:lang w:val="fr-CA" w:eastAsia="en-CA"/>
              </w:rPr>
              <w:t>82 855</w:t>
            </w:r>
          </w:p>
        </w:tc>
      </w:tr>
      <w:tr w:rsidR="007B546B" w:rsidRPr="00095A13" w14:paraId="302AD76A"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tcPr>
          <w:p w14:paraId="6B33DA1A" w14:textId="5872796C" w:rsidR="007B546B" w:rsidRPr="00095A13" w:rsidRDefault="007B546B" w:rsidP="00541CDC">
            <w:pPr>
              <w:jc w:val="right"/>
              <w:rPr>
                <w:kern w:val="22"/>
                <w:szCs w:val="22"/>
                <w:lang w:val="fr-CA" w:eastAsia="en-CA"/>
              </w:rPr>
            </w:pPr>
            <w:r>
              <w:rPr>
                <w:kern w:val="22"/>
                <w:szCs w:val="22"/>
                <w:lang w:val="fr-CA" w:eastAsia="en-CA"/>
              </w:rPr>
              <w:t>130</w:t>
            </w:r>
          </w:p>
        </w:tc>
        <w:tc>
          <w:tcPr>
            <w:tcW w:w="3966" w:type="dxa"/>
            <w:tcBorders>
              <w:top w:val="nil"/>
              <w:left w:val="nil"/>
              <w:bottom w:val="single" w:sz="4" w:space="0" w:color="auto"/>
              <w:right w:val="single" w:sz="4" w:space="0" w:color="auto"/>
            </w:tcBorders>
            <w:shd w:val="clear" w:color="auto" w:fill="auto"/>
            <w:vAlign w:val="center"/>
            <w:hideMark/>
          </w:tcPr>
          <w:p w14:paraId="3F430C42" w14:textId="77777777" w:rsidR="007B546B" w:rsidRPr="00095A13" w:rsidRDefault="007B546B" w:rsidP="00541CDC">
            <w:pPr>
              <w:jc w:val="left"/>
              <w:rPr>
                <w:kern w:val="22"/>
                <w:szCs w:val="22"/>
                <w:lang w:val="fr-CA" w:eastAsia="en-CA"/>
              </w:rPr>
            </w:pPr>
            <w:r>
              <w:rPr>
                <w:kern w:val="22"/>
                <w:szCs w:val="22"/>
                <w:lang w:val="fr-CA" w:eastAsia="en-CA"/>
              </w:rPr>
              <w:t>République de Moldavie</w:t>
            </w:r>
          </w:p>
        </w:tc>
        <w:tc>
          <w:tcPr>
            <w:tcW w:w="1605" w:type="dxa"/>
            <w:tcBorders>
              <w:top w:val="nil"/>
              <w:left w:val="nil"/>
              <w:bottom w:val="single" w:sz="4" w:space="0" w:color="auto"/>
              <w:right w:val="single" w:sz="4" w:space="0" w:color="auto"/>
            </w:tcBorders>
            <w:shd w:val="clear" w:color="auto" w:fill="auto"/>
            <w:vAlign w:val="center"/>
            <w:hideMark/>
          </w:tcPr>
          <w:p w14:paraId="0A3A20B6"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003</w:t>
            </w:r>
          </w:p>
        </w:tc>
        <w:tc>
          <w:tcPr>
            <w:tcW w:w="1610" w:type="dxa"/>
            <w:tcBorders>
              <w:top w:val="nil"/>
              <w:left w:val="nil"/>
              <w:bottom w:val="single" w:sz="4" w:space="0" w:color="auto"/>
              <w:right w:val="single" w:sz="4" w:space="0" w:color="auto"/>
            </w:tcBorders>
            <w:shd w:val="clear" w:color="auto" w:fill="auto"/>
            <w:vAlign w:val="center"/>
            <w:hideMark/>
          </w:tcPr>
          <w:p w14:paraId="7305ACB2"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004</w:t>
            </w:r>
          </w:p>
        </w:tc>
        <w:tc>
          <w:tcPr>
            <w:tcW w:w="1590" w:type="dxa"/>
            <w:tcBorders>
              <w:top w:val="nil"/>
              <w:left w:val="nil"/>
              <w:bottom w:val="single" w:sz="4" w:space="0" w:color="auto"/>
              <w:right w:val="single" w:sz="4" w:space="0" w:color="auto"/>
            </w:tcBorders>
            <w:shd w:val="clear" w:color="auto" w:fill="auto"/>
            <w:vAlign w:val="center"/>
            <w:hideMark/>
          </w:tcPr>
          <w:p w14:paraId="3BBF2CEA" w14:textId="77777777" w:rsidR="007B546B" w:rsidRPr="00095A13" w:rsidRDefault="007B546B" w:rsidP="007B546B">
            <w:pPr>
              <w:ind w:right="144"/>
              <w:jc w:val="right"/>
              <w:rPr>
                <w:kern w:val="22"/>
                <w:szCs w:val="22"/>
                <w:lang w:val="fr-CA" w:eastAsia="en-CA"/>
              </w:rPr>
            </w:pPr>
            <w:r w:rsidRPr="00095A13">
              <w:rPr>
                <w:kern w:val="22"/>
                <w:szCs w:val="22"/>
                <w:lang w:val="fr-CA" w:eastAsia="en-CA"/>
              </w:rPr>
              <w:t>110</w:t>
            </w:r>
          </w:p>
        </w:tc>
      </w:tr>
      <w:tr w:rsidR="007B546B" w:rsidRPr="00095A13" w14:paraId="0EEA93D3"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696BF24" w14:textId="7F9B16E8" w:rsidR="007B546B" w:rsidRPr="00095A13" w:rsidRDefault="007B546B" w:rsidP="00120F79">
            <w:pPr>
              <w:jc w:val="right"/>
              <w:rPr>
                <w:kern w:val="22"/>
                <w:szCs w:val="22"/>
                <w:lang w:val="fr-CA" w:eastAsia="en-CA"/>
              </w:rPr>
            </w:pPr>
            <w:r>
              <w:rPr>
                <w:kern w:val="22"/>
                <w:szCs w:val="22"/>
                <w:lang w:val="fr-CA" w:eastAsia="en-CA"/>
              </w:rPr>
              <w:t>131</w:t>
            </w:r>
          </w:p>
        </w:tc>
        <w:tc>
          <w:tcPr>
            <w:tcW w:w="3966" w:type="dxa"/>
            <w:tcBorders>
              <w:top w:val="nil"/>
              <w:left w:val="nil"/>
              <w:bottom w:val="single" w:sz="4" w:space="0" w:color="auto"/>
              <w:right w:val="single" w:sz="4" w:space="0" w:color="auto"/>
            </w:tcBorders>
            <w:shd w:val="clear" w:color="auto" w:fill="auto"/>
            <w:vAlign w:val="center"/>
            <w:hideMark/>
          </w:tcPr>
          <w:p w14:paraId="102FCCC8" w14:textId="77777777" w:rsidR="007B546B" w:rsidRPr="00095A13" w:rsidRDefault="007B546B" w:rsidP="00120F79">
            <w:pPr>
              <w:jc w:val="left"/>
              <w:rPr>
                <w:kern w:val="22"/>
                <w:szCs w:val="22"/>
                <w:lang w:val="fr-CA" w:eastAsia="en-CA"/>
              </w:rPr>
            </w:pPr>
            <w:r>
              <w:rPr>
                <w:kern w:val="22"/>
                <w:szCs w:val="22"/>
                <w:lang w:val="fr-CA" w:eastAsia="en-CA"/>
              </w:rPr>
              <w:t>République démocratique du Congo</w:t>
            </w:r>
          </w:p>
        </w:tc>
        <w:tc>
          <w:tcPr>
            <w:tcW w:w="1605" w:type="dxa"/>
            <w:tcBorders>
              <w:top w:val="nil"/>
              <w:left w:val="nil"/>
              <w:bottom w:val="single" w:sz="4" w:space="0" w:color="auto"/>
              <w:right w:val="single" w:sz="4" w:space="0" w:color="auto"/>
            </w:tcBorders>
            <w:shd w:val="clear" w:color="auto" w:fill="auto"/>
            <w:vAlign w:val="center"/>
            <w:hideMark/>
          </w:tcPr>
          <w:p w14:paraId="14CFBC25"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010</w:t>
            </w:r>
          </w:p>
        </w:tc>
        <w:tc>
          <w:tcPr>
            <w:tcW w:w="1610" w:type="dxa"/>
            <w:tcBorders>
              <w:top w:val="nil"/>
              <w:left w:val="nil"/>
              <w:bottom w:val="single" w:sz="4" w:space="0" w:color="auto"/>
              <w:right w:val="single" w:sz="4" w:space="0" w:color="auto"/>
            </w:tcBorders>
            <w:shd w:val="clear" w:color="auto" w:fill="auto"/>
            <w:vAlign w:val="center"/>
            <w:hideMark/>
          </w:tcPr>
          <w:p w14:paraId="0071A6B8"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010</w:t>
            </w:r>
          </w:p>
        </w:tc>
        <w:tc>
          <w:tcPr>
            <w:tcW w:w="1590" w:type="dxa"/>
            <w:tcBorders>
              <w:top w:val="nil"/>
              <w:left w:val="nil"/>
              <w:bottom w:val="single" w:sz="4" w:space="0" w:color="auto"/>
              <w:right w:val="single" w:sz="4" w:space="0" w:color="auto"/>
            </w:tcBorders>
            <w:shd w:val="clear" w:color="auto" w:fill="auto"/>
            <w:vAlign w:val="center"/>
            <w:hideMark/>
          </w:tcPr>
          <w:p w14:paraId="23159B11" w14:textId="77777777" w:rsidR="007B546B" w:rsidRPr="00095A13" w:rsidRDefault="007B546B" w:rsidP="007B546B">
            <w:pPr>
              <w:ind w:right="144"/>
              <w:jc w:val="right"/>
              <w:rPr>
                <w:kern w:val="22"/>
                <w:szCs w:val="22"/>
                <w:lang w:val="fr-CA" w:eastAsia="en-CA"/>
              </w:rPr>
            </w:pPr>
            <w:r w:rsidRPr="00095A13">
              <w:rPr>
                <w:kern w:val="22"/>
                <w:szCs w:val="22"/>
                <w:lang w:val="fr-CA" w:eastAsia="en-CA"/>
              </w:rPr>
              <w:t>256</w:t>
            </w:r>
          </w:p>
        </w:tc>
      </w:tr>
      <w:tr w:rsidR="007B546B" w:rsidRPr="00095A13" w14:paraId="39A86740"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835D0EB" w14:textId="2E06B009" w:rsidR="007B546B" w:rsidRPr="00095A13" w:rsidRDefault="007B546B" w:rsidP="00120F79">
            <w:pPr>
              <w:jc w:val="right"/>
              <w:rPr>
                <w:kern w:val="22"/>
                <w:szCs w:val="22"/>
                <w:lang w:val="fr-CA" w:eastAsia="en-CA"/>
              </w:rPr>
            </w:pPr>
            <w:r>
              <w:rPr>
                <w:kern w:val="22"/>
                <w:szCs w:val="22"/>
                <w:lang w:val="fr-CA" w:eastAsia="en-CA"/>
              </w:rPr>
              <w:t>132</w:t>
            </w:r>
          </w:p>
        </w:tc>
        <w:tc>
          <w:tcPr>
            <w:tcW w:w="3966" w:type="dxa"/>
            <w:tcBorders>
              <w:top w:val="nil"/>
              <w:left w:val="nil"/>
              <w:bottom w:val="single" w:sz="4" w:space="0" w:color="auto"/>
              <w:right w:val="single" w:sz="4" w:space="0" w:color="auto"/>
            </w:tcBorders>
            <w:shd w:val="clear" w:color="auto" w:fill="auto"/>
            <w:vAlign w:val="center"/>
            <w:hideMark/>
          </w:tcPr>
          <w:p w14:paraId="239C9F9A" w14:textId="77777777" w:rsidR="007B546B" w:rsidRPr="00095A13" w:rsidRDefault="007B546B" w:rsidP="00120F79">
            <w:pPr>
              <w:jc w:val="left"/>
              <w:rPr>
                <w:kern w:val="22"/>
                <w:szCs w:val="22"/>
                <w:lang w:val="fr-CA" w:eastAsia="en-CA"/>
              </w:rPr>
            </w:pPr>
            <w:r>
              <w:rPr>
                <w:kern w:val="22"/>
                <w:szCs w:val="22"/>
                <w:lang w:val="fr-CA" w:eastAsia="en-CA"/>
              </w:rPr>
              <w:t>République démocratique populaire lao</w:t>
            </w:r>
          </w:p>
        </w:tc>
        <w:tc>
          <w:tcPr>
            <w:tcW w:w="1605" w:type="dxa"/>
            <w:tcBorders>
              <w:top w:val="nil"/>
              <w:left w:val="nil"/>
              <w:bottom w:val="single" w:sz="4" w:space="0" w:color="auto"/>
              <w:right w:val="single" w:sz="4" w:space="0" w:color="auto"/>
            </w:tcBorders>
            <w:shd w:val="clear" w:color="auto" w:fill="auto"/>
            <w:vAlign w:val="center"/>
            <w:hideMark/>
          </w:tcPr>
          <w:p w14:paraId="4AA39908"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005</w:t>
            </w:r>
          </w:p>
        </w:tc>
        <w:tc>
          <w:tcPr>
            <w:tcW w:w="1610" w:type="dxa"/>
            <w:tcBorders>
              <w:top w:val="nil"/>
              <w:left w:val="nil"/>
              <w:bottom w:val="single" w:sz="4" w:space="0" w:color="auto"/>
              <w:right w:val="single" w:sz="4" w:space="0" w:color="auto"/>
            </w:tcBorders>
            <w:shd w:val="clear" w:color="auto" w:fill="auto"/>
            <w:vAlign w:val="center"/>
            <w:hideMark/>
          </w:tcPr>
          <w:p w14:paraId="0132A9B1"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007</w:t>
            </w:r>
          </w:p>
        </w:tc>
        <w:tc>
          <w:tcPr>
            <w:tcW w:w="1590" w:type="dxa"/>
            <w:tcBorders>
              <w:top w:val="nil"/>
              <w:left w:val="nil"/>
              <w:bottom w:val="single" w:sz="4" w:space="0" w:color="auto"/>
              <w:right w:val="single" w:sz="4" w:space="0" w:color="auto"/>
            </w:tcBorders>
            <w:shd w:val="clear" w:color="auto" w:fill="auto"/>
            <w:vAlign w:val="center"/>
            <w:hideMark/>
          </w:tcPr>
          <w:p w14:paraId="0FA4A05A"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183</w:t>
            </w:r>
          </w:p>
        </w:tc>
      </w:tr>
      <w:tr w:rsidR="007B546B" w:rsidRPr="00095A13" w14:paraId="403A7E92"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C8DDD54" w14:textId="6EBF320C" w:rsidR="007B546B" w:rsidRPr="00095A13" w:rsidRDefault="007B546B" w:rsidP="00120F79">
            <w:pPr>
              <w:jc w:val="right"/>
              <w:rPr>
                <w:kern w:val="22"/>
                <w:szCs w:val="22"/>
                <w:lang w:val="fr-CA" w:eastAsia="en-CA"/>
              </w:rPr>
            </w:pPr>
            <w:r>
              <w:rPr>
                <w:kern w:val="22"/>
                <w:szCs w:val="22"/>
                <w:lang w:val="fr-CA" w:eastAsia="en-CA"/>
              </w:rPr>
              <w:t>133</w:t>
            </w:r>
          </w:p>
        </w:tc>
        <w:tc>
          <w:tcPr>
            <w:tcW w:w="3966" w:type="dxa"/>
            <w:tcBorders>
              <w:top w:val="nil"/>
              <w:left w:val="nil"/>
              <w:bottom w:val="single" w:sz="4" w:space="0" w:color="auto"/>
              <w:right w:val="single" w:sz="4" w:space="0" w:color="auto"/>
            </w:tcBorders>
            <w:shd w:val="clear" w:color="auto" w:fill="auto"/>
            <w:vAlign w:val="center"/>
            <w:hideMark/>
          </w:tcPr>
          <w:p w14:paraId="39709DDB" w14:textId="77777777" w:rsidR="007B546B" w:rsidRPr="00095A13" w:rsidRDefault="007B546B" w:rsidP="00120F79">
            <w:pPr>
              <w:jc w:val="left"/>
              <w:rPr>
                <w:kern w:val="22"/>
                <w:szCs w:val="22"/>
                <w:lang w:val="fr-CA" w:eastAsia="en-CA"/>
              </w:rPr>
            </w:pPr>
            <w:r>
              <w:rPr>
                <w:kern w:val="22"/>
                <w:szCs w:val="22"/>
                <w:lang w:val="fr-CA" w:eastAsia="en-CA"/>
              </w:rPr>
              <w:t>République dominicaine</w:t>
            </w:r>
          </w:p>
        </w:tc>
        <w:tc>
          <w:tcPr>
            <w:tcW w:w="1605" w:type="dxa"/>
            <w:tcBorders>
              <w:top w:val="nil"/>
              <w:left w:val="nil"/>
              <w:bottom w:val="single" w:sz="4" w:space="0" w:color="auto"/>
              <w:right w:val="single" w:sz="4" w:space="0" w:color="auto"/>
            </w:tcBorders>
            <w:shd w:val="clear" w:color="auto" w:fill="auto"/>
            <w:vAlign w:val="center"/>
            <w:hideMark/>
          </w:tcPr>
          <w:p w14:paraId="3064B932"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053</w:t>
            </w:r>
          </w:p>
        </w:tc>
        <w:tc>
          <w:tcPr>
            <w:tcW w:w="1610" w:type="dxa"/>
            <w:tcBorders>
              <w:top w:val="nil"/>
              <w:left w:val="nil"/>
              <w:bottom w:val="single" w:sz="4" w:space="0" w:color="auto"/>
              <w:right w:val="single" w:sz="4" w:space="0" w:color="auto"/>
            </w:tcBorders>
            <w:shd w:val="clear" w:color="auto" w:fill="auto"/>
            <w:vAlign w:val="center"/>
            <w:hideMark/>
          </w:tcPr>
          <w:p w14:paraId="23217674"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076</w:t>
            </w:r>
          </w:p>
        </w:tc>
        <w:tc>
          <w:tcPr>
            <w:tcW w:w="1590" w:type="dxa"/>
            <w:tcBorders>
              <w:top w:val="nil"/>
              <w:left w:val="nil"/>
              <w:bottom w:val="single" w:sz="4" w:space="0" w:color="auto"/>
              <w:right w:val="single" w:sz="4" w:space="0" w:color="auto"/>
            </w:tcBorders>
            <w:shd w:val="clear" w:color="auto" w:fill="auto"/>
            <w:vAlign w:val="center"/>
            <w:hideMark/>
          </w:tcPr>
          <w:p w14:paraId="55C9F7F6" w14:textId="77777777" w:rsidR="007B546B" w:rsidRPr="00095A13" w:rsidRDefault="007B546B" w:rsidP="007B546B">
            <w:pPr>
              <w:ind w:right="144"/>
              <w:jc w:val="right"/>
              <w:rPr>
                <w:kern w:val="22"/>
                <w:szCs w:val="22"/>
                <w:lang w:val="fr-CA" w:eastAsia="en-CA"/>
              </w:rPr>
            </w:pPr>
            <w:r w:rsidRPr="00095A13">
              <w:rPr>
                <w:kern w:val="22"/>
                <w:szCs w:val="22"/>
                <w:lang w:val="fr-CA" w:eastAsia="en-CA"/>
              </w:rPr>
              <w:t>1 937</w:t>
            </w:r>
          </w:p>
        </w:tc>
      </w:tr>
      <w:tr w:rsidR="007B546B" w:rsidRPr="00095A13" w14:paraId="543C18E8"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F167797" w14:textId="0A011904" w:rsidR="007B546B" w:rsidRPr="00095A13" w:rsidRDefault="007B546B" w:rsidP="00120F79">
            <w:pPr>
              <w:jc w:val="right"/>
              <w:rPr>
                <w:kern w:val="22"/>
                <w:szCs w:val="22"/>
                <w:lang w:val="fr-CA" w:eastAsia="en-CA"/>
              </w:rPr>
            </w:pPr>
            <w:r>
              <w:rPr>
                <w:kern w:val="22"/>
                <w:szCs w:val="22"/>
                <w:lang w:val="fr-CA" w:eastAsia="en-CA"/>
              </w:rPr>
              <w:t>134</w:t>
            </w:r>
          </w:p>
        </w:tc>
        <w:tc>
          <w:tcPr>
            <w:tcW w:w="3966" w:type="dxa"/>
            <w:tcBorders>
              <w:top w:val="nil"/>
              <w:left w:val="nil"/>
              <w:bottom w:val="single" w:sz="4" w:space="0" w:color="auto"/>
              <w:right w:val="single" w:sz="4" w:space="0" w:color="auto"/>
            </w:tcBorders>
            <w:shd w:val="clear" w:color="auto" w:fill="auto"/>
            <w:vAlign w:val="center"/>
            <w:hideMark/>
          </w:tcPr>
          <w:p w14:paraId="3BF69972" w14:textId="77777777" w:rsidR="007B546B" w:rsidRPr="00095A13" w:rsidRDefault="007B546B" w:rsidP="00120F79">
            <w:pPr>
              <w:jc w:val="left"/>
              <w:rPr>
                <w:kern w:val="22"/>
                <w:szCs w:val="22"/>
                <w:lang w:val="fr-CA" w:eastAsia="en-CA"/>
              </w:rPr>
            </w:pPr>
            <w:r>
              <w:rPr>
                <w:kern w:val="22"/>
                <w:szCs w:val="22"/>
                <w:lang w:val="fr-CA" w:eastAsia="en-CA"/>
              </w:rPr>
              <w:t>République islamique d’Iran</w:t>
            </w:r>
          </w:p>
        </w:tc>
        <w:tc>
          <w:tcPr>
            <w:tcW w:w="1605" w:type="dxa"/>
            <w:tcBorders>
              <w:top w:val="nil"/>
              <w:left w:val="nil"/>
              <w:bottom w:val="single" w:sz="4" w:space="0" w:color="auto"/>
              <w:right w:val="single" w:sz="4" w:space="0" w:color="auto"/>
            </w:tcBorders>
            <w:shd w:val="clear" w:color="auto" w:fill="auto"/>
            <w:vAlign w:val="center"/>
            <w:hideMark/>
          </w:tcPr>
          <w:p w14:paraId="7E699017"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398</w:t>
            </w:r>
          </w:p>
        </w:tc>
        <w:tc>
          <w:tcPr>
            <w:tcW w:w="1610" w:type="dxa"/>
            <w:tcBorders>
              <w:top w:val="nil"/>
              <w:left w:val="nil"/>
              <w:bottom w:val="single" w:sz="4" w:space="0" w:color="auto"/>
              <w:right w:val="single" w:sz="4" w:space="0" w:color="auto"/>
            </w:tcBorders>
            <w:shd w:val="clear" w:color="auto" w:fill="auto"/>
            <w:vAlign w:val="center"/>
            <w:hideMark/>
          </w:tcPr>
          <w:p w14:paraId="32C9AEDA"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569</w:t>
            </w:r>
          </w:p>
        </w:tc>
        <w:tc>
          <w:tcPr>
            <w:tcW w:w="1590" w:type="dxa"/>
            <w:tcBorders>
              <w:top w:val="nil"/>
              <w:left w:val="nil"/>
              <w:bottom w:val="single" w:sz="4" w:space="0" w:color="auto"/>
              <w:right w:val="single" w:sz="4" w:space="0" w:color="auto"/>
            </w:tcBorders>
            <w:shd w:val="clear" w:color="auto" w:fill="auto"/>
            <w:vAlign w:val="center"/>
            <w:hideMark/>
          </w:tcPr>
          <w:p w14:paraId="7E45BBA1" w14:textId="77777777" w:rsidR="007B546B" w:rsidRPr="00095A13" w:rsidRDefault="007B546B" w:rsidP="007B546B">
            <w:pPr>
              <w:adjustRightInd w:val="0"/>
              <w:snapToGrid w:val="0"/>
              <w:ind w:right="144"/>
              <w:jc w:val="right"/>
              <w:rPr>
                <w:kern w:val="22"/>
                <w:szCs w:val="22"/>
                <w:lang w:val="fr-CA" w:eastAsia="en-CA"/>
              </w:rPr>
            </w:pPr>
            <w:r w:rsidRPr="00095A13">
              <w:rPr>
                <w:kern w:val="22"/>
                <w:szCs w:val="22"/>
                <w:lang w:val="fr-CA" w:eastAsia="en-CA"/>
              </w:rPr>
              <w:t>14 546</w:t>
            </w:r>
          </w:p>
        </w:tc>
      </w:tr>
      <w:tr w:rsidR="007B546B" w:rsidRPr="00095A13" w14:paraId="0770A33C"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20945B38" w14:textId="37293575" w:rsidR="007B546B" w:rsidRPr="00095A13" w:rsidRDefault="007B546B" w:rsidP="00120F79">
            <w:pPr>
              <w:jc w:val="right"/>
              <w:rPr>
                <w:kern w:val="22"/>
                <w:szCs w:val="22"/>
                <w:lang w:val="fr-CA" w:eastAsia="en-CA"/>
              </w:rPr>
            </w:pPr>
            <w:r>
              <w:rPr>
                <w:kern w:val="22"/>
                <w:szCs w:val="22"/>
                <w:lang w:val="fr-CA" w:eastAsia="en-CA"/>
              </w:rPr>
              <w:t>135</w:t>
            </w:r>
          </w:p>
        </w:tc>
        <w:tc>
          <w:tcPr>
            <w:tcW w:w="3966" w:type="dxa"/>
            <w:tcBorders>
              <w:top w:val="nil"/>
              <w:left w:val="nil"/>
              <w:bottom w:val="single" w:sz="4" w:space="0" w:color="auto"/>
              <w:right w:val="single" w:sz="4" w:space="0" w:color="auto"/>
            </w:tcBorders>
            <w:shd w:val="clear" w:color="auto" w:fill="auto"/>
            <w:vAlign w:val="center"/>
            <w:hideMark/>
          </w:tcPr>
          <w:p w14:paraId="767C2C23" w14:textId="77777777" w:rsidR="007B546B" w:rsidRPr="00095A13" w:rsidRDefault="007B546B" w:rsidP="00120F79">
            <w:pPr>
              <w:jc w:val="left"/>
              <w:rPr>
                <w:kern w:val="22"/>
                <w:szCs w:val="22"/>
                <w:lang w:val="fr-CA" w:eastAsia="en-CA"/>
              </w:rPr>
            </w:pPr>
            <w:r w:rsidRPr="00095A13">
              <w:rPr>
                <w:kern w:val="22"/>
                <w:szCs w:val="22"/>
                <w:lang w:val="fr-CA" w:eastAsia="en-CA"/>
              </w:rPr>
              <w:t>République populaire démocratique de Corée</w:t>
            </w:r>
          </w:p>
        </w:tc>
        <w:tc>
          <w:tcPr>
            <w:tcW w:w="1605" w:type="dxa"/>
            <w:tcBorders>
              <w:top w:val="nil"/>
              <w:left w:val="nil"/>
              <w:bottom w:val="single" w:sz="4" w:space="0" w:color="auto"/>
              <w:right w:val="single" w:sz="4" w:space="0" w:color="auto"/>
            </w:tcBorders>
            <w:shd w:val="clear" w:color="auto" w:fill="auto"/>
            <w:vAlign w:val="center"/>
            <w:hideMark/>
          </w:tcPr>
          <w:p w14:paraId="14B62EC8"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006</w:t>
            </w:r>
          </w:p>
        </w:tc>
        <w:tc>
          <w:tcPr>
            <w:tcW w:w="1610" w:type="dxa"/>
            <w:tcBorders>
              <w:top w:val="nil"/>
              <w:left w:val="nil"/>
              <w:bottom w:val="single" w:sz="4" w:space="0" w:color="auto"/>
              <w:right w:val="single" w:sz="4" w:space="0" w:color="auto"/>
            </w:tcBorders>
            <w:shd w:val="clear" w:color="auto" w:fill="auto"/>
            <w:vAlign w:val="center"/>
            <w:hideMark/>
          </w:tcPr>
          <w:p w14:paraId="2C2D7012"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009</w:t>
            </w:r>
          </w:p>
        </w:tc>
        <w:tc>
          <w:tcPr>
            <w:tcW w:w="1590" w:type="dxa"/>
            <w:tcBorders>
              <w:top w:val="nil"/>
              <w:left w:val="nil"/>
              <w:bottom w:val="single" w:sz="4" w:space="0" w:color="auto"/>
              <w:right w:val="single" w:sz="4" w:space="0" w:color="auto"/>
            </w:tcBorders>
            <w:shd w:val="clear" w:color="auto" w:fill="auto"/>
            <w:vAlign w:val="center"/>
            <w:hideMark/>
          </w:tcPr>
          <w:p w14:paraId="66312BF7" w14:textId="77777777" w:rsidR="007B546B" w:rsidRPr="00095A13" w:rsidRDefault="007B546B" w:rsidP="007B546B">
            <w:pPr>
              <w:ind w:right="144"/>
              <w:jc w:val="right"/>
              <w:rPr>
                <w:kern w:val="22"/>
                <w:szCs w:val="22"/>
                <w:lang w:val="fr-CA" w:eastAsia="en-CA"/>
              </w:rPr>
            </w:pPr>
            <w:r w:rsidRPr="00095A13">
              <w:rPr>
                <w:kern w:val="22"/>
                <w:szCs w:val="22"/>
                <w:lang w:val="fr-CA" w:eastAsia="en-CA"/>
              </w:rPr>
              <w:t>219</w:t>
            </w:r>
          </w:p>
        </w:tc>
      </w:tr>
      <w:tr w:rsidR="007B546B" w:rsidRPr="00095A13" w14:paraId="70B32233"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732FBFC" w14:textId="3B5F78D8" w:rsidR="007B546B" w:rsidRPr="00095A13" w:rsidRDefault="007B546B" w:rsidP="005066EB">
            <w:pPr>
              <w:jc w:val="right"/>
              <w:rPr>
                <w:kern w:val="22"/>
                <w:szCs w:val="22"/>
                <w:lang w:val="fr-CA" w:eastAsia="en-CA"/>
              </w:rPr>
            </w:pPr>
            <w:r>
              <w:rPr>
                <w:kern w:val="22"/>
                <w:szCs w:val="22"/>
                <w:lang w:val="fr-CA" w:eastAsia="en-CA"/>
              </w:rPr>
              <w:t>136</w:t>
            </w:r>
          </w:p>
        </w:tc>
        <w:tc>
          <w:tcPr>
            <w:tcW w:w="3966" w:type="dxa"/>
            <w:tcBorders>
              <w:top w:val="nil"/>
              <w:left w:val="nil"/>
              <w:bottom w:val="single" w:sz="4" w:space="0" w:color="auto"/>
              <w:right w:val="single" w:sz="4" w:space="0" w:color="auto"/>
            </w:tcBorders>
            <w:shd w:val="clear" w:color="auto" w:fill="auto"/>
            <w:vAlign w:val="center"/>
            <w:hideMark/>
          </w:tcPr>
          <w:p w14:paraId="49F99517" w14:textId="77777777" w:rsidR="007B546B" w:rsidRPr="00095A13" w:rsidRDefault="007B546B" w:rsidP="005066EB">
            <w:pPr>
              <w:jc w:val="left"/>
              <w:rPr>
                <w:kern w:val="22"/>
                <w:szCs w:val="22"/>
                <w:lang w:val="fr-CA" w:eastAsia="en-CA"/>
              </w:rPr>
            </w:pPr>
            <w:r>
              <w:rPr>
                <w:kern w:val="22"/>
                <w:szCs w:val="22"/>
                <w:lang w:val="fr-CA" w:eastAsia="en-CA"/>
              </w:rPr>
              <w:t>République unie de Tanzanie</w:t>
            </w:r>
          </w:p>
        </w:tc>
        <w:tc>
          <w:tcPr>
            <w:tcW w:w="1605" w:type="dxa"/>
            <w:tcBorders>
              <w:top w:val="nil"/>
              <w:left w:val="nil"/>
              <w:bottom w:val="single" w:sz="4" w:space="0" w:color="auto"/>
              <w:right w:val="single" w:sz="4" w:space="0" w:color="auto"/>
            </w:tcBorders>
            <w:shd w:val="clear" w:color="auto" w:fill="auto"/>
            <w:vAlign w:val="center"/>
            <w:hideMark/>
          </w:tcPr>
          <w:p w14:paraId="06D96315"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010</w:t>
            </w:r>
          </w:p>
        </w:tc>
        <w:tc>
          <w:tcPr>
            <w:tcW w:w="1610" w:type="dxa"/>
            <w:tcBorders>
              <w:top w:val="nil"/>
              <w:left w:val="nil"/>
              <w:bottom w:val="single" w:sz="4" w:space="0" w:color="auto"/>
              <w:right w:val="single" w:sz="4" w:space="0" w:color="auto"/>
            </w:tcBorders>
            <w:shd w:val="clear" w:color="auto" w:fill="auto"/>
            <w:vAlign w:val="center"/>
            <w:hideMark/>
          </w:tcPr>
          <w:p w14:paraId="5CBADA4B"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010</w:t>
            </w:r>
          </w:p>
        </w:tc>
        <w:tc>
          <w:tcPr>
            <w:tcW w:w="1590" w:type="dxa"/>
            <w:tcBorders>
              <w:top w:val="nil"/>
              <w:left w:val="nil"/>
              <w:bottom w:val="single" w:sz="4" w:space="0" w:color="auto"/>
              <w:right w:val="single" w:sz="4" w:space="0" w:color="auto"/>
            </w:tcBorders>
            <w:shd w:val="clear" w:color="auto" w:fill="auto"/>
            <w:vAlign w:val="center"/>
            <w:hideMark/>
          </w:tcPr>
          <w:p w14:paraId="07555BE5" w14:textId="77777777" w:rsidR="007B546B" w:rsidRPr="00095A13" w:rsidRDefault="007B546B" w:rsidP="007B546B">
            <w:pPr>
              <w:ind w:right="144"/>
              <w:jc w:val="right"/>
              <w:rPr>
                <w:kern w:val="22"/>
                <w:szCs w:val="22"/>
                <w:lang w:val="fr-CA" w:eastAsia="en-CA"/>
              </w:rPr>
            </w:pPr>
            <w:r w:rsidRPr="00095A13">
              <w:rPr>
                <w:kern w:val="22"/>
                <w:szCs w:val="22"/>
                <w:lang w:val="fr-CA" w:eastAsia="en-CA"/>
              </w:rPr>
              <w:t>256</w:t>
            </w:r>
          </w:p>
        </w:tc>
      </w:tr>
      <w:tr w:rsidR="007B546B" w:rsidRPr="00095A13" w14:paraId="6EDB81E8"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tcPr>
          <w:p w14:paraId="2333FFB5" w14:textId="50DF29D4" w:rsidR="007B546B" w:rsidRPr="00095A13" w:rsidRDefault="007B546B" w:rsidP="00541CDC">
            <w:pPr>
              <w:jc w:val="right"/>
              <w:rPr>
                <w:kern w:val="22"/>
                <w:szCs w:val="22"/>
                <w:lang w:val="fr-CA" w:eastAsia="en-CA"/>
              </w:rPr>
            </w:pPr>
            <w:r>
              <w:rPr>
                <w:kern w:val="22"/>
                <w:szCs w:val="22"/>
                <w:lang w:val="fr-CA" w:eastAsia="en-CA"/>
              </w:rPr>
              <w:t>137</w:t>
            </w:r>
          </w:p>
        </w:tc>
        <w:tc>
          <w:tcPr>
            <w:tcW w:w="3966" w:type="dxa"/>
            <w:tcBorders>
              <w:top w:val="nil"/>
              <w:left w:val="nil"/>
              <w:bottom w:val="single" w:sz="4" w:space="0" w:color="auto"/>
              <w:right w:val="single" w:sz="4" w:space="0" w:color="auto"/>
            </w:tcBorders>
            <w:shd w:val="clear" w:color="auto" w:fill="auto"/>
            <w:vAlign w:val="center"/>
            <w:hideMark/>
          </w:tcPr>
          <w:p w14:paraId="1CE57BED" w14:textId="77777777" w:rsidR="007B546B" w:rsidRPr="00095A13" w:rsidRDefault="007B546B" w:rsidP="00541CDC">
            <w:pPr>
              <w:jc w:val="left"/>
              <w:rPr>
                <w:kern w:val="22"/>
                <w:szCs w:val="22"/>
                <w:lang w:val="fr-CA" w:eastAsia="en-CA"/>
              </w:rPr>
            </w:pPr>
            <w:r>
              <w:rPr>
                <w:kern w:val="22"/>
                <w:szCs w:val="22"/>
                <w:lang w:val="fr-CA" w:eastAsia="en-CA"/>
              </w:rPr>
              <w:t>Roumanie</w:t>
            </w:r>
          </w:p>
        </w:tc>
        <w:tc>
          <w:tcPr>
            <w:tcW w:w="1605" w:type="dxa"/>
            <w:tcBorders>
              <w:top w:val="nil"/>
              <w:left w:val="nil"/>
              <w:bottom w:val="single" w:sz="4" w:space="0" w:color="auto"/>
              <w:right w:val="single" w:sz="4" w:space="0" w:color="auto"/>
            </w:tcBorders>
            <w:shd w:val="clear" w:color="auto" w:fill="auto"/>
            <w:vAlign w:val="center"/>
            <w:hideMark/>
          </w:tcPr>
          <w:p w14:paraId="2ACFFD47"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198</w:t>
            </w:r>
          </w:p>
        </w:tc>
        <w:tc>
          <w:tcPr>
            <w:tcW w:w="1610" w:type="dxa"/>
            <w:tcBorders>
              <w:top w:val="nil"/>
              <w:left w:val="nil"/>
              <w:bottom w:val="single" w:sz="4" w:space="0" w:color="auto"/>
              <w:right w:val="single" w:sz="4" w:space="0" w:color="auto"/>
            </w:tcBorders>
            <w:shd w:val="clear" w:color="auto" w:fill="auto"/>
            <w:vAlign w:val="center"/>
            <w:hideMark/>
          </w:tcPr>
          <w:p w14:paraId="08345FE4"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283</w:t>
            </w:r>
          </w:p>
        </w:tc>
        <w:tc>
          <w:tcPr>
            <w:tcW w:w="1590" w:type="dxa"/>
            <w:tcBorders>
              <w:top w:val="nil"/>
              <w:left w:val="nil"/>
              <w:bottom w:val="single" w:sz="4" w:space="0" w:color="auto"/>
              <w:right w:val="single" w:sz="4" w:space="0" w:color="auto"/>
            </w:tcBorders>
            <w:shd w:val="clear" w:color="auto" w:fill="auto"/>
            <w:vAlign w:val="center"/>
            <w:hideMark/>
          </w:tcPr>
          <w:p w14:paraId="5C4F7229" w14:textId="77777777" w:rsidR="007B546B" w:rsidRPr="00095A13" w:rsidRDefault="007B546B" w:rsidP="007B546B">
            <w:pPr>
              <w:ind w:right="144"/>
              <w:jc w:val="right"/>
              <w:rPr>
                <w:kern w:val="22"/>
                <w:szCs w:val="22"/>
                <w:lang w:val="fr-CA" w:eastAsia="en-CA"/>
              </w:rPr>
            </w:pPr>
            <w:r w:rsidRPr="00095A13">
              <w:rPr>
                <w:kern w:val="22"/>
                <w:szCs w:val="22"/>
                <w:lang w:val="fr-CA" w:eastAsia="en-CA"/>
              </w:rPr>
              <w:t>7 237</w:t>
            </w:r>
          </w:p>
        </w:tc>
      </w:tr>
      <w:tr w:rsidR="007B546B" w:rsidRPr="00095A13" w14:paraId="19CF3572" w14:textId="77777777" w:rsidTr="007B546B">
        <w:trPr>
          <w:trHeight w:val="52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6139A83" w14:textId="7424B9C4" w:rsidR="007B546B" w:rsidRPr="00095A13" w:rsidRDefault="007B546B" w:rsidP="005066EB">
            <w:pPr>
              <w:jc w:val="right"/>
              <w:rPr>
                <w:kern w:val="22"/>
                <w:szCs w:val="22"/>
                <w:lang w:val="fr-CA" w:eastAsia="en-CA"/>
              </w:rPr>
            </w:pPr>
            <w:r>
              <w:rPr>
                <w:kern w:val="22"/>
                <w:szCs w:val="22"/>
                <w:lang w:val="fr-CA" w:eastAsia="en-CA"/>
              </w:rPr>
              <w:t>138</w:t>
            </w:r>
          </w:p>
        </w:tc>
        <w:tc>
          <w:tcPr>
            <w:tcW w:w="3966" w:type="dxa"/>
            <w:tcBorders>
              <w:top w:val="nil"/>
              <w:left w:val="nil"/>
              <w:bottom w:val="single" w:sz="4" w:space="0" w:color="auto"/>
              <w:right w:val="single" w:sz="4" w:space="0" w:color="auto"/>
            </w:tcBorders>
            <w:shd w:val="clear" w:color="auto" w:fill="auto"/>
            <w:vAlign w:val="center"/>
            <w:hideMark/>
          </w:tcPr>
          <w:p w14:paraId="691B8FE5" w14:textId="77777777" w:rsidR="007B546B" w:rsidRPr="00095A13" w:rsidRDefault="007B546B" w:rsidP="005066EB">
            <w:pPr>
              <w:jc w:val="left"/>
              <w:rPr>
                <w:kern w:val="22"/>
                <w:szCs w:val="22"/>
                <w:lang w:val="fr-CA" w:eastAsia="en-CA"/>
              </w:rPr>
            </w:pPr>
            <w:r>
              <w:rPr>
                <w:kern w:val="22"/>
                <w:szCs w:val="22"/>
                <w:lang w:val="fr-CA" w:eastAsia="en-CA"/>
              </w:rPr>
              <w:t>Royaume-Uni de Grande-Bretagne et d’Irlande du Nord</w:t>
            </w:r>
          </w:p>
        </w:tc>
        <w:tc>
          <w:tcPr>
            <w:tcW w:w="1605" w:type="dxa"/>
            <w:tcBorders>
              <w:top w:val="nil"/>
              <w:left w:val="nil"/>
              <w:bottom w:val="single" w:sz="4" w:space="0" w:color="auto"/>
              <w:right w:val="single" w:sz="4" w:space="0" w:color="auto"/>
            </w:tcBorders>
            <w:shd w:val="clear" w:color="auto" w:fill="auto"/>
            <w:vAlign w:val="center"/>
            <w:hideMark/>
          </w:tcPr>
          <w:p w14:paraId="616C2B37" w14:textId="77777777" w:rsidR="007B546B" w:rsidRPr="00095A13" w:rsidRDefault="007B546B" w:rsidP="007B546B">
            <w:pPr>
              <w:ind w:right="144"/>
              <w:jc w:val="right"/>
              <w:rPr>
                <w:kern w:val="22"/>
                <w:szCs w:val="22"/>
                <w:lang w:val="fr-CA" w:eastAsia="en-CA"/>
              </w:rPr>
            </w:pPr>
            <w:r w:rsidRPr="00095A13">
              <w:rPr>
                <w:kern w:val="22"/>
                <w:szCs w:val="22"/>
                <w:lang w:val="fr-CA" w:eastAsia="en-CA"/>
              </w:rPr>
              <w:t>4</w:t>
            </w:r>
            <w:r>
              <w:rPr>
                <w:kern w:val="22"/>
                <w:szCs w:val="22"/>
                <w:lang w:val="fr-CA" w:eastAsia="en-CA"/>
              </w:rPr>
              <w:t>,</w:t>
            </w:r>
            <w:r w:rsidRPr="00095A13">
              <w:rPr>
                <w:kern w:val="22"/>
                <w:szCs w:val="22"/>
                <w:lang w:val="fr-CA" w:eastAsia="en-CA"/>
              </w:rPr>
              <w:t>567</w:t>
            </w:r>
          </w:p>
        </w:tc>
        <w:tc>
          <w:tcPr>
            <w:tcW w:w="1610" w:type="dxa"/>
            <w:tcBorders>
              <w:top w:val="nil"/>
              <w:left w:val="nil"/>
              <w:bottom w:val="single" w:sz="4" w:space="0" w:color="auto"/>
              <w:right w:val="single" w:sz="4" w:space="0" w:color="auto"/>
            </w:tcBorders>
            <w:shd w:val="clear" w:color="auto" w:fill="auto"/>
            <w:vAlign w:val="center"/>
            <w:hideMark/>
          </w:tcPr>
          <w:p w14:paraId="0DC2D3D2" w14:textId="77777777" w:rsidR="007B546B" w:rsidRPr="00095A13" w:rsidRDefault="007B546B" w:rsidP="007B546B">
            <w:pPr>
              <w:ind w:right="144"/>
              <w:jc w:val="right"/>
              <w:rPr>
                <w:kern w:val="22"/>
                <w:szCs w:val="22"/>
                <w:lang w:val="fr-CA" w:eastAsia="en-CA"/>
              </w:rPr>
            </w:pPr>
            <w:r w:rsidRPr="00095A13">
              <w:rPr>
                <w:kern w:val="22"/>
                <w:szCs w:val="22"/>
                <w:lang w:val="fr-CA" w:eastAsia="en-CA"/>
              </w:rPr>
              <w:t>6</w:t>
            </w:r>
            <w:r>
              <w:rPr>
                <w:kern w:val="22"/>
                <w:szCs w:val="22"/>
                <w:lang w:val="fr-CA" w:eastAsia="en-CA"/>
              </w:rPr>
              <w:t>,</w:t>
            </w:r>
            <w:r w:rsidRPr="00095A13">
              <w:rPr>
                <w:kern w:val="22"/>
                <w:szCs w:val="22"/>
                <w:lang w:val="fr-CA" w:eastAsia="en-CA"/>
              </w:rPr>
              <w:t>525</w:t>
            </w:r>
          </w:p>
        </w:tc>
        <w:tc>
          <w:tcPr>
            <w:tcW w:w="1590" w:type="dxa"/>
            <w:tcBorders>
              <w:top w:val="nil"/>
              <w:left w:val="nil"/>
              <w:bottom w:val="single" w:sz="4" w:space="0" w:color="auto"/>
              <w:right w:val="single" w:sz="4" w:space="0" w:color="auto"/>
            </w:tcBorders>
            <w:shd w:val="clear" w:color="auto" w:fill="auto"/>
            <w:vAlign w:val="center"/>
            <w:hideMark/>
          </w:tcPr>
          <w:p w14:paraId="0644D5EA" w14:textId="77777777" w:rsidR="007B546B" w:rsidRPr="00095A13" w:rsidRDefault="007B546B" w:rsidP="007B546B">
            <w:pPr>
              <w:ind w:right="144"/>
              <w:jc w:val="right"/>
              <w:rPr>
                <w:kern w:val="22"/>
                <w:szCs w:val="22"/>
                <w:lang w:val="fr-CA" w:eastAsia="en-CA"/>
              </w:rPr>
            </w:pPr>
            <w:r w:rsidRPr="00095A13">
              <w:rPr>
                <w:kern w:val="22"/>
                <w:szCs w:val="22"/>
                <w:lang w:val="fr-CA" w:eastAsia="en-CA"/>
              </w:rPr>
              <w:t>166 917</w:t>
            </w:r>
          </w:p>
        </w:tc>
      </w:tr>
      <w:tr w:rsidR="007B546B" w:rsidRPr="00095A13" w14:paraId="31325241"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tcPr>
          <w:p w14:paraId="3D421C2C" w14:textId="182A89C6" w:rsidR="007B546B" w:rsidRPr="00095A13" w:rsidRDefault="007B546B" w:rsidP="00541CDC">
            <w:pPr>
              <w:jc w:val="right"/>
              <w:rPr>
                <w:kern w:val="22"/>
                <w:szCs w:val="22"/>
                <w:lang w:val="fr-CA" w:eastAsia="en-CA"/>
              </w:rPr>
            </w:pPr>
            <w:r>
              <w:rPr>
                <w:kern w:val="22"/>
                <w:szCs w:val="22"/>
                <w:lang w:val="fr-CA" w:eastAsia="en-CA"/>
              </w:rPr>
              <w:t>139</w:t>
            </w:r>
          </w:p>
        </w:tc>
        <w:tc>
          <w:tcPr>
            <w:tcW w:w="3966" w:type="dxa"/>
            <w:tcBorders>
              <w:top w:val="nil"/>
              <w:left w:val="nil"/>
              <w:bottom w:val="single" w:sz="4" w:space="0" w:color="auto"/>
              <w:right w:val="single" w:sz="4" w:space="0" w:color="auto"/>
            </w:tcBorders>
            <w:shd w:val="clear" w:color="auto" w:fill="auto"/>
            <w:vAlign w:val="center"/>
            <w:hideMark/>
          </w:tcPr>
          <w:p w14:paraId="2C3FA1F2" w14:textId="77777777" w:rsidR="007B546B" w:rsidRPr="00095A13" w:rsidRDefault="007B546B" w:rsidP="00541CDC">
            <w:pPr>
              <w:jc w:val="left"/>
              <w:rPr>
                <w:kern w:val="22"/>
                <w:szCs w:val="22"/>
                <w:lang w:val="fr-CA" w:eastAsia="en-CA"/>
              </w:rPr>
            </w:pPr>
            <w:r w:rsidRPr="00095A13">
              <w:rPr>
                <w:kern w:val="22"/>
                <w:szCs w:val="22"/>
                <w:lang w:val="fr-CA" w:eastAsia="en-CA"/>
              </w:rPr>
              <w:t>Rwanda</w:t>
            </w:r>
          </w:p>
        </w:tc>
        <w:tc>
          <w:tcPr>
            <w:tcW w:w="1605" w:type="dxa"/>
            <w:tcBorders>
              <w:top w:val="nil"/>
              <w:left w:val="nil"/>
              <w:bottom w:val="single" w:sz="4" w:space="0" w:color="auto"/>
              <w:right w:val="single" w:sz="4" w:space="0" w:color="auto"/>
            </w:tcBorders>
            <w:shd w:val="clear" w:color="auto" w:fill="auto"/>
            <w:vAlign w:val="center"/>
            <w:hideMark/>
          </w:tcPr>
          <w:p w14:paraId="20349237"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003</w:t>
            </w:r>
          </w:p>
        </w:tc>
        <w:tc>
          <w:tcPr>
            <w:tcW w:w="1610" w:type="dxa"/>
            <w:tcBorders>
              <w:top w:val="nil"/>
              <w:left w:val="nil"/>
              <w:bottom w:val="single" w:sz="4" w:space="0" w:color="auto"/>
              <w:right w:val="single" w:sz="4" w:space="0" w:color="auto"/>
            </w:tcBorders>
            <w:shd w:val="clear" w:color="auto" w:fill="auto"/>
            <w:vAlign w:val="center"/>
            <w:hideMark/>
          </w:tcPr>
          <w:p w14:paraId="1BD9FE88"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004</w:t>
            </w:r>
          </w:p>
        </w:tc>
        <w:tc>
          <w:tcPr>
            <w:tcW w:w="1590" w:type="dxa"/>
            <w:tcBorders>
              <w:top w:val="nil"/>
              <w:left w:val="nil"/>
              <w:bottom w:val="single" w:sz="4" w:space="0" w:color="auto"/>
              <w:right w:val="single" w:sz="4" w:space="0" w:color="auto"/>
            </w:tcBorders>
            <w:shd w:val="clear" w:color="auto" w:fill="auto"/>
            <w:vAlign w:val="center"/>
            <w:hideMark/>
          </w:tcPr>
          <w:p w14:paraId="150663E0" w14:textId="77777777" w:rsidR="007B546B" w:rsidRPr="00095A13" w:rsidRDefault="007B546B" w:rsidP="007B546B">
            <w:pPr>
              <w:ind w:right="144"/>
              <w:jc w:val="right"/>
              <w:rPr>
                <w:kern w:val="22"/>
                <w:szCs w:val="22"/>
                <w:lang w:val="fr-CA" w:eastAsia="en-CA"/>
              </w:rPr>
            </w:pPr>
            <w:r w:rsidRPr="00095A13">
              <w:rPr>
                <w:kern w:val="22"/>
                <w:szCs w:val="22"/>
                <w:lang w:val="fr-CA" w:eastAsia="en-CA"/>
              </w:rPr>
              <w:t>110</w:t>
            </w:r>
          </w:p>
        </w:tc>
      </w:tr>
      <w:tr w:rsidR="007B546B" w:rsidRPr="00095A13" w14:paraId="5BE02E75"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tcPr>
          <w:p w14:paraId="728A6532" w14:textId="5E8C7444" w:rsidR="007B546B" w:rsidRPr="00095A13" w:rsidRDefault="007B546B" w:rsidP="00541CDC">
            <w:pPr>
              <w:jc w:val="right"/>
              <w:rPr>
                <w:kern w:val="22"/>
                <w:szCs w:val="22"/>
                <w:lang w:val="fr-CA" w:eastAsia="en-CA"/>
              </w:rPr>
            </w:pPr>
            <w:r>
              <w:rPr>
                <w:kern w:val="22"/>
                <w:szCs w:val="22"/>
                <w:lang w:val="fr-CA" w:eastAsia="en-CA"/>
              </w:rPr>
              <w:t>140</w:t>
            </w:r>
          </w:p>
        </w:tc>
        <w:tc>
          <w:tcPr>
            <w:tcW w:w="3966" w:type="dxa"/>
            <w:tcBorders>
              <w:top w:val="nil"/>
              <w:left w:val="nil"/>
              <w:bottom w:val="single" w:sz="4" w:space="0" w:color="auto"/>
              <w:right w:val="single" w:sz="4" w:space="0" w:color="auto"/>
            </w:tcBorders>
            <w:shd w:val="clear" w:color="auto" w:fill="auto"/>
            <w:vAlign w:val="center"/>
            <w:hideMark/>
          </w:tcPr>
          <w:p w14:paraId="42592A59" w14:textId="77777777" w:rsidR="007B546B" w:rsidRPr="00095A13" w:rsidRDefault="007B546B" w:rsidP="00541CDC">
            <w:pPr>
              <w:jc w:val="left"/>
              <w:rPr>
                <w:kern w:val="22"/>
                <w:szCs w:val="22"/>
                <w:lang w:val="fr-CA" w:eastAsia="en-CA"/>
              </w:rPr>
            </w:pPr>
            <w:r>
              <w:rPr>
                <w:kern w:val="22"/>
                <w:szCs w:val="22"/>
                <w:lang w:val="fr-CA" w:eastAsia="en-CA"/>
              </w:rPr>
              <w:t>Sainte-Lucie</w:t>
            </w:r>
          </w:p>
        </w:tc>
        <w:tc>
          <w:tcPr>
            <w:tcW w:w="1605" w:type="dxa"/>
            <w:tcBorders>
              <w:top w:val="nil"/>
              <w:left w:val="nil"/>
              <w:bottom w:val="single" w:sz="4" w:space="0" w:color="auto"/>
              <w:right w:val="single" w:sz="4" w:space="0" w:color="auto"/>
            </w:tcBorders>
            <w:shd w:val="clear" w:color="auto" w:fill="auto"/>
            <w:vAlign w:val="center"/>
            <w:hideMark/>
          </w:tcPr>
          <w:p w14:paraId="71BA637B"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001</w:t>
            </w:r>
          </w:p>
        </w:tc>
        <w:tc>
          <w:tcPr>
            <w:tcW w:w="1610" w:type="dxa"/>
            <w:tcBorders>
              <w:top w:val="nil"/>
              <w:left w:val="nil"/>
              <w:bottom w:val="single" w:sz="4" w:space="0" w:color="auto"/>
              <w:right w:val="single" w:sz="4" w:space="0" w:color="auto"/>
            </w:tcBorders>
            <w:shd w:val="clear" w:color="auto" w:fill="auto"/>
            <w:vAlign w:val="center"/>
            <w:hideMark/>
          </w:tcPr>
          <w:p w14:paraId="16876D02"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001</w:t>
            </w:r>
          </w:p>
        </w:tc>
        <w:tc>
          <w:tcPr>
            <w:tcW w:w="1590" w:type="dxa"/>
            <w:tcBorders>
              <w:top w:val="nil"/>
              <w:left w:val="nil"/>
              <w:bottom w:val="single" w:sz="4" w:space="0" w:color="auto"/>
              <w:right w:val="single" w:sz="4" w:space="0" w:color="auto"/>
            </w:tcBorders>
            <w:shd w:val="clear" w:color="auto" w:fill="auto"/>
            <w:vAlign w:val="center"/>
            <w:hideMark/>
          </w:tcPr>
          <w:p w14:paraId="646D9B00" w14:textId="77777777" w:rsidR="007B546B" w:rsidRPr="00095A13" w:rsidRDefault="007B546B" w:rsidP="007B546B">
            <w:pPr>
              <w:ind w:right="144"/>
              <w:jc w:val="right"/>
              <w:rPr>
                <w:kern w:val="22"/>
                <w:szCs w:val="22"/>
                <w:lang w:val="fr-CA" w:eastAsia="en-CA"/>
              </w:rPr>
            </w:pPr>
            <w:r w:rsidRPr="00095A13">
              <w:rPr>
                <w:kern w:val="22"/>
                <w:szCs w:val="22"/>
                <w:lang w:val="fr-CA" w:eastAsia="en-CA"/>
              </w:rPr>
              <w:t>37</w:t>
            </w:r>
          </w:p>
        </w:tc>
      </w:tr>
      <w:tr w:rsidR="007B546B" w:rsidRPr="00095A13" w14:paraId="4EF64AA9"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tcPr>
          <w:p w14:paraId="42632814" w14:textId="5A6E1F11" w:rsidR="007B546B" w:rsidRPr="00095A13" w:rsidRDefault="007B546B" w:rsidP="00541CDC">
            <w:pPr>
              <w:jc w:val="right"/>
              <w:rPr>
                <w:kern w:val="22"/>
                <w:szCs w:val="22"/>
                <w:lang w:val="fr-CA" w:eastAsia="en-CA"/>
              </w:rPr>
            </w:pPr>
            <w:r>
              <w:rPr>
                <w:kern w:val="22"/>
                <w:szCs w:val="22"/>
                <w:lang w:val="fr-CA" w:eastAsia="en-CA"/>
              </w:rPr>
              <w:t>141</w:t>
            </w:r>
          </w:p>
        </w:tc>
        <w:tc>
          <w:tcPr>
            <w:tcW w:w="3966" w:type="dxa"/>
            <w:tcBorders>
              <w:top w:val="nil"/>
              <w:left w:val="nil"/>
              <w:bottom w:val="single" w:sz="4" w:space="0" w:color="auto"/>
              <w:right w:val="single" w:sz="4" w:space="0" w:color="auto"/>
            </w:tcBorders>
            <w:shd w:val="clear" w:color="auto" w:fill="auto"/>
            <w:vAlign w:val="center"/>
            <w:hideMark/>
          </w:tcPr>
          <w:p w14:paraId="71055E7B" w14:textId="77777777" w:rsidR="007B546B" w:rsidRPr="00095A13" w:rsidRDefault="007B546B" w:rsidP="008A5D50">
            <w:pPr>
              <w:jc w:val="left"/>
              <w:rPr>
                <w:kern w:val="22"/>
                <w:szCs w:val="22"/>
                <w:lang w:val="fr-CA" w:eastAsia="en-CA"/>
              </w:rPr>
            </w:pPr>
            <w:r w:rsidRPr="00095A13">
              <w:rPr>
                <w:kern w:val="22"/>
                <w:szCs w:val="22"/>
                <w:lang w:val="fr-CA" w:eastAsia="en-CA"/>
              </w:rPr>
              <w:t>Saint</w:t>
            </w:r>
            <w:r>
              <w:rPr>
                <w:kern w:val="22"/>
                <w:szCs w:val="22"/>
                <w:lang w:val="fr-CA" w:eastAsia="en-CA"/>
              </w:rPr>
              <w:t>-</w:t>
            </w:r>
            <w:r w:rsidRPr="00095A13">
              <w:rPr>
                <w:kern w:val="22"/>
                <w:szCs w:val="22"/>
                <w:lang w:val="fr-CA" w:eastAsia="en-CA"/>
              </w:rPr>
              <w:t>Kitts</w:t>
            </w:r>
            <w:r>
              <w:rPr>
                <w:kern w:val="22"/>
                <w:szCs w:val="22"/>
                <w:lang w:val="fr-CA" w:eastAsia="en-CA"/>
              </w:rPr>
              <w:t>-et-</w:t>
            </w:r>
            <w:r w:rsidRPr="00095A13">
              <w:rPr>
                <w:kern w:val="22"/>
                <w:szCs w:val="22"/>
                <w:lang w:val="fr-CA" w:eastAsia="en-CA"/>
              </w:rPr>
              <w:t>Nevis</w:t>
            </w:r>
          </w:p>
        </w:tc>
        <w:tc>
          <w:tcPr>
            <w:tcW w:w="1605" w:type="dxa"/>
            <w:tcBorders>
              <w:top w:val="nil"/>
              <w:left w:val="nil"/>
              <w:bottom w:val="single" w:sz="4" w:space="0" w:color="auto"/>
              <w:right w:val="single" w:sz="4" w:space="0" w:color="auto"/>
            </w:tcBorders>
            <w:shd w:val="clear" w:color="auto" w:fill="auto"/>
            <w:vAlign w:val="center"/>
            <w:hideMark/>
          </w:tcPr>
          <w:p w14:paraId="76067F01"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001</w:t>
            </w:r>
          </w:p>
        </w:tc>
        <w:tc>
          <w:tcPr>
            <w:tcW w:w="1610" w:type="dxa"/>
            <w:tcBorders>
              <w:top w:val="nil"/>
              <w:left w:val="nil"/>
              <w:bottom w:val="single" w:sz="4" w:space="0" w:color="auto"/>
              <w:right w:val="single" w:sz="4" w:space="0" w:color="auto"/>
            </w:tcBorders>
            <w:shd w:val="clear" w:color="auto" w:fill="auto"/>
            <w:vAlign w:val="center"/>
            <w:hideMark/>
          </w:tcPr>
          <w:p w14:paraId="72433FF9"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001</w:t>
            </w:r>
          </w:p>
        </w:tc>
        <w:tc>
          <w:tcPr>
            <w:tcW w:w="1590" w:type="dxa"/>
            <w:tcBorders>
              <w:top w:val="nil"/>
              <w:left w:val="nil"/>
              <w:bottom w:val="single" w:sz="4" w:space="0" w:color="auto"/>
              <w:right w:val="single" w:sz="4" w:space="0" w:color="auto"/>
            </w:tcBorders>
            <w:shd w:val="clear" w:color="auto" w:fill="auto"/>
            <w:vAlign w:val="center"/>
            <w:hideMark/>
          </w:tcPr>
          <w:p w14:paraId="18FA21FB" w14:textId="77777777" w:rsidR="007B546B" w:rsidRPr="00095A13" w:rsidRDefault="007B546B" w:rsidP="007B546B">
            <w:pPr>
              <w:ind w:right="144"/>
              <w:jc w:val="right"/>
              <w:rPr>
                <w:kern w:val="22"/>
                <w:szCs w:val="22"/>
                <w:lang w:val="fr-CA" w:eastAsia="en-CA"/>
              </w:rPr>
            </w:pPr>
            <w:r w:rsidRPr="00095A13">
              <w:rPr>
                <w:kern w:val="22"/>
                <w:szCs w:val="22"/>
                <w:lang w:val="fr-CA" w:eastAsia="en-CA"/>
              </w:rPr>
              <w:t>37</w:t>
            </w:r>
          </w:p>
        </w:tc>
      </w:tr>
      <w:tr w:rsidR="007B546B" w:rsidRPr="00095A13" w14:paraId="4A88E792"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tcPr>
          <w:p w14:paraId="599B233D" w14:textId="2BD739F0" w:rsidR="007B546B" w:rsidRPr="00095A13" w:rsidRDefault="007B546B" w:rsidP="00541CDC">
            <w:pPr>
              <w:jc w:val="right"/>
              <w:rPr>
                <w:kern w:val="22"/>
                <w:szCs w:val="22"/>
                <w:lang w:val="fr-CA" w:eastAsia="en-CA"/>
              </w:rPr>
            </w:pPr>
            <w:r>
              <w:rPr>
                <w:kern w:val="22"/>
                <w:szCs w:val="22"/>
                <w:lang w:val="fr-CA" w:eastAsia="en-CA"/>
              </w:rPr>
              <w:t>142</w:t>
            </w:r>
          </w:p>
        </w:tc>
        <w:tc>
          <w:tcPr>
            <w:tcW w:w="3966" w:type="dxa"/>
            <w:tcBorders>
              <w:top w:val="nil"/>
              <w:left w:val="nil"/>
              <w:bottom w:val="single" w:sz="4" w:space="0" w:color="auto"/>
              <w:right w:val="single" w:sz="4" w:space="0" w:color="auto"/>
            </w:tcBorders>
            <w:shd w:val="clear" w:color="auto" w:fill="auto"/>
            <w:vAlign w:val="center"/>
            <w:hideMark/>
          </w:tcPr>
          <w:p w14:paraId="2FA3BFF1" w14:textId="77777777" w:rsidR="007B546B" w:rsidRPr="00095A13" w:rsidRDefault="007B546B" w:rsidP="008A5D50">
            <w:pPr>
              <w:jc w:val="left"/>
              <w:rPr>
                <w:kern w:val="22"/>
                <w:szCs w:val="22"/>
                <w:lang w:val="fr-CA" w:eastAsia="en-CA"/>
              </w:rPr>
            </w:pPr>
            <w:r>
              <w:rPr>
                <w:kern w:val="22"/>
                <w:szCs w:val="22"/>
                <w:lang w:val="fr-CA" w:eastAsia="en-CA"/>
              </w:rPr>
              <w:t>Saint-</w:t>
            </w:r>
            <w:r w:rsidRPr="00095A13">
              <w:rPr>
                <w:kern w:val="22"/>
                <w:szCs w:val="22"/>
                <w:lang w:val="fr-CA" w:eastAsia="en-CA"/>
              </w:rPr>
              <w:t>Vincent</w:t>
            </w:r>
            <w:r>
              <w:rPr>
                <w:kern w:val="22"/>
                <w:szCs w:val="22"/>
                <w:lang w:val="fr-CA" w:eastAsia="en-CA"/>
              </w:rPr>
              <w:t>-et-les-</w:t>
            </w:r>
            <w:r w:rsidRPr="00095A13">
              <w:rPr>
                <w:kern w:val="22"/>
                <w:szCs w:val="22"/>
                <w:lang w:val="fr-CA" w:eastAsia="en-CA"/>
              </w:rPr>
              <w:t>Grenadines</w:t>
            </w:r>
          </w:p>
        </w:tc>
        <w:tc>
          <w:tcPr>
            <w:tcW w:w="1605" w:type="dxa"/>
            <w:tcBorders>
              <w:top w:val="nil"/>
              <w:left w:val="nil"/>
              <w:bottom w:val="single" w:sz="4" w:space="0" w:color="auto"/>
              <w:right w:val="single" w:sz="4" w:space="0" w:color="auto"/>
            </w:tcBorders>
            <w:shd w:val="clear" w:color="auto" w:fill="auto"/>
            <w:vAlign w:val="center"/>
            <w:hideMark/>
          </w:tcPr>
          <w:p w14:paraId="38073FCB"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001</w:t>
            </w:r>
          </w:p>
        </w:tc>
        <w:tc>
          <w:tcPr>
            <w:tcW w:w="1610" w:type="dxa"/>
            <w:tcBorders>
              <w:top w:val="nil"/>
              <w:left w:val="nil"/>
              <w:bottom w:val="single" w:sz="4" w:space="0" w:color="auto"/>
              <w:right w:val="single" w:sz="4" w:space="0" w:color="auto"/>
            </w:tcBorders>
            <w:shd w:val="clear" w:color="auto" w:fill="auto"/>
            <w:vAlign w:val="center"/>
            <w:hideMark/>
          </w:tcPr>
          <w:p w14:paraId="09270DEA"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001</w:t>
            </w:r>
          </w:p>
        </w:tc>
        <w:tc>
          <w:tcPr>
            <w:tcW w:w="1590" w:type="dxa"/>
            <w:tcBorders>
              <w:top w:val="nil"/>
              <w:left w:val="nil"/>
              <w:bottom w:val="single" w:sz="4" w:space="0" w:color="auto"/>
              <w:right w:val="single" w:sz="4" w:space="0" w:color="auto"/>
            </w:tcBorders>
            <w:shd w:val="clear" w:color="auto" w:fill="auto"/>
            <w:vAlign w:val="center"/>
            <w:hideMark/>
          </w:tcPr>
          <w:p w14:paraId="3A4D8234" w14:textId="77777777" w:rsidR="007B546B" w:rsidRPr="00095A13" w:rsidRDefault="007B546B" w:rsidP="007B546B">
            <w:pPr>
              <w:ind w:right="144"/>
              <w:jc w:val="right"/>
              <w:rPr>
                <w:kern w:val="22"/>
                <w:szCs w:val="22"/>
                <w:lang w:val="fr-CA" w:eastAsia="en-CA"/>
              </w:rPr>
            </w:pPr>
            <w:r w:rsidRPr="00095A13">
              <w:rPr>
                <w:kern w:val="22"/>
                <w:szCs w:val="22"/>
                <w:lang w:val="fr-CA" w:eastAsia="en-CA"/>
              </w:rPr>
              <w:t>37</w:t>
            </w:r>
          </w:p>
        </w:tc>
      </w:tr>
      <w:tr w:rsidR="007B546B" w:rsidRPr="00095A13" w14:paraId="3E18C8EA"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tcPr>
          <w:p w14:paraId="0128AE59" w14:textId="12C0EDA4" w:rsidR="007B546B" w:rsidRPr="00095A13" w:rsidRDefault="007B546B" w:rsidP="00541CDC">
            <w:pPr>
              <w:jc w:val="right"/>
              <w:rPr>
                <w:kern w:val="22"/>
                <w:szCs w:val="22"/>
                <w:lang w:val="fr-CA" w:eastAsia="en-CA"/>
              </w:rPr>
            </w:pPr>
            <w:r>
              <w:rPr>
                <w:kern w:val="22"/>
                <w:szCs w:val="22"/>
                <w:lang w:val="fr-CA" w:eastAsia="en-CA"/>
              </w:rPr>
              <w:t>143</w:t>
            </w:r>
          </w:p>
        </w:tc>
        <w:tc>
          <w:tcPr>
            <w:tcW w:w="3966" w:type="dxa"/>
            <w:tcBorders>
              <w:top w:val="nil"/>
              <w:left w:val="nil"/>
              <w:bottom w:val="single" w:sz="4" w:space="0" w:color="auto"/>
              <w:right w:val="single" w:sz="4" w:space="0" w:color="auto"/>
            </w:tcBorders>
            <w:shd w:val="clear" w:color="auto" w:fill="auto"/>
            <w:vAlign w:val="center"/>
            <w:hideMark/>
          </w:tcPr>
          <w:p w14:paraId="10B54BCD" w14:textId="77777777" w:rsidR="007B546B" w:rsidRPr="00095A13" w:rsidRDefault="007B546B" w:rsidP="00541CDC">
            <w:pPr>
              <w:jc w:val="left"/>
              <w:rPr>
                <w:kern w:val="22"/>
                <w:szCs w:val="22"/>
                <w:lang w:val="fr-CA" w:eastAsia="en-CA"/>
              </w:rPr>
            </w:pPr>
            <w:r w:rsidRPr="00095A13">
              <w:rPr>
                <w:kern w:val="22"/>
                <w:szCs w:val="22"/>
                <w:lang w:val="fr-CA" w:eastAsia="en-CA"/>
              </w:rPr>
              <w:t>Samoa</w:t>
            </w:r>
          </w:p>
        </w:tc>
        <w:tc>
          <w:tcPr>
            <w:tcW w:w="1605" w:type="dxa"/>
            <w:tcBorders>
              <w:top w:val="nil"/>
              <w:left w:val="nil"/>
              <w:bottom w:val="single" w:sz="4" w:space="0" w:color="auto"/>
              <w:right w:val="single" w:sz="4" w:space="0" w:color="auto"/>
            </w:tcBorders>
            <w:shd w:val="clear" w:color="auto" w:fill="auto"/>
            <w:vAlign w:val="center"/>
            <w:hideMark/>
          </w:tcPr>
          <w:p w14:paraId="1629A52F"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001</w:t>
            </w:r>
          </w:p>
        </w:tc>
        <w:tc>
          <w:tcPr>
            <w:tcW w:w="1610" w:type="dxa"/>
            <w:tcBorders>
              <w:top w:val="nil"/>
              <w:left w:val="nil"/>
              <w:bottom w:val="single" w:sz="4" w:space="0" w:color="auto"/>
              <w:right w:val="single" w:sz="4" w:space="0" w:color="auto"/>
            </w:tcBorders>
            <w:shd w:val="clear" w:color="auto" w:fill="auto"/>
            <w:vAlign w:val="center"/>
            <w:hideMark/>
          </w:tcPr>
          <w:p w14:paraId="56B2B368"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001</w:t>
            </w:r>
          </w:p>
        </w:tc>
        <w:tc>
          <w:tcPr>
            <w:tcW w:w="1590" w:type="dxa"/>
            <w:tcBorders>
              <w:top w:val="nil"/>
              <w:left w:val="nil"/>
              <w:bottom w:val="single" w:sz="4" w:space="0" w:color="auto"/>
              <w:right w:val="single" w:sz="4" w:space="0" w:color="auto"/>
            </w:tcBorders>
            <w:shd w:val="clear" w:color="auto" w:fill="auto"/>
            <w:vAlign w:val="center"/>
            <w:hideMark/>
          </w:tcPr>
          <w:p w14:paraId="20998F3D" w14:textId="77777777" w:rsidR="007B546B" w:rsidRPr="00095A13" w:rsidRDefault="007B546B" w:rsidP="007B546B">
            <w:pPr>
              <w:ind w:right="144"/>
              <w:jc w:val="right"/>
              <w:rPr>
                <w:kern w:val="22"/>
                <w:szCs w:val="22"/>
                <w:lang w:val="fr-CA" w:eastAsia="en-CA"/>
              </w:rPr>
            </w:pPr>
            <w:r w:rsidRPr="00095A13">
              <w:rPr>
                <w:kern w:val="22"/>
                <w:szCs w:val="22"/>
                <w:lang w:val="fr-CA" w:eastAsia="en-CA"/>
              </w:rPr>
              <w:t>37</w:t>
            </w:r>
          </w:p>
        </w:tc>
      </w:tr>
      <w:tr w:rsidR="007B546B" w:rsidRPr="00095A13" w14:paraId="7CB4FE9C"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tcPr>
          <w:p w14:paraId="57E083DC" w14:textId="7C93BF60" w:rsidR="007B546B" w:rsidRPr="00095A13" w:rsidRDefault="007B546B" w:rsidP="00541CDC">
            <w:pPr>
              <w:jc w:val="right"/>
              <w:rPr>
                <w:kern w:val="22"/>
                <w:szCs w:val="22"/>
                <w:lang w:val="fr-CA" w:eastAsia="en-CA"/>
              </w:rPr>
            </w:pPr>
            <w:r>
              <w:rPr>
                <w:kern w:val="22"/>
                <w:szCs w:val="22"/>
                <w:lang w:val="fr-CA" w:eastAsia="en-CA"/>
              </w:rPr>
              <w:t>144</w:t>
            </w:r>
          </w:p>
        </w:tc>
        <w:tc>
          <w:tcPr>
            <w:tcW w:w="3966" w:type="dxa"/>
            <w:tcBorders>
              <w:top w:val="nil"/>
              <w:left w:val="nil"/>
              <w:bottom w:val="single" w:sz="4" w:space="0" w:color="auto"/>
              <w:right w:val="single" w:sz="4" w:space="0" w:color="auto"/>
            </w:tcBorders>
            <w:shd w:val="clear" w:color="auto" w:fill="auto"/>
            <w:vAlign w:val="center"/>
            <w:hideMark/>
          </w:tcPr>
          <w:p w14:paraId="5B2F7A5E" w14:textId="77777777" w:rsidR="007B546B" w:rsidRPr="00095A13" w:rsidRDefault="007B546B" w:rsidP="00541CDC">
            <w:pPr>
              <w:jc w:val="left"/>
              <w:rPr>
                <w:kern w:val="22"/>
                <w:szCs w:val="22"/>
                <w:lang w:val="fr-CA" w:eastAsia="en-CA"/>
              </w:rPr>
            </w:pPr>
            <w:r>
              <w:rPr>
                <w:kern w:val="22"/>
                <w:szCs w:val="22"/>
                <w:lang w:val="fr-CA" w:eastAsia="en-CA"/>
              </w:rPr>
              <w:t>Séné</w:t>
            </w:r>
            <w:r w:rsidRPr="00095A13">
              <w:rPr>
                <w:kern w:val="22"/>
                <w:szCs w:val="22"/>
                <w:lang w:val="fr-CA" w:eastAsia="en-CA"/>
              </w:rPr>
              <w:t>gal</w:t>
            </w:r>
          </w:p>
        </w:tc>
        <w:tc>
          <w:tcPr>
            <w:tcW w:w="1605" w:type="dxa"/>
            <w:tcBorders>
              <w:top w:val="nil"/>
              <w:left w:val="nil"/>
              <w:bottom w:val="single" w:sz="4" w:space="0" w:color="auto"/>
              <w:right w:val="single" w:sz="4" w:space="0" w:color="auto"/>
            </w:tcBorders>
            <w:shd w:val="clear" w:color="auto" w:fill="auto"/>
            <w:vAlign w:val="center"/>
            <w:hideMark/>
          </w:tcPr>
          <w:p w14:paraId="4776541F"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007</w:t>
            </w:r>
          </w:p>
        </w:tc>
        <w:tc>
          <w:tcPr>
            <w:tcW w:w="1610" w:type="dxa"/>
            <w:tcBorders>
              <w:top w:val="nil"/>
              <w:left w:val="nil"/>
              <w:bottom w:val="single" w:sz="4" w:space="0" w:color="auto"/>
              <w:right w:val="single" w:sz="4" w:space="0" w:color="auto"/>
            </w:tcBorders>
            <w:shd w:val="clear" w:color="auto" w:fill="auto"/>
            <w:vAlign w:val="center"/>
            <w:hideMark/>
          </w:tcPr>
          <w:p w14:paraId="2185F94A"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010</w:t>
            </w:r>
          </w:p>
        </w:tc>
        <w:tc>
          <w:tcPr>
            <w:tcW w:w="1590" w:type="dxa"/>
            <w:tcBorders>
              <w:top w:val="nil"/>
              <w:left w:val="nil"/>
              <w:bottom w:val="single" w:sz="4" w:space="0" w:color="auto"/>
              <w:right w:val="single" w:sz="4" w:space="0" w:color="auto"/>
            </w:tcBorders>
            <w:shd w:val="clear" w:color="auto" w:fill="auto"/>
            <w:vAlign w:val="center"/>
            <w:hideMark/>
          </w:tcPr>
          <w:p w14:paraId="2BB93F0F" w14:textId="77777777" w:rsidR="007B546B" w:rsidRPr="00095A13" w:rsidRDefault="007B546B" w:rsidP="007B546B">
            <w:pPr>
              <w:ind w:right="144"/>
              <w:jc w:val="right"/>
              <w:rPr>
                <w:kern w:val="22"/>
                <w:szCs w:val="22"/>
                <w:lang w:val="fr-CA" w:eastAsia="en-CA"/>
              </w:rPr>
            </w:pPr>
            <w:r w:rsidRPr="00095A13">
              <w:rPr>
                <w:kern w:val="22"/>
                <w:szCs w:val="22"/>
                <w:lang w:val="fr-CA" w:eastAsia="en-CA"/>
              </w:rPr>
              <w:t>256</w:t>
            </w:r>
          </w:p>
        </w:tc>
      </w:tr>
      <w:tr w:rsidR="007B546B" w:rsidRPr="00095A13" w14:paraId="5F14C780"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tcPr>
          <w:p w14:paraId="4698908C" w14:textId="670C9DCA" w:rsidR="007B546B" w:rsidRPr="00095A13" w:rsidRDefault="007B546B" w:rsidP="00541CDC">
            <w:pPr>
              <w:jc w:val="right"/>
              <w:rPr>
                <w:kern w:val="22"/>
                <w:szCs w:val="22"/>
                <w:lang w:val="fr-CA" w:eastAsia="en-CA"/>
              </w:rPr>
            </w:pPr>
            <w:r>
              <w:rPr>
                <w:kern w:val="22"/>
                <w:szCs w:val="22"/>
                <w:lang w:val="fr-CA" w:eastAsia="en-CA"/>
              </w:rPr>
              <w:t>145</w:t>
            </w:r>
          </w:p>
        </w:tc>
        <w:tc>
          <w:tcPr>
            <w:tcW w:w="3966" w:type="dxa"/>
            <w:tcBorders>
              <w:top w:val="nil"/>
              <w:left w:val="nil"/>
              <w:bottom w:val="single" w:sz="4" w:space="0" w:color="auto"/>
              <w:right w:val="single" w:sz="4" w:space="0" w:color="auto"/>
            </w:tcBorders>
            <w:shd w:val="clear" w:color="auto" w:fill="auto"/>
            <w:vAlign w:val="center"/>
            <w:hideMark/>
          </w:tcPr>
          <w:p w14:paraId="65EE17A9" w14:textId="77777777" w:rsidR="007B546B" w:rsidRPr="00095A13" w:rsidRDefault="007B546B" w:rsidP="00541CDC">
            <w:pPr>
              <w:jc w:val="left"/>
              <w:rPr>
                <w:kern w:val="22"/>
                <w:szCs w:val="22"/>
                <w:lang w:val="fr-CA" w:eastAsia="en-CA"/>
              </w:rPr>
            </w:pPr>
            <w:r>
              <w:rPr>
                <w:kern w:val="22"/>
                <w:szCs w:val="22"/>
                <w:lang w:val="fr-CA" w:eastAsia="en-CA"/>
              </w:rPr>
              <w:t>Serbie</w:t>
            </w:r>
          </w:p>
        </w:tc>
        <w:tc>
          <w:tcPr>
            <w:tcW w:w="1605" w:type="dxa"/>
            <w:tcBorders>
              <w:top w:val="nil"/>
              <w:left w:val="nil"/>
              <w:bottom w:val="single" w:sz="4" w:space="0" w:color="auto"/>
              <w:right w:val="single" w:sz="4" w:space="0" w:color="auto"/>
            </w:tcBorders>
            <w:shd w:val="clear" w:color="auto" w:fill="auto"/>
            <w:vAlign w:val="center"/>
            <w:hideMark/>
          </w:tcPr>
          <w:p w14:paraId="7A0E8F33"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028</w:t>
            </w:r>
          </w:p>
        </w:tc>
        <w:tc>
          <w:tcPr>
            <w:tcW w:w="1610" w:type="dxa"/>
            <w:tcBorders>
              <w:top w:val="nil"/>
              <w:left w:val="nil"/>
              <w:bottom w:val="single" w:sz="4" w:space="0" w:color="auto"/>
              <w:right w:val="single" w:sz="4" w:space="0" w:color="auto"/>
            </w:tcBorders>
            <w:shd w:val="clear" w:color="auto" w:fill="auto"/>
            <w:vAlign w:val="center"/>
            <w:hideMark/>
          </w:tcPr>
          <w:p w14:paraId="1B988B72"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040</w:t>
            </w:r>
          </w:p>
        </w:tc>
        <w:tc>
          <w:tcPr>
            <w:tcW w:w="1590" w:type="dxa"/>
            <w:tcBorders>
              <w:top w:val="nil"/>
              <w:left w:val="nil"/>
              <w:bottom w:val="single" w:sz="4" w:space="0" w:color="auto"/>
              <w:right w:val="single" w:sz="4" w:space="0" w:color="auto"/>
            </w:tcBorders>
            <w:shd w:val="clear" w:color="auto" w:fill="auto"/>
            <w:vAlign w:val="center"/>
            <w:hideMark/>
          </w:tcPr>
          <w:p w14:paraId="462A47E4" w14:textId="77777777" w:rsidR="007B546B" w:rsidRPr="00095A13" w:rsidRDefault="007B546B" w:rsidP="007B546B">
            <w:pPr>
              <w:ind w:right="144"/>
              <w:jc w:val="right"/>
              <w:rPr>
                <w:kern w:val="22"/>
                <w:szCs w:val="22"/>
                <w:lang w:val="fr-CA" w:eastAsia="en-CA"/>
              </w:rPr>
            </w:pPr>
            <w:r w:rsidRPr="00095A13">
              <w:rPr>
                <w:kern w:val="22"/>
                <w:szCs w:val="22"/>
                <w:lang w:val="fr-CA" w:eastAsia="en-CA"/>
              </w:rPr>
              <w:t>1 023</w:t>
            </w:r>
          </w:p>
        </w:tc>
      </w:tr>
      <w:tr w:rsidR="007B546B" w:rsidRPr="00095A13" w14:paraId="1D976F1D"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tcPr>
          <w:p w14:paraId="3B3652E4" w14:textId="406593A0" w:rsidR="007B546B" w:rsidRPr="00095A13" w:rsidRDefault="007B546B" w:rsidP="00541CDC">
            <w:pPr>
              <w:jc w:val="right"/>
              <w:rPr>
                <w:kern w:val="22"/>
                <w:szCs w:val="22"/>
                <w:lang w:val="fr-CA" w:eastAsia="en-CA"/>
              </w:rPr>
            </w:pPr>
            <w:r>
              <w:rPr>
                <w:kern w:val="22"/>
                <w:szCs w:val="22"/>
                <w:lang w:val="fr-CA" w:eastAsia="en-CA"/>
              </w:rPr>
              <w:t>146</w:t>
            </w:r>
          </w:p>
        </w:tc>
        <w:tc>
          <w:tcPr>
            <w:tcW w:w="3966" w:type="dxa"/>
            <w:tcBorders>
              <w:top w:val="nil"/>
              <w:left w:val="nil"/>
              <w:bottom w:val="single" w:sz="4" w:space="0" w:color="auto"/>
              <w:right w:val="single" w:sz="4" w:space="0" w:color="auto"/>
            </w:tcBorders>
            <w:shd w:val="clear" w:color="auto" w:fill="auto"/>
            <w:vAlign w:val="center"/>
            <w:hideMark/>
          </w:tcPr>
          <w:p w14:paraId="2E16C30E" w14:textId="77777777" w:rsidR="007B546B" w:rsidRPr="00095A13" w:rsidRDefault="007B546B" w:rsidP="00541CDC">
            <w:pPr>
              <w:jc w:val="left"/>
              <w:rPr>
                <w:kern w:val="22"/>
                <w:szCs w:val="22"/>
                <w:lang w:val="fr-CA" w:eastAsia="en-CA"/>
              </w:rPr>
            </w:pPr>
            <w:r w:rsidRPr="00095A13">
              <w:rPr>
                <w:kern w:val="22"/>
                <w:szCs w:val="22"/>
                <w:lang w:val="fr-CA" w:eastAsia="en-CA"/>
              </w:rPr>
              <w:t>Seychelles</w:t>
            </w:r>
          </w:p>
        </w:tc>
        <w:tc>
          <w:tcPr>
            <w:tcW w:w="1605" w:type="dxa"/>
            <w:tcBorders>
              <w:top w:val="nil"/>
              <w:left w:val="nil"/>
              <w:bottom w:val="single" w:sz="4" w:space="0" w:color="auto"/>
              <w:right w:val="single" w:sz="4" w:space="0" w:color="auto"/>
            </w:tcBorders>
            <w:shd w:val="clear" w:color="auto" w:fill="auto"/>
            <w:vAlign w:val="center"/>
            <w:hideMark/>
          </w:tcPr>
          <w:p w14:paraId="3A45BBD7"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002</w:t>
            </w:r>
          </w:p>
        </w:tc>
        <w:tc>
          <w:tcPr>
            <w:tcW w:w="1610" w:type="dxa"/>
            <w:tcBorders>
              <w:top w:val="nil"/>
              <w:left w:val="nil"/>
              <w:bottom w:val="single" w:sz="4" w:space="0" w:color="auto"/>
              <w:right w:val="single" w:sz="4" w:space="0" w:color="auto"/>
            </w:tcBorders>
            <w:shd w:val="clear" w:color="auto" w:fill="auto"/>
            <w:vAlign w:val="center"/>
            <w:hideMark/>
          </w:tcPr>
          <w:p w14:paraId="2043F316"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003</w:t>
            </w:r>
          </w:p>
        </w:tc>
        <w:tc>
          <w:tcPr>
            <w:tcW w:w="1590" w:type="dxa"/>
            <w:tcBorders>
              <w:top w:val="nil"/>
              <w:left w:val="nil"/>
              <w:bottom w:val="single" w:sz="4" w:space="0" w:color="auto"/>
              <w:right w:val="single" w:sz="4" w:space="0" w:color="auto"/>
            </w:tcBorders>
            <w:shd w:val="clear" w:color="auto" w:fill="auto"/>
            <w:vAlign w:val="center"/>
            <w:hideMark/>
          </w:tcPr>
          <w:p w14:paraId="69D14D82" w14:textId="77777777" w:rsidR="007B546B" w:rsidRPr="00095A13" w:rsidRDefault="007B546B" w:rsidP="007B546B">
            <w:pPr>
              <w:ind w:right="144"/>
              <w:jc w:val="right"/>
              <w:rPr>
                <w:kern w:val="22"/>
                <w:szCs w:val="22"/>
                <w:lang w:val="fr-CA" w:eastAsia="en-CA"/>
              </w:rPr>
            </w:pPr>
            <w:r w:rsidRPr="00095A13">
              <w:rPr>
                <w:kern w:val="22"/>
                <w:szCs w:val="22"/>
                <w:lang w:val="fr-CA" w:eastAsia="en-CA"/>
              </w:rPr>
              <w:t>73</w:t>
            </w:r>
          </w:p>
        </w:tc>
      </w:tr>
      <w:tr w:rsidR="007B546B" w:rsidRPr="00095A13" w14:paraId="209B7C19"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tcPr>
          <w:p w14:paraId="558E5AD0" w14:textId="263DA929" w:rsidR="007B546B" w:rsidRPr="00095A13" w:rsidRDefault="007B546B" w:rsidP="00541CDC">
            <w:pPr>
              <w:jc w:val="right"/>
              <w:rPr>
                <w:kern w:val="22"/>
                <w:szCs w:val="22"/>
                <w:lang w:val="fr-CA" w:eastAsia="en-CA"/>
              </w:rPr>
            </w:pPr>
            <w:r>
              <w:rPr>
                <w:kern w:val="22"/>
                <w:szCs w:val="22"/>
                <w:lang w:val="fr-CA" w:eastAsia="en-CA"/>
              </w:rPr>
              <w:t>147</w:t>
            </w:r>
          </w:p>
        </w:tc>
        <w:tc>
          <w:tcPr>
            <w:tcW w:w="3966" w:type="dxa"/>
            <w:tcBorders>
              <w:top w:val="nil"/>
              <w:left w:val="nil"/>
              <w:bottom w:val="single" w:sz="4" w:space="0" w:color="auto"/>
              <w:right w:val="single" w:sz="4" w:space="0" w:color="auto"/>
            </w:tcBorders>
            <w:shd w:val="clear" w:color="auto" w:fill="auto"/>
            <w:vAlign w:val="center"/>
            <w:hideMark/>
          </w:tcPr>
          <w:p w14:paraId="513ECF01" w14:textId="77777777" w:rsidR="007B546B" w:rsidRPr="00095A13" w:rsidRDefault="007B546B" w:rsidP="00541CDC">
            <w:pPr>
              <w:jc w:val="left"/>
              <w:rPr>
                <w:kern w:val="22"/>
                <w:szCs w:val="22"/>
                <w:lang w:val="fr-CA" w:eastAsia="en-CA"/>
              </w:rPr>
            </w:pPr>
            <w:r w:rsidRPr="00095A13">
              <w:rPr>
                <w:kern w:val="22"/>
                <w:szCs w:val="22"/>
                <w:lang w:val="fr-CA" w:eastAsia="en-CA"/>
              </w:rPr>
              <w:t>Sierra Leone</w:t>
            </w:r>
          </w:p>
        </w:tc>
        <w:tc>
          <w:tcPr>
            <w:tcW w:w="1605" w:type="dxa"/>
            <w:tcBorders>
              <w:top w:val="nil"/>
              <w:left w:val="nil"/>
              <w:bottom w:val="single" w:sz="4" w:space="0" w:color="auto"/>
              <w:right w:val="single" w:sz="4" w:space="0" w:color="auto"/>
            </w:tcBorders>
            <w:shd w:val="clear" w:color="auto" w:fill="auto"/>
            <w:vAlign w:val="center"/>
            <w:hideMark/>
          </w:tcPr>
          <w:p w14:paraId="71983359"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001</w:t>
            </w:r>
          </w:p>
        </w:tc>
        <w:tc>
          <w:tcPr>
            <w:tcW w:w="1610" w:type="dxa"/>
            <w:tcBorders>
              <w:top w:val="nil"/>
              <w:left w:val="nil"/>
              <w:bottom w:val="single" w:sz="4" w:space="0" w:color="auto"/>
              <w:right w:val="single" w:sz="4" w:space="0" w:color="auto"/>
            </w:tcBorders>
            <w:shd w:val="clear" w:color="auto" w:fill="auto"/>
            <w:vAlign w:val="center"/>
            <w:hideMark/>
          </w:tcPr>
          <w:p w14:paraId="76F6E34D"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001</w:t>
            </w:r>
          </w:p>
        </w:tc>
        <w:tc>
          <w:tcPr>
            <w:tcW w:w="1590" w:type="dxa"/>
            <w:tcBorders>
              <w:top w:val="nil"/>
              <w:left w:val="nil"/>
              <w:bottom w:val="single" w:sz="4" w:space="0" w:color="auto"/>
              <w:right w:val="single" w:sz="4" w:space="0" w:color="auto"/>
            </w:tcBorders>
            <w:shd w:val="clear" w:color="auto" w:fill="auto"/>
            <w:vAlign w:val="center"/>
            <w:hideMark/>
          </w:tcPr>
          <w:p w14:paraId="787AF87B" w14:textId="77777777" w:rsidR="007B546B" w:rsidRPr="00095A13" w:rsidRDefault="007B546B" w:rsidP="007B546B">
            <w:pPr>
              <w:ind w:right="144"/>
              <w:jc w:val="right"/>
              <w:rPr>
                <w:kern w:val="22"/>
                <w:szCs w:val="22"/>
                <w:lang w:val="fr-CA" w:eastAsia="en-CA"/>
              </w:rPr>
            </w:pPr>
            <w:r w:rsidRPr="00095A13">
              <w:rPr>
                <w:kern w:val="22"/>
                <w:szCs w:val="22"/>
                <w:lang w:val="fr-CA" w:eastAsia="en-CA"/>
              </w:rPr>
              <w:t>37</w:t>
            </w:r>
          </w:p>
        </w:tc>
      </w:tr>
      <w:tr w:rsidR="007B546B" w:rsidRPr="00095A13" w14:paraId="3D44D114"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tcPr>
          <w:p w14:paraId="07F496D7" w14:textId="60579580" w:rsidR="007B546B" w:rsidRPr="00095A13" w:rsidRDefault="007B546B" w:rsidP="00541CDC">
            <w:pPr>
              <w:jc w:val="right"/>
              <w:rPr>
                <w:kern w:val="22"/>
                <w:szCs w:val="22"/>
                <w:lang w:val="fr-CA" w:eastAsia="en-CA"/>
              </w:rPr>
            </w:pPr>
            <w:r>
              <w:rPr>
                <w:kern w:val="22"/>
                <w:szCs w:val="22"/>
                <w:lang w:val="fr-CA" w:eastAsia="en-CA"/>
              </w:rPr>
              <w:t>148</w:t>
            </w:r>
          </w:p>
        </w:tc>
        <w:tc>
          <w:tcPr>
            <w:tcW w:w="3966" w:type="dxa"/>
            <w:tcBorders>
              <w:top w:val="nil"/>
              <w:left w:val="nil"/>
              <w:bottom w:val="single" w:sz="4" w:space="0" w:color="auto"/>
              <w:right w:val="single" w:sz="4" w:space="0" w:color="auto"/>
            </w:tcBorders>
            <w:shd w:val="clear" w:color="auto" w:fill="auto"/>
            <w:vAlign w:val="center"/>
            <w:hideMark/>
          </w:tcPr>
          <w:p w14:paraId="4D4B5BB8" w14:textId="77777777" w:rsidR="007B546B" w:rsidRPr="00095A13" w:rsidRDefault="007B546B" w:rsidP="00541CDC">
            <w:pPr>
              <w:jc w:val="left"/>
              <w:rPr>
                <w:kern w:val="22"/>
                <w:szCs w:val="22"/>
                <w:lang w:val="fr-CA" w:eastAsia="en-CA"/>
              </w:rPr>
            </w:pPr>
            <w:r>
              <w:rPr>
                <w:kern w:val="22"/>
                <w:szCs w:val="22"/>
                <w:lang w:val="fr-CA" w:eastAsia="en-CA"/>
              </w:rPr>
              <w:t>Slovaquie</w:t>
            </w:r>
          </w:p>
        </w:tc>
        <w:tc>
          <w:tcPr>
            <w:tcW w:w="1605" w:type="dxa"/>
            <w:tcBorders>
              <w:top w:val="nil"/>
              <w:left w:val="nil"/>
              <w:bottom w:val="single" w:sz="4" w:space="0" w:color="auto"/>
              <w:right w:val="single" w:sz="4" w:space="0" w:color="auto"/>
            </w:tcBorders>
            <w:shd w:val="clear" w:color="auto" w:fill="auto"/>
            <w:vAlign w:val="center"/>
            <w:hideMark/>
          </w:tcPr>
          <w:p w14:paraId="5F0A82B9"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153</w:t>
            </w:r>
          </w:p>
        </w:tc>
        <w:tc>
          <w:tcPr>
            <w:tcW w:w="1610" w:type="dxa"/>
            <w:tcBorders>
              <w:top w:val="nil"/>
              <w:left w:val="nil"/>
              <w:bottom w:val="single" w:sz="4" w:space="0" w:color="auto"/>
              <w:right w:val="single" w:sz="4" w:space="0" w:color="auto"/>
            </w:tcBorders>
            <w:shd w:val="clear" w:color="auto" w:fill="auto"/>
            <w:vAlign w:val="center"/>
            <w:hideMark/>
          </w:tcPr>
          <w:p w14:paraId="3145EE17"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219</w:t>
            </w:r>
          </w:p>
        </w:tc>
        <w:tc>
          <w:tcPr>
            <w:tcW w:w="1590" w:type="dxa"/>
            <w:tcBorders>
              <w:top w:val="nil"/>
              <w:left w:val="nil"/>
              <w:bottom w:val="single" w:sz="4" w:space="0" w:color="auto"/>
              <w:right w:val="single" w:sz="4" w:space="0" w:color="auto"/>
            </w:tcBorders>
            <w:shd w:val="clear" w:color="auto" w:fill="auto"/>
            <w:vAlign w:val="center"/>
            <w:hideMark/>
          </w:tcPr>
          <w:p w14:paraId="62CBBDFF" w14:textId="77777777" w:rsidR="007B546B" w:rsidRPr="00095A13" w:rsidRDefault="007B546B" w:rsidP="007B546B">
            <w:pPr>
              <w:ind w:right="144"/>
              <w:jc w:val="right"/>
              <w:rPr>
                <w:kern w:val="22"/>
                <w:szCs w:val="22"/>
                <w:lang w:val="fr-CA" w:eastAsia="en-CA"/>
              </w:rPr>
            </w:pPr>
            <w:r w:rsidRPr="00095A13">
              <w:rPr>
                <w:kern w:val="22"/>
                <w:szCs w:val="22"/>
                <w:lang w:val="fr-CA" w:eastAsia="en-CA"/>
              </w:rPr>
              <w:t>5 592</w:t>
            </w:r>
          </w:p>
        </w:tc>
      </w:tr>
      <w:tr w:rsidR="007B546B" w:rsidRPr="00095A13" w14:paraId="0526B5D1"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415C642" w14:textId="3318B918" w:rsidR="007B546B" w:rsidRPr="00095A13" w:rsidRDefault="007B546B" w:rsidP="005066EB">
            <w:pPr>
              <w:jc w:val="right"/>
              <w:rPr>
                <w:kern w:val="22"/>
                <w:szCs w:val="22"/>
                <w:lang w:val="fr-CA" w:eastAsia="en-CA"/>
              </w:rPr>
            </w:pPr>
            <w:r>
              <w:rPr>
                <w:kern w:val="22"/>
                <w:szCs w:val="22"/>
                <w:lang w:val="fr-CA" w:eastAsia="en-CA"/>
              </w:rPr>
              <w:t>149</w:t>
            </w:r>
          </w:p>
        </w:tc>
        <w:tc>
          <w:tcPr>
            <w:tcW w:w="3966" w:type="dxa"/>
            <w:tcBorders>
              <w:top w:val="nil"/>
              <w:left w:val="nil"/>
              <w:bottom w:val="single" w:sz="4" w:space="0" w:color="auto"/>
              <w:right w:val="single" w:sz="4" w:space="0" w:color="auto"/>
            </w:tcBorders>
            <w:shd w:val="clear" w:color="auto" w:fill="auto"/>
            <w:vAlign w:val="center"/>
            <w:hideMark/>
          </w:tcPr>
          <w:p w14:paraId="22638B39" w14:textId="77777777" w:rsidR="007B546B" w:rsidRPr="00095A13" w:rsidRDefault="007B546B" w:rsidP="005066EB">
            <w:pPr>
              <w:jc w:val="left"/>
              <w:rPr>
                <w:kern w:val="22"/>
                <w:szCs w:val="22"/>
                <w:lang w:val="fr-CA" w:eastAsia="en-CA"/>
              </w:rPr>
            </w:pPr>
            <w:r>
              <w:rPr>
                <w:kern w:val="22"/>
                <w:szCs w:val="22"/>
                <w:lang w:val="fr-CA" w:eastAsia="en-CA"/>
              </w:rPr>
              <w:t>Slovénie</w:t>
            </w:r>
          </w:p>
        </w:tc>
        <w:tc>
          <w:tcPr>
            <w:tcW w:w="1605" w:type="dxa"/>
            <w:tcBorders>
              <w:top w:val="nil"/>
              <w:left w:val="nil"/>
              <w:bottom w:val="single" w:sz="4" w:space="0" w:color="auto"/>
              <w:right w:val="single" w:sz="4" w:space="0" w:color="auto"/>
            </w:tcBorders>
            <w:shd w:val="clear" w:color="auto" w:fill="auto"/>
            <w:vAlign w:val="center"/>
            <w:hideMark/>
          </w:tcPr>
          <w:p w14:paraId="5FE0DADA"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076</w:t>
            </w:r>
          </w:p>
        </w:tc>
        <w:tc>
          <w:tcPr>
            <w:tcW w:w="1610" w:type="dxa"/>
            <w:tcBorders>
              <w:top w:val="nil"/>
              <w:left w:val="nil"/>
              <w:bottom w:val="single" w:sz="4" w:space="0" w:color="auto"/>
              <w:right w:val="single" w:sz="4" w:space="0" w:color="auto"/>
            </w:tcBorders>
            <w:shd w:val="clear" w:color="auto" w:fill="auto"/>
            <w:vAlign w:val="center"/>
            <w:hideMark/>
          </w:tcPr>
          <w:p w14:paraId="5038D288"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109</w:t>
            </w:r>
          </w:p>
        </w:tc>
        <w:tc>
          <w:tcPr>
            <w:tcW w:w="1590" w:type="dxa"/>
            <w:tcBorders>
              <w:top w:val="nil"/>
              <w:left w:val="nil"/>
              <w:bottom w:val="single" w:sz="4" w:space="0" w:color="auto"/>
              <w:right w:val="single" w:sz="4" w:space="0" w:color="auto"/>
            </w:tcBorders>
            <w:shd w:val="clear" w:color="auto" w:fill="auto"/>
            <w:vAlign w:val="center"/>
            <w:hideMark/>
          </w:tcPr>
          <w:p w14:paraId="2EF1967B" w14:textId="77777777" w:rsidR="007B546B" w:rsidRPr="00095A13" w:rsidRDefault="007B546B" w:rsidP="007B546B">
            <w:pPr>
              <w:ind w:right="144"/>
              <w:jc w:val="right"/>
              <w:rPr>
                <w:kern w:val="22"/>
                <w:szCs w:val="22"/>
                <w:lang w:val="fr-CA" w:eastAsia="en-CA"/>
              </w:rPr>
            </w:pPr>
            <w:r w:rsidRPr="00095A13">
              <w:rPr>
                <w:kern w:val="22"/>
                <w:szCs w:val="22"/>
                <w:lang w:val="fr-CA" w:eastAsia="en-CA"/>
              </w:rPr>
              <w:t>2 778</w:t>
            </w:r>
          </w:p>
        </w:tc>
      </w:tr>
      <w:tr w:rsidR="007B546B" w:rsidRPr="00095A13" w14:paraId="6273E8E3"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tcPr>
          <w:p w14:paraId="3919D131" w14:textId="43CCEFBD" w:rsidR="007B546B" w:rsidRPr="00095A13" w:rsidRDefault="007B546B" w:rsidP="005066EB">
            <w:pPr>
              <w:jc w:val="right"/>
              <w:rPr>
                <w:kern w:val="22"/>
                <w:szCs w:val="22"/>
                <w:lang w:val="fr-CA" w:eastAsia="en-CA"/>
              </w:rPr>
            </w:pPr>
            <w:r>
              <w:rPr>
                <w:kern w:val="22"/>
                <w:szCs w:val="22"/>
                <w:lang w:val="fr-CA" w:eastAsia="en-CA"/>
              </w:rPr>
              <w:t>150</w:t>
            </w:r>
          </w:p>
        </w:tc>
        <w:tc>
          <w:tcPr>
            <w:tcW w:w="3966" w:type="dxa"/>
            <w:tcBorders>
              <w:top w:val="nil"/>
              <w:left w:val="nil"/>
              <w:bottom w:val="single" w:sz="4" w:space="0" w:color="auto"/>
              <w:right w:val="single" w:sz="4" w:space="0" w:color="auto"/>
            </w:tcBorders>
            <w:shd w:val="clear" w:color="auto" w:fill="auto"/>
            <w:vAlign w:val="center"/>
            <w:hideMark/>
          </w:tcPr>
          <w:p w14:paraId="2E7B1C78" w14:textId="77777777" w:rsidR="007B546B" w:rsidRPr="00095A13" w:rsidRDefault="007B546B" w:rsidP="005066EB">
            <w:pPr>
              <w:jc w:val="left"/>
              <w:rPr>
                <w:kern w:val="22"/>
                <w:szCs w:val="22"/>
                <w:lang w:val="fr-CA" w:eastAsia="en-CA"/>
              </w:rPr>
            </w:pPr>
            <w:r>
              <w:rPr>
                <w:kern w:val="22"/>
                <w:szCs w:val="22"/>
                <w:lang w:val="fr-CA" w:eastAsia="en-CA"/>
              </w:rPr>
              <w:t>Somalie</w:t>
            </w:r>
          </w:p>
        </w:tc>
        <w:tc>
          <w:tcPr>
            <w:tcW w:w="1605" w:type="dxa"/>
            <w:tcBorders>
              <w:top w:val="nil"/>
              <w:left w:val="nil"/>
              <w:bottom w:val="single" w:sz="4" w:space="0" w:color="auto"/>
              <w:right w:val="single" w:sz="4" w:space="0" w:color="auto"/>
            </w:tcBorders>
            <w:shd w:val="clear" w:color="auto" w:fill="auto"/>
            <w:vAlign w:val="center"/>
            <w:hideMark/>
          </w:tcPr>
          <w:p w14:paraId="43FFEF00"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001</w:t>
            </w:r>
          </w:p>
        </w:tc>
        <w:tc>
          <w:tcPr>
            <w:tcW w:w="1610" w:type="dxa"/>
            <w:tcBorders>
              <w:top w:val="nil"/>
              <w:left w:val="nil"/>
              <w:bottom w:val="single" w:sz="4" w:space="0" w:color="auto"/>
              <w:right w:val="single" w:sz="4" w:space="0" w:color="auto"/>
            </w:tcBorders>
            <w:shd w:val="clear" w:color="auto" w:fill="auto"/>
            <w:vAlign w:val="center"/>
            <w:hideMark/>
          </w:tcPr>
          <w:p w14:paraId="4C80B0CF"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001</w:t>
            </w:r>
          </w:p>
        </w:tc>
        <w:tc>
          <w:tcPr>
            <w:tcW w:w="1590" w:type="dxa"/>
            <w:tcBorders>
              <w:top w:val="nil"/>
              <w:left w:val="nil"/>
              <w:bottom w:val="single" w:sz="4" w:space="0" w:color="auto"/>
              <w:right w:val="single" w:sz="4" w:space="0" w:color="auto"/>
            </w:tcBorders>
            <w:shd w:val="clear" w:color="auto" w:fill="auto"/>
            <w:vAlign w:val="center"/>
            <w:hideMark/>
          </w:tcPr>
          <w:p w14:paraId="000BDEED" w14:textId="77777777" w:rsidR="007B546B" w:rsidRPr="00095A13" w:rsidRDefault="007B546B" w:rsidP="007B546B">
            <w:pPr>
              <w:ind w:right="144"/>
              <w:jc w:val="right"/>
              <w:rPr>
                <w:kern w:val="22"/>
                <w:szCs w:val="22"/>
                <w:lang w:val="fr-CA" w:eastAsia="en-CA"/>
              </w:rPr>
            </w:pPr>
            <w:r w:rsidRPr="00095A13">
              <w:rPr>
                <w:kern w:val="22"/>
                <w:szCs w:val="22"/>
                <w:lang w:val="fr-CA" w:eastAsia="en-CA"/>
              </w:rPr>
              <w:t>37</w:t>
            </w:r>
          </w:p>
        </w:tc>
      </w:tr>
      <w:tr w:rsidR="007B546B" w:rsidRPr="00095A13" w14:paraId="7E209014"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tcPr>
          <w:p w14:paraId="13BA2E8D" w14:textId="6DEC4F32" w:rsidR="007B546B" w:rsidRPr="00095A13" w:rsidRDefault="007B546B" w:rsidP="005066EB">
            <w:pPr>
              <w:jc w:val="right"/>
              <w:rPr>
                <w:kern w:val="22"/>
                <w:szCs w:val="22"/>
                <w:lang w:val="fr-CA" w:eastAsia="en-CA"/>
              </w:rPr>
            </w:pPr>
            <w:r>
              <w:rPr>
                <w:kern w:val="22"/>
                <w:szCs w:val="22"/>
                <w:lang w:val="fr-CA" w:eastAsia="en-CA"/>
              </w:rPr>
              <w:t>151</w:t>
            </w:r>
          </w:p>
        </w:tc>
        <w:tc>
          <w:tcPr>
            <w:tcW w:w="3966" w:type="dxa"/>
            <w:tcBorders>
              <w:top w:val="nil"/>
              <w:left w:val="nil"/>
              <w:bottom w:val="single" w:sz="4" w:space="0" w:color="auto"/>
              <w:right w:val="single" w:sz="4" w:space="0" w:color="auto"/>
            </w:tcBorders>
            <w:shd w:val="clear" w:color="auto" w:fill="auto"/>
            <w:vAlign w:val="center"/>
            <w:hideMark/>
          </w:tcPr>
          <w:p w14:paraId="68988F6B" w14:textId="77777777" w:rsidR="007B546B" w:rsidRPr="00095A13" w:rsidRDefault="007B546B" w:rsidP="005066EB">
            <w:pPr>
              <w:jc w:val="left"/>
              <w:rPr>
                <w:kern w:val="22"/>
                <w:szCs w:val="22"/>
                <w:lang w:val="fr-CA" w:eastAsia="en-CA"/>
              </w:rPr>
            </w:pPr>
            <w:r w:rsidRPr="00095A13">
              <w:rPr>
                <w:kern w:val="22"/>
                <w:szCs w:val="22"/>
                <w:lang w:val="fr-CA" w:eastAsia="en-CA"/>
              </w:rPr>
              <w:t>S</w:t>
            </w:r>
            <w:r>
              <w:rPr>
                <w:kern w:val="22"/>
                <w:szCs w:val="22"/>
                <w:lang w:val="fr-CA" w:eastAsia="en-CA"/>
              </w:rPr>
              <w:t>o</w:t>
            </w:r>
            <w:r w:rsidRPr="00095A13">
              <w:rPr>
                <w:kern w:val="22"/>
                <w:szCs w:val="22"/>
                <w:lang w:val="fr-CA" w:eastAsia="en-CA"/>
              </w:rPr>
              <w:t>udan</w:t>
            </w:r>
          </w:p>
        </w:tc>
        <w:tc>
          <w:tcPr>
            <w:tcW w:w="1605" w:type="dxa"/>
            <w:tcBorders>
              <w:top w:val="nil"/>
              <w:left w:val="nil"/>
              <w:bottom w:val="single" w:sz="4" w:space="0" w:color="auto"/>
              <w:right w:val="single" w:sz="4" w:space="0" w:color="auto"/>
            </w:tcBorders>
            <w:shd w:val="clear" w:color="auto" w:fill="auto"/>
            <w:vAlign w:val="center"/>
            <w:hideMark/>
          </w:tcPr>
          <w:p w14:paraId="3FC2DE8D"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010</w:t>
            </w:r>
          </w:p>
        </w:tc>
        <w:tc>
          <w:tcPr>
            <w:tcW w:w="1610" w:type="dxa"/>
            <w:tcBorders>
              <w:top w:val="nil"/>
              <w:left w:val="nil"/>
              <w:bottom w:val="single" w:sz="4" w:space="0" w:color="auto"/>
              <w:right w:val="single" w:sz="4" w:space="0" w:color="auto"/>
            </w:tcBorders>
            <w:shd w:val="clear" w:color="auto" w:fill="auto"/>
            <w:vAlign w:val="center"/>
            <w:hideMark/>
          </w:tcPr>
          <w:p w14:paraId="31E0A988"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010</w:t>
            </w:r>
          </w:p>
        </w:tc>
        <w:tc>
          <w:tcPr>
            <w:tcW w:w="1590" w:type="dxa"/>
            <w:tcBorders>
              <w:top w:val="nil"/>
              <w:left w:val="nil"/>
              <w:bottom w:val="single" w:sz="4" w:space="0" w:color="auto"/>
              <w:right w:val="single" w:sz="4" w:space="0" w:color="auto"/>
            </w:tcBorders>
            <w:shd w:val="clear" w:color="auto" w:fill="auto"/>
            <w:vAlign w:val="center"/>
            <w:hideMark/>
          </w:tcPr>
          <w:p w14:paraId="12D485E0" w14:textId="77777777" w:rsidR="007B546B" w:rsidRPr="00095A13" w:rsidRDefault="007B546B" w:rsidP="007B546B">
            <w:pPr>
              <w:ind w:right="144"/>
              <w:jc w:val="right"/>
              <w:rPr>
                <w:kern w:val="22"/>
                <w:szCs w:val="22"/>
                <w:lang w:val="fr-CA" w:eastAsia="en-CA"/>
              </w:rPr>
            </w:pPr>
            <w:r w:rsidRPr="00095A13">
              <w:rPr>
                <w:kern w:val="22"/>
                <w:szCs w:val="22"/>
                <w:lang w:val="fr-CA" w:eastAsia="en-CA"/>
              </w:rPr>
              <w:t>256</w:t>
            </w:r>
          </w:p>
        </w:tc>
      </w:tr>
      <w:tr w:rsidR="007B546B" w:rsidRPr="00095A13" w14:paraId="0A6AB5E2"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tcPr>
          <w:p w14:paraId="424447D3" w14:textId="31FE163E" w:rsidR="007B546B" w:rsidRPr="00095A13" w:rsidRDefault="007B546B" w:rsidP="005066EB">
            <w:pPr>
              <w:jc w:val="right"/>
              <w:rPr>
                <w:kern w:val="22"/>
                <w:szCs w:val="22"/>
                <w:lang w:val="fr-CA" w:eastAsia="en-CA"/>
              </w:rPr>
            </w:pPr>
            <w:r>
              <w:rPr>
                <w:kern w:val="22"/>
                <w:szCs w:val="22"/>
                <w:lang w:val="fr-CA" w:eastAsia="en-CA"/>
              </w:rPr>
              <w:t>152</w:t>
            </w:r>
          </w:p>
        </w:tc>
        <w:tc>
          <w:tcPr>
            <w:tcW w:w="3966" w:type="dxa"/>
            <w:tcBorders>
              <w:top w:val="nil"/>
              <w:left w:val="nil"/>
              <w:bottom w:val="single" w:sz="4" w:space="0" w:color="auto"/>
              <w:right w:val="single" w:sz="4" w:space="0" w:color="auto"/>
            </w:tcBorders>
            <w:shd w:val="clear" w:color="auto" w:fill="auto"/>
            <w:vAlign w:val="center"/>
            <w:hideMark/>
          </w:tcPr>
          <w:p w14:paraId="50844D88" w14:textId="77777777" w:rsidR="007B546B" w:rsidRPr="00095A13" w:rsidRDefault="007B546B" w:rsidP="005066EB">
            <w:pPr>
              <w:jc w:val="left"/>
              <w:rPr>
                <w:kern w:val="22"/>
                <w:szCs w:val="22"/>
                <w:lang w:val="fr-CA" w:eastAsia="en-CA"/>
              </w:rPr>
            </w:pPr>
            <w:r w:rsidRPr="00095A13">
              <w:rPr>
                <w:kern w:val="22"/>
                <w:szCs w:val="22"/>
                <w:lang w:val="fr-CA" w:eastAsia="en-CA"/>
              </w:rPr>
              <w:t>Sri Lanka</w:t>
            </w:r>
          </w:p>
        </w:tc>
        <w:tc>
          <w:tcPr>
            <w:tcW w:w="1605" w:type="dxa"/>
            <w:tcBorders>
              <w:top w:val="nil"/>
              <w:left w:val="nil"/>
              <w:bottom w:val="single" w:sz="4" w:space="0" w:color="auto"/>
              <w:right w:val="single" w:sz="4" w:space="0" w:color="auto"/>
            </w:tcBorders>
            <w:shd w:val="clear" w:color="auto" w:fill="auto"/>
            <w:vAlign w:val="center"/>
            <w:hideMark/>
          </w:tcPr>
          <w:p w14:paraId="7E9F391D"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044</w:t>
            </w:r>
          </w:p>
        </w:tc>
        <w:tc>
          <w:tcPr>
            <w:tcW w:w="1610" w:type="dxa"/>
            <w:tcBorders>
              <w:top w:val="nil"/>
              <w:left w:val="nil"/>
              <w:bottom w:val="single" w:sz="4" w:space="0" w:color="auto"/>
              <w:right w:val="single" w:sz="4" w:space="0" w:color="auto"/>
            </w:tcBorders>
            <w:shd w:val="clear" w:color="auto" w:fill="auto"/>
            <w:vAlign w:val="center"/>
            <w:hideMark/>
          </w:tcPr>
          <w:p w14:paraId="3D5EFE27"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063</w:t>
            </w:r>
          </w:p>
        </w:tc>
        <w:tc>
          <w:tcPr>
            <w:tcW w:w="1590" w:type="dxa"/>
            <w:tcBorders>
              <w:top w:val="nil"/>
              <w:left w:val="nil"/>
              <w:bottom w:val="single" w:sz="4" w:space="0" w:color="auto"/>
              <w:right w:val="single" w:sz="4" w:space="0" w:color="auto"/>
            </w:tcBorders>
            <w:shd w:val="clear" w:color="auto" w:fill="auto"/>
            <w:vAlign w:val="center"/>
            <w:hideMark/>
          </w:tcPr>
          <w:p w14:paraId="0048F850" w14:textId="77777777" w:rsidR="007B546B" w:rsidRPr="00095A13" w:rsidRDefault="007B546B" w:rsidP="007B546B">
            <w:pPr>
              <w:ind w:right="144"/>
              <w:jc w:val="right"/>
              <w:rPr>
                <w:kern w:val="22"/>
                <w:szCs w:val="22"/>
                <w:lang w:val="fr-CA" w:eastAsia="en-CA"/>
              </w:rPr>
            </w:pPr>
            <w:r w:rsidRPr="00095A13">
              <w:rPr>
                <w:kern w:val="22"/>
                <w:szCs w:val="22"/>
                <w:lang w:val="fr-CA" w:eastAsia="en-CA"/>
              </w:rPr>
              <w:t>1 608</w:t>
            </w:r>
          </w:p>
        </w:tc>
      </w:tr>
      <w:tr w:rsidR="007B546B" w:rsidRPr="00095A13" w14:paraId="0A44A51E"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tcPr>
          <w:p w14:paraId="3AD06802" w14:textId="68E7B100" w:rsidR="007B546B" w:rsidRPr="00095A13" w:rsidRDefault="00A77D34" w:rsidP="005066EB">
            <w:pPr>
              <w:jc w:val="right"/>
              <w:rPr>
                <w:kern w:val="22"/>
                <w:szCs w:val="22"/>
                <w:lang w:val="fr-CA" w:eastAsia="en-CA"/>
              </w:rPr>
            </w:pPr>
            <w:r>
              <w:rPr>
                <w:kern w:val="22"/>
                <w:szCs w:val="22"/>
                <w:lang w:val="fr-CA" w:eastAsia="en-CA"/>
              </w:rPr>
              <w:t>153</w:t>
            </w:r>
          </w:p>
        </w:tc>
        <w:tc>
          <w:tcPr>
            <w:tcW w:w="3966" w:type="dxa"/>
            <w:tcBorders>
              <w:top w:val="nil"/>
              <w:left w:val="nil"/>
              <w:bottom w:val="single" w:sz="4" w:space="0" w:color="auto"/>
              <w:right w:val="single" w:sz="4" w:space="0" w:color="auto"/>
            </w:tcBorders>
            <w:shd w:val="clear" w:color="auto" w:fill="auto"/>
            <w:vAlign w:val="center"/>
            <w:hideMark/>
          </w:tcPr>
          <w:p w14:paraId="6832F2D3" w14:textId="77777777" w:rsidR="007B546B" w:rsidRPr="00095A13" w:rsidRDefault="007B546B" w:rsidP="005066EB">
            <w:pPr>
              <w:jc w:val="left"/>
              <w:rPr>
                <w:kern w:val="22"/>
                <w:szCs w:val="22"/>
                <w:lang w:val="fr-CA" w:eastAsia="en-CA"/>
              </w:rPr>
            </w:pPr>
            <w:r>
              <w:rPr>
                <w:kern w:val="22"/>
                <w:szCs w:val="22"/>
                <w:lang w:val="fr-CA" w:eastAsia="en-CA"/>
              </w:rPr>
              <w:t>Suède</w:t>
            </w:r>
          </w:p>
        </w:tc>
        <w:tc>
          <w:tcPr>
            <w:tcW w:w="1605" w:type="dxa"/>
            <w:tcBorders>
              <w:top w:val="nil"/>
              <w:left w:val="nil"/>
              <w:bottom w:val="single" w:sz="4" w:space="0" w:color="auto"/>
              <w:right w:val="single" w:sz="4" w:space="0" w:color="auto"/>
            </w:tcBorders>
            <w:shd w:val="clear" w:color="auto" w:fill="auto"/>
            <w:vAlign w:val="center"/>
            <w:hideMark/>
          </w:tcPr>
          <w:p w14:paraId="059A7EF8"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906</w:t>
            </w:r>
          </w:p>
        </w:tc>
        <w:tc>
          <w:tcPr>
            <w:tcW w:w="1610" w:type="dxa"/>
            <w:tcBorders>
              <w:top w:val="nil"/>
              <w:left w:val="nil"/>
              <w:bottom w:val="single" w:sz="4" w:space="0" w:color="auto"/>
              <w:right w:val="single" w:sz="4" w:space="0" w:color="auto"/>
            </w:tcBorders>
            <w:shd w:val="clear" w:color="auto" w:fill="auto"/>
            <w:vAlign w:val="center"/>
            <w:hideMark/>
          </w:tcPr>
          <w:p w14:paraId="13059C4E" w14:textId="77777777" w:rsidR="007B546B" w:rsidRPr="00095A13" w:rsidRDefault="007B546B" w:rsidP="007B546B">
            <w:pPr>
              <w:ind w:right="144"/>
              <w:jc w:val="right"/>
              <w:rPr>
                <w:kern w:val="22"/>
                <w:szCs w:val="22"/>
                <w:lang w:val="fr-CA" w:eastAsia="en-CA"/>
              </w:rPr>
            </w:pPr>
            <w:r w:rsidRPr="00095A13">
              <w:rPr>
                <w:kern w:val="22"/>
                <w:szCs w:val="22"/>
                <w:lang w:val="fr-CA" w:eastAsia="en-CA"/>
              </w:rPr>
              <w:t>1</w:t>
            </w:r>
            <w:r>
              <w:rPr>
                <w:kern w:val="22"/>
                <w:szCs w:val="22"/>
                <w:lang w:val="fr-CA" w:eastAsia="en-CA"/>
              </w:rPr>
              <w:t>,</w:t>
            </w:r>
            <w:r w:rsidRPr="00095A13">
              <w:rPr>
                <w:kern w:val="22"/>
                <w:szCs w:val="22"/>
                <w:lang w:val="fr-CA" w:eastAsia="en-CA"/>
              </w:rPr>
              <w:t>295</w:t>
            </w:r>
          </w:p>
        </w:tc>
        <w:tc>
          <w:tcPr>
            <w:tcW w:w="1590" w:type="dxa"/>
            <w:tcBorders>
              <w:top w:val="nil"/>
              <w:left w:val="nil"/>
              <w:bottom w:val="single" w:sz="4" w:space="0" w:color="auto"/>
              <w:right w:val="single" w:sz="4" w:space="0" w:color="auto"/>
            </w:tcBorders>
            <w:shd w:val="clear" w:color="auto" w:fill="auto"/>
            <w:vAlign w:val="center"/>
            <w:hideMark/>
          </w:tcPr>
          <w:p w14:paraId="594A1641" w14:textId="77777777" w:rsidR="007B546B" w:rsidRPr="00095A13" w:rsidRDefault="007B546B" w:rsidP="007B546B">
            <w:pPr>
              <w:ind w:right="144"/>
              <w:jc w:val="right"/>
              <w:rPr>
                <w:kern w:val="22"/>
                <w:szCs w:val="22"/>
                <w:lang w:val="fr-CA" w:eastAsia="en-CA"/>
              </w:rPr>
            </w:pPr>
            <w:r w:rsidRPr="00095A13">
              <w:rPr>
                <w:kern w:val="22"/>
                <w:szCs w:val="22"/>
                <w:lang w:val="fr-CA" w:eastAsia="en-CA"/>
              </w:rPr>
              <w:t>33 113</w:t>
            </w:r>
          </w:p>
        </w:tc>
      </w:tr>
      <w:tr w:rsidR="007B546B" w:rsidRPr="00095A13" w14:paraId="7728C0DA"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tcPr>
          <w:p w14:paraId="067F19CA" w14:textId="55CC67ED" w:rsidR="007B546B" w:rsidRPr="00095A13" w:rsidRDefault="00A77D34" w:rsidP="005066EB">
            <w:pPr>
              <w:jc w:val="right"/>
              <w:rPr>
                <w:kern w:val="22"/>
                <w:szCs w:val="22"/>
                <w:lang w:val="fr-CA" w:eastAsia="en-CA"/>
              </w:rPr>
            </w:pPr>
            <w:r>
              <w:rPr>
                <w:kern w:val="22"/>
                <w:szCs w:val="22"/>
                <w:lang w:val="fr-CA" w:eastAsia="en-CA"/>
              </w:rPr>
              <w:t>154</w:t>
            </w:r>
          </w:p>
        </w:tc>
        <w:tc>
          <w:tcPr>
            <w:tcW w:w="3966" w:type="dxa"/>
            <w:tcBorders>
              <w:top w:val="nil"/>
              <w:left w:val="nil"/>
              <w:bottom w:val="single" w:sz="4" w:space="0" w:color="auto"/>
              <w:right w:val="single" w:sz="4" w:space="0" w:color="auto"/>
            </w:tcBorders>
            <w:shd w:val="clear" w:color="auto" w:fill="auto"/>
            <w:vAlign w:val="center"/>
            <w:hideMark/>
          </w:tcPr>
          <w:p w14:paraId="550CFC19" w14:textId="77777777" w:rsidR="007B546B" w:rsidRPr="00095A13" w:rsidRDefault="007B546B" w:rsidP="005066EB">
            <w:pPr>
              <w:jc w:val="left"/>
              <w:rPr>
                <w:kern w:val="22"/>
                <w:szCs w:val="22"/>
                <w:lang w:val="fr-CA" w:eastAsia="en-CA"/>
              </w:rPr>
            </w:pPr>
            <w:r>
              <w:rPr>
                <w:kern w:val="22"/>
                <w:szCs w:val="22"/>
                <w:lang w:val="fr-CA" w:eastAsia="en-CA"/>
              </w:rPr>
              <w:t>Suisse</w:t>
            </w:r>
          </w:p>
        </w:tc>
        <w:tc>
          <w:tcPr>
            <w:tcW w:w="1605" w:type="dxa"/>
            <w:tcBorders>
              <w:top w:val="nil"/>
              <w:left w:val="nil"/>
              <w:bottom w:val="single" w:sz="4" w:space="0" w:color="auto"/>
              <w:right w:val="single" w:sz="4" w:space="0" w:color="auto"/>
            </w:tcBorders>
            <w:shd w:val="clear" w:color="auto" w:fill="auto"/>
            <w:vAlign w:val="center"/>
            <w:hideMark/>
          </w:tcPr>
          <w:p w14:paraId="6E30413E" w14:textId="77777777" w:rsidR="007B546B" w:rsidRPr="00095A13" w:rsidRDefault="007B546B" w:rsidP="007B546B">
            <w:pPr>
              <w:ind w:right="144"/>
              <w:jc w:val="right"/>
              <w:rPr>
                <w:kern w:val="22"/>
                <w:szCs w:val="22"/>
                <w:lang w:val="fr-CA" w:eastAsia="en-CA"/>
              </w:rPr>
            </w:pPr>
            <w:r w:rsidRPr="00095A13">
              <w:rPr>
                <w:kern w:val="22"/>
                <w:szCs w:val="22"/>
                <w:lang w:val="fr-CA" w:eastAsia="en-CA"/>
              </w:rPr>
              <w:t>1</w:t>
            </w:r>
            <w:r>
              <w:rPr>
                <w:kern w:val="22"/>
                <w:szCs w:val="22"/>
                <w:lang w:val="fr-CA" w:eastAsia="en-CA"/>
              </w:rPr>
              <w:t>,</w:t>
            </w:r>
            <w:r w:rsidRPr="00095A13">
              <w:rPr>
                <w:kern w:val="22"/>
                <w:szCs w:val="22"/>
                <w:lang w:val="fr-CA" w:eastAsia="en-CA"/>
              </w:rPr>
              <w:t>151</w:t>
            </w:r>
          </w:p>
        </w:tc>
        <w:tc>
          <w:tcPr>
            <w:tcW w:w="1610" w:type="dxa"/>
            <w:tcBorders>
              <w:top w:val="nil"/>
              <w:left w:val="nil"/>
              <w:bottom w:val="single" w:sz="4" w:space="0" w:color="auto"/>
              <w:right w:val="single" w:sz="4" w:space="0" w:color="auto"/>
            </w:tcBorders>
            <w:shd w:val="clear" w:color="auto" w:fill="auto"/>
            <w:vAlign w:val="center"/>
            <w:hideMark/>
          </w:tcPr>
          <w:p w14:paraId="4C43D285" w14:textId="77777777" w:rsidR="007B546B" w:rsidRPr="00095A13" w:rsidRDefault="007B546B" w:rsidP="007B546B">
            <w:pPr>
              <w:ind w:right="144"/>
              <w:jc w:val="right"/>
              <w:rPr>
                <w:kern w:val="22"/>
                <w:szCs w:val="22"/>
                <w:lang w:val="fr-CA" w:eastAsia="en-CA"/>
              </w:rPr>
            </w:pPr>
            <w:r w:rsidRPr="00095A13">
              <w:rPr>
                <w:kern w:val="22"/>
                <w:szCs w:val="22"/>
                <w:lang w:val="fr-CA" w:eastAsia="en-CA"/>
              </w:rPr>
              <w:t>1</w:t>
            </w:r>
            <w:r>
              <w:rPr>
                <w:kern w:val="22"/>
                <w:szCs w:val="22"/>
                <w:lang w:val="fr-CA" w:eastAsia="en-CA"/>
              </w:rPr>
              <w:t>,</w:t>
            </w:r>
            <w:r w:rsidRPr="00095A13">
              <w:rPr>
                <w:kern w:val="22"/>
                <w:szCs w:val="22"/>
                <w:lang w:val="fr-CA" w:eastAsia="en-CA"/>
              </w:rPr>
              <w:t>645</w:t>
            </w:r>
          </w:p>
        </w:tc>
        <w:tc>
          <w:tcPr>
            <w:tcW w:w="1590" w:type="dxa"/>
            <w:tcBorders>
              <w:top w:val="nil"/>
              <w:left w:val="nil"/>
              <w:bottom w:val="single" w:sz="4" w:space="0" w:color="auto"/>
              <w:right w:val="single" w:sz="4" w:space="0" w:color="auto"/>
            </w:tcBorders>
            <w:shd w:val="clear" w:color="auto" w:fill="auto"/>
            <w:vAlign w:val="center"/>
            <w:hideMark/>
          </w:tcPr>
          <w:p w14:paraId="60F020D7" w14:textId="77777777" w:rsidR="007B546B" w:rsidRPr="00095A13" w:rsidRDefault="007B546B" w:rsidP="007B546B">
            <w:pPr>
              <w:ind w:right="144"/>
              <w:jc w:val="right"/>
              <w:rPr>
                <w:kern w:val="22"/>
                <w:szCs w:val="22"/>
                <w:lang w:val="fr-CA" w:eastAsia="en-CA"/>
              </w:rPr>
            </w:pPr>
            <w:r w:rsidRPr="00095A13">
              <w:rPr>
                <w:kern w:val="22"/>
                <w:szCs w:val="22"/>
                <w:lang w:val="fr-CA" w:eastAsia="en-CA"/>
              </w:rPr>
              <w:t>42 067</w:t>
            </w:r>
          </w:p>
        </w:tc>
      </w:tr>
      <w:tr w:rsidR="007B546B" w:rsidRPr="00095A13" w14:paraId="61298F2F"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tcPr>
          <w:p w14:paraId="717B68D9" w14:textId="497CE0D3" w:rsidR="007B546B" w:rsidRPr="00095A13" w:rsidRDefault="00A77D34" w:rsidP="005066EB">
            <w:pPr>
              <w:jc w:val="right"/>
              <w:rPr>
                <w:kern w:val="22"/>
                <w:szCs w:val="22"/>
                <w:lang w:val="fr-CA" w:eastAsia="en-CA"/>
              </w:rPr>
            </w:pPr>
            <w:r>
              <w:rPr>
                <w:kern w:val="22"/>
                <w:szCs w:val="22"/>
                <w:lang w:val="fr-CA" w:eastAsia="en-CA"/>
              </w:rPr>
              <w:t>155</w:t>
            </w:r>
          </w:p>
        </w:tc>
        <w:tc>
          <w:tcPr>
            <w:tcW w:w="3966" w:type="dxa"/>
            <w:tcBorders>
              <w:top w:val="nil"/>
              <w:left w:val="nil"/>
              <w:bottom w:val="single" w:sz="4" w:space="0" w:color="auto"/>
              <w:right w:val="single" w:sz="4" w:space="0" w:color="auto"/>
            </w:tcBorders>
            <w:shd w:val="clear" w:color="auto" w:fill="auto"/>
            <w:vAlign w:val="center"/>
            <w:hideMark/>
          </w:tcPr>
          <w:p w14:paraId="26723E33" w14:textId="77777777" w:rsidR="007B546B" w:rsidRPr="00095A13" w:rsidRDefault="007B546B" w:rsidP="005066EB">
            <w:pPr>
              <w:jc w:val="left"/>
              <w:rPr>
                <w:kern w:val="22"/>
                <w:szCs w:val="22"/>
                <w:lang w:val="fr-CA" w:eastAsia="en-CA"/>
              </w:rPr>
            </w:pPr>
            <w:r w:rsidRPr="00095A13">
              <w:rPr>
                <w:kern w:val="22"/>
                <w:szCs w:val="22"/>
                <w:lang w:val="fr-CA" w:eastAsia="en-CA"/>
              </w:rPr>
              <w:t>Suriname</w:t>
            </w:r>
          </w:p>
        </w:tc>
        <w:tc>
          <w:tcPr>
            <w:tcW w:w="1605" w:type="dxa"/>
            <w:tcBorders>
              <w:top w:val="nil"/>
              <w:left w:val="nil"/>
              <w:bottom w:val="single" w:sz="4" w:space="0" w:color="auto"/>
              <w:right w:val="single" w:sz="4" w:space="0" w:color="auto"/>
            </w:tcBorders>
            <w:shd w:val="clear" w:color="auto" w:fill="auto"/>
            <w:vAlign w:val="center"/>
            <w:hideMark/>
          </w:tcPr>
          <w:p w14:paraId="07C8FDA0"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005</w:t>
            </w:r>
          </w:p>
        </w:tc>
        <w:tc>
          <w:tcPr>
            <w:tcW w:w="1610" w:type="dxa"/>
            <w:tcBorders>
              <w:top w:val="nil"/>
              <w:left w:val="nil"/>
              <w:bottom w:val="single" w:sz="4" w:space="0" w:color="auto"/>
              <w:right w:val="single" w:sz="4" w:space="0" w:color="auto"/>
            </w:tcBorders>
            <w:shd w:val="clear" w:color="auto" w:fill="auto"/>
            <w:vAlign w:val="center"/>
            <w:hideMark/>
          </w:tcPr>
          <w:p w14:paraId="44B6A776"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007</w:t>
            </w:r>
          </w:p>
        </w:tc>
        <w:tc>
          <w:tcPr>
            <w:tcW w:w="1590" w:type="dxa"/>
            <w:tcBorders>
              <w:top w:val="nil"/>
              <w:left w:val="nil"/>
              <w:bottom w:val="single" w:sz="4" w:space="0" w:color="auto"/>
              <w:right w:val="single" w:sz="4" w:space="0" w:color="auto"/>
            </w:tcBorders>
            <w:shd w:val="clear" w:color="auto" w:fill="auto"/>
            <w:vAlign w:val="center"/>
            <w:hideMark/>
          </w:tcPr>
          <w:p w14:paraId="2E432685" w14:textId="77777777" w:rsidR="007B546B" w:rsidRPr="00095A13" w:rsidRDefault="007B546B" w:rsidP="007B546B">
            <w:pPr>
              <w:ind w:right="144"/>
              <w:jc w:val="right"/>
              <w:rPr>
                <w:kern w:val="22"/>
                <w:szCs w:val="22"/>
                <w:lang w:val="fr-CA" w:eastAsia="en-CA"/>
              </w:rPr>
            </w:pPr>
            <w:r w:rsidRPr="00095A13">
              <w:rPr>
                <w:kern w:val="22"/>
                <w:szCs w:val="22"/>
                <w:lang w:val="fr-CA" w:eastAsia="en-CA"/>
              </w:rPr>
              <w:t>183</w:t>
            </w:r>
          </w:p>
        </w:tc>
      </w:tr>
      <w:tr w:rsidR="007B546B" w:rsidRPr="00095A13" w14:paraId="1F2163CA"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tcPr>
          <w:p w14:paraId="1266FA3C" w14:textId="169A816F" w:rsidR="007B546B" w:rsidRPr="00095A13" w:rsidRDefault="00A77D34" w:rsidP="005066EB">
            <w:pPr>
              <w:jc w:val="right"/>
              <w:rPr>
                <w:kern w:val="22"/>
                <w:szCs w:val="22"/>
                <w:lang w:val="fr-CA" w:eastAsia="en-CA"/>
              </w:rPr>
            </w:pPr>
            <w:r>
              <w:rPr>
                <w:kern w:val="22"/>
                <w:szCs w:val="22"/>
                <w:lang w:val="fr-CA" w:eastAsia="en-CA"/>
              </w:rPr>
              <w:t>156</w:t>
            </w:r>
          </w:p>
        </w:tc>
        <w:tc>
          <w:tcPr>
            <w:tcW w:w="3966" w:type="dxa"/>
            <w:tcBorders>
              <w:top w:val="nil"/>
              <w:left w:val="nil"/>
              <w:bottom w:val="single" w:sz="4" w:space="0" w:color="auto"/>
              <w:right w:val="single" w:sz="4" w:space="0" w:color="auto"/>
            </w:tcBorders>
            <w:shd w:val="clear" w:color="auto" w:fill="auto"/>
            <w:vAlign w:val="center"/>
            <w:hideMark/>
          </w:tcPr>
          <w:p w14:paraId="139A8274" w14:textId="77777777" w:rsidR="007B546B" w:rsidRPr="00095A13" w:rsidRDefault="007B546B" w:rsidP="005066EB">
            <w:pPr>
              <w:jc w:val="left"/>
              <w:rPr>
                <w:kern w:val="22"/>
                <w:szCs w:val="22"/>
                <w:lang w:val="fr-CA" w:eastAsia="en-CA"/>
              </w:rPr>
            </w:pPr>
            <w:r w:rsidRPr="00095A13">
              <w:rPr>
                <w:kern w:val="22"/>
                <w:szCs w:val="22"/>
                <w:lang w:val="fr-CA" w:eastAsia="en-CA"/>
              </w:rPr>
              <w:t>Ta</w:t>
            </w:r>
            <w:r>
              <w:rPr>
                <w:kern w:val="22"/>
                <w:szCs w:val="22"/>
                <w:lang w:val="fr-CA" w:eastAsia="en-CA"/>
              </w:rPr>
              <w:t>d</w:t>
            </w:r>
            <w:r w:rsidRPr="00095A13">
              <w:rPr>
                <w:kern w:val="22"/>
                <w:szCs w:val="22"/>
                <w:lang w:val="fr-CA" w:eastAsia="en-CA"/>
              </w:rPr>
              <w:t>jikistan</w:t>
            </w:r>
          </w:p>
        </w:tc>
        <w:tc>
          <w:tcPr>
            <w:tcW w:w="1605" w:type="dxa"/>
            <w:tcBorders>
              <w:top w:val="nil"/>
              <w:left w:val="nil"/>
              <w:bottom w:val="single" w:sz="4" w:space="0" w:color="auto"/>
              <w:right w:val="single" w:sz="4" w:space="0" w:color="auto"/>
            </w:tcBorders>
            <w:shd w:val="clear" w:color="auto" w:fill="auto"/>
            <w:vAlign w:val="center"/>
            <w:hideMark/>
          </w:tcPr>
          <w:p w14:paraId="298B4787"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004</w:t>
            </w:r>
          </w:p>
        </w:tc>
        <w:tc>
          <w:tcPr>
            <w:tcW w:w="1610" w:type="dxa"/>
            <w:tcBorders>
              <w:top w:val="nil"/>
              <w:left w:val="nil"/>
              <w:bottom w:val="single" w:sz="4" w:space="0" w:color="auto"/>
              <w:right w:val="single" w:sz="4" w:space="0" w:color="auto"/>
            </w:tcBorders>
            <w:shd w:val="clear" w:color="auto" w:fill="auto"/>
            <w:vAlign w:val="center"/>
            <w:hideMark/>
          </w:tcPr>
          <w:p w14:paraId="5F43C009"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006</w:t>
            </w:r>
          </w:p>
        </w:tc>
        <w:tc>
          <w:tcPr>
            <w:tcW w:w="1590" w:type="dxa"/>
            <w:tcBorders>
              <w:top w:val="nil"/>
              <w:left w:val="nil"/>
              <w:bottom w:val="single" w:sz="4" w:space="0" w:color="auto"/>
              <w:right w:val="single" w:sz="4" w:space="0" w:color="auto"/>
            </w:tcBorders>
            <w:shd w:val="clear" w:color="auto" w:fill="auto"/>
            <w:vAlign w:val="center"/>
            <w:hideMark/>
          </w:tcPr>
          <w:p w14:paraId="452B09BD" w14:textId="77777777" w:rsidR="007B546B" w:rsidRPr="00095A13" w:rsidRDefault="007B546B" w:rsidP="007B546B">
            <w:pPr>
              <w:ind w:right="144"/>
              <w:jc w:val="right"/>
              <w:rPr>
                <w:kern w:val="22"/>
                <w:szCs w:val="22"/>
                <w:lang w:val="fr-CA" w:eastAsia="en-CA"/>
              </w:rPr>
            </w:pPr>
            <w:r w:rsidRPr="00095A13">
              <w:rPr>
                <w:kern w:val="22"/>
                <w:szCs w:val="22"/>
                <w:lang w:val="fr-CA" w:eastAsia="en-CA"/>
              </w:rPr>
              <w:t>146</w:t>
            </w:r>
          </w:p>
        </w:tc>
      </w:tr>
      <w:tr w:rsidR="007B546B" w:rsidRPr="005C598A" w14:paraId="5DF9C17A"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EFE04D6" w14:textId="606DA397" w:rsidR="007B546B" w:rsidRPr="005C598A" w:rsidRDefault="00A77D34" w:rsidP="00120F79">
            <w:pPr>
              <w:jc w:val="right"/>
              <w:rPr>
                <w:kern w:val="22"/>
                <w:szCs w:val="22"/>
                <w:lang w:val="fr-CA" w:eastAsia="en-CA"/>
              </w:rPr>
            </w:pPr>
            <w:r>
              <w:rPr>
                <w:kern w:val="22"/>
                <w:szCs w:val="22"/>
                <w:lang w:val="fr-CA" w:eastAsia="en-CA"/>
              </w:rPr>
              <w:t>157</w:t>
            </w:r>
          </w:p>
        </w:tc>
        <w:tc>
          <w:tcPr>
            <w:tcW w:w="3966" w:type="dxa"/>
            <w:tcBorders>
              <w:top w:val="nil"/>
              <w:left w:val="nil"/>
              <w:bottom w:val="single" w:sz="4" w:space="0" w:color="auto"/>
              <w:right w:val="single" w:sz="4" w:space="0" w:color="auto"/>
            </w:tcBorders>
            <w:shd w:val="clear" w:color="auto" w:fill="auto"/>
            <w:vAlign w:val="center"/>
            <w:hideMark/>
          </w:tcPr>
          <w:p w14:paraId="520C7862" w14:textId="77777777" w:rsidR="007B546B" w:rsidRPr="005C598A" w:rsidRDefault="007B546B" w:rsidP="00120F79">
            <w:pPr>
              <w:jc w:val="left"/>
              <w:rPr>
                <w:kern w:val="22"/>
                <w:szCs w:val="22"/>
                <w:lang w:val="fr-CA" w:eastAsia="en-CA"/>
              </w:rPr>
            </w:pPr>
            <w:r>
              <w:rPr>
                <w:kern w:val="22"/>
                <w:szCs w:val="22"/>
                <w:lang w:val="fr-CA" w:eastAsia="en-CA"/>
              </w:rPr>
              <w:t>Tchad</w:t>
            </w:r>
          </w:p>
        </w:tc>
        <w:tc>
          <w:tcPr>
            <w:tcW w:w="1605" w:type="dxa"/>
            <w:tcBorders>
              <w:top w:val="nil"/>
              <w:left w:val="nil"/>
              <w:bottom w:val="single" w:sz="4" w:space="0" w:color="auto"/>
              <w:right w:val="single" w:sz="4" w:space="0" w:color="auto"/>
            </w:tcBorders>
            <w:shd w:val="clear" w:color="auto" w:fill="auto"/>
            <w:vAlign w:val="center"/>
            <w:hideMark/>
          </w:tcPr>
          <w:p w14:paraId="43731DFE"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004</w:t>
            </w:r>
          </w:p>
        </w:tc>
        <w:tc>
          <w:tcPr>
            <w:tcW w:w="1610" w:type="dxa"/>
            <w:tcBorders>
              <w:top w:val="nil"/>
              <w:left w:val="nil"/>
              <w:bottom w:val="single" w:sz="4" w:space="0" w:color="auto"/>
              <w:right w:val="single" w:sz="4" w:space="0" w:color="auto"/>
            </w:tcBorders>
            <w:shd w:val="clear" w:color="auto" w:fill="auto"/>
            <w:vAlign w:val="center"/>
            <w:hideMark/>
          </w:tcPr>
          <w:p w14:paraId="325283AC" w14:textId="77777777" w:rsidR="007B546B" w:rsidRPr="005C598A" w:rsidRDefault="007B546B" w:rsidP="007B546B">
            <w:pPr>
              <w:ind w:right="144"/>
              <w:jc w:val="right"/>
              <w:rPr>
                <w:kern w:val="22"/>
                <w:szCs w:val="22"/>
                <w:lang w:val="fr-CA" w:eastAsia="en-CA"/>
              </w:rPr>
            </w:pPr>
            <w:r w:rsidRPr="005C598A">
              <w:rPr>
                <w:kern w:val="22"/>
                <w:szCs w:val="22"/>
                <w:lang w:val="fr-CA" w:eastAsia="en-CA"/>
              </w:rPr>
              <w:t>0</w:t>
            </w:r>
            <w:r>
              <w:rPr>
                <w:kern w:val="22"/>
                <w:szCs w:val="22"/>
                <w:lang w:val="fr-CA" w:eastAsia="en-CA"/>
              </w:rPr>
              <w:t>,</w:t>
            </w:r>
            <w:r w:rsidRPr="005C598A">
              <w:rPr>
                <w:kern w:val="22"/>
                <w:szCs w:val="22"/>
                <w:lang w:val="fr-CA" w:eastAsia="en-CA"/>
              </w:rPr>
              <w:t>006</w:t>
            </w:r>
          </w:p>
        </w:tc>
        <w:tc>
          <w:tcPr>
            <w:tcW w:w="1590" w:type="dxa"/>
            <w:tcBorders>
              <w:top w:val="nil"/>
              <w:left w:val="nil"/>
              <w:bottom w:val="single" w:sz="4" w:space="0" w:color="auto"/>
              <w:right w:val="single" w:sz="4" w:space="0" w:color="auto"/>
            </w:tcBorders>
            <w:shd w:val="clear" w:color="auto" w:fill="auto"/>
            <w:vAlign w:val="center"/>
            <w:hideMark/>
          </w:tcPr>
          <w:p w14:paraId="229234A1" w14:textId="77777777" w:rsidR="007B546B" w:rsidRPr="005C598A" w:rsidRDefault="007B546B" w:rsidP="007B546B">
            <w:pPr>
              <w:ind w:right="144"/>
              <w:jc w:val="right"/>
              <w:rPr>
                <w:kern w:val="22"/>
                <w:szCs w:val="22"/>
                <w:lang w:val="fr-CA" w:eastAsia="en-CA"/>
              </w:rPr>
            </w:pPr>
            <w:r w:rsidRPr="005C598A">
              <w:rPr>
                <w:kern w:val="22"/>
                <w:szCs w:val="22"/>
                <w:lang w:val="fr-CA" w:eastAsia="en-CA"/>
              </w:rPr>
              <w:t>146</w:t>
            </w:r>
          </w:p>
        </w:tc>
      </w:tr>
      <w:tr w:rsidR="007B546B" w:rsidRPr="00095A13" w14:paraId="354D02FC"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51805FFA" w14:textId="00F17B90" w:rsidR="007B546B" w:rsidRPr="00095A13" w:rsidRDefault="00A77D34" w:rsidP="00120F79">
            <w:pPr>
              <w:jc w:val="right"/>
              <w:rPr>
                <w:kern w:val="22"/>
                <w:szCs w:val="22"/>
                <w:lang w:val="fr-CA" w:eastAsia="en-CA"/>
              </w:rPr>
            </w:pPr>
            <w:r>
              <w:rPr>
                <w:kern w:val="22"/>
                <w:szCs w:val="22"/>
                <w:lang w:val="fr-CA" w:eastAsia="en-CA"/>
              </w:rPr>
              <w:t>158</w:t>
            </w:r>
          </w:p>
        </w:tc>
        <w:tc>
          <w:tcPr>
            <w:tcW w:w="3966" w:type="dxa"/>
            <w:tcBorders>
              <w:top w:val="nil"/>
              <w:left w:val="nil"/>
              <w:bottom w:val="single" w:sz="4" w:space="0" w:color="auto"/>
              <w:right w:val="single" w:sz="4" w:space="0" w:color="auto"/>
            </w:tcBorders>
            <w:shd w:val="clear" w:color="auto" w:fill="auto"/>
            <w:vAlign w:val="center"/>
            <w:hideMark/>
          </w:tcPr>
          <w:p w14:paraId="44EEE0EC" w14:textId="77777777" w:rsidR="007B546B" w:rsidRPr="00095A13" w:rsidRDefault="007B546B" w:rsidP="00120F79">
            <w:pPr>
              <w:jc w:val="left"/>
              <w:rPr>
                <w:kern w:val="22"/>
                <w:szCs w:val="22"/>
                <w:lang w:val="fr-CA" w:eastAsia="en-CA"/>
              </w:rPr>
            </w:pPr>
            <w:r w:rsidRPr="00095A13">
              <w:rPr>
                <w:kern w:val="22"/>
                <w:szCs w:val="22"/>
                <w:lang w:val="fr-CA" w:eastAsia="en-CA"/>
              </w:rPr>
              <w:t>Tchéquie</w:t>
            </w:r>
          </w:p>
        </w:tc>
        <w:tc>
          <w:tcPr>
            <w:tcW w:w="1605" w:type="dxa"/>
            <w:tcBorders>
              <w:top w:val="nil"/>
              <w:left w:val="nil"/>
              <w:bottom w:val="single" w:sz="4" w:space="0" w:color="auto"/>
              <w:right w:val="single" w:sz="4" w:space="0" w:color="auto"/>
            </w:tcBorders>
            <w:shd w:val="clear" w:color="auto" w:fill="auto"/>
            <w:vAlign w:val="center"/>
            <w:hideMark/>
          </w:tcPr>
          <w:p w14:paraId="1B37952E"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311</w:t>
            </w:r>
          </w:p>
        </w:tc>
        <w:tc>
          <w:tcPr>
            <w:tcW w:w="1610" w:type="dxa"/>
            <w:tcBorders>
              <w:top w:val="nil"/>
              <w:left w:val="nil"/>
              <w:bottom w:val="single" w:sz="4" w:space="0" w:color="auto"/>
              <w:right w:val="single" w:sz="4" w:space="0" w:color="auto"/>
            </w:tcBorders>
            <w:shd w:val="clear" w:color="auto" w:fill="auto"/>
            <w:vAlign w:val="center"/>
            <w:hideMark/>
          </w:tcPr>
          <w:p w14:paraId="3E62B837"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444</w:t>
            </w:r>
          </w:p>
        </w:tc>
        <w:tc>
          <w:tcPr>
            <w:tcW w:w="1590" w:type="dxa"/>
            <w:tcBorders>
              <w:top w:val="nil"/>
              <w:left w:val="nil"/>
              <w:bottom w:val="single" w:sz="4" w:space="0" w:color="auto"/>
              <w:right w:val="single" w:sz="4" w:space="0" w:color="auto"/>
            </w:tcBorders>
            <w:shd w:val="clear" w:color="auto" w:fill="auto"/>
            <w:vAlign w:val="center"/>
            <w:hideMark/>
          </w:tcPr>
          <w:p w14:paraId="6C41D9CA" w14:textId="77777777" w:rsidR="007B546B" w:rsidRPr="00095A13" w:rsidRDefault="007B546B" w:rsidP="007B546B">
            <w:pPr>
              <w:ind w:right="144"/>
              <w:jc w:val="right"/>
              <w:rPr>
                <w:kern w:val="22"/>
                <w:szCs w:val="22"/>
                <w:lang w:val="fr-CA" w:eastAsia="en-CA"/>
              </w:rPr>
            </w:pPr>
            <w:r w:rsidRPr="00095A13">
              <w:rPr>
                <w:kern w:val="22"/>
                <w:szCs w:val="22"/>
                <w:lang w:val="fr-CA" w:eastAsia="en-CA"/>
              </w:rPr>
              <w:t>11 367</w:t>
            </w:r>
          </w:p>
        </w:tc>
      </w:tr>
      <w:tr w:rsidR="007B546B" w:rsidRPr="00095A13" w14:paraId="6B5A1EA0"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tcPr>
          <w:p w14:paraId="667846E6" w14:textId="56E4FCD0" w:rsidR="007B546B" w:rsidRPr="00095A13" w:rsidRDefault="00A77D34" w:rsidP="005066EB">
            <w:pPr>
              <w:jc w:val="right"/>
              <w:rPr>
                <w:kern w:val="22"/>
                <w:szCs w:val="22"/>
                <w:lang w:val="fr-CA" w:eastAsia="en-CA"/>
              </w:rPr>
            </w:pPr>
            <w:r>
              <w:rPr>
                <w:kern w:val="22"/>
                <w:szCs w:val="22"/>
                <w:lang w:val="fr-CA" w:eastAsia="en-CA"/>
              </w:rPr>
              <w:t>159</w:t>
            </w:r>
          </w:p>
        </w:tc>
        <w:tc>
          <w:tcPr>
            <w:tcW w:w="3966" w:type="dxa"/>
            <w:tcBorders>
              <w:top w:val="nil"/>
              <w:left w:val="nil"/>
              <w:bottom w:val="single" w:sz="4" w:space="0" w:color="auto"/>
              <w:right w:val="single" w:sz="4" w:space="0" w:color="auto"/>
            </w:tcBorders>
            <w:shd w:val="clear" w:color="auto" w:fill="auto"/>
            <w:vAlign w:val="center"/>
            <w:hideMark/>
          </w:tcPr>
          <w:p w14:paraId="2F44DF17" w14:textId="77777777" w:rsidR="007B546B" w:rsidRPr="00095A13" w:rsidRDefault="007B546B" w:rsidP="005066EB">
            <w:pPr>
              <w:jc w:val="left"/>
              <w:rPr>
                <w:kern w:val="22"/>
                <w:szCs w:val="22"/>
                <w:lang w:val="fr-CA" w:eastAsia="en-CA"/>
              </w:rPr>
            </w:pPr>
            <w:r>
              <w:rPr>
                <w:kern w:val="22"/>
                <w:szCs w:val="22"/>
                <w:lang w:val="fr-CA" w:eastAsia="en-CA"/>
              </w:rPr>
              <w:t>Thaïlande</w:t>
            </w:r>
          </w:p>
        </w:tc>
        <w:tc>
          <w:tcPr>
            <w:tcW w:w="1605" w:type="dxa"/>
            <w:tcBorders>
              <w:top w:val="nil"/>
              <w:left w:val="nil"/>
              <w:bottom w:val="single" w:sz="4" w:space="0" w:color="auto"/>
              <w:right w:val="single" w:sz="4" w:space="0" w:color="auto"/>
            </w:tcBorders>
            <w:shd w:val="clear" w:color="auto" w:fill="auto"/>
            <w:vAlign w:val="center"/>
            <w:hideMark/>
          </w:tcPr>
          <w:p w14:paraId="002F40AA"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307</w:t>
            </w:r>
          </w:p>
        </w:tc>
        <w:tc>
          <w:tcPr>
            <w:tcW w:w="1610" w:type="dxa"/>
            <w:tcBorders>
              <w:top w:val="nil"/>
              <w:left w:val="nil"/>
              <w:bottom w:val="single" w:sz="4" w:space="0" w:color="auto"/>
              <w:right w:val="single" w:sz="4" w:space="0" w:color="auto"/>
            </w:tcBorders>
            <w:shd w:val="clear" w:color="auto" w:fill="auto"/>
            <w:vAlign w:val="center"/>
            <w:hideMark/>
          </w:tcPr>
          <w:p w14:paraId="2FD05BED"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439</w:t>
            </w:r>
          </w:p>
        </w:tc>
        <w:tc>
          <w:tcPr>
            <w:tcW w:w="1590" w:type="dxa"/>
            <w:tcBorders>
              <w:top w:val="nil"/>
              <w:left w:val="nil"/>
              <w:bottom w:val="single" w:sz="4" w:space="0" w:color="auto"/>
              <w:right w:val="single" w:sz="4" w:space="0" w:color="auto"/>
            </w:tcBorders>
            <w:shd w:val="clear" w:color="auto" w:fill="auto"/>
            <w:vAlign w:val="center"/>
            <w:hideMark/>
          </w:tcPr>
          <w:p w14:paraId="67636658" w14:textId="77777777" w:rsidR="007B546B" w:rsidRPr="00095A13" w:rsidRDefault="007B546B" w:rsidP="007B546B">
            <w:pPr>
              <w:ind w:right="144"/>
              <w:jc w:val="right"/>
              <w:rPr>
                <w:kern w:val="22"/>
                <w:szCs w:val="22"/>
                <w:lang w:val="fr-CA" w:eastAsia="en-CA"/>
              </w:rPr>
            </w:pPr>
            <w:r w:rsidRPr="00095A13">
              <w:rPr>
                <w:kern w:val="22"/>
                <w:szCs w:val="22"/>
                <w:lang w:val="fr-CA" w:eastAsia="en-CA"/>
              </w:rPr>
              <w:t>11 220</w:t>
            </w:r>
          </w:p>
        </w:tc>
      </w:tr>
      <w:tr w:rsidR="007B546B" w:rsidRPr="00095A13" w14:paraId="77D00116"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B55C619" w14:textId="52E3DD97" w:rsidR="007B546B" w:rsidRPr="00095A13" w:rsidRDefault="00A77D34" w:rsidP="005066EB">
            <w:pPr>
              <w:jc w:val="right"/>
              <w:rPr>
                <w:kern w:val="22"/>
                <w:szCs w:val="22"/>
                <w:lang w:val="fr-CA" w:eastAsia="en-CA"/>
              </w:rPr>
            </w:pPr>
            <w:r>
              <w:rPr>
                <w:kern w:val="22"/>
                <w:szCs w:val="22"/>
                <w:lang w:val="fr-CA" w:eastAsia="en-CA"/>
              </w:rPr>
              <w:t>160</w:t>
            </w:r>
          </w:p>
        </w:tc>
        <w:tc>
          <w:tcPr>
            <w:tcW w:w="3966" w:type="dxa"/>
            <w:tcBorders>
              <w:top w:val="nil"/>
              <w:left w:val="nil"/>
              <w:bottom w:val="single" w:sz="4" w:space="0" w:color="auto"/>
              <w:right w:val="single" w:sz="4" w:space="0" w:color="auto"/>
            </w:tcBorders>
            <w:shd w:val="clear" w:color="auto" w:fill="auto"/>
            <w:vAlign w:val="center"/>
            <w:hideMark/>
          </w:tcPr>
          <w:p w14:paraId="249DB587" w14:textId="77777777" w:rsidR="007B546B" w:rsidRPr="00095A13" w:rsidRDefault="007B546B" w:rsidP="005066EB">
            <w:pPr>
              <w:jc w:val="left"/>
              <w:rPr>
                <w:kern w:val="22"/>
                <w:szCs w:val="22"/>
                <w:lang w:val="fr-CA" w:eastAsia="en-CA"/>
              </w:rPr>
            </w:pPr>
            <w:r w:rsidRPr="00095A13">
              <w:rPr>
                <w:kern w:val="22"/>
                <w:szCs w:val="22"/>
                <w:lang w:val="fr-CA" w:eastAsia="en-CA"/>
              </w:rPr>
              <w:t>Togo</w:t>
            </w:r>
          </w:p>
        </w:tc>
        <w:tc>
          <w:tcPr>
            <w:tcW w:w="1605" w:type="dxa"/>
            <w:tcBorders>
              <w:top w:val="nil"/>
              <w:left w:val="nil"/>
              <w:bottom w:val="single" w:sz="4" w:space="0" w:color="auto"/>
              <w:right w:val="single" w:sz="4" w:space="0" w:color="auto"/>
            </w:tcBorders>
            <w:shd w:val="clear" w:color="auto" w:fill="auto"/>
            <w:vAlign w:val="center"/>
            <w:hideMark/>
          </w:tcPr>
          <w:p w14:paraId="5149CD0A"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002</w:t>
            </w:r>
          </w:p>
        </w:tc>
        <w:tc>
          <w:tcPr>
            <w:tcW w:w="1610" w:type="dxa"/>
            <w:tcBorders>
              <w:top w:val="nil"/>
              <w:left w:val="nil"/>
              <w:bottom w:val="single" w:sz="4" w:space="0" w:color="auto"/>
              <w:right w:val="single" w:sz="4" w:space="0" w:color="auto"/>
            </w:tcBorders>
            <w:shd w:val="clear" w:color="auto" w:fill="auto"/>
            <w:vAlign w:val="center"/>
            <w:hideMark/>
          </w:tcPr>
          <w:p w14:paraId="174BE009"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003</w:t>
            </w:r>
          </w:p>
        </w:tc>
        <w:tc>
          <w:tcPr>
            <w:tcW w:w="1590" w:type="dxa"/>
            <w:tcBorders>
              <w:top w:val="nil"/>
              <w:left w:val="nil"/>
              <w:bottom w:val="single" w:sz="4" w:space="0" w:color="auto"/>
              <w:right w:val="single" w:sz="4" w:space="0" w:color="auto"/>
            </w:tcBorders>
            <w:shd w:val="clear" w:color="auto" w:fill="auto"/>
            <w:vAlign w:val="center"/>
            <w:hideMark/>
          </w:tcPr>
          <w:p w14:paraId="54DE8638" w14:textId="77777777" w:rsidR="007B546B" w:rsidRPr="00095A13" w:rsidRDefault="007B546B" w:rsidP="007B546B">
            <w:pPr>
              <w:ind w:right="144"/>
              <w:jc w:val="right"/>
              <w:rPr>
                <w:kern w:val="22"/>
                <w:szCs w:val="22"/>
                <w:lang w:val="fr-CA" w:eastAsia="en-CA"/>
              </w:rPr>
            </w:pPr>
            <w:r w:rsidRPr="00095A13">
              <w:rPr>
                <w:kern w:val="22"/>
                <w:szCs w:val="22"/>
                <w:lang w:val="fr-CA" w:eastAsia="en-CA"/>
              </w:rPr>
              <w:t>73</w:t>
            </w:r>
          </w:p>
        </w:tc>
      </w:tr>
      <w:tr w:rsidR="007B546B" w:rsidRPr="00095A13" w14:paraId="602187BB"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1C694AB" w14:textId="714606A6" w:rsidR="007B546B" w:rsidRPr="00095A13" w:rsidRDefault="00A77D34" w:rsidP="005066EB">
            <w:pPr>
              <w:jc w:val="right"/>
              <w:rPr>
                <w:kern w:val="22"/>
                <w:szCs w:val="22"/>
                <w:lang w:val="fr-CA" w:eastAsia="en-CA"/>
              </w:rPr>
            </w:pPr>
            <w:r>
              <w:rPr>
                <w:kern w:val="22"/>
                <w:szCs w:val="22"/>
                <w:lang w:val="fr-CA" w:eastAsia="en-CA"/>
              </w:rPr>
              <w:t>161</w:t>
            </w:r>
          </w:p>
        </w:tc>
        <w:tc>
          <w:tcPr>
            <w:tcW w:w="3966" w:type="dxa"/>
            <w:tcBorders>
              <w:top w:val="nil"/>
              <w:left w:val="nil"/>
              <w:bottom w:val="single" w:sz="4" w:space="0" w:color="auto"/>
              <w:right w:val="single" w:sz="4" w:space="0" w:color="auto"/>
            </w:tcBorders>
            <w:shd w:val="clear" w:color="auto" w:fill="auto"/>
            <w:vAlign w:val="center"/>
            <w:hideMark/>
          </w:tcPr>
          <w:p w14:paraId="3A421859" w14:textId="77777777" w:rsidR="007B546B" w:rsidRPr="00095A13" w:rsidRDefault="007B546B" w:rsidP="005066EB">
            <w:pPr>
              <w:jc w:val="left"/>
              <w:rPr>
                <w:kern w:val="22"/>
                <w:szCs w:val="22"/>
                <w:lang w:val="fr-CA" w:eastAsia="en-CA"/>
              </w:rPr>
            </w:pPr>
            <w:r w:rsidRPr="00095A13">
              <w:rPr>
                <w:kern w:val="22"/>
                <w:szCs w:val="22"/>
                <w:lang w:val="fr-CA" w:eastAsia="en-CA"/>
              </w:rPr>
              <w:t>Tonga</w:t>
            </w:r>
          </w:p>
        </w:tc>
        <w:tc>
          <w:tcPr>
            <w:tcW w:w="1605" w:type="dxa"/>
            <w:tcBorders>
              <w:top w:val="nil"/>
              <w:left w:val="nil"/>
              <w:bottom w:val="single" w:sz="4" w:space="0" w:color="auto"/>
              <w:right w:val="single" w:sz="4" w:space="0" w:color="auto"/>
            </w:tcBorders>
            <w:shd w:val="clear" w:color="auto" w:fill="auto"/>
            <w:vAlign w:val="center"/>
            <w:hideMark/>
          </w:tcPr>
          <w:p w14:paraId="14ACD8F7"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001</w:t>
            </w:r>
          </w:p>
        </w:tc>
        <w:tc>
          <w:tcPr>
            <w:tcW w:w="1610" w:type="dxa"/>
            <w:tcBorders>
              <w:top w:val="nil"/>
              <w:left w:val="nil"/>
              <w:bottom w:val="single" w:sz="4" w:space="0" w:color="auto"/>
              <w:right w:val="single" w:sz="4" w:space="0" w:color="auto"/>
            </w:tcBorders>
            <w:shd w:val="clear" w:color="auto" w:fill="auto"/>
            <w:vAlign w:val="center"/>
            <w:hideMark/>
          </w:tcPr>
          <w:p w14:paraId="460C42EA"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001</w:t>
            </w:r>
          </w:p>
        </w:tc>
        <w:tc>
          <w:tcPr>
            <w:tcW w:w="1590" w:type="dxa"/>
            <w:tcBorders>
              <w:top w:val="nil"/>
              <w:left w:val="nil"/>
              <w:bottom w:val="single" w:sz="4" w:space="0" w:color="auto"/>
              <w:right w:val="single" w:sz="4" w:space="0" w:color="auto"/>
            </w:tcBorders>
            <w:shd w:val="clear" w:color="auto" w:fill="auto"/>
            <w:vAlign w:val="center"/>
            <w:hideMark/>
          </w:tcPr>
          <w:p w14:paraId="5F6FD3E9" w14:textId="77777777" w:rsidR="007B546B" w:rsidRPr="00095A13" w:rsidRDefault="007B546B" w:rsidP="007B546B">
            <w:pPr>
              <w:ind w:right="144"/>
              <w:jc w:val="right"/>
              <w:rPr>
                <w:kern w:val="22"/>
                <w:szCs w:val="22"/>
                <w:lang w:val="fr-CA" w:eastAsia="en-CA"/>
              </w:rPr>
            </w:pPr>
            <w:r w:rsidRPr="00095A13">
              <w:rPr>
                <w:kern w:val="22"/>
                <w:szCs w:val="22"/>
                <w:lang w:val="fr-CA" w:eastAsia="en-CA"/>
              </w:rPr>
              <w:t>37</w:t>
            </w:r>
          </w:p>
        </w:tc>
      </w:tr>
      <w:tr w:rsidR="007B546B" w:rsidRPr="00095A13" w14:paraId="0CE049A7"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0237A05" w14:textId="153AAC3D" w:rsidR="007B546B" w:rsidRPr="00095A13" w:rsidRDefault="00A77D34" w:rsidP="005066EB">
            <w:pPr>
              <w:jc w:val="right"/>
              <w:rPr>
                <w:kern w:val="22"/>
                <w:szCs w:val="22"/>
                <w:lang w:val="fr-CA" w:eastAsia="en-CA"/>
              </w:rPr>
            </w:pPr>
            <w:r>
              <w:rPr>
                <w:kern w:val="22"/>
                <w:szCs w:val="22"/>
                <w:lang w:val="fr-CA" w:eastAsia="en-CA"/>
              </w:rPr>
              <w:t>162</w:t>
            </w:r>
          </w:p>
        </w:tc>
        <w:tc>
          <w:tcPr>
            <w:tcW w:w="3966" w:type="dxa"/>
            <w:tcBorders>
              <w:top w:val="nil"/>
              <w:left w:val="nil"/>
              <w:bottom w:val="single" w:sz="4" w:space="0" w:color="auto"/>
              <w:right w:val="single" w:sz="4" w:space="0" w:color="auto"/>
            </w:tcBorders>
            <w:shd w:val="clear" w:color="auto" w:fill="auto"/>
            <w:vAlign w:val="center"/>
            <w:hideMark/>
          </w:tcPr>
          <w:p w14:paraId="5C0CCD62" w14:textId="77777777" w:rsidR="007B546B" w:rsidRPr="00095A13" w:rsidRDefault="007B546B" w:rsidP="005066EB">
            <w:pPr>
              <w:jc w:val="left"/>
              <w:rPr>
                <w:kern w:val="22"/>
                <w:szCs w:val="22"/>
                <w:lang w:val="fr-CA" w:eastAsia="en-CA"/>
              </w:rPr>
            </w:pPr>
            <w:r>
              <w:rPr>
                <w:kern w:val="22"/>
                <w:szCs w:val="22"/>
                <w:lang w:val="fr-CA" w:eastAsia="en-CA"/>
              </w:rPr>
              <w:t>Trinité-et-Tobago</w:t>
            </w:r>
          </w:p>
        </w:tc>
        <w:tc>
          <w:tcPr>
            <w:tcW w:w="1605" w:type="dxa"/>
            <w:tcBorders>
              <w:top w:val="nil"/>
              <w:left w:val="nil"/>
              <w:bottom w:val="single" w:sz="4" w:space="0" w:color="auto"/>
              <w:right w:val="single" w:sz="4" w:space="0" w:color="auto"/>
            </w:tcBorders>
            <w:shd w:val="clear" w:color="auto" w:fill="auto"/>
            <w:vAlign w:val="center"/>
            <w:hideMark/>
          </w:tcPr>
          <w:p w14:paraId="723011F3"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040</w:t>
            </w:r>
          </w:p>
        </w:tc>
        <w:tc>
          <w:tcPr>
            <w:tcW w:w="1610" w:type="dxa"/>
            <w:tcBorders>
              <w:top w:val="nil"/>
              <w:left w:val="nil"/>
              <w:bottom w:val="single" w:sz="4" w:space="0" w:color="auto"/>
              <w:right w:val="single" w:sz="4" w:space="0" w:color="auto"/>
            </w:tcBorders>
            <w:shd w:val="clear" w:color="auto" w:fill="auto"/>
            <w:vAlign w:val="center"/>
            <w:hideMark/>
          </w:tcPr>
          <w:p w14:paraId="392D7FF4"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057</w:t>
            </w:r>
          </w:p>
        </w:tc>
        <w:tc>
          <w:tcPr>
            <w:tcW w:w="1590" w:type="dxa"/>
            <w:tcBorders>
              <w:top w:val="nil"/>
              <w:left w:val="nil"/>
              <w:bottom w:val="single" w:sz="4" w:space="0" w:color="auto"/>
              <w:right w:val="single" w:sz="4" w:space="0" w:color="auto"/>
            </w:tcBorders>
            <w:shd w:val="clear" w:color="auto" w:fill="auto"/>
            <w:vAlign w:val="center"/>
            <w:hideMark/>
          </w:tcPr>
          <w:p w14:paraId="2192840A" w14:textId="77777777" w:rsidR="007B546B" w:rsidRPr="00095A13" w:rsidRDefault="007B546B" w:rsidP="007B546B">
            <w:pPr>
              <w:ind w:right="144"/>
              <w:jc w:val="right"/>
              <w:rPr>
                <w:kern w:val="22"/>
                <w:szCs w:val="22"/>
                <w:lang w:val="fr-CA" w:eastAsia="en-CA"/>
              </w:rPr>
            </w:pPr>
            <w:r w:rsidRPr="00095A13">
              <w:rPr>
                <w:kern w:val="22"/>
                <w:szCs w:val="22"/>
                <w:lang w:val="fr-CA" w:eastAsia="en-CA"/>
              </w:rPr>
              <w:t>1 462</w:t>
            </w:r>
          </w:p>
        </w:tc>
      </w:tr>
      <w:tr w:rsidR="007B546B" w:rsidRPr="00095A13" w14:paraId="5367A12F"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376533A" w14:textId="7FC3891E" w:rsidR="007B546B" w:rsidRPr="00095A13" w:rsidRDefault="00A77D34" w:rsidP="005066EB">
            <w:pPr>
              <w:jc w:val="right"/>
              <w:rPr>
                <w:kern w:val="22"/>
                <w:szCs w:val="22"/>
                <w:lang w:val="fr-CA" w:eastAsia="en-CA"/>
              </w:rPr>
            </w:pPr>
            <w:r>
              <w:rPr>
                <w:kern w:val="22"/>
                <w:szCs w:val="22"/>
                <w:lang w:val="fr-CA" w:eastAsia="en-CA"/>
              </w:rPr>
              <w:t>163</w:t>
            </w:r>
          </w:p>
        </w:tc>
        <w:tc>
          <w:tcPr>
            <w:tcW w:w="3966" w:type="dxa"/>
            <w:tcBorders>
              <w:top w:val="nil"/>
              <w:left w:val="nil"/>
              <w:bottom w:val="single" w:sz="4" w:space="0" w:color="auto"/>
              <w:right w:val="single" w:sz="4" w:space="0" w:color="auto"/>
            </w:tcBorders>
            <w:shd w:val="clear" w:color="auto" w:fill="auto"/>
            <w:vAlign w:val="center"/>
            <w:hideMark/>
          </w:tcPr>
          <w:p w14:paraId="3D639D74" w14:textId="77777777" w:rsidR="007B546B" w:rsidRPr="00095A13" w:rsidRDefault="007B546B" w:rsidP="005066EB">
            <w:pPr>
              <w:jc w:val="left"/>
              <w:rPr>
                <w:kern w:val="22"/>
                <w:szCs w:val="22"/>
                <w:lang w:val="fr-CA" w:eastAsia="en-CA"/>
              </w:rPr>
            </w:pPr>
            <w:r>
              <w:rPr>
                <w:kern w:val="22"/>
                <w:szCs w:val="22"/>
                <w:lang w:val="fr-CA" w:eastAsia="en-CA"/>
              </w:rPr>
              <w:t>Tunisie</w:t>
            </w:r>
          </w:p>
        </w:tc>
        <w:tc>
          <w:tcPr>
            <w:tcW w:w="1605" w:type="dxa"/>
            <w:tcBorders>
              <w:top w:val="nil"/>
              <w:left w:val="nil"/>
              <w:bottom w:val="single" w:sz="4" w:space="0" w:color="auto"/>
              <w:right w:val="single" w:sz="4" w:space="0" w:color="auto"/>
            </w:tcBorders>
            <w:shd w:val="clear" w:color="auto" w:fill="auto"/>
            <w:vAlign w:val="center"/>
            <w:hideMark/>
          </w:tcPr>
          <w:p w14:paraId="319C4CA0"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025</w:t>
            </w:r>
          </w:p>
        </w:tc>
        <w:tc>
          <w:tcPr>
            <w:tcW w:w="1610" w:type="dxa"/>
            <w:tcBorders>
              <w:top w:val="nil"/>
              <w:left w:val="nil"/>
              <w:bottom w:val="single" w:sz="4" w:space="0" w:color="auto"/>
              <w:right w:val="single" w:sz="4" w:space="0" w:color="auto"/>
            </w:tcBorders>
            <w:shd w:val="clear" w:color="auto" w:fill="auto"/>
            <w:vAlign w:val="center"/>
            <w:hideMark/>
          </w:tcPr>
          <w:p w14:paraId="543455AA"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036</w:t>
            </w:r>
          </w:p>
        </w:tc>
        <w:tc>
          <w:tcPr>
            <w:tcW w:w="1590" w:type="dxa"/>
            <w:tcBorders>
              <w:top w:val="nil"/>
              <w:left w:val="nil"/>
              <w:bottom w:val="single" w:sz="4" w:space="0" w:color="auto"/>
              <w:right w:val="single" w:sz="4" w:space="0" w:color="auto"/>
            </w:tcBorders>
            <w:shd w:val="clear" w:color="auto" w:fill="auto"/>
            <w:vAlign w:val="center"/>
            <w:hideMark/>
          </w:tcPr>
          <w:p w14:paraId="76C735CB" w14:textId="77777777" w:rsidR="007B546B" w:rsidRPr="00095A13" w:rsidRDefault="007B546B" w:rsidP="007B546B">
            <w:pPr>
              <w:ind w:right="144"/>
              <w:jc w:val="right"/>
              <w:rPr>
                <w:kern w:val="22"/>
                <w:szCs w:val="22"/>
                <w:lang w:val="fr-CA" w:eastAsia="en-CA"/>
              </w:rPr>
            </w:pPr>
            <w:r w:rsidRPr="00095A13">
              <w:rPr>
                <w:kern w:val="22"/>
                <w:szCs w:val="22"/>
                <w:lang w:val="fr-CA" w:eastAsia="en-CA"/>
              </w:rPr>
              <w:t>914</w:t>
            </w:r>
          </w:p>
        </w:tc>
      </w:tr>
      <w:tr w:rsidR="007B546B" w:rsidRPr="00095A13" w14:paraId="20CA098B"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499F6C67" w14:textId="6B1160B6" w:rsidR="007B546B" w:rsidRPr="00095A13" w:rsidRDefault="00A77D34" w:rsidP="005066EB">
            <w:pPr>
              <w:jc w:val="right"/>
              <w:rPr>
                <w:kern w:val="22"/>
                <w:szCs w:val="22"/>
                <w:lang w:val="fr-CA" w:eastAsia="en-CA"/>
              </w:rPr>
            </w:pPr>
            <w:r>
              <w:rPr>
                <w:kern w:val="22"/>
                <w:szCs w:val="22"/>
                <w:lang w:val="fr-CA" w:eastAsia="en-CA"/>
              </w:rPr>
              <w:t>164</w:t>
            </w:r>
          </w:p>
        </w:tc>
        <w:tc>
          <w:tcPr>
            <w:tcW w:w="3966" w:type="dxa"/>
            <w:tcBorders>
              <w:top w:val="nil"/>
              <w:left w:val="nil"/>
              <w:bottom w:val="single" w:sz="4" w:space="0" w:color="auto"/>
              <w:right w:val="single" w:sz="4" w:space="0" w:color="auto"/>
            </w:tcBorders>
            <w:shd w:val="clear" w:color="auto" w:fill="auto"/>
            <w:vAlign w:val="center"/>
            <w:hideMark/>
          </w:tcPr>
          <w:p w14:paraId="040E8D94" w14:textId="77777777" w:rsidR="007B546B" w:rsidRPr="00095A13" w:rsidRDefault="007B546B" w:rsidP="008A5D50">
            <w:pPr>
              <w:jc w:val="left"/>
              <w:rPr>
                <w:kern w:val="22"/>
                <w:szCs w:val="22"/>
                <w:lang w:val="fr-CA" w:eastAsia="en-CA"/>
              </w:rPr>
            </w:pPr>
            <w:r w:rsidRPr="00095A13">
              <w:rPr>
                <w:kern w:val="22"/>
                <w:szCs w:val="22"/>
                <w:lang w:val="fr-CA" w:eastAsia="en-CA"/>
              </w:rPr>
              <w:t>Turkm</w:t>
            </w:r>
            <w:r>
              <w:rPr>
                <w:kern w:val="22"/>
                <w:szCs w:val="22"/>
                <w:lang w:val="fr-CA" w:eastAsia="en-CA"/>
              </w:rPr>
              <w:t>é</w:t>
            </w:r>
            <w:r w:rsidRPr="00095A13">
              <w:rPr>
                <w:kern w:val="22"/>
                <w:szCs w:val="22"/>
                <w:lang w:val="fr-CA" w:eastAsia="en-CA"/>
              </w:rPr>
              <w:t>nistan</w:t>
            </w:r>
          </w:p>
        </w:tc>
        <w:tc>
          <w:tcPr>
            <w:tcW w:w="1605" w:type="dxa"/>
            <w:tcBorders>
              <w:top w:val="nil"/>
              <w:left w:val="nil"/>
              <w:bottom w:val="single" w:sz="4" w:space="0" w:color="auto"/>
              <w:right w:val="single" w:sz="4" w:space="0" w:color="auto"/>
            </w:tcBorders>
            <w:shd w:val="clear" w:color="auto" w:fill="auto"/>
            <w:vAlign w:val="center"/>
            <w:hideMark/>
          </w:tcPr>
          <w:p w14:paraId="3D5A184B"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033</w:t>
            </w:r>
          </w:p>
        </w:tc>
        <w:tc>
          <w:tcPr>
            <w:tcW w:w="1610" w:type="dxa"/>
            <w:tcBorders>
              <w:top w:val="nil"/>
              <w:left w:val="nil"/>
              <w:bottom w:val="single" w:sz="4" w:space="0" w:color="auto"/>
              <w:right w:val="single" w:sz="4" w:space="0" w:color="auto"/>
            </w:tcBorders>
            <w:shd w:val="clear" w:color="auto" w:fill="auto"/>
            <w:vAlign w:val="center"/>
            <w:hideMark/>
          </w:tcPr>
          <w:p w14:paraId="4462D18F"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047</w:t>
            </w:r>
          </w:p>
        </w:tc>
        <w:tc>
          <w:tcPr>
            <w:tcW w:w="1590" w:type="dxa"/>
            <w:tcBorders>
              <w:top w:val="nil"/>
              <w:left w:val="nil"/>
              <w:bottom w:val="single" w:sz="4" w:space="0" w:color="auto"/>
              <w:right w:val="single" w:sz="4" w:space="0" w:color="auto"/>
            </w:tcBorders>
            <w:shd w:val="clear" w:color="auto" w:fill="auto"/>
            <w:vAlign w:val="center"/>
            <w:hideMark/>
          </w:tcPr>
          <w:p w14:paraId="1E0E2C66" w14:textId="77777777" w:rsidR="007B546B" w:rsidRPr="00095A13" w:rsidRDefault="007B546B" w:rsidP="007B546B">
            <w:pPr>
              <w:ind w:right="144"/>
              <w:jc w:val="right"/>
              <w:rPr>
                <w:kern w:val="22"/>
                <w:szCs w:val="22"/>
                <w:lang w:val="fr-CA" w:eastAsia="en-CA"/>
              </w:rPr>
            </w:pPr>
            <w:r w:rsidRPr="00095A13">
              <w:rPr>
                <w:kern w:val="22"/>
                <w:szCs w:val="22"/>
                <w:lang w:val="fr-CA" w:eastAsia="en-CA"/>
              </w:rPr>
              <w:t>1 206</w:t>
            </w:r>
          </w:p>
        </w:tc>
      </w:tr>
      <w:tr w:rsidR="007B546B" w:rsidRPr="00095A13" w14:paraId="59FA2D05"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1DCCDBA" w14:textId="77388E65" w:rsidR="007B546B" w:rsidRPr="00095A13" w:rsidRDefault="007B546B" w:rsidP="00A77D34">
            <w:pPr>
              <w:jc w:val="right"/>
              <w:rPr>
                <w:kern w:val="22"/>
                <w:szCs w:val="22"/>
                <w:lang w:val="fr-CA" w:eastAsia="en-CA"/>
              </w:rPr>
            </w:pPr>
            <w:r w:rsidRPr="00095A13">
              <w:rPr>
                <w:kern w:val="22"/>
                <w:szCs w:val="22"/>
                <w:lang w:val="fr-CA" w:eastAsia="en-CA"/>
              </w:rPr>
              <w:t>16</w:t>
            </w:r>
            <w:r w:rsidR="00A77D34">
              <w:rPr>
                <w:kern w:val="22"/>
                <w:szCs w:val="22"/>
                <w:lang w:val="fr-CA" w:eastAsia="en-CA"/>
              </w:rPr>
              <w:t>5</w:t>
            </w:r>
          </w:p>
        </w:tc>
        <w:tc>
          <w:tcPr>
            <w:tcW w:w="3966" w:type="dxa"/>
            <w:tcBorders>
              <w:top w:val="nil"/>
              <w:left w:val="nil"/>
              <w:bottom w:val="single" w:sz="4" w:space="0" w:color="auto"/>
              <w:right w:val="single" w:sz="4" w:space="0" w:color="auto"/>
            </w:tcBorders>
            <w:shd w:val="clear" w:color="auto" w:fill="auto"/>
            <w:vAlign w:val="center"/>
            <w:hideMark/>
          </w:tcPr>
          <w:p w14:paraId="0ECCFCD7" w14:textId="77777777" w:rsidR="007B546B" w:rsidRPr="00095A13" w:rsidRDefault="007B546B" w:rsidP="005066EB">
            <w:pPr>
              <w:jc w:val="left"/>
              <w:rPr>
                <w:kern w:val="22"/>
                <w:szCs w:val="22"/>
                <w:lang w:val="fr-CA" w:eastAsia="en-CA"/>
              </w:rPr>
            </w:pPr>
            <w:r>
              <w:rPr>
                <w:kern w:val="22"/>
                <w:szCs w:val="22"/>
                <w:lang w:val="fr-CA" w:eastAsia="en-CA"/>
              </w:rPr>
              <w:t>Turquie</w:t>
            </w:r>
          </w:p>
        </w:tc>
        <w:tc>
          <w:tcPr>
            <w:tcW w:w="1605" w:type="dxa"/>
            <w:tcBorders>
              <w:top w:val="nil"/>
              <w:left w:val="nil"/>
              <w:bottom w:val="single" w:sz="4" w:space="0" w:color="auto"/>
              <w:right w:val="single" w:sz="4" w:space="0" w:color="auto"/>
            </w:tcBorders>
            <w:shd w:val="clear" w:color="auto" w:fill="auto"/>
            <w:vAlign w:val="center"/>
            <w:hideMark/>
          </w:tcPr>
          <w:p w14:paraId="690C7449" w14:textId="77777777" w:rsidR="007B546B" w:rsidRPr="00095A13" w:rsidRDefault="007B546B" w:rsidP="007B546B">
            <w:pPr>
              <w:ind w:right="144"/>
              <w:jc w:val="right"/>
              <w:rPr>
                <w:kern w:val="22"/>
                <w:szCs w:val="22"/>
                <w:lang w:val="fr-CA" w:eastAsia="en-CA"/>
              </w:rPr>
            </w:pPr>
            <w:r w:rsidRPr="00095A13">
              <w:rPr>
                <w:kern w:val="22"/>
                <w:szCs w:val="22"/>
                <w:lang w:val="fr-CA" w:eastAsia="en-CA"/>
              </w:rPr>
              <w:t>1</w:t>
            </w:r>
            <w:r>
              <w:rPr>
                <w:kern w:val="22"/>
                <w:szCs w:val="22"/>
                <w:lang w:val="fr-CA" w:eastAsia="en-CA"/>
              </w:rPr>
              <w:t>,</w:t>
            </w:r>
            <w:r w:rsidRPr="00095A13">
              <w:rPr>
                <w:kern w:val="22"/>
                <w:szCs w:val="22"/>
                <w:lang w:val="fr-CA" w:eastAsia="en-CA"/>
              </w:rPr>
              <w:t>371</w:t>
            </w:r>
          </w:p>
        </w:tc>
        <w:tc>
          <w:tcPr>
            <w:tcW w:w="1610" w:type="dxa"/>
            <w:tcBorders>
              <w:top w:val="nil"/>
              <w:left w:val="nil"/>
              <w:bottom w:val="single" w:sz="4" w:space="0" w:color="auto"/>
              <w:right w:val="single" w:sz="4" w:space="0" w:color="auto"/>
            </w:tcBorders>
            <w:shd w:val="clear" w:color="auto" w:fill="auto"/>
            <w:vAlign w:val="center"/>
            <w:hideMark/>
          </w:tcPr>
          <w:p w14:paraId="1DD5FD7F" w14:textId="77777777" w:rsidR="007B546B" w:rsidRPr="00095A13" w:rsidRDefault="007B546B" w:rsidP="007B546B">
            <w:pPr>
              <w:ind w:right="144"/>
              <w:jc w:val="right"/>
              <w:rPr>
                <w:kern w:val="22"/>
                <w:szCs w:val="22"/>
                <w:lang w:val="fr-CA" w:eastAsia="en-CA"/>
              </w:rPr>
            </w:pPr>
            <w:r w:rsidRPr="00095A13">
              <w:rPr>
                <w:kern w:val="22"/>
                <w:szCs w:val="22"/>
                <w:lang w:val="fr-CA" w:eastAsia="en-CA"/>
              </w:rPr>
              <w:t>1</w:t>
            </w:r>
            <w:r>
              <w:rPr>
                <w:kern w:val="22"/>
                <w:szCs w:val="22"/>
                <w:lang w:val="fr-CA" w:eastAsia="en-CA"/>
              </w:rPr>
              <w:t>,</w:t>
            </w:r>
            <w:r w:rsidRPr="00095A13">
              <w:rPr>
                <w:kern w:val="22"/>
                <w:szCs w:val="22"/>
                <w:lang w:val="fr-CA" w:eastAsia="en-CA"/>
              </w:rPr>
              <w:t>959</w:t>
            </w:r>
          </w:p>
        </w:tc>
        <w:tc>
          <w:tcPr>
            <w:tcW w:w="1590" w:type="dxa"/>
            <w:tcBorders>
              <w:top w:val="nil"/>
              <w:left w:val="nil"/>
              <w:bottom w:val="single" w:sz="4" w:space="0" w:color="auto"/>
              <w:right w:val="single" w:sz="4" w:space="0" w:color="auto"/>
            </w:tcBorders>
            <w:shd w:val="clear" w:color="auto" w:fill="auto"/>
            <w:vAlign w:val="center"/>
            <w:hideMark/>
          </w:tcPr>
          <w:p w14:paraId="356AB6F9" w14:textId="77777777" w:rsidR="007B546B" w:rsidRPr="00095A13" w:rsidRDefault="007B546B" w:rsidP="007B546B">
            <w:pPr>
              <w:ind w:right="144"/>
              <w:jc w:val="right"/>
              <w:rPr>
                <w:kern w:val="22"/>
                <w:szCs w:val="22"/>
                <w:lang w:val="fr-CA" w:eastAsia="en-CA"/>
              </w:rPr>
            </w:pPr>
            <w:r w:rsidRPr="00095A13">
              <w:rPr>
                <w:kern w:val="22"/>
                <w:szCs w:val="22"/>
                <w:lang w:val="fr-CA" w:eastAsia="en-CA"/>
              </w:rPr>
              <w:t>50 108</w:t>
            </w:r>
          </w:p>
        </w:tc>
      </w:tr>
      <w:tr w:rsidR="007B546B" w:rsidRPr="00095A13" w14:paraId="7148EFA5"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6D9E0C5A" w14:textId="6BD147A1" w:rsidR="007B546B" w:rsidRPr="00095A13" w:rsidRDefault="007B546B" w:rsidP="00A77D34">
            <w:pPr>
              <w:jc w:val="right"/>
              <w:rPr>
                <w:kern w:val="22"/>
                <w:szCs w:val="22"/>
                <w:lang w:val="fr-CA" w:eastAsia="en-CA"/>
              </w:rPr>
            </w:pPr>
            <w:r w:rsidRPr="00095A13">
              <w:rPr>
                <w:kern w:val="22"/>
                <w:szCs w:val="22"/>
                <w:lang w:val="fr-CA" w:eastAsia="en-CA"/>
              </w:rPr>
              <w:t>16</w:t>
            </w:r>
            <w:r w:rsidR="00A77D34">
              <w:rPr>
                <w:kern w:val="22"/>
                <w:szCs w:val="22"/>
                <w:lang w:val="fr-CA" w:eastAsia="en-CA"/>
              </w:rPr>
              <w:t>6</w:t>
            </w:r>
          </w:p>
        </w:tc>
        <w:tc>
          <w:tcPr>
            <w:tcW w:w="3966" w:type="dxa"/>
            <w:tcBorders>
              <w:top w:val="nil"/>
              <w:left w:val="nil"/>
              <w:bottom w:val="single" w:sz="4" w:space="0" w:color="auto"/>
              <w:right w:val="single" w:sz="4" w:space="0" w:color="auto"/>
            </w:tcBorders>
            <w:shd w:val="clear" w:color="auto" w:fill="auto"/>
            <w:vAlign w:val="center"/>
            <w:hideMark/>
          </w:tcPr>
          <w:p w14:paraId="634CDC58" w14:textId="77777777" w:rsidR="007B546B" w:rsidRPr="00095A13" w:rsidRDefault="007B546B" w:rsidP="005066EB">
            <w:pPr>
              <w:jc w:val="left"/>
              <w:rPr>
                <w:kern w:val="22"/>
                <w:szCs w:val="22"/>
                <w:lang w:val="fr-CA" w:eastAsia="en-CA"/>
              </w:rPr>
            </w:pPr>
            <w:r w:rsidRPr="00095A13">
              <w:rPr>
                <w:kern w:val="22"/>
                <w:szCs w:val="22"/>
                <w:lang w:val="fr-CA" w:eastAsia="en-CA"/>
              </w:rPr>
              <w:t>Ukraine</w:t>
            </w:r>
          </w:p>
        </w:tc>
        <w:tc>
          <w:tcPr>
            <w:tcW w:w="1605" w:type="dxa"/>
            <w:tcBorders>
              <w:top w:val="nil"/>
              <w:left w:val="nil"/>
              <w:bottom w:val="single" w:sz="4" w:space="0" w:color="auto"/>
              <w:right w:val="single" w:sz="4" w:space="0" w:color="auto"/>
            </w:tcBorders>
            <w:shd w:val="clear" w:color="auto" w:fill="auto"/>
            <w:vAlign w:val="center"/>
            <w:hideMark/>
          </w:tcPr>
          <w:p w14:paraId="16ADFB5B"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057</w:t>
            </w:r>
          </w:p>
        </w:tc>
        <w:tc>
          <w:tcPr>
            <w:tcW w:w="1610" w:type="dxa"/>
            <w:tcBorders>
              <w:top w:val="nil"/>
              <w:left w:val="nil"/>
              <w:bottom w:val="single" w:sz="4" w:space="0" w:color="auto"/>
              <w:right w:val="single" w:sz="4" w:space="0" w:color="auto"/>
            </w:tcBorders>
            <w:shd w:val="clear" w:color="auto" w:fill="auto"/>
            <w:vAlign w:val="center"/>
            <w:hideMark/>
          </w:tcPr>
          <w:p w14:paraId="2B908E4D"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081</w:t>
            </w:r>
          </w:p>
        </w:tc>
        <w:tc>
          <w:tcPr>
            <w:tcW w:w="1590" w:type="dxa"/>
            <w:tcBorders>
              <w:top w:val="nil"/>
              <w:left w:val="nil"/>
              <w:bottom w:val="single" w:sz="4" w:space="0" w:color="auto"/>
              <w:right w:val="single" w:sz="4" w:space="0" w:color="auto"/>
            </w:tcBorders>
            <w:shd w:val="clear" w:color="auto" w:fill="auto"/>
            <w:vAlign w:val="center"/>
            <w:hideMark/>
          </w:tcPr>
          <w:p w14:paraId="63AFFB4F" w14:textId="77777777" w:rsidR="007B546B" w:rsidRPr="00095A13" w:rsidRDefault="007B546B" w:rsidP="007B546B">
            <w:pPr>
              <w:ind w:right="144"/>
              <w:jc w:val="right"/>
              <w:rPr>
                <w:kern w:val="22"/>
                <w:szCs w:val="22"/>
                <w:lang w:val="fr-CA" w:eastAsia="en-CA"/>
              </w:rPr>
            </w:pPr>
            <w:r w:rsidRPr="00095A13">
              <w:rPr>
                <w:kern w:val="22"/>
                <w:szCs w:val="22"/>
                <w:lang w:val="fr-CA" w:eastAsia="en-CA"/>
              </w:rPr>
              <w:t>2 083</w:t>
            </w:r>
          </w:p>
        </w:tc>
      </w:tr>
      <w:tr w:rsidR="007B546B" w:rsidRPr="00095A13" w14:paraId="7154152B"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161E8701" w14:textId="18BE7E0D" w:rsidR="007B546B" w:rsidRPr="00095A13" w:rsidRDefault="00A77D34" w:rsidP="00120F79">
            <w:pPr>
              <w:jc w:val="right"/>
              <w:rPr>
                <w:kern w:val="22"/>
                <w:szCs w:val="22"/>
                <w:lang w:val="fr-CA" w:eastAsia="en-CA"/>
              </w:rPr>
            </w:pPr>
            <w:r>
              <w:rPr>
                <w:kern w:val="22"/>
                <w:szCs w:val="22"/>
                <w:lang w:val="fr-CA" w:eastAsia="en-CA"/>
              </w:rPr>
              <w:t>167</w:t>
            </w:r>
          </w:p>
        </w:tc>
        <w:tc>
          <w:tcPr>
            <w:tcW w:w="3966" w:type="dxa"/>
            <w:tcBorders>
              <w:top w:val="nil"/>
              <w:left w:val="nil"/>
              <w:bottom w:val="single" w:sz="4" w:space="0" w:color="auto"/>
              <w:right w:val="single" w:sz="4" w:space="0" w:color="auto"/>
            </w:tcBorders>
            <w:shd w:val="clear" w:color="auto" w:fill="auto"/>
            <w:vAlign w:val="center"/>
            <w:hideMark/>
          </w:tcPr>
          <w:p w14:paraId="2C2DE0CB" w14:textId="77777777" w:rsidR="007B546B" w:rsidRPr="00095A13" w:rsidRDefault="007B546B" w:rsidP="00120F79">
            <w:pPr>
              <w:jc w:val="left"/>
              <w:rPr>
                <w:kern w:val="22"/>
                <w:szCs w:val="22"/>
                <w:lang w:val="fr-CA" w:eastAsia="en-CA"/>
              </w:rPr>
            </w:pPr>
            <w:r>
              <w:rPr>
                <w:kern w:val="22"/>
                <w:szCs w:val="22"/>
                <w:lang w:val="fr-CA" w:eastAsia="en-CA"/>
              </w:rPr>
              <w:t>Union européenne</w:t>
            </w:r>
          </w:p>
        </w:tc>
        <w:tc>
          <w:tcPr>
            <w:tcW w:w="1605" w:type="dxa"/>
            <w:tcBorders>
              <w:top w:val="nil"/>
              <w:left w:val="nil"/>
              <w:bottom w:val="single" w:sz="4" w:space="0" w:color="auto"/>
              <w:right w:val="single" w:sz="4" w:space="0" w:color="auto"/>
            </w:tcBorders>
            <w:shd w:val="clear" w:color="auto" w:fill="auto"/>
            <w:vAlign w:val="center"/>
            <w:hideMark/>
          </w:tcPr>
          <w:p w14:paraId="7715A4C2"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000</w:t>
            </w:r>
          </w:p>
        </w:tc>
        <w:tc>
          <w:tcPr>
            <w:tcW w:w="1610" w:type="dxa"/>
            <w:tcBorders>
              <w:top w:val="nil"/>
              <w:left w:val="nil"/>
              <w:bottom w:val="single" w:sz="4" w:space="0" w:color="auto"/>
              <w:right w:val="single" w:sz="4" w:space="0" w:color="auto"/>
            </w:tcBorders>
            <w:shd w:val="clear" w:color="auto" w:fill="auto"/>
            <w:vAlign w:val="center"/>
            <w:hideMark/>
          </w:tcPr>
          <w:p w14:paraId="145E9E97" w14:textId="77777777" w:rsidR="007B546B" w:rsidRPr="00095A13" w:rsidRDefault="007B546B" w:rsidP="007B546B">
            <w:pPr>
              <w:ind w:right="144"/>
              <w:jc w:val="right"/>
              <w:rPr>
                <w:kern w:val="22"/>
                <w:szCs w:val="22"/>
                <w:lang w:val="fr-CA" w:eastAsia="en-CA"/>
              </w:rPr>
            </w:pPr>
            <w:r w:rsidRPr="00095A13">
              <w:rPr>
                <w:kern w:val="22"/>
                <w:szCs w:val="22"/>
                <w:lang w:val="fr-CA" w:eastAsia="en-CA"/>
              </w:rPr>
              <w:t>2</w:t>
            </w:r>
            <w:r>
              <w:rPr>
                <w:kern w:val="22"/>
                <w:szCs w:val="22"/>
                <w:lang w:val="fr-CA" w:eastAsia="en-CA"/>
              </w:rPr>
              <w:t>,</w:t>
            </w:r>
            <w:r w:rsidRPr="00095A13">
              <w:rPr>
                <w:kern w:val="22"/>
                <w:szCs w:val="22"/>
                <w:lang w:val="fr-CA" w:eastAsia="en-CA"/>
              </w:rPr>
              <w:t>500</w:t>
            </w:r>
          </w:p>
        </w:tc>
        <w:tc>
          <w:tcPr>
            <w:tcW w:w="1590" w:type="dxa"/>
            <w:tcBorders>
              <w:top w:val="nil"/>
              <w:left w:val="nil"/>
              <w:bottom w:val="single" w:sz="4" w:space="0" w:color="auto"/>
              <w:right w:val="single" w:sz="4" w:space="0" w:color="auto"/>
            </w:tcBorders>
            <w:shd w:val="clear" w:color="auto" w:fill="auto"/>
            <w:vAlign w:val="center"/>
            <w:hideMark/>
          </w:tcPr>
          <w:p w14:paraId="0CF6C0EE" w14:textId="77777777" w:rsidR="007B546B" w:rsidRPr="00095A13" w:rsidRDefault="007B546B" w:rsidP="007B546B">
            <w:pPr>
              <w:ind w:right="144"/>
              <w:jc w:val="right"/>
              <w:rPr>
                <w:kern w:val="22"/>
                <w:szCs w:val="22"/>
                <w:lang w:val="fr-CA" w:eastAsia="en-CA"/>
              </w:rPr>
            </w:pPr>
            <w:r w:rsidRPr="00095A13">
              <w:rPr>
                <w:kern w:val="22"/>
                <w:szCs w:val="22"/>
                <w:lang w:val="fr-CA" w:eastAsia="en-CA"/>
              </w:rPr>
              <w:t>63 949</w:t>
            </w:r>
          </w:p>
        </w:tc>
      </w:tr>
      <w:tr w:rsidR="007B546B" w:rsidRPr="00095A13" w14:paraId="2931F9FB"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41BD00FE" w14:textId="3292A4CF" w:rsidR="007B546B" w:rsidRPr="00095A13" w:rsidRDefault="00A77D34" w:rsidP="005066EB">
            <w:pPr>
              <w:jc w:val="right"/>
              <w:rPr>
                <w:kern w:val="22"/>
                <w:szCs w:val="22"/>
                <w:lang w:val="fr-CA" w:eastAsia="en-CA"/>
              </w:rPr>
            </w:pPr>
            <w:r>
              <w:rPr>
                <w:kern w:val="22"/>
                <w:szCs w:val="22"/>
                <w:lang w:val="fr-CA" w:eastAsia="en-CA"/>
              </w:rPr>
              <w:t>168</w:t>
            </w:r>
          </w:p>
        </w:tc>
        <w:tc>
          <w:tcPr>
            <w:tcW w:w="3966" w:type="dxa"/>
            <w:tcBorders>
              <w:top w:val="nil"/>
              <w:left w:val="nil"/>
              <w:bottom w:val="single" w:sz="4" w:space="0" w:color="auto"/>
              <w:right w:val="single" w:sz="4" w:space="0" w:color="auto"/>
            </w:tcBorders>
            <w:shd w:val="clear" w:color="auto" w:fill="auto"/>
            <w:vAlign w:val="center"/>
            <w:hideMark/>
          </w:tcPr>
          <w:p w14:paraId="0ADBD92F" w14:textId="77777777" w:rsidR="007B546B" w:rsidRPr="00095A13" w:rsidRDefault="007B546B" w:rsidP="005066EB">
            <w:pPr>
              <w:jc w:val="left"/>
              <w:rPr>
                <w:kern w:val="22"/>
                <w:szCs w:val="22"/>
                <w:lang w:val="fr-CA" w:eastAsia="en-CA"/>
              </w:rPr>
            </w:pPr>
            <w:r w:rsidRPr="00095A13">
              <w:rPr>
                <w:kern w:val="22"/>
                <w:szCs w:val="22"/>
                <w:lang w:val="fr-CA" w:eastAsia="en-CA"/>
              </w:rPr>
              <w:t>Uruguay</w:t>
            </w:r>
          </w:p>
        </w:tc>
        <w:tc>
          <w:tcPr>
            <w:tcW w:w="1605" w:type="dxa"/>
            <w:tcBorders>
              <w:top w:val="nil"/>
              <w:left w:val="nil"/>
              <w:bottom w:val="single" w:sz="4" w:space="0" w:color="auto"/>
              <w:right w:val="single" w:sz="4" w:space="0" w:color="auto"/>
            </w:tcBorders>
            <w:shd w:val="clear" w:color="auto" w:fill="auto"/>
            <w:vAlign w:val="center"/>
            <w:hideMark/>
          </w:tcPr>
          <w:p w14:paraId="2F278970"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087</w:t>
            </w:r>
          </w:p>
        </w:tc>
        <w:tc>
          <w:tcPr>
            <w:tcW w:w="1610" w:type="dxa"/>
            <w:tcBorders>
              <w:top w:val="nil"/>
              <w:left w:val="nil"/>
              <w:bottom w:val="single" w:sz="4" w:space="0" w:color="auto"/>
              <w:right w:val="single" w:sz="4" w:space="0" w:color="auto"/>
            </w:tcBorders>
            <w:shd w:val="clear" w:color="auto" w:fill="auto"/>
            <w:vAlign w:val="center"/>
            <w:hideMark/>
          </w:tcPr>
          <w:p w14:paraId="1AD04B5B"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124</w:t>
            </w:r>
          </w:p>
        </w:tc>
        <w:tc>
          <w:tcPr>
            <w:tcW w:w="1590" w:type="dxa"/>
            <w:tcBorders>
              <w:top w:val="nil"/>
              <w:left w:val="nil"/>
              <w:bottom w:val="single" w:sz="4" w:space="0" w:color="auto"/>
              <w:right w:val="single" w:sz="4" w:space="0" w:color="auto"/>
            </w:tcBorders>
            <w:shd w:val="clear" w:color="auto" w:fill="auto"/>
            <w:vAlign w:val="center"/>
            <w:hideMark/>
          </w:tcPr>
          <w:p w14:paraId="43E7A857" w14:textId="77777777" w:rsidR="007B546B" w:rsidRPr="00095A13" w:rsidRDefault="007B546B" w:rsidP="007B546B">
            <w:pPr>
              <w:ind w:right="144"/>
              <w:jc w:val="right"/>
              <w:rPr>
                <w:kern w:val="22"/>
                <w:szCs w:val="22"/>
                <w:lang w:val="fr-CA" w:eastAsia="en-CA"/>
              </w:rPr>
            </w:pPr>
            <w:r w:rsidRPr="00095A13">
              <w:rPr>
                <w:kern w:val="22"/>
                <w:szCs w:val="22"/>
                <w:lang w:val="fr-CA" w:eastAsia="en-CA"/>
              </w:rPr>
              <w:t>3 180</w:t>
            </w:r>
          </w:p>
        </w:tc>
      </w:tr>
      <w:tr w:rsidR="007B546B" w:rsidRPr="00095A13" w14:paraId="2285FE70"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7D4FECFE" w14:textId="4D3027C4" w:rsidR="007B546B" w:rsidRPr="00095A13" w:rsidRDefault="00A77D34" w:rsidP="005066EB">
            <w:pPr>
              <w:jc w:val="right"/>
              <w:rPr>
                <w:kern w:val="22"/>
                <w:szCs w:val="22"/>
                <w:lang w:val="fr-CA" w:eastAsia="en-CA"/>
              </w:rPr>
            </w:pPr>
            <w:r>
              <w:rPr>
                <w:kern w:val="22"/>
                <w:szCs w:val="22"/>
                <w:lang w:val="fr-CA" w:eastAsia="en-CA"/>
              </w:rPr>
              <w:t>169</w:t>
            </w:r>
          </w:p>
        </w:tc>
        <w:tc>
          <w:tcPr>
            <w:tcW w:w="3966" w:type="dxa"/>
            <w:tcBorders>
              <w:top w:val="nil"/>
              <w:left w:val="nil"/>
              <w:bottom w:val="single" w:sz="4" w:space="0" w:color="auto"/>
              <w:right w:val="single" w:sz="4" w:space="0" w:color="auto"/>
            </w:tcBorders>
            <w:shd w:val="clear" w:color="auto" w:fill="auto"/>
            <w:vAlign w:val="center"/>
            <w:hideMark/>
          </w:tcPr>
          <w:p w14:paraId="7E43D22B" w14:textId="77777777" w:rsidR="007B546B" w:rsidRPr="00095A13" w:rsidRDefault="007B546B" w:rsidP="005066EB">
            <w:pPr>
              <w:jc w:val="left"/>
              <w:rPr>
                <w:kern w:val="22"/>
                <w:szCs w:val="22"/>
                <w:lang w:val="fr-CA" w:eastAsia="en-CA"/>
              </w:rPr>
            </w:pPr>
            <w:r w:rsidRPr="00095A13">
              <w:rPr>
                <w:kern w:val="22"/>
                <w:szCs w:val="22"/>
                <w:lang w:val="fr-CA" w:eastAsia="en-CA"/>
              </w:rPr>
              <w:t>Venezuela</w:t>
            </w:r>
          </w:p>
        </w:tc>
        <w:tc>
          <w:tcPr>
            <w:tcW w:w="1605" w:type="dxa"/>
            <w:tcBorders>
              <w:top w:val="nil"/>
              <w:left w:val="nil"/>
              <w:bottom w:val="single" w:sz="4" w:space="0" w:color="auto"/>
              <w:right w:val="single" w:sz="4" w:space="0" w:color="auto"/>
            </w:tcBorders>
            <w:shd w:val="clear" w:color="auto" w:fill="auto"/>
            <w:vAlign w:val="center"/>
            <w:hideMark/>
          </w:tcPr>
          <w:p w14:paraId="0AE2AC3E"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728</w:t>
            </w:r>
          </w:p>
        </w:tc>
        <w:tc>
          <w:tcPr>
            <w:tcW w:w="1610" w:type="dxa"/>
            <w:tcBorders>
              <w:top w:val="nil"/>
              <w:left w:val="nil"/>
              <w:bottom w:val="single" w:sz="4" w:space="0" w:color="auto"/>
              <w:right w:val="single" w:sz="4" w:space="0" w:color="auto"/>
            </w:tcBorders>
            <w:shd w:val="clear" w:color="auto" w:fill="auto"/>
            <w:vAlign w:val="center"/>
            <w:hideMark/>
          </w:tcPr>
          <w:p w14:paraId="34F67A4D" w14:textId="77777777" w:rsidR="007B546B" w:rsidRPr="00095A13" w:rsidRDefault="007B546B" w:rsidP="007B546B">
            <w:pPr>
              <w:ind w:right="144"/>
              <w:jc w:val="right"/>
              <w:rPr>
                <w:kern w:val="22"/>
                <w:szCs w:val="22"/>
                <w:lang w:val="fr-CA" w:eastAsia="en-CA"/>
              </w:rPr>
            </w:pPr>
            <w:r w:rsidRPr="00095A13">
              <w:rPr>
                <w:kern w:val="22"/>
                <w:szCs w:val="22"/>
                <w:lang w:val="fr-CA" w:eastAsia="en-CA"/>
              </w:rPr>
              <w:t>1</w:t>
            </w:r>
            <w:r>
              <w:rPr>
                <w:kern w:val="22"/>
                <w:szCs w:val="22"/>
                <w:lang w:val="fr-CA" w:eastAsia="en-CA"/>
              </w:rPr>
              <w:t>,</w:t>
            </w:r>
            <w:r w:rsidRPr="00095A13">
              <w:rPr>
                <w:kern w:val="22"/>
                <w:szCs w:val="22"/>
                <w:lang w:val="fr-CA" w:eastAsia="en-CA"/>
              </w:rPr>
              <w:t>040</w:t>
            </w:r>
          </w:p>
        </w:tc>
        <w:tc>
          <w:tcPr>
            <w:tcW w:w="1590" w:type="dxa"/>
            <w:tcBorders>
              <w:top w:val="nil"/>
              <w:left w:val="nil"/>
              <w:bottom w:val="single" w:sz="4" w:space="0" w:color="auto"/>
              <w:right w:val="single" w:sz="4" w:space="0" w:color="auto"/>
            </w:tcBorders>
            <w:shd w:val="clear" w:color="auto" w:fill="auto"/>
            <w:vAlign w:val="center"/>
            <w:hideMark/>
          </w:tcPr>
          <w:p w14:paraId="6EBEA327" w14:textId="77777777" w:rsidR="007B546B" w:rsidRPr="00095A13" w:rsidRDefault="007B546B" w:rsidP="007B546B">
            <w:pPr>
              <w:ind w:right="144"/>
              <w:jc w:val="right"/>
              <w:rPr>
                <w:kern w:val="22"/>
                <w:szCs w:val="22"/>
                <w:lang w:val="fr-CA" w:eastAsia="en-CA"/>
              </w:rPr>
            </w:pPr>
            <w:r w:rsidRPr="00095A13">
              <w:rPr>
                <w:kern w:val="22"/>
                <w:szCs w:val="22"/>
                <w:lang w:val="fr-CA" w:eastAsia="en-CA"/>
              </w:rPr>
              <w:t>26 607</w:t>
            </w:r>
          </w:p>
        </w:tc>
      </w:tr>
      <w:tr w:rsidR="007B546B" w:rsidRPr="00095A13" w14:paraId="47D75899"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97EDE7D" w14:textId="77777777" w:rsidR="007B546B" w:rsidRPr="00095A13" w:rsidRDefault="007B546B" w:rsidP="005066EB">
            <w:pPr>
              <w:jc w:val="right"/>
              <w:rPr>
                <w:kern w:val="22"/>
                <w:szCs w:val="22"/>
                <w:lang w:val="fr-CA" w:eastAsia="en-CA"/>
              </w:rPr>
            </w:pPr>
            <w:r w:rsidRPr="00095A13">
              <w:rPr>
                <w:kern w:val="22"/>
                <w:szCs w:val="22"/>
                <w:lang w:val="fr-CA" w:eastAsia="en-CA"/>
              </w:rPr>
              <w:t>170</w:t>
            </w:r>
          </w:p>
        </w:tc>
        <w:tc>
          <w:tcPr>
            <w:tcW w:w="3966" w:type="dxa"/>
            <w:tcBorders>
              <w:top w:val="nil"/>
              <w:left w:val="nil"/>
              <w:bottom w:val="single" w:sz="4" w:space="0" w:color="auto"/>
              <w:right w:val="single" w:sz="4" w:space="0" w:color="auto"/>
            </w:tcBorders>
            <w:shd w:val="clear" w:color="auto" w:fill="auto"/>
            <w:vAlign w:val="center"/>
            <w:hideMark/>
          </w:tcPr>
          <w:p w14:paraId="632A260B" w14:textId="77777777" w:rsidR="007B546B" w:rsidRPr="00095A13" w:rsidRDefault="007B546B" w:rsidP="005066EB">
            <w:pPr>
              <w:jc w:val="left"/>
              <w:rPr>
                <w:kern w:val="22"/>
                <w:szCs w:val="22"/>
                <w:lang w:val="fr-CA" w:eastAsia="en-CA"/>
              </w:rPr>
            </w:pPr>
            <w:r w:rsidRPr="00095A13">
              <w:rPr>
                <w:kern w:val="22"/>
                <w:szCs w:val="22"/>
                <w:lang w:val="fr-CA" w:eastAsia="en-CA"/>
              </w:rPr>
              <w:t>Viet Nam</w:t>
            </w:r>
          </w:p>
        </w:tc>
        <w:tc>
          <w:tcPr>
            <w:tcW w:w="1605" w:type="dxa"/>
            <w:tcBorders>
              <w:top w:val="nil"/>
              <w:left w:val="nil"/>
              <w:bottom w:val="single" w:sz="4" w:space="0" w:color="auto"/>
              <w:right w:val="single" w:sz="4" w:space="0" w:color="auto"/>
            </w:tcBorders>
            <w:shd w:val="clear" w:color="auto" w:fill="auto"/>
            <w:vAlign w:val="center"/>
            <w:hideMark/>
          </w:tcPr>
          <w:p w14:paraId="63025C85"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077</w:t>
            </w:r>
          </w:p>
        </w:tc>
        <w:tc>
          <w:tcPr>
            <w:tcW w:w="1610" w:type="dxa"/>
            <w:tcBorders>
              <w:top w:val="nil"/>
              <w:left w:val="nil"/>
              <w:bottom w:val="single" w:sz="4" w:space="0" w:color="auto"/>
              <w:right w:val="single" w:sz="4" w:space="0" w:color="auto"/>
            </w:tcBorders>
            <w:shd w:val="clear" w:color="auto" w:fill="auto"/>
            <w:vAlign w:val="center"/>
            <w:hideMark/>
          </w:tcPr>
          <w:p w14:paraId="6CA44310"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110</w:t>
            </w:r>
          </w:p>
        </w:tc>
        <w:tc>
          <w:tcPr>
            <w:tcW w:w="1590" w:type="dxa"/>
            <w:tcBorders>
              <w:top w:val="nil"/>
              <w:left w:val="nil"/>
              <w:bottom w:val="single" w:sz="4" w:space="0" w:color="auto"/>
              <w:right w:val="single" w:sz="4" w:space="0" w:color="auto"/>
            </w:tcBorders>
            <w:shd w:val="clear" w:color="auto" w:fill="auto"/>
            <w:vAlign w:val="center"/>
            <w:hideMark/>
          </w:tcPr>
          <w:p w14:paraId="74ADBA77" w14:textId="77777777" w:rsidR="007B546B" w:rsidRPr="00095A13" w:rsidRDefault="007B546B" w:rsidP="007B546B">
            <w:pPr>
              <w:ind w:right="144"/>
              <w:jc w:val="right"/>
              <w:rPr>
                <w:kern w:val="22"/>
                <w:szCs w:val="22"/>
                <w:lang w:val="fr-CA" w:eastAsia="en-CA"/>
              </w:rPr>
            </w:pPr>
            <w:r w:rsidRPr="00095A13">
              <w:rPr>
                <w:kern w:val="22"/>
                <w:szCs w:val="22"/>
                <w:lang w:val="fr-CA" w:eastAsia="en-CA"/>
              </w:rPr>
              <w:t>2 814</w:t>
            </w:r>
          </w:p>
        </w:tc>
      </w:tr>
      <w:tr w:rsidR="007B546B" w:rsidRPr="00095A13" w14:paraId="7AEAF668"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2B6EB8AE" w14:textId="77777777" w:rsidR="007B546B" w:rsidRPr="00095A13" w:rsidRDefault="007B546B" w:rsidP="005066EB">
            <w:pPr>
              <w:jc w:val="right"/>
              <w:rPr>
                <w:kern w:val="22"/>
                <w:szCs w:val="22"/>
                <w:lang w:val="fr-CA" w:eastAsia="en-CA"/>
              </w:rPr>
            </w:pPr>
            <w:r w:rsidRPr="00095A13">
              <w:rPr>
                <w:kern w:val="22"/>
                <w:szCs w:val="22"/>
                <w:lang w:val="fr-CA" w:eastAsia="en-CA"/>
              </w:rPr>
              <w:t>171</w:t>
            </w:r>
          </w:p>
        </w:tc>
        <w:tc>
          <w:tcPr>
            <w:tcW w:w="3966" w:type="dxa"/>
            <w:tcBorders>
              <w:top w:val="nil"/>
              <w:left w:val="nil"/>
              <w:bottom w:val="single" w:sz="4" w:space="0" w:color="auto"/>
              <w:right w:val="single" w:sz="4" w:space="0" w:color="auto"/>
            </w:tcBorders>
            <w:shd w:val="clear" w:color="auto" w:fill="auto"/>
            <w:vAlign w:val="center"/>
            <w:hideMark/>
          </w:tcPr>
          <w:p w14:paraId="51AFAF8B" w14:textId="77777777" w:rsidR="007B546B" w:rsidRPr="00095A13" w:rsidRDefault="007B546B" w:rsidP="005066EB">
            <w:pPr>
              <w:jc w:val="left"/>
              <w:rPr>
                <w:kern w:val="22"/>
                <w:szCs w:val="22"/>
                <w:lang w:val="fr-CA" w:eastAsia="en-CA"/>
              </w:rPr>
            </w:pPr>
            <w:r>
              <w:rPr>
                <w:kern w:val="22"/>
                <w:szCs w:val="22"/>
                <w:lang w:val="fr-CA" w:eastAsia="en-CA"/>
              </w:rPr>
              <w:t>Yé</w:t>
            </w:r>
            <w:r w:rsidRPr="00095A13">
              <w:rPr>
                <w:kern w:val="22"/>
                <w:szCs w:val="22"/>
                <w:lang w:val="fr-CA" w:eastAsia="en-CA"/>
              </w:rPr>
              <w:t>men</w:t>
            </w:r>
          </w:p>
        </w:tc>
        <w:tc>
          <w:tcPr>
            <w:tcW w:w="1605" w:type="dxa"/>
            <w:tcBorders>
              <w:top w:val="nil"/>
              <w:left w:val="nil"/>
              <w:bottom w:val="single" w:sz="4" w:space="0" w:color="auto"/>
              <w:right w:val="single" w:sz="4" w:space="0" w:color="auto"/>
            </w:tcBorders>
            <w:shd w:val="clear" w:color="auto" w:fill="auto"/>
            <w:vAlign w:val="center"/>
            <w:hideMark/>
          </w:tcPr>
          <w:p w14:paraId="5BEE5A82"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010</w:t>
            </w:r>
          </w:p>
        </w:tc>
        <w:tc>
          <w:tcPr>
            <w:tcW w:w="1610" w:type="dxa"/>
            <w:tcBorders>
              <w:top w:val="nil"/>
              <w:left w:val="nil"/>
              <w:bottom w:val="single" w:sz="4" w:space="0" w:color="auto"/>
              <w:right w:val="single" w:sz="4" w:space="0" w:color="auto"/>
            </w:tcBorders>
            <w:shd w:val="clear" w:color="auto" w:fill="auto"/>
            <w:vAlign w:val="center"/>
            <w:hideMark/>
          </w:tcPr>
          <w:p w14:paraId="62132675"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010</w:t>
            </w:r>
          </w:p>
        </w:tc>
        <w:tc>
          <w:tcPr>
            <w:tcW w:w="1590" w:type="dxa"/>
            <w:tcBorders>
              <w:top w:val="nil"/>
              <w:left w:val="nil"/>
              <w:bottom w:val="single" w:sz="4" w:space="0" w:color="auto"/>
              <w:right w:val="single" w:sz="4" w:space="0" w:color="auto"/>
            </w:tcBorders>
            <w:shd w:val="clear" w:color="auto" w:fill="auto"/>
            <w:vAlign w:val="center"/>
            <w:hideMark/>
          </w:tcPr>
          <w:p w14:paraId="13B752AA" w14:textId="77777777" w:rsidR="007B546B" w:rsidRPr="00095A13" w:rsidRDefault="007B546B" w:rsidP="007B546B">
            <w:pPr>
              <w:ind w:right="144"/>
              <w:jc w:val="right"/>
              <w:rPr>
                <w:kern w:val="22"/>
                <w:szCs w:val="22"/>
                <w:lang w:val="fr-CA" w:eastAsia="en-CA"/>
              </w:rPr>
            </w:pPr>
            <w:r w:rsidRPr="00095A13">
              <w:rPr>
                <w:kern w:val="22"/>
                <w:szCs w:val="22"/>
                <w:lang w:val="fr-CA" w:eastAsia="en-CA"/>
              </w:rPr>
              <w:t>256</w:t>
            </w:r>
          </w:p>
        </w:tc>
      </w:tr>
      <w:tr w:rsidR="007B546B" w:rsidRPr="00095A13" w14:paraId="148E82C7" w14:textId="77777777" w:rsidTr="007B546B">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22FBEBE5" w14:textId="77777777" w:rsidR="007B546B" w:rsidRPr="00095A13" w:rsidRDefault="007B546B" w:rsidP="005066EB">
            <w:pPr>
              <w:jc w:val="right"/>
              <w:rPr>
                <w:kern w:val="22"/>
                <w:szCs w:val="22"/>
                <w:lang w:val="fr-CA" w:eastAsia="en-CA"/>
              </w:rPr>
            </w:pPr>
            <w:r w:rsidRPr="00095A13">
              <w:rPr>
                <w:kern w:val="22"/>
                <w:szCs w:val="22"/>
                <w:lang w:val="fr-CA" w:eastAsia="en-CA"/>
              </w:rPr>
              <w:t>172</w:t>
            </w:r>
          </w:p>
        </w:tc>
        <w:tc>
          <w:tcPr>
            <w:tcW w:w="3966" w:type="dxa"/>
            <w:tcBorders>
              <w:top w:val="nil"/>
              <w:left w:val="nil"/>
              <w:bottom w:val="single" w:sz="4" w:space="0" w:color="auto"/>
              <w:right w:val="single" w:sz="4" w:space="0" w:color="auto"/>
            </w:tcBorders>
            <w:shd w:val="clear" w:color="auto" w:fill="auto"/>
            <w:vAlign w:val="center"/>
            <w:hideMark/>
          </w:tcPr>
          <w:p w14:paraId="35956A43" w14:textId="77777777" w:rsidR="007B546B" w:rsidRPr="00095A13" w:rsidRDefault="007B546B" w:rsidP="005066EB">
            <w:pPr>
              <w:jc w:val="left"/>
              <w:rPr>
                <w:kern w:val="22"/>
                <w:szCs w:val="22"/>
                <w:lang w:val="fr-CA" w:eastAsia="en-CA"/>
              </w:rPr>
            </w:pPr>
            <w:r>
              <w:rPr>
                <w:kern w:val="22"/>
                <w:szCs w:val="22"/>
                <w:lang w:val="fr-CA" w:eastAsia="en-CA"/>
              </w:rPr>
              <w:t>Zambie</w:t>
            </w:r>
          </w:p>
        </w:tc>
        <w:tc>
          <w:tcPr>
            <w:tcW w:w="1605" w:type="dxa"/>
            <w:tcBorders>
              <w:top w:val="nil"/>
              <w:left w:val="nil"/>
              <w:bottom w:val="single" w:sz="4" w:space="0" w:color="auto"/>
              <w:right w:val="single" w:sz="4" w:space="0" w:color="auto"/>
            </w:tcBorders>
            <w:shd w:val="clear" w:color="auto" w:fill="auto"/>
            <w:vAlign w:val="center"/>
            <w:hideMark/>
          </w:tcPr>
          <w:p w14:paraId="401A5D6A"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009</w:t>
            </w:r>
          </w:p>
        </w:tc>
        <w:tc>
          <w:tcPr>
            <w:tcW w:w="1610" w:type="dxa"/>
            <w:tcBorders>
              <w:top w:val="nil"/>
              <w:left w:val="nil"/>
              <w:bottom w:val="single" w:sz="4" w:space="0" w:color="auto"/>
              <w:right w:val="single" w:sz="4" w:space="0" w:color="auto"/>
            </w:tcBorders>
            <w:shd w:val="clear" w:color="auto" w:fill="auto"/>
            <w:vAlign w:val="center"/>
            <w:hideMark/>
          </w:tcPr>
          <w:p w14:paraId="4E7E7383"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013</w:t>
            </w:r>
          </w:p>
        </w:tc>
        <w:tc>
          <w:tcPr>
            <w:tcW w:w="1590" w:type="dxa"/>
            <w:tcBorders>
              <w:top w:val="nil"/>
              <w:left w:val="nil"/>
              <w:bottom w:val="single" w:sz="4" w:space="0" w:color="auto"/>
              <w:right w:val="single" w:sz="4" w:space="0" w:color="auto"/>
            </w:tcBorders>
            <w:shd w:val="clear" w:color="auto" w:fill="auto"/>
            <w:vAlign w:val="center"/>
            <w:hideMark/>
          </w:tcPr>
          <w:p w14:paraId="642257C8" w14:textId="77777777" w:rsidR="007B546B" w:rsidRPr="00095A13" w:rsidRDefault="007B546B" w:rsidP="007B546B">
            <w:pPr>
              <w:ind w:right="144"/>
              <w:jc w:val="right"/>
              <w:rPr>
                <w:kern w:val="22"/>
                <w:szCs w:val="22"/>
                <w:lang w:val="fr-CA" w:eastAsia="en-CA"/>
              </w:rPr>
            </w:pPr>
            <w:r w:rsidRPr="00095A13">
              <w:rPr>
                <w:kern w:val="22"/>
                <w:szCs w:val="22"/>
                <w:lang w:val="fr-CA" w:eastAsia="en-CA"/>
              </w:rPr>
              <w:t>329</w:t>
            </w:r>
          </w:p>
        </w:tc>
      </w:tr>
      <w:tr w:rsidR="007B546B" w:rsidRPr="00095A13" w14:paraId="08B31584" w14:textId="77777777" w:rsidTr="00A77D34">
        <w:trPr>
          <w:trHeight w:val="260"/>
          <w:jc w:val="center"/>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3A3BCE15" w14:textId="77777777" w:rsidR="007B546B" w:rsidRPr="00095A13" w:rsidRDefault="007B546B" w:rsidP="005066EB">
            <w:pPr>
              <w:jc w:val="right"/>
              <w:rPr>
                <w:kern w:val="22"/>
                <w:szCs w:val="22"/>
                <w:lang w:val="fr-CA" w:eastAsia="en-CA"/>
              </w:rPr>
            </w:pPr>
            <w:r w:rsidRPr="00095A13">
              <w:rPr>
                <w:kern w:val="22"/>
                <w:szCs w:val="22"/>
                <w:lang w:val="fr-CA" w:eastAsia="en-CA"/>
              </w:rPr>
              <w:t>173</w:t>
            </w:r>
          </w:p>
        </w:tc>
        <w:tc>
          <w:tcPr>
            <w:tcW w:w="3966" w:type="dxa"/>
            <w:tcBorders>
              <w:top w:val="nil"/>
              <w:left w:val="nil"/>
              <w:bottom w:val="single" w:sz="4" w:space="0" w:color="auto"/>
              <w:right w:val="single" w:sz="4" w:space="0" w:color="auto"/>
            </w:tcBorders>
            <w:shd w:val="clear" w:color="auto" w:fill="auto"/>
            <w:vAlign w:val="center"/>
            <w:hideMark/>
          </w:tcPr>
          <w:p w14:paraId="235DC18A" w14:textId="77777777" w:rsidR="007B546B" w:rsidRPr="00095A13" w:rsidRDefault="007B546B" w:rsidP="005066EB">
            <w:pPr>
              <w:jc w:val="left"/>
              <w:rPr>
                <w:kern w:val="22"/>
                <w:szCs w:val="22"/>
                <w:lang w:val="fr-CA" w:eastAsia="en-CA"/>
              </w:rPr>
            </w:pPr>
            <w:r w:rsidRPr="00095A13">
              <w:rPr>
                <w:kern w:val="22"/>
                <w:szCs w:val="22"/>
                <w:lang w:val="fr-CA" w:eastAsia="en-CA"/>
              </w:rPr>
              <w:t>Zimbabwe</w:t>
            </w:r>
          </w:p>
        </w:tc>
        <w:tc>
          <w:tcPr>
            <w:tcW w:w="1605" w:type="dxa"/>
            <w:tcBorders>
              <w:top w:val="nil"/>
              <w:left w:val="nil"/>
              <w:bottom w:val="single" w:sz="4" w:space="0" w:color="auto"/>
              <w:right w:val="single" w:sz="4" w:space="0" w:color="auto"/>
            </w:tcBorders>
            <w:shd w:val="clear" w:color="auto" w:fill="auto"/>
            <w:vAlign w:val="center"/>
            <w:hideMark/>
          </w:tcPr>
          <w:p w14:paraId="5ED690AA"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005</w:t>
            </w:r>
          </w:p>
        </w:tc>
        <w:tc>
          <w:tcPr>
            <w:tcW w:w="1610" w:type="dxa"/>
            <w:tcBorders>
              <w:top w:val="nil"/>
              <w:left w:val="nil"/>
              <w:bottom w:val="single" w:sz="4" w:space="0" w:color="auto"/>
              <w:right w:val="single" w:sz="4" w:space="0" w:color="auto"/>
            </w:tcBorders>
            <w:shd w:val="clear" w:color="auto" w:fill="auto"/>
            <w:vAlign w:val="center"/>
            <w:hideMark/>
          </w:tcPr>
          <w:p w14:paraId="6878B92D" w14:textId="77777777" w:rsidR="007B546B" w:rsidRPr="00095A13" w:rsidRDefault="007B546B" w:rsidP="007B546B">
            <w:pPr>
              <w:ind w:right="144"/>
              <w:jc w:val="right"/>
              <w:rPr>
                <w:kern w:val="22"/>
                <w:szCs w:val="22"/>
                <w:lang w:val="fr-CA" w:eastAsia="en-CA"/>
              </w:rPr>
            </w:pPr>
            <w:r w:rsidRPr="00095A13">
              <w:rPr>
                <w:kern w:val="22"/>
                <w:szCs w:val="22"/>
                <w:lang w:val="fr-CA" w:eastAsia="en-CA"/>
              </w:rPr>
              <w:t>0</w:t>
            </w:r>
            <w:r>
              <w:rPr>
                <w:kern w:val="22"/>
                <w:szCs w:val="22"/>
                <w:lang w:val="fr-CA" w:eastAsia="en-CA"/>
              </w:rPr>
              <w:t>,</w:t>
            </w:r>
            <w:r w:rsidRPr="00095A13">
              <w:rPr>
                <w:kern w:val="22"/>
                <w:szCs w:val="22"/>
                <w:lang w:val="fr-CA" w:eastAsia="en-CA"/>
              </w:rPr>
              <w:t>007</w:t>
            </w:r>
          </w:p>
        </w:tc>
        <w:tc>
          <w:tcPr>
            <w:tcW w:w="1590" w:type="dxa"/>
            <w:tcBorders>
              <w:top w:val="nil"/>
              <w:left w:val="nil"/>
              <w:bottom w:val="single" w:sz="4" w:space="0" w:color="auto"/>
              <w:right w:val="single" w:sz="4" w:space="0" w:color="auto"/>
            </w:tcBorders>
            <w:shd w:val="clear" w:color="auto" w:fill="auto"/>
            <w:vAlign w:val="center"/>
            <w:hideMark/>
          </w:tcPr>
          <w:p w14:paraId="7A64D101" w14:textId="77777777" w:rsidR="007B546B" w:rsidRPr="00095A13" w:rsidRDefault="007B546B" w:rsidP="007B546B">
            <w:pPr>
              <w:ind w:right="144"/>
              <w:jc w:val="right"/>
              <w:rPr>
                <w:kern w:val="22"/>
                <w:szCs w:val="22"/>
                <w:lang w:val="fr-CA" w:eastAsia="en-CA"/>
              </w:rPr>
            </w:pPr>
            <w:r w:rsidRPr="00095A13">
              <w:rPr>
                <w:kern w:val="22"/>
                <w:szCs w:val="22"/>
                <w:lang w:val="fr-CA" w:eastAsia="en-CA"/>
              </w:rPr>
              <w:t>183</w:t>
            </w:r>
          </w:p>
        </w:tc>
      </w:tr>
      <w:tr w:rsidR="00A77D34" w:rsidRPr="00095A13" w14:paraId="6ADC90F1" w14:textId="77777777" w:rsidTr="00A77D34">
        <w:trPr>
          <w:trHeight w:val="260"/>
          <w:jc w:val="center"/>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2ED4F" w14:textId="77777777" w:rsidR="00A77D34" w:rsidRPr="00095A13" w:rsidRDefault="00A77D34" w:rsidP="00A77D34">
            <w:pPr>
              <w:jc w:val="right"/>
              <w:rPr>
                <w:kern w:val="22"/>
                <w:szCs w:val="22"/>
                <w:lang w:val="fr-CA" w:eastAsia="en-CA"/>
              </w:rPr>
            </w:pPr>
          </w:p>
        </w:tc>
        <w:tc>
          <w:tcPr>
            <w:tcW w:w="3966" w:type="dxa"/>
            <w:tcBorders>
              <w:top w:val="single" w:sz="4" w:space="0" w:color="auto"/>
              <w:left w:val="nil"/>
              <w:bottom w:val="single" w:sz="4" w:space="0" w:color="auto"/>
              <w:right w:val="single" w:sz="4" w:space="0" w:color="auto"/>
            </w:tcBorders>
            <w:shd w:val="clear" w:color="auto" w:fill="auto"/>
            <w:vAlign w:val="center"/>
          </w:tcPr>
          <w:p w14:paraId="6186EC61" w14:textId="04972613" w:rsidR="00A77D34" w:rsidRPr="00095A13" w:rsidRDefault="00A77D34" w:rsidP="00A77D34">
            <w:pPr>
              <w:jc w:val="left"/>
              <w:rPr>
                <w:kern w:val="22"/>
                <w:szCs w:val="22"/>
                <w:lang w:val="fr-CA" w:eastAsia="en-CA"/>
              </w:rPr>
            </w:pPr>
            <w:r w:rsidRPr="00095A13">
              <w:rPr>
                <w:b/>
                <w:bCs/>
                <w:kern w:val="22"/>
                <w:szCs w:val="22"/>
                <w:lang w:val="fr-CA" w:eastAsia="en-CA"/>
              </w:rPr>
              <w:t>Total</w:t>
            </w:r>
          </w:p>
        </w:tc>
        <w:tc>
          <w:tcPr>
            <w:tcW w:w="1605" w:type="dxa"/>
            <w:tcBorders>
              <w:top w:val="single" w:sz="4" w:space="0" w:color="auto"/>
              <w:left w:val="nil"/>
              <w:bottom w:val="single" w:sz="4" w:space="0" w:color="auto"/>
              <w:right w:val="single" w:sz="4" w:space="0" w:color="auto"/>
            </w:tcBorders>
            <w:shd w:val="clear" w:color="auto" w:fill="auto"/>
            <w:vAlign w:val="center"/>
          </w:tcPr>
          <w:p w14:paraId="102728AC" w14:textId="359C4998" w:rsidR="00A77D34" w:rsidRPr="00095A13" w:rsidRDefault="00A77D34" w:rsidP="00A77D34">
            <w:pPr>
              <w:ind w:right="144"/>
              <w:jc w:val="right"/>
              <w:rPr>
                <w:kern w:val="22"/>
                <w:szCs w:val="22"/>
                <w:lang w:val="fr-CA" w:eastAsia="en-CA"/>
              </w:rPr>
            </w:pPr>
            <w:r w:rsidRPr="00095A13">
              <w:rPr>
                <w:b/>
                <w:bCs/>
                <w:kern w:val="22"/>
                <w:szCs w:val="22"/>
                <w:lang w:val="fr-CA" w:eastAsia="en-CA"/>
              </w:rPr>
              <w:t>68</w:t>
            </w:r>
            <w:r>
              <w:rPr>
                <w:b/>
                <w:bCs/>
                <w:kern w:val="22"/>
                <w:szCs w:val="22"/>
                <w:lang w:val="fr-CA" w:eastAsia="en-CA"/>
              </w:rPr>
              <w:t>,</w:t>
            </w:r>
            <w:r w:rsidRPr="00095A13">
              <w:rPr>
                <w:b/>
                <w:bCs/>
                <w:kern w:val="22"/>
                <w:szCs w:val="22"/>
                <w:lang w:val="fr-CA" w:eastAsia="en-CA"/>
              </w:rPr>
              <w:t>263</w:t>
            </w:r>
          </w:p>
        </w:tc>
        <w:tc>
          <w:tcPr>
            <w:tcW w:w="1610" w:type="dxa"/>
            <w:tcBorders>
              <w:top w:val="single" w:sz="4" w:space="0" w:color="auto"/>
              <w:left w:val="nil"/>
              <w:bottom w:val="single" w:sz="4" w:space="0" w:color="auto"/>
              <w:right w:val="single" w:sz="4" w:space="0" w:color="auto"/>
            </w:tcBorders>
            <w:shd w:val="clear" w:color="auto" w:fill="auto"/>
            <w:vAlign w:val="center"/>
          </w:tcPr>
          <w:p w14:paraId="49500362" w14:textId="47C029E1" w:rsidR="00A77D34" w:rsidRPr="00095A13" w:rsidRDefault="00A77D34" w:rsidP="00A77D34">
            <w:pPr>
              <w:ind w:right="144"/>
              <w:jc w:val="right"/>
              <w:rPr>
                <w:kern w:val="22"/>
                <w:szCs w:val="22"/>
                <w:lang w:val="fr-CA" w:eastAsia="en-CA"/>
              </w:rPr>
            </w:pPr>
            <w:r w:rsidRPr="00095A13">
              <w:rPr>
                <w:b/>
                <w:bCs/>
                <w:kern w:val="22"/>
                <w:szCs w:val="22"/>
                <w:lang w:val="fr-CA" w:eastAsia="en-CA"/>
              </w:rPr>
              <w:t>100</w:t>
            </w:r>
            <w:r>
              <w:rPr>
                <w:b/>
                <w:bCs/>
                <w:kern w:val="22"/>
                <w:szCs w:val="22"/>
                <w:lang w:val="fr-CA" w:eastAsia="en-CA"/>
              </w:rPr>
              <w:t>,</w:t>
            </w:r>
            <w:r w:rsidRPr="00095A13">
              <w:rPr>
                <w:b/>
                <w:bCs/>
                <w:kern w:val="22"/>
                <w:szCs w:val="22"/>
                <w:lang w:val="fr-CA" w:eastAsia="en-CA"/>
              </w:rPr>
              <w:t>000</w:t>
            </w:r>
          </w:p>
        </w:tc>
        <w:tc>
          <w:tcPr>
            <w:tcW w:w="1590" w:type="dxa"/>
            <w:tcBorders>
              <w:top w:val="single" w:sz="4" w:space="0" w:color="auto"/>
              <w:left w:val="nil"/>
              <w:bottom w:val="single" w:sz="4" w:space="0" w:color="auto"/>
              <w:right w:val="single" w:sz="4" w:space="0" w:color="auto"/>
            </w:tcBorders>
            <w:shd w:val="clear" w:color="auto" w:fill="auto"/>
            <w:vAlign w:val="center"/>
          </w:tcPr>
          <w:p w14:paraId="1D9EA996" w14:textId="32137887" w:rsidR="00A77D34" w:rsidRPr="00095A13" w:rsidRDefault="00A77D34" w:rsidP="00A77D34">
            <w:pPr>
              <w:ind w:right="144"/>
              <w:jc w:val="right"/>
              <w:rPr>
                <w:kern w:val="22"/>
                <w:szCs w:val="22"/>
                <w:lang w:val="fr-CA" w:eastAsia="en-CA"/>
              </w:rPr>
            </w:pPr>
            <w:r w:rsidRPr="00095A13">
              <w:rPr>
                <w:b/>
                <w:bCs/>
                <w:kern w:val="22"/>
                <w:szCs w:val="22"/>
                <w:lang w:val="fr-CA" w:eastAsia="en-CA"/>
              </w:rPr>
              <w:t>2 557 943</w:t>
            </w:r>
          </w:p>
        </w:tc>
      </w:tr>
    </w:tbl>
    <w:p w14:paraId="65C25EE4" w14:textId="6CBF3CA6" w:rsidR="006560A3" w:rsidRPr="00282AF6" w:rsidRDefault="006560A3" w:rsidP="025C64B4">
      <w:pPr>
        <w:spacing w:after="120"/>
        <w:jc w:val="left"/>
        <w:rPr>
          <w:rFonts w:eastAsiaTheme="minorEastAsia"/>
          <w:bCs/>
          <w:kern w:val="22"/>
        </w:rPr>
      </w:pPr>
    </w:p>
    <w:p w14:paraId="7F8694C0" w14:textId="77777777" w:rsidR="006560A3" w:rsidRPr="00282AF6" w:rsidRDefault="006560A3" w:rsidP="025C64B4">
      <w:pPr>
        <w:spacing w:after="120"/>
        <w:jc w:val="left"/>
        <w:rPr>
          <w:rFonts w:eastAsiaTheme="minorEastAsia"/>
          <w:bCs/>
          <w:kern w:val="22"/>
        </w:rPr>
      </w:pPr>
    </w:p>
    <w:p w14:paraId="1B896BC6" w14:textId="77777777" w:rsidR="006560A3" w:rsidRPr="00282AF6" w:rsidRDefault="006560A3">
      <w:pPr>
        <w:spacing w:after="160" w:line="259" w:lineRule="auto"/>
        <w:jc w:val="left"/>
        <w:rPr>
          <w:rFonts w:eastAsiaTheme="minorEastAsia"/>
          <w:bCs/>
          <w:kern w:val="22"/>
        </w:rPr>
      </w:pPr>
      <w:r w:rsidRPr="00282AF6">
        <w:rPr>
          <w:rFonts w:eastAsiaTheme="minorEastAsia"/>
          <w:bCs/>
          <w:kern w:val="22"/>
        </w:rPr>
        <w:br w:type="page"/>
      </w:r>
    </w:p>
    <w:p w14:paraId="5280C95C" w14:textId="3F8C31BC" w:rsidR="009708EC" w:rsidRPr="0029639D" w:rsidRDefault="3D866B7A" w:rsidP="025C64B4">
      <w:pPr>
        <w:rPr>
          <w:rFonts w:eastAsiaTheme="minorEastAsia"/>
          <w:b/>
          <w:bCs/>
          <w:kern w:val="22"/>
          <w:lang w:val="fr-CA"/>
        </w:rPr>
      </w:pPr>
      <w:r w:rsidRPr="0029639D">
        <w:rPr>
          <w:rFonts w:eastAsiaTheme="minorEastAsia"/>
          <w:b/>
          <w:bCs/>
          <w:kern w:val="22"/>
          <w:lang w:val="fr-CA"/>
        </w:rPr>
        <w:t>Table</w:t>
      </w:r>
      <w:r w:rsidR="00415876" w:rsidRPr="0029639D">
        <w:rPr>
          <w:rFonts w:eastAsiaTheme="minorEastAsia"/>
          <w:b/>
          <w:bCs/>
          <w:kern w:val="22"/>
          <w:lang w:val="fr-CA"/>
        </w:rPr>
        <w:t>au</w:t>
      </w:r>
      <w:r w:rsidR="00F575B3" w:rsidRPr="0029639D">
        <w:rPr>
          <w:rFonts w:eastAsiaTheme="minorEastAsia"/>
          <w:b/>
          <w:bCs/>
          <w:kern w:val="22"/>
          <w:lang w:val="fr-CA"/>
        </w:rPr>
        <w:t xml:space="preserve"> 9</w:t>
      </w:r>
    </w:p>
    <w:p w14:paraId="36B0D321" w14:textId="1AC49D95" w:rsidR="025C64B4" w:rsidRPr="00415876" w:rsidRDefault="00415876">
      <w:pPr>
        <w:rPr>
          <w:kern w:val="22"/>
          <w:lang w:val="fr-CA"/>
        </w:rPr>
      </w:pPr>
      <w:r w:rsidRPr="00415876">
        <w:rPr>
          <w:rFonts w:eastAsiaTheme="minorEastAsia"/>
          <w:b/>
          <w:bCs/>
          <w:kern w:val="22"/>
          <w:lang w:val="fr-CA"/>
        </w:rPr>
        <w:t xml:space="preserve">Contributions au fonds d’affectation spéciale </w:t>
      </w:r>
      <w:r>
        <w:rPr>
          <w:rFonts w:eastAsiaTheme="minorEastAsia"/>
          <w:b/>
          <w:bCs/>
          <w:kern w:val="22"/>
          <w:lang w:val="fr-CA"/>
        </w:rPr>
        <w:t>du</w:t>
      </w:r>
      <w:r w:rsidRPr="00415876">
        <w:rPr>
          <w:rFonts w:eastAsiaTheme="minorEastAsia"/>
          <w:b/>
          <w:bCs/>
          <w:kern w:val="22"/>
          <w:lang w:val="fr-CA"/>
        </w:rPr>
        <w:t xml:space="preserve"> Protocole de Nagoya sur l’acc</w:t>
      </w:r>
      <w:r>
        <w:rPr>
          <w:rFonts w:eastAsiaTheme="minorEastAsia"/>
          <w:b/>
          <w:bCs/>
          <w:kern w:val="22"/>
          <w:lang w:val="fr-CA"/>
        </w:rPr>
        <w:t>ès et le partage des avantages pour</w:t>
      </w:r>
      <w:r w:rsidR="3D866B7A" w:rsidRPr="00415876">
        <w:rPr>
          <w:rFonts w:eastAsiaTheme="minorEastAsia"/>
          <w:b/>
          <w:bCs/>
          <w:kern w:val="22"/>
          <w:lang w:val="fr-CA"/>
        </w:rPr>
        <w:t xml:space="preserve"> 202</w:t>
      </w:r>
      <w:r w:rsidR="4A48E69F" w:rsidRPr="00415876">
        <w:rPr>
          <w:rFonts w:eastAsiaTheme="minorEastAsia"/>
          <w:b/>
          <w:bCs/>
          <w:kern w:val="22"/>
          <w:lang w:val="fr-CA"/>
        </w:rPr>
        <w:t>2</w:t>
      </w:r>
    </w:p>
    <w:p w14:paraId="6EFB1385" w14:textId="79E655A4" w:rsidR="025C64B4" w:rsidRPr="00415876" w:rsidRDefault="025C64B4">
      <w:pPr>
        <w:rPr>
          <w:kern w:val="22"/>
          <w:lang w:val="fr-CA"/>
        </w:rPr>
      </w:pPr>
    </w:p>
    <w:tbl>
      <w:tblPr>
        <w:tblW w:w="9350" w:type="dxa"/>
        <w:jc w:val="center"/>
        <w:tblLook w:val="04A0" w:firstRow="1" w:lastRow="0" w:firstColumn="1" w:lastColumn="0" w:noHBand="0" w:noVBand="1"/>
      </w:tblPr>
      <w:tblGrid>
        <w:gridCol w:w="625"/>
        <w:gridCol w:w="3823"/>
        <w:gridCol w:w="1472"/>
        <w:gridCol w:w="1715"/>
        <w:gridCol w:w="1715"/>
      </w:tblGrid>
      <w:tr w:rsidR="0029639D" w:rsidRPr="00415876" w14:paraId="79833027" w14:textId="77777777" w:rsidTr="0029639D">
        <w:trPr>
          <w:trHeight w:val="1040"/>
          <w:tblHeader/>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48B78" w14:textId="77777777" w:rsidR="0029639D" w:rsidRPr="00415876" w:rsidRDefault="0029639D" w:rsidP="00415876">
            <w:pPr>
              <w:jc w:val="left"/>
              <w:rPr>
                <w:kern w:val="22"/>
                <w:szCs w:val="22"/>
                <w:lang w:val="fr-CA" w:eastAsia="en-CA"/>
              </w:rPr>
            </w:pPr>
          </w:p>
        </w:tc>
        <w:tc>
          <w:tcPr>
            <w:tcW w:w="3823" w:type="dxa"/>
            <w:tcBorders>
              <w:top w:val="single" w:sz="4" w:space="0" w:color="auto"/>
              <w:left w:val="nil"/>
              <w:bottom w:val="single" w:sz="4" w:space="0" w:color="auto"/>
              <w:right w:val="single" w:sz="4" w:space="0" w:color="auto"/>
            </w:tcBorders>
            <w:shd w:val="clear" w:color="auto" w:fill="auto"/>
            <w:noWrap/>
            <w:vAlign w:val="center"/>
            <w:hideMark/>
          </w:tcPr>
          <w:p w14:paraId="784755A1" w14:textId="77777777" w:rsidR="0029639D" w:rsidRPr="00415876" w:rsidRDefault="0029639D" w:rsidP="00415876">
            <w:pPr>
              <w:jc w:val="center"/>
              <w:rPr>
                <w:b/>
                <w:bCs/>
                <w:kern w:val="22"/>
                <w:szCs w:val="22"/>
                <w:lang w:val="fr-CA" w:eastAsia="en-CA"/>
              </w:rPr>
            </w:pPr>
            <w:r w:rsidRPr="00415876">
              <w:rPr>
                <w:b/>
                <w:bCs/>
                <w:kern w:val="22"/>
                <w:szCs w:val="22"/>
                <w:lang w:val="fr-CA" w:eastAsia="en-CA"/>
              </w:rPr>
              <w:t>Partie</w:t>
            </w:r>
          </w:p>
        </w:tc>
        <w:tc>
          <w:tcPr>
            <w:tcW w:w="1472" w:type="dxa"/>
            <w:tcBorders>
              <w:top w:val="single" w:sz="4" w:space="0" w:color="auto"/>
              <w:left w:val="nil"/>
              <w:bottom w:val="single" w:sz="4" w:space="0" w:color="auto"/>
              <w:right w:val="single" w:sz="4" w:space="0" w:color="auto"/>
            </w:tcBorders>
            <w:shd w:val="clear" w:color="auto" w:fill="auto"/>
            <w:vAlign w:val="center"/>
            <w:hideMark/>
          </w:tcPr>
          <w:p w14:paraId="63ACF5ED" w14:textId="77777777" w:rsidR="0029639D" w:rsidRPr="00415876" w:rsidRDefault="0029639D" w:rsidP="00415876">
            <w:pPr>
              <w:jc w:val="center"/>
              <w:rPr>
                <w:b/>
                <w:bCs/>
                <w:kern w:val="22"/>
                <w:szCs w:val="22"/>
                <w:lang w:val="fr-CA" w:eastAsia="en-CA"/>
              </w:rPr>
            </w:pPr>
            <w:r w:rsidRPr="00415876">
              <w:rPr>
                <w:b/>
                <w:bCs/>
                <w:kern w:val="22"/>
                <w:szCs w:val="22"/>
                <w:lang w:val="fr-CA" w:eastAsia="en-CA"/>
              </w:rPr>
              <w:t>Barème de contribution 2019-2021</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14:paraId="7D63696C" w14:textId="77777777" w:rsidR="0029639D" w:rsidRPr="00415876" w:rsidRDefault="0029639D" w:rsidP="00415876">
            <w:pPr>
              <w:jc w:val="center"/>
              <w:rPr>
                <w:b/>
                <w:bCs/>
                <w:kern w:val="22"/>
                <w:szCs w:val="22"/>
                <w:lang w:val="fr-CA" w:eastAsia="en-CA"/>
              </w:rPr>
            </w:pPr>
            <w:r w:rsidRPr="00415876">
              <w:rPr>
                <w:b/>
                <w:bCs/>
                <w:kern w:val="22"/>
                <w:szCs w:val="22"/>
                <w:lang w:val="fr-CA" w:eastAsia="en-CA"/>
              </w:rPr>
              <w:t>Barème prévoyant un plafond de 22 %, sans PMA payant plus de 0,01 %</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14:paraId="69D05CC0" w14:textId="77777777" w:rsidR="0029639D" w:rsidRPr="00415876" w:rsidRDefault="0029639D" w:rsidP="00415876">
            <w:pPr>
              <w:jc w:val="center"/>
              <w:rPr>
                <w:b/>
                <w:bCs/>
                <w:kern w:val="22"/>
                <w:szCs w:val="22"/>
                <w:lang w:val="fr-CA" w:eastAsia="en-CA"/>
              </w:rPr>
            </w:pPr>
            <w:r w:rsidRPr="00415876">
              <w:rPr>
                <w:b/>
                <w:bCs/>
                <w:kern w:val="22"/>
                <w:szCs w:val="22"/>
                <w:lang w:val="fr-CA" w:eastAsia="en-CA"/>
              </w:rPr>
              <w:t>Contributions au 1</w:t>
            </w:r>
            <w:r w:rsidRPr="00415876">
              <w:rPr>
                <w:b/>
                <w:bCs/>
                <w:kern w:val="22"/>
                <w:szCs w:val="22"/>
                <w:vertAlign w:val="superscript"/>
                <w:lang w:val="fr-CA" w:eastAsia="en-CA"/>
              </w:rPr>
              <w:t>er</w:t>
            </w:r>
            <w:r w:rsidRPr="00415876">
              <w:rPr>
                <w:b/>
                <w:bCs/>
                <w:kern w:val="22"/>
                <w:szCs w:val="22"/>
                <w:lang w:val="fr-CA" w:eastAsia="en-CA"/>
              </w:rPr>
              <w:t xml:space="preserve"> janvier 2022</w:t>
            </w:r>
          </w:p>
        </w:tc>
      </w:tr>
      <w:tr w:rsidR="0029639D" w:rsidRPr="00415876" w14:paraId="094CEB30"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38DB326B" w14:textId="77777777" w:rsidR="0029639D" w:rsidRPr="00415876" w:rsidRDefault="0029639D" w:rsidP="00120F79">
            <w:pPr>
              <w:jc w:val="right"/>
              <w:rPr>
                <w:kern w:val="22"/>
                <w:szCs w:val="22"/>
                <w:lang w:val="fr-CA" w:eastAsia="en-CA"/>
              </w:rPr>
            </w:pPr>
            <w:r w:rsidRPr="00415876">
              <w:rPr>
                <w:kern w:val="22"/>
                <w:szCs w:val="22"/>
                <w:lang w:val="fr-CA" w:eastAsia="en-CA"/>
              </w:rPr>
              <w:t>1</w:t>
            </w:r>
          </w:p>
        </w:tc>
        <w:tc>
          <w:tcPr>
            <w:tcW w:w="3823" w:type="dxa"/>
            <w:tcBorders>
              <w:top w:val="nil"/>
              <w:left w:val="nil"/>
              <w:bottom w:val="single" w:sz="4" w:space="0" w:color="auto"/>
              <w:right w:val="single" w:sz="4" w:space="0" w:color="auto"/>
            </w:tcBorders>
            <w:shd w:val="clear" w:color="auto" w:fill="auto"/>
            <w:vAlign w:val="center"/>
            <w:hideMark/>
          </w:tcPr>
          <w:p w14:paraId="4C29FC3A" w14:textId="77777777" w:rsidR="0029639D" w:rsidRPr="00415876" w:rsidRDefault="0029639D" w:rsidP="00120F79">
            <w:pPr>
              <w:jc w:val="left"/>
              <w:rPr>
                <w:kern w:val="22"/>
                <w:szCs w:val="22"/>
                <w:lang w:val="fr-CA" w:eastAsia="en-CA"/>
              </w:rPr>
            </w:pPr>
            <w:r w:rsidRPr="00415876">
              <w:rPr>
                <w:kern w:val="22"/>
                <w:szCs w:val="22"/>
                <w:lang w:val="fr-CA" w:eastAsia="en-CA"/>
              </w:rPr>
              <w:t>Afghanistan</w:t>
            </w:r>
          </w:p>
        </w:tc>
        <w:tc>
          <w:tcPr>
            <w:tcW w:w="1472" w:type="dxa"/>
            <w:tcBorders>
              <w:top w:val="nil"/>
              <w:left w:val="nil"/>
              <w:bottom w:val="single" w:sz="4" w:space="0" w:color="auto"/>
              <w:right w:val="single" w:sz="4" w:space="0" w:color="auto"/>
            </w:tcBorders>
            <w:shd w:val="clear" w:color="auto" w:fill="auto"/>
            <w:vAlign w:val="center"/>
            <w:hideMark/>
          </w:tcPr>
          <w:p w14:paraId="01BE103F"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007</w:t>
            </w:r>
          </w:p>
        </w:tc>
        <w:tc>
          <w:tcPr>
            <w:tcW w:w="1715" w:type="dxa"/>
            <w:tcBorders>
              <w:top w:val="nil"/>
              <w:left w:val="nil"/>
              <w:bottom w:val="single" w:sz="4" w:space="0" w:color="auto"/>
              <w:right w:val="single" w:sz="4" w:space="0" w:color="auto"/>
            </w:tcBorders>
            <w:shd w:val="clear" w:color="auto" w:fill="auto"/>
            <w:noWrap/>
            <w:vAlign w:val="center"/>
            <w:hideMark/>
          </w:tcPr>
          <w:p w14:paraId="7381E5D3" w14:textId="77777777" w:rsidR="0029639D" w:rsidRPr="00415876" w:rsidRDefault="0029639D" w:rsidP="0029639D">
            <w:pPr>
              <w:tabs>
                <w:tab w:val="left" w:pos="1257"/>
              </w:tabs>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010</w:t>
            </w:r>
          </w:p>
        </w:tc>
        <w:tc>
          <w:tcPr>
            <w:tcW w:w="1715" w:type="dxa"/>
            <w:tcBorders>
              <w:top w:val="nil"/>
              <w:left w:val="nil"/>
              <w:bottom w:val="single" w:sz="4" w:space="0" w:color="auto"/>
              <w:right w:val="single" w:sz="4" w:space="0" w:color="auto"/>
            </w:tcBorders>
            <w:shd w:val="clear" w:color="auto" w:fill="auto"/>
            <w:noWrap/>
            <w:vAlign w:val="center"/>
            <w:hideMark/>
          </w:tcPr>
          <w:p w14:paraId="595ABE8C" w14:textId="77777777" w:rsidR="0029639D" w:rsidRPr="00415876" w:rsidRDefault="0029639D" w:rsidP="0029639D">
            <w:pPr>
              <w:ind w:right="247"/>
              <w:jc w:val="right"/>
              <w:rPr>
                <w:kern w:val="22"/>
                <w:szCs w:val="22"/>
                <w:lang w:val="fr-CA" w:eastAsia="en-CA"/>
              </w:rPr>
            </w:pPr>
            <w:r w:rsidRPr="00415876">
              <w:rPr>
                <w:kern w:val="22"/>
                <w:szCs w:val="22"/>
                <w:lang w:val="fr-CA" w:eastAsia="en-CA"/>
              </w:rPr>
              <w:t>188</w:t>
            </w:r>
          </w:p>
        </w:tc>
      </w:tr>
      <w:tr w:rsidR="0029639D" w:rsidRPr="00415876" w14:paraId="0ED9F5B6"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66E73A3F" w14:textId="7F5C4448" w:rsidR="0029639D" w:rsidRPr="00415876" w:rsidRDefault="0029639D" w:rsidP="00995EEF">
            <w:pPr>
              <w:jc w:val="right"/>
              <w:rPr>
                <w:kern w:val="22"/>
                <w:szCs w:val="22"/>
                <w:lang w:val="fr-CA" w:eastAsia="en-CA"/>
              </w:rPr>
            </w:pPr>
            <w:r>
              <w:rPr>
                <w:kern w:val="22"/>
                <w:szCs w:val="22"/>
                <w:lang w:val="fr-CA" w:eastAsia="en-CA"/>
              </w:rPr>
              <w:t>2</w:t>
            </w:r>
          </w:p>
        </w:tc>
        <w:tc>
          <w:tcPr>
            <w:tcW w:w="3823" w:type="dxa"/>
            <w:tcBorders>
              <w:top w:val="nil"/>
              <w:left w:val="nil"/>
              <w:bottom w:val="single" w:sz="4" w:space="0" w:color="auto"/>
              <w:right w:val="single" w:sz="4" w:space="0" w:color="auto"/>
            </w:tcBorders>
            <w:shd w:val="clear" w:color="auto" w:fill="auto"/>
            <w:vAlign w:val="center"/>
            <w:hideMark/>
          </w:tcPr>
          <w:p w14:paraId="4FB26A5D" w14:textId="77777777" w:rsidR="0029639D" w:rsidRPr="00415876" w:rsidRDefault="0029639D" w:rsidP="00995EEF">
            <w:pPr>
              <w:jc w:val="left"/>
              <w:rPr>
                <w:kern w:val="22"/>
                <w:szCs w:val="22"/>
                <w:lang w:val="fr-CA" w:eastAsia="en-CA"/>
              </w:rPr>
            </w:pPr>
            <w:r>
              <w:rPr>
                <w:kern w:val="22"/>
                <w:szCs w:val="22"/>
                <w:lang w:val="fr-CA" w:eastAsia="en-CA"/>
              </w:rPr>
              <w:t>Afrique du Sud</w:t>
            </w:r>
          </w:p>
        </w:tc>
        <w:tc>
          <w:tcPr>
            <w:tcW w:w="1472" w:type="dxa"/>
            <w:tcBorders>
              <w:top w:val="nil"/>
              <w:left w:val="nil"/>
              <w:bottom w:val="single" w:sz="4" w:space="0" w:color="auto"/>
              <w:right w:val="single" w:sz="4" w:space="0" w:color="auto"/>
            </w:tcBorders>
            <w:shd w:val="clear" w:color="auto" w:fill="auto"/>
            <w:vAlign w:val="center"/>
            <w:hideMark/>
          </w:tcPr>
          <w:p w14:paraId="0AA745B5"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272</w:t>
            </w:r>
          </w:p>
        </w:tc>
        <w:tc>
          <w:tcPr>
            <w:tcW w:w="1715" w:type="dxa"/>
            <w:tcBorders>
              <w:top w:val="nil"/>
              <w:left w:val="nil"/>
              <w:bottom w:val="single" w:sz="4" w:space="0" w:color="auto"/>
              <w:right w:val="single" w:sz="4" w:space="0" w:color="auto"/>
            </w:tcBorders>
            <w:shd w:val="clear" w:color="auto" w:fill="auto"/>
            <w:noWrap/>
            <w:vAlign w:val="center"/>
            <w:hideMark/>
          </w:tcPr>
          <w:p w14:paraId="4E29F503" w14:textId="77777777" w:rsidR="0029639D" w:rsidRPr="00415876" w:rsidRDefault="0029639D" w:rsidP="0029639D">
            <w:pPr>
              <w:ind w:right="152"/>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437</w:t>
            </w:r>
          </w:p>
        </w:tc>
        <w:tc>
          <w:tcPr>
            <w:tcW w:w="1715" w:type="dxa"/>
            <w:tcBorders>
              <w:top w:val="nil"/>
              <w:left w:val="nil"/>
              <w:bottom w:val="single" w:sz="4" w:space="0" w:color="auto"/>
              <w:right w:val="single" w:sz="4" w:space="0" w:color="auto"/>
            </w:tcBorders>
            <w:shd w:val="clear" w:color="auto" w:fill="auto"/>
            <w:noWrap/>
            <w:vAlign w:val="center"/>
            <w:hideMark/>
          </w:tcPr>
          <w:p w14:paraId="3AA96023" w14:textId="77777777" w:rsidR="0029639D" w:rsidRPr="00415876" w:rsidRDefault="0029639D" w:rsidP="0029639D">
            <w:pPr>
              <w:ind w:right="247"/>
              <w:jc w:val="right"/>
              <w:rPr>
                <w:kern w:val="22"/>
                <w:szCs w:val="22"/>
                <w:lang w:val="fr-CA" w:eastAsia="en-CA"/>
              </w:rPr>
            </w:pPr>
            <w:r w:rsidRPr="00415876">
              <w:rPr>
                <w:kern w:val="22"/>
                <w:szCs w:val="22"/>
                <w:lang w:val="fr-CA" w:eastAsia="en-CA"/>
              </w:rPr>
              <w:t>8 199</w:t>
            </w:r>
          </w:p>
        </w:tc>
      </w:tr>
      <w:tr w:rsidR="0029639D" w:rsidRPr="00415876" w14:paraId="3DC4081D"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5AB3F62C" w14:textId="5288F661" w:rsidR="0029639D" w:rsidRPr="00415876" w:rsidRDefault="0029639D" w:rsidP="00120F79">
            <w:pPr>
              <w:jc w:val="right"/>
              <w:rPr>
                <w:kern w:val="22"/>
                <w:szCs w:val="22"/>
                <w:lang w:val="fr-CA" w:eastAsia="en-CA"/>
              </w:rPr>
            </w:pPr>
            <w:r>
              <w:rPr>
                <w:kern w:val="22"/>
                <w:szCs w:val="22"/>
                <w:lang w:val="fr-CA" w:eastAsia="en-CA"/>
              </w:rPr>
              <w:t>3</w:t>
            </w:r>
          </w:p>
        </w:tc>
        <w:tc>
          <w:tcPr>
            <w:tcW w:w="3823" w:type="dxa"/>
            <w:tcBorders>
              <w:top w:val="nil"/>
              <w:left w:val="nil"/>
              <w:bottom w:val="single" w:sz="4" w:space="0" w:color="auto"/>
              <w:right w:val="single" w:sz="4" w:space="0" w:color="auto"/>
            </w:tcBorders>
            <w:shd w:val="clear" w:color="auto" w:fill="auto"/>
            <w:vAlign w:val="center"/>
            <w:hideMark/>
          </w:tcPr>
          <w:p w14:paraId="44F7D285" w14:textId="77777777" w:rsidR="0029639D" w:rsidRPr="00415876" w:rsidRDefault="0029639D" w:rsidP="00120F79">
            <w:pPr>
              <w:jc w:val="left"/>
              <w:rPr>
                <w:kern w:val="22"/>
                <w:szCs w:val="22"/>
                <w:lang w:val="fr-CA" w:eastAsia="en-CA"/>
              </w:rPr>
            </w:pPr>
            <w:r w:rsidRPr="00415876">
              <w:rPr>
                <w:kern w:val="22"/>
                <w:szCs w:val="22"/>
                <w:lang w:val="fr-CA" w:eastAsia="en-CA"/>
              </w:rPr>
              <w:t>Albanie</w:t>
            </w:r>
          </w:p>
        </w:tc>
        <w:tc>
          <w:tcPr>
            <w:tcW w:w="1472" w:type="dxa"/>
            <w:tcBorders>
              <w:top w:val="nil"/>
              <w:left w:val="nil"/>
              <w:bottom w:val="single" w:sz="4" w:space="0" w:color="auto"/>
              <w:right w:val="single" w:sz="4" w:space="0" w:color="auto"/>
            </w:tcBorders>
            <w:shd w:val="clear" w:color="auto" w:fill="auto"/>
            <w:vAlign w:val="center"/>
            <w:hideMark/>
          </w:tcPr>
          <w:p w14:paraId="72541EAA"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008</w:t>
            </w:r>
          </w:p>
        </w:tc>
        <w:tc>
          <w:tcPr>
            <w:tcW w:w="1715" w:type="dxa"/>
            <w:tcBorders>
              <w:top w:val="nil"/>
              <w:left w:val="nil"/>
              <w:bottom w:val="single" w:sz="4" w:space="0" w:color="auto"/>
              <w:right w:val="single" w:sz="4" w:space="0" w:color="auto"/>
            </w:tcBorders>
            <w:shd w:val="clear" w:color="auto" w:fill="auto"/>
            <w:noWrap/>
            <w:vAlign w:val="center"/>
            <w:hideMark/>
          </w:tcPr>
          <w:p w14:paraId="2029649C" w14:textId="77777777" w:rsidR="0029639D" w:rsidRPr="00415876" w:rsidRDefault="0029639D" w:rsidP="0029639D">
            <w:pPr>
              <w:tabs>
                <w:tab w:val="left" w:pos="1257"/>
              </w:tabs>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013</w:t>
            </w:r>
          </w:p>
        </w:tc>
        <w:tc>
          <w:tcPr>
            <w:tcW w:w="1715" w:type="dxa"/>
            <w:tcBorders>
              <w:top w:val="nil"/>
              <w:left w:val="nil"/>
              <w:bottom w:val="single" w:sz="4" w:space="0" w:color="auto"/>
              <w:right w:val="single" w:sz="4" w:space="0" w:color="auto"/>
            </w:tcBorders>
            <w:shd w:val="clear" w:color="auto" w:fill="auto"/>
            <w:noWrap/>
            <w:vAlign w:val="center"/>
            <w:hideMark/>
          </w:tcPr>
          <w:p w14:paraId="6F056A18" w14:textId="77777777" w:rsidR="0029639D" w:rsidRPr="00415876" w:rsidRDefault="0029639D" w:rsidP="0029639D">
            <w:pPr>
              <w:ind w:right="247"/>
              <w:jc w:val="right"/>
              <w:rPr>
                <w:kern w:val="22"/>
                <w:szCs w:val="22"/>
                <w:lang w:val="fr-CA" w:eastAsia="en-CA"/>
              </w:rPr>
            </w:pPr>
            <w:r w:rsidRPr="00415876">
              <w:rPr>
                <w:kern w:val="22"/>
                <w:szCs w:val="22"/>
                <w:lang w:val="fr-CA" w:eastAsia="en-CA"/>
              </w:rPr>
              <w:t>241</w:t>
            </w:r>
          </w:p>
        </w:tc>
      </w:tr>
      <w:tr w:rsidR="0029639D" w:rsidRPr="00415876" w14:paraId="691D0286"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247821DE" w14:textId="78A29C08" w:rsidR="0029639D" w:rsidRPr="00415876" w:rsidRDefault="0029639D" w:rsidP="00120F79">
            <w:pPr>
              <w:jc w:val="right"/>
              <w:rPr>
                <w:kern w:val="22"/>
                <w:szCs w:val="22"/>
                <w:lang w:val="fr-CA" w:eastAsia="en-CA"/>
              </w:rPr>
            </w:pPr>
            <w:r>
              <w:rPr>
                <w:kern w:val="22"/>
                <w:szCs w:val="22"/>
                <w:lang w:val="fr-CA" w:eastAsia="en-CA"/>
              </w:rPr>
              <w:t>4</w:t>
            </w:r>
          </w:p>
        </w:tc>
        <w:tc>
          <w:tcPr>
            <w:tcW w:w="3823" w:type="dxa"/>
            <w:tcBorders>
              <w:top w:val="nil"/>
              <w:left w:val="nil"/>
              <w:bottom w:val="single" w:sz="4" w:space="0" w:color="auto"/>
              <w:right w:val="single" w:sz="4" w:space="0" w:color="auto"/>
            </w:tcBorders>
            <w:shd w:val="clear" w:color="auto" w:fill="auto"/>
            <w:vAlign w:val="center"/>
            <w:hideMark/>
          </w:tcPr>
          <w:p w14:paraId="2FB8199E" w14:textId="77777777" w:rsidR="0029639D" w:rsidRPr="00415876" w:rsidRDefault="0029639D" w:rsidP="00120F79">
            <w:pPr>
              <w:jc w:val="left"/>
              <w:rPr>
                <w:kern w:val="22"/>
                <w:szCs w:val="22"/>
                <w:lang w:val="fr-CA" w:eastAsia="en-CA"/>
              </w:rPr>
            </w:pPr>
            <w:r>
              <w:rPr>
                <w:kern w:val="22"/>
                <w:szCs w:val="22"/>
                <w:lang w:val="fr-CA" w:eastAsia="en-CA"/>
              </w:rPr>
              <w:t>Allemagne</w:t>
            </w:r>
          </w:p>
        </w:tc>
        <w:tc>
          <w:tcPr>
            <w:tcW w:w="1472" w:type="dxa"/>
            <w:tcBorders>
              <w:top w:val="nil"/>
              <w:left w:val="nil"/>
              <w:bottom w:val="single" w:sz="4" w:space="0" w:color="auto"/>
              <w:right w:val="single" w:sz="4" w:space="0" w:color="auto"/>
            </w:tcBorders>
            <w:shd w:val="clear" w:color="auto" w:fill="auto"/>
            <w:vAlign w:val="center"/>
            <w:hideMark/>
          </w:tcPr>
          <w:p w14:paraId="44BB7F51" w14:textId="77777777" w:rsidR="0029639D" w:rsidRPr="00415876" w:rsidRDefault="0029639D" w:rsidP="0029639D">
            <w:pPr>
              <w:adjustRightInd w:val="0"/>
              <w:snapToGrid w:val="0"/>
              <w:ind w:right="144"/>
              <w:jc w:val="right"/>
              <w:rPr>
                <w:kern w:val="22"/>
                <w:szCs w:val="22"/>
                <w:lang w:val="fr-CA" w:eastAsia="en-CA"/>
              </w:rPr>
            </w:pPr>
            <w:r w:rsidRPr="00415876">
              <w:rPr>
                <w:kern w:val="22"/>
                <w:szCs w:val="22"/>
                <w:lang w:val="fr-CA" w:eastAsia="en-CA"/>
              </w:rPr>
              <w:t>6</w:t>
            </w:r>
            <w:r>
              <w:rPr>
                <w:kern w:val="22"/>
                <w:szCs w:val="22"/>
                <w:lang w:val="fr-CA" w:eastAsia="en-CA"/>
              </w:rPr>
              <w:t>,</w:t>
            </w:r>
            <w:r w:rsidRPr="00415876">
              <w:rPr>
                <w:kern w:val="22"/>
                <w:szCs w:val="22"/>
                <w:lang w:val="fr-CA" w:eastAsia="en-CA"/>
              </w:rPr>
              <w:t>090</w:t>
            </w:r>
          </w:p>
        </w:tc>
        <w:tc>
          <w:tcPr>
            <w:tcW w:w="1715" w:type="dxa"/>
            <w:tcBorders>
              <w:top w:val="nil"/>
              <w:left w:val="nil"/>
              <w:bottom w:val="single" w:sz="4" w:space="0" w:color="auto"/>
              <w:right w:val="single" w:sz="4" w:space="0" w:color="auto"/>
            </w:tcBorders>
            <w:shd w:val="clear" w:color="auto" w:fill="auto"/>
            <w:noWrap/>
            <w:vAlign w:val="center"/>
            <w:hideMark/>
          </w:tcPr>
          <w:p w14:paraId="681013C0" w14:textId="77777777" w:rsidR="0029639D" w:rsidRPr="00415876" w:rsidRDefault="0029639D" w:rsidP="0029639D">
            <w:pPr>
              <w:tabs>
                <w:tab w:val="left" w:pos="1257"/>
              </w:tabs>
              <w:adjustRightInd w:val="0"/>
              <w:snapToGrid w:val="0"/>
              <w:ind w:right="144"/>
              <w:jc w:val="right"/>
              <w:rPr>
                <w:kern w:val="22"/>
                <w:szCs w:val="22"/>
                <w:lang w:val="fr-CA" w:eastAsia="en-CA"/>
              </w:rPr>
            </w:pPr>
            <w:r w:rsidRPr="00415876">
              <w:rPr>
                <w:kern w:val="22"/>
                <w:szCs w:val="22"/>
                <w:lang w:val="fr-CA" w:eastAsia="en-CA"/>
              </w:rPr>
              <w:t>9</w:t>
            </w:r>
            <w:r>
              <w:rPr>
                <w:kern w:val="22"/>
                <w:szCs w:val="22"/>
                <w:lang w:val="fr-CA" w:eastAsia="en-CA"/>
              </w:rPr>
              <w:t>,</w:t>
            </w:r>
            <w:r w:rsidRPr="00415876">
              <w:rPr>
                <w:kern w:val="22"/>
                <w:szCs w:val="22"/>
                <w:lang w:val="fr-CA" w:eastAsia="en-CA"/>
              </w:rPr>
              <w:t>787</w:t>
            </w:r>
          </w:p>
        </w:tc>
        <w:tc>
          <w:tcPr>
            <w:tcW w:w="1715" w:type="dxa"/>
            <w:tcBorders>
              <w:top w:val="nil"/>
              <w:left w:val="nil"/>
              <w:bottom w:val="single" w:sz="4" w:space="0" w:color="auto"/>
              <w:right w:val="single" w:sz="4" w:space="0" w:color="auto"/>
            </w:tcBorders>
            <w:shd w:val="clear" w:color="auto" w:fill="auto"/>
            <w:noWrap/>
            <w:vAlign w:val="center"/>
            <w:hideMark/>
          </w:tcPr>
          <w:p w14:paraId="4BD297F9" w14:textId="77777777" w:rsidR="0029639D" w:rsidRPr="00415876" w:rsidRDefault="0029639D" w:rsidP="0029639D">
            <w:pPr>
              <w:adjustRightInd w:val="0"/>
              <w:snapToGrid w:val="0"/>
              <w:ind w:right="247"/>
              <w:jc w:val="right"/>
              <w:rPr>
                <w:kern w:val="22"/>
                <w:szCs w:val="22"/>
                <w:lang w:val="fr-CA" w:eastAsia="en-CA"/>
              </w:rPr>
            </w:pPr>
            <w:r w:rsidRPr="00415876">
              <w:rPr>
                <w:kern w:val="22"/>
                <w:szCs w:val="22"/>
                <w:lang w:val="fr-CA" w:eastAsia="en-CA"/>
              </w:rPr>
              <w:t>183 583</w:t>
            </w:r>
          </w:p>
        </w:tc>
      </w:tr>
      <w:tr w:rsidR="0029639D" w:rsidRPr="00415876" w14:paraId="0A7286F5"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18F6AB12" w14:textId="31E95AD6" w:rsidR="0029639D" w:rsidRPr="00415876" w:rsidRDefault="0029639D" w:rsidP="00120F79">
            <w:pPr>
              <w:jc w:val="right"/>
              <w:rPr>
                <w:kern w:val="22"/>
                <w:szCs w:val="22"/>
                <w:lang w:val="fr-CA" w:eastAsia="en-CA"/>
              </w:rPr>
            </w:pPr>
            <w:r>
              <w:rPr>
                <w:kern w:val="22"/>
                <w:szCs w:val="22"/>
                <w:lang w:val="fr-CA" w:eastAsia="en-CA"/>
              </w:rPr>
              <w:t>5</w:t>
            </w:r>
          </w:p>
        </w:tc>
        <w:tc>
          <w:tcPr>
            <w:tcW w:w="3823" w:type="dxa"/>
            <w:tcBorders>
              <w:top w:val="nil"/>
              <w:left w:val="nil"/>
              <w:bottom w:val="single" w:sz="4" w:space="0" w:color="auto"/>
              <w:right w:val="single" w:sz="4" w:space="0" w:color="auto"/>
            </w:tcBorders>
            <w:shd w:val="clear" w:color="auto" w:fill="auto"/>
            <w:vAlign w:val="center"/>
            <w:hideMark/>
          </w:tcPr>
          <w:p w14:paraId="4A0D8397" w14:textId="77777777" w:rsidR="0029639D" w:rsidRPr="00415876" w:rsidRDefault="0029639D" w:rsidP="00120F79">
            <w:pPr>
              <w:jc w:val="left"/>
              <w:rPr>
                <w:kern w:val="22"/>
                <w:szCs w:val="22"/>
                <w:lang w:val="fr-CA" w:eastAsia="en-CA"/>
              </w:rPr>
            </w:pPr>
            <w:r w:rsidRPr="00415876">
              <w:rPr>
                <w:kern w:val="22"/>
                <w:szCs w:val="22"/>
                <w:lang w:val="fr-CA" w:eastAsia="en-CA"/>
              </w:rPr>
              <w:t>Angola</w:t>
            </w:r>
          </w:p>
        </w:tc>
        <w:tc>
          <w:tcPr>
            <w:tcW w:w="1472" w:type="dxa"/>
            <w:tcBorders>
              <w:top w:val="nil"/>
              <w:left w:val="nil"/>
              <w:bottom w:val="single" w:sz="4" w:space="0" w:color="auto"/>
              <w:right w:val="single" w:sz="4" w:space="0" w:color="auto"/>
            </w:tcBorders>
            <w:shd w:val="clear" w:color="auto" w:fill="auto"/>
            <w:vAlign w:val="center"/>
            <w:hideMark/>
          </w:tcPr>
          <w:p w14:paraId="037E1E96"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010</w:t>
            </w:r>
          </w:p>
        </w:tc>
        <w:tc>
          <w:tcPr>
            <w:tcW w:w="1715" w:type="dxa"/>
            <w:tcBorders>
              <w:top w:val="nil"/>
              <w:left w:val="nil"/>
              <w:bottom w:val="single" w:sz="4" w:space="0" w:color="auto"/>
              <w:right w:val="single" w:sz="4" w:space="0" w:color="auto"/>
            </w:tcBorders>
            <w:shd w:val="clear" w:color="auto" w:fill="auto"/>
            <w:noWrap/>
            <w:vAlign w:val="center"/>
            <w:hideMark/>
          </w:tcPr>
          <w:p w14:paraId="18681518" w14:textId="77777777" w:rsidR="0029639D" w:rsidRPr="00415876" w:rsidRDefault="0029639D" w:rsidP="0029639D">
            <w:pPr>
              <w:tabs>
                <w:tab w:val="left" w:pos="1257"/>
              </w:tabs>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010</w:t>
            </w:r>
          </w:p>
        </w:tc>
        <w:tc>
          <w:tcPr>
            <w:tcW w:w="1715" w:type="dxa"/>
            <w:tcBorders>
              <w:top w:val="nil"/>
              <w:left w:val="nil"/>
              <w:bottom w:val="single" w:sz="4" w:space="0" w:color="auto"/>
              <w:right w:val="single" w:sz="4" w:space="0" w:color="auto"/>
            </w:tcBorders>
            <w:shd w:val="clear" w:color="auto" w:fill="auto"/>
            <w:noWrap/>
            <w:vAlign w:val="center"/>
            <w:hideMark/>
          </w:tcPr>
          <w:p w14:paraId="6BFE00D3" w14:textId="77777777" w:rsidR="0029639D" w:rsidRPr="00415876" w:rsidRDefault="0029639D" w:rsidP="0029639D">
            <w:pPr>
              <w:ind w:right="247"/>
              <w:jc w:val="right"/>
              <w:rPr>
                <w:kern w:val="22"/>
                <w:szCs w:val="22"/>
                <w:lang w:val="fr-CA" w:eastAsia="en-CA"/>
              </w:rPr>
            </w:pPr>
            <w:r w:rsidRPr="00415876">
              <w:rPr>
                <w:kern w:val="22"/>
                <w:szCs w:val="22"/>
                <w:lang w:val="fr-CA" w:eastAsia="en-CA"/>
              </w:rPr>
              <w:t>188</w:t>
            </w:r>
          </w:p>
        </w:tc>
      </w:tr>
      <w:tr w:rsidR="0029639D" w:rsidRPr="00415876" w14:paraId="7F020A5B"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66B0127C" w14:textId="4159A1D0" w:rsidR="0029639D" w:rsidRPr="00415876" w:rsidRDefault="0029639D" w:rsidP="00120F79">
            <w:pPr>
              <w:jc w:val="right"/>
              <w:rPr>
                <w:kern w:val="22"/>
                <w:szCs w:val="22"/>
                <w:lang w:val="fr-CA" w:eastAsia="en-CA"/>
              </w:rPr>
            </w:pPr>
            <w:r>
              <w:rPr>
                <w:kern w:val="22"/>
                <w:szCs w:val="22"/>
                <w:lang w:val="fr-CA" w:eastAsia="en-CA"/>
              </w:rPr>
              <w:t>6</w:t>
            </w:r>
          </w:p>
        </w:tc>
        <w:tc>
          <w:tcPr>
            <w:tcW w:w="3823" w:type="dxa"/>
            <w:tcBorders>
              <w:top w:val="nil"/>
              <w:left w:val="nil"/>
              <w:bottom w:val="single" w:sz="4" w:space="0" w:color="auto"/>
              <w:right w:val="single" w:sz="4" w:space="0" w:color="auto"/>
            </w:tcBorders>
            <w:shd w:val="clear" w:color="auto" w:fill="auto"/>
            <w:vAlign w:val="center"/>
            <w:hideMark/>
          </w:tcPr>
          <w:p w14:paraId="0BC202B4" w14:textId="77777777" w:rsidR="0029639D" w:rsidRPr="00415876" w:rsidRDefault="0029639D" w:rsidP="00415876">
            <w:pPr>
              <w:jc w:val="left"/>
              <w:rPr>
                <w:kern w:val="22"/>
                <w:szCs w:val="22"/>
                <w:lang w:val="fr-CA" w:eastAsia="en-CA"/>
              </w:rPr>
            </w:pPr>
            <w:r w:rsidRPr="00415876">
              <w:rPr>
                <w:kern w:val="22"/>
                <w:szCs w:val="22"/>
                <w:lang w:val="fr-CA" w:eastAsia="en-CA"/>
              </w:rPr>
              <w:t>Antigua-et-Barbuda</w:t>
            </w:r>
          </w:p>
        </w:tc>
        <w:tc>
          <w:tcPr>
            <w:tcW w:w="1472" w:type="dxa"/>
            <w:tcBorders>
              <w:top w:val="nil"/>
              <w:left w:val="nil"/>
              <w:bottom w:val="single" w:sz="4" w:space="0" w:color="auto"/>
              <w:right w:val="single" w:sz="4" w:space="0" w:color="auto"/>
            </w:tcBorders>
            <w:shd w:val="clear" w:color="auto" w:fill="auto"/>
            <w:vAlign w:val="center"/>
            <w:hideMark/>
          </w:tcPr>
          <w:p w14:paraId="2CEE7D32"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002</w:t>
            </w:r>
          </w:p>
        </w:tc>
        <w:tc>
          <w:tcPr>
            <w:tcW w:w="1715" w:type="dxa"/>
            <w:tcBorders>
              <w:top w:val="nil"/>
              <w:left w:val="nil"/>
              <w:bottom w:val="single" w:sz="4" w:space="0" w:color="auto"/>
              <w:right w:val="single" w:sz="4" w:space="0" w:color="auto"/>
            </w:tcBorders>
            <w:shd w:val="clear" w:color="auto" w:fill="auto"/>
            <w:noWrap/>
            <w:vAlign w:val="center"/>
            <w:hideMark/>
          </w:tcPr>
          <w:p w14:paraId="5445BDC8" w14:textId="77777777" w:rsidR="0029639D" w:rsidRPr="00415876" w:rsidRDefault="0029639D" w:rsidP="0029639D">
            <w:pPr>
              <w:tabs>
                <w:tab w:val="left" w:pos="1257"/>
              </w:tabs>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003</w:t>
            </w:r>
          </w:p>
        </w:tc>
        <w:tc>
          <w:tcPr>
            <w:tcW w:w="1715" w:type="dxa"/>
            <w:tcBorders>
              <w:top w:val="nil"/>
              <w:left w:val="nil"/>
              <w:bottom w:val="single" w:sz="4" w:space="0" w:color="auto"/>
              <w:right w:val="single" w:sz="4" w:space="0" w:color="auto"/>
            </w:tcBorders>
            <w:shd w:val="clear" w:color="auto" w:fill="auto"/>
            <w:noWrap/>
            <w:vAlign w:val="center"/>
            <w:hideMark/>
          </w:tcPr>
          <w:p w14:paraId="128E7A99" w14:textId="77777777" w:rsidR="0029639D" w:rsidRPr="00415876" w:rsidRDefault="0029639D" w:rsidP="0029639D">
            <w:pPr>
              <w:ind w:right="247"/>
              <w:jc w:val="right"/>
              <w:rPr>
                <w:kern w:val="22"/>
                <w:szCs w:val="22"/>
                <w:lang w:val="fr-CA" w:eastAsia="en-CA"/>
              </w:rPr>
            </w:pPr>
            <w:r w:rsidRPr="00415876">
              <w:rPr>
                <w:kern w:val="22"/>
                <w:szCs w:val="22"/>
                <w:lang w:val="fr-CA" w:eastAsia="en-CA"/>
              </w:rPr>
              <w:t>60</w:t>
            </w:r>
          </w:p>
        </w:tc>
      </w:tr>
      <w:tr w:rsidR="0029639D" w:rsidRPr="00415876" w14:paraId="70213C1D"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0C544FE7" w14:textId="1BCFA9B5" w:rsidR="0029639D" w:rsidRPr="00415876" w:rsidRDefault="0029639D" w:rsidP="00120F79">
            <w:pPr>
              <w:jc w:val="right"/>
              <w:rPr>
                <w:kern w:val="22"/>
                <w:szCs w:val="22"/>
                <w:lang w:val="fr-CA" w:eastAsia="en-CA"/>
              </w:rPr>
            </w:pPr>
            <w:r>
              <w:rPr>
                <w:kern w:val="22"/>
                <w:szCs w:val="22"/>
                <w:lang w:val="fr-CA" w:eastAsia="en-CA"/>
              </w:rPr>
              <w:t>7</w:t>
            </w:r>
          </w:p>
        </w:tc>
        <w:tc>
          <w:tcPr>
            <w:tcW w:w="3823" w:type="dxa"/>
            <w:tcBorders>
              <w:top w:val="nil"/>
              <w:left w:val="nil"/>
              <w:bottom w:val="single" w:sz="4" w:space="0" w:color="auto"/>
              <w:right w:val="single" w:sz="4" w:space="0" w:color="auto"/>
            </w:tcBorders>
            <w:shd w:val="clear" w:color="auto" w:fill="auto"/>
            <w:vAlign w:val="center"/>
            <w:hideMark/>
          </w:tcPr>
          <w:p w14:paraId="198A1ABA" w14:textId="77777777" w:rsidR="0029639D" w:rsidRPr="00415876" w:rsidRDefault="0029639D" w:rsidP="00120F79">
            <w:pPr>
              <w:jc w:val="left"/>
              <w:rPr>
                <w:kern w:val="22"/>
                <w:szCs w:val="22"/>
                <w:lang w:val="fr-CA" w:eastAsia="en-CA"/>
              </w:rPr>
            </w:pPr>
            <w:r>
              <w:rPr>
                <w:kern w:val="22"/>
                <w:szCs w:val="22"/>
                <w:lang w:val="fr-CA" w:eastAsia="en-CA"/>
              </w:rPr>
              <w:t>Arabie saoudite</w:t>
            </w:r>
          </w:p>
        </w:tc>
        <w:tc>
          <w:tcPr>
            <w:tcW w:w="1472" w:type="dxa"/>
            <w:tcBorders>
              <w:top w:val="nil"/>
              <w:left w:val="nil"/>
              <w:bottom w:val="single" w:sz="4" w:space="0" w:color="auto"/>
              <w:right w:val="single" w:sz="4" w:space="0" w:color="auto"/>
            </w:tcBorders>
            <w:shd w:val="clear" w:color="auto" w:fill="auto"/>
            <w:vAlign w:val="center"/>
            <w:hideMark/>
          </w:tcPr>
          <w:p w14:paraId="623001D3" w14:textId="77777777" w:rsidR="0029639D" w:rsidRPr="00415876" w:rsidRDefault="0029639D" w:rsidP="0029639D">
            <w:pPr>
              <w:ind w:right="144"/>
              <w:jc w:val="right"/>
              <w:rPr>
                <w:kern w:val="22"/>
                <w:szCs w:val="22"/>
                <w:lang w:val="fr-CA" w:eastAsia="en-CA"/>
              </w:rPr>
            </w:pPr>
            <w:r w:rsidRPr="00415876">
              <w:rPr>
                <w:kern w:val="22"/>
                <w:szCs w:val="22"/>
                <w:lang w:val="fr-CA" w:eastAsia="en-CA"/>
              </w:rPr>
              <w:t>1</w:t>
            </w:r>
            <w:r>
              <w:rPr>
                <w:kern w:val="22"/>
                <w:szCs w:val="22"/>
                <w:lang w:val="fr-CA" w:eastAsia="en-CA"/>
              </w:rPr>
              <w:t>,</w:t>
            </w:r>
            <w:r w:rsidRPr="00415876">
              <w:rPr>
                <w:kern w:val="22"/>
                <w:szCs w:val="22"/>
                <w:lang w:val="fr-CA" w:eastAsia="en-CA"/>
              </w:rPr>
              <w:t>172</w:t>
            </w:r>
          </w:p>
        </w:tc>
        <w:tc>
          <w:tcPr>
            <w:tcW w:w="1715" w:type="dxa"/>
            <w:tcBorders>
              <w:top w:val="nil"/>
              <w:left w:val="nil"/>
              <w:bottom w:val="single" w:sz="4" w:space="0" w:color="auto"/>
              <w:right w:val="single" w:sz="4" w:space="0" w:color="auto"/>
            </w:tcBorders>
            <w:shd w:val="clear" w:color="auto" w:fill="auto"/>
            <w:noWrap/>
            <w:vAlign w:val="center"/>
            <w:hideMark/>
          </w:tcPr>
          <w:p w14:paraId="66C2D497" w14:textId="77777777" w:rsidR="0029639D" w:rsidRPr="00415876" w:rsidRDefault="0029639D" w:rsidP="0029639D">
            <w:pPr>
              <w:ind w:right="152"/>
              <w:jc w:val="right"/>
              <w:rPr>
                <w:kern w:val="22"/>
                <w:szCs w:val="22"/>
                <w:lang w:val="fr-CA" w:eastAsia="en-CA"/>
              </w:rPr>
            </w:pPr>
            <w:r w:rsidRPr="00415876">
              <w:rPr>
                <w:kern w:val="22"/>
                <w:szCs w:val="22"/>
                <w:lang w:val="fr-CA" w:eastAsia="en-CA"/>
              </w:rPr>
              <w:t>1</w:t>
            </w:r>
            <w:r>
              <w:rPr>
                <w:kern w:val="22"/>
                <w:szCs w:val="22"/>
                <w:lang w:val="fr-CA" w:eastAsia="en-CA"/>
              </w:rPr>
              <w:t>,</w:t>
            </w:r>
            <w:r w:rsidRPr="00415876">
              <w:rPr>
                <w:kern w:val="22"/>
                <w:szCs w:val="22"/>
                <w:lang w:val="fr-CA" w:eastAsia="en-CA"/>
              </w:rPr>
              <w:t>883</w:t>
            </w:r>
          </w:p>
        </w:tc>
        <w:tc>
          <w:tcPr>
            <w:tcW w:w="1715" w:type="dxa"/>
            <w:tcBorders>
              <w:top w:val="nil"/>
              <w:left w:val="nil"/>
              <w:bottom w:val="single" w:sz="4" w:space="0" w:color="auto"/>
              <w:right w:val="single" w:sz="4" w:space="0" w:color="auto"/>
            </w:tcBorders>
            <w:shd w:val="clear" w:color="auto" w:fill="auto"/>
            <w:noWrap/>
            <w:vAlign w:val="center"/>
            <w:hideMark/>
          </w:tcPr>
          <w:p w14:paraId="5B6295FF" w14:textId="77777777" w:rsidR="0029639D" w:rsidRPr="00415876" w:rsidRDefault="0029639D" w:rsidP="0029639D">
            <w:pPr>
              <w:ind w:right="247"/>
              <w:jc w:val="right"/>
              <w:rPr>
                <w:kern w:val="22"/>
                <w:szCs w:val="22"/>
                <w:lang w:val="fr-CA" w:eastAsia="en-CA"/>
              </w:rPr>
            </w:pPr>
            <w:r w:rsidRPr="00415876">
              <w:rPr>
                <w:kern w:val="22"/>
                <w:szCs w:val="22"/>
                <w:lang w:val="fr-CA" w:eastAsia="en-CA"/>
              </w:rPr>
              <w:t>35 330</w:t>
            </w:r>
          </w:p>
        </w:tc>
      </w:tr>
      <w:tr w:rsidR="0029639D" w:rsidRPr="00415876" w14:paraId="49289318"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460C14A1" w14:textId="1F6AD8B4" w:rsidR="0029639D" w:rsidRPr="00415876" w:rsidRDefault="0029639D" w:rsidP="00120F79">
            <w:pPr>
              <w:jc w:val="right"/>
              <w:rPr>
                <w:kern w:val="22"/>
                <w:szCs w:val="22"/>
                <w:lang w:val="fr-CA" w:eastAsia="en-CA"/>
              </w:rPr>
            </w:pPr>
            <w:r>
              <w:rPr>
                <w:kern w:val="22"/>
                <w:szCs w:val="22"/>
                <w:lang w:val="fr-CA" w:eastAsia="en-CA"/>
              </w:rPr>
              <w:t>8</w:t>
            </w:r>
          </w:p>
        </w:tc>
        <w:tc>
          <w:tcPr>
            <w:tcW w:w="3823" w:type="dxa"/>
            <w:tcBorders>
              <w:top w:val="nil"/>
              <w:left w:val="nil"/>
              <w:bottom w:val="single" w:sz="4" w:space="0" w:color="auto"/>
              <w:right w:val="single" w:sz="4" w:space="0" w:color="auto"/>
            </w:tcBorders>
            <w:shd w:val="clear" w:color="auto" w:fill="auto"/>
            <w:vAlign w:val="center"/>
            <w:hideMark/>
          </w:tcPr>
          <w:p w14:paraId="58803423" w14:textId="77777777" w:rsidR="0029639D" w:rsidRPr="00415876" w:rsidRDefault="0029639D" w:rsidP="00120F79">
            <w:pPr>
              <w:jc w:val="left"/>
              <w:rPr>
                <w:kern w:val="22"/>
                <w:szCs w:val="22"/>
                <w:lang w:val="fr-CA" w:eastAsia="en-CA"/>
              </w:rPr>
            </w:pPr>
            <w:r w:rsidRPr="00415876">
              <w:rPr>
                <w:kern w:val="22"/>
                <w:szCs w:val="22"/>
                <w:lang w:val="fr-CA" w:eastAsia="en-CA"/>
              </w:rPr>
              <w:t>Argentine</w:t>
            </w:r>
          </w:p>
        </w:tc>
        <w:tc>
          <w:tcPr>
            <w:tcW w:w="1472" w:type="dxa"/>
            <w:tcBorders>
              <w:top w:val="nil"/>
              <w:left w:val="nil"/>
              <w:bottom w:val="single" w:sz="4" w:space="0" w:color="auto"/>
              <w:right w:val="single" w:sz="4" w:space="0" w:color="auto"/>
            </w:tcBorders>
            <w:shd w:val="clear" w:color="auto" w:fill="auto"/>
            <w:vAlign w:val="center"/>
            <w:hideMark/>
          </w:tcPr>
          <w:p w14:paraId="495CFFC7"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915</w:t>
            </w:r>
          </w:p>
        </w:tc>
        <w:tc>
          <w:tcPr>
            <w:tcW w:w="1715" w:type="dxa"/>
            <w:tcBorders>
              <w:top w:val="nil"/>
              <w:left w:val="nil"/>
              <w:bottom w:val="single" w:sz="4" w:space="0" w:color="auto"/>
              <w:right w:val="single" w:sz="4" w:space="0" w:color="auto"/>
            </w:tcBorders>
            <w:shd w:val="clear" w:color="auto" w:fill="auto"/>
            <w:noWrap/>
            <w:vAlign w:val="center"/>
            <w:hideMark/>
          </w:tcPr>
          <w:p w14:paraId="0FCD3FB3" w14:textId="77777777" w:rsidR="0029639D" w:rsidRPr="00415876" w:rsidRDefault="0029639D" w:rsidP="0029639D">
            <w:pPr>
              <w:tabs>
                <w:tab w:val="left" w:pos="1257"/>
              </w:tabs>
              <w:ind w:right="144"/>
              <w:jc w:val="right"/>
              <w:rPr>
                <w:kern w:val="22"/>
                <w:szCs w:val="22"/>
                <w:lang w:val="fr-CA" w:eastAsia="en-CA"/>
              </w:rPr>
            </w:pPr>
            <w:r w:rsidRPr="00415876">
              <w:rPr>
                <w:kern w:val="22"/>
                <w:szCs w:val="22"/>
                <w:lang w:val="fr-CA" w:eastAsia="en-CA"/>
              </w:rPr>
              <w:t>1</w:t>
            </w:r>
            <w:r>
              <w:rPr>
                <w:kern w:val="22"/>
                <w:szCs w:val="22"/>
                <w:lang w:val="fr-CA" w:eastAsia="en-CA"/>
              </w:rPr>
              <w:t>,</w:t>
            </w:r>
            <w:r w:rsidRPr="00415876">
              <w:rPr>
                <w:kern w:val="22"/>
                <w:szCs w:val="22"/>
                <w:lang w:val="fr-CA" w:eastAsia="en-CA"/>
              </w:rPr>
              <w:t>470</w:t>
            </w:r>
          </w:p>
        </w:tc>
        <w:tc>
          <w:tcPr>
            <w:tcW w:w="1715" w:type="dxa"/>
            <w:tcBorders>
              <w:top w:val="nil"/>
              <w:left w:val="nil"/>
              <w:bottom w:val="single" w:sz="4" w:space="0" w:color="auto"/>
              <w:right w:val="single" w:sz="4" w:space="0" w:color="auto"/>
            </w:tcBorders>
            <w:shd w:val="clear" w:color="auto" w:fill="auto"/>
            <w:noWrap/>
            <w:vAlign w:val="center"/>
            <w:hideMark/>
          </w:tcPr>
          <w:p w14:paraId="501177AA" w14:textId="77777777" w:rsidR="0029639D" w:rsidRPr="00415876" w:rsidRDefault="0029639D" w:rsidP="0029639D">
            <w:pPr>
              <w:ind w:right="247"/>
              <w:jc w:val="right"/>
              <w:rPr>
                <w:kern w:val="22"/>
                <w:szCs w:val="22"/>
                <w:lang w:val="fr-CA" w:eastAsia="en-CA"/>
              </w:rPr>
            </w:pPr>
            <w:r w:rsidRPr="00415876">
              <w:rPr>
                <w:kern w:val="22"/>
                <w:szCs w:val="22"/>
                <w:lang w:val="fr-CA" w:eastAsia="en-CA"/>
              </w:rPr>
              <w:t>27 583</w:t>
            </w:r>
          </w:p>
        </w:tc>
      </w:tr>
      <w:tr w:rsidR="0029639D" w:rsidRPr="00415876" w14:paraId="1F022E54"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349FCD7F" w14:textId="1083C9EF" w:rsidR="0029639D" w:rsidRPr="00415876" w:rsidRDefault="0029639D" w:rsidP="00120F79">
            <w:pPr>
              <w:jc w:val="right"/>
              <w:rPr>
                <w:kern w:val="22"/>
                <w:szCs w:val="22"/>
                <w:lang w:val="fr-CA" w:eastAsia="en-CA"/>
              </w:rPr>
            </w:pPr>
            <w:r>
              <w:rPr>
                <w:kern w:val="22"/>
                <w:szCs w:val="22"/>
                <w:lang w:val="fr-CA" w:eastAsia="en-CA"/>
              </w:rPr>
              <w:t>9</w:t>
            </w:r>
          </w:p>
        </w:tc>
        <w:tc>
          <w:tcPr>
            <w:tcW w:w="3823" w:type="dxa"/>
            <w:tcBorders>
              <w:top w:val="nil"/>
              <w:left w:val="nil"/>
              <w:bottom w:val="single" w:sz="4" w:space="0" w:color="auto"/>
              <w:right w:val="single" w:sz="4" w:space="0" w:color="auto"/>
            </w:tcBorders>
            <w:shd w:val="clear" w:color="auto" w:fill="auto"/>
            <w:vAlign w:val="center"/>
            <w:hideMark/>
          </w:tcPr>
          <w:p w14:paraId="719B4971" w14:textId="77777777" w:rsidR="0029639D" w:rsidRPr="00415876" w:rsidRDefault="0029639D" w:rsidP="00120F79">
            <w:pPr>
              <w:jc w:val="left"/>
              <w:rPr>
                <w:kern w:val="22"/>
                <w:szCs w:val="22"/>
                <w:lang w:val="fr-CA" w:eastAsia="en-CA"/>
              </w:rPr>
            </w:pPr>
            <w:r>
              <w:rPr>
                <w:kern w:val="22"/>
                <w:szCs w:val="22"/>
                <w:lang w:val="fr-CA" w:eastAsia="en-CA"/>
              </w:rPr>
              <w:t>Autriche</w:t>
            </w:r>
          </w:p>
        </w:tc>
        <w:tc>
          <w:tcPr>
            <w:tcW w:w="1472" w:type="dxa"/>
            <w:tcBorders>
              <w:top w:val="nil"/>
              <w:left w:val="nil"/>
              <w:bottom w:val="single" w:sz="4" w:space="0" w:color="auto"/>
              <w:right w:val="single" w:sz="4" w:space="0" w:color="auto"/>
            </w:tcBorders>
            <w:shd w:val="clear" w:color="auto" w:fill="auto"/>
            <w:vAlign w:val="center"/>
            <w:hideMark/>
          </w:tcPr>
          <w:p w14:paraId="6D5D58C1"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677</w:t>
            </w:r>
          </w:p>
        </w:tc>
        <w:tc>
          <w:tcPr>
            <w:tcW w:w="1715" w:type="dxa"/>
            <w:tcBorders>
              <w:top w:val="nil"/>
              <w:left w:val="nil"/>
              <w:bottom w:val="single" w:sz="4" w:space="0" w:color="auto"/>
              <w:right w:val="single" w:sz="4" w:space="0" w:color="auto"/>
            </w:tcBorders>
            <w:shd w:val="clear" w:color="auto" w:fill="auto"/>
            <w:noWrap/>
            <w:vAlign w:val="center"/>
            <w:hideMark/>
          </w:tcPr>
          <w:p w14:paraId="3122C2C0" w14:textId="77777777" w:rsidR="0029639D" w:rsidRPr="00415876" w:rsidRDefault="0029639D" w:rsidP="0029639D">
            <w:pPr>
              <w:tabs>
                <w:tab w:val="left" w:pos="1257"/>
              </w:tabs>
              <w:ind w:right="144"/>
              <w:jc w:val="right"/>
              <w:rPr>
                <w:kern w:val="22"/>
                <w:szCs w:val="22"/>
                <w:lang w:val="fr-CA" w:eastAsia="en-CA"/>
              </w:rPr>
            </w:pPr>
            <w:r w:rsidRPr="00415876">
              <w:rPr>
                <w:kern w:val="22"/>
                <w:szCs w:val="22"/>
                <w:lang w:val="fr-CA" w:eastAsia="en-CA"/>
              </w:rPr>
              <w:t>1</w:t>
            </w:r>
            <w:r>
              <w:rPr>
                <w:kern w:val="22"/>
                <w:szCs w:val="22"/>
                <w:lang w:val="fr-CA" w:eastAsia="en-CA"/>
              </w:rPr>
              <w:t>,</w:t>
            </w:r>
            <w:r w:rsidRPr="00415876">
              <w:rPr>
                <w:kern w:val="22"/>
                <w:szCs w:val="22"/>
                <w:lang w:val="fr-CA" w:eastAsia="en-CA"/>
              </w:rPr>
              <w:t>088</w:t>
            </w:r>
          </w:p>
        </w:tc>
        <w:tc>
          <w:tcPr>
            <w:tcW w:w="1715" w:type="dxa"/>
            <w:tcBorders>
              <w:top w:val="nil"/>
              <w:left w:val="nil"/>
              <w:bottom w:val="single" w:sz="4" w:space="0" w:color="auto"/>
              <w:right w:val="single" w:sz="4" w:space="0" w:color="auto"/>
            </w:tcBorders>
            <w:shd w:val="clear" w:color="auto" w:fill="auto"/>
            <w:noWrap/>
            <w:vAlign w:val="center"/>
            <w:hideMark/>
          </w:tcPr>
          <w:p w14:paraId="1D96031D" w14:textId="77777777" w:rsidR="0029639D" w:rsidRPr="00415876" w:rsidRDefault="0029639D" w:rsidP="0029639D">
            <w:pPr>
              <w:ind w:right="247"/>
              <w:jc w:val="right"/>
              <w:rPr>
                <w:kern w:val="22"/>
                <w:szCs w:val="22"/>
                <w:lang w:val="fr-CA" w:eastAsia="en-CA"/>
              </w:rPr>
            </w:pPr>
            <w:r w:rsidRPr="00415876">
              <w:rPr>
                <w:kern w:val="22"/>
                <w:szCs w:val="22"/>
                <w:lang w:val="fr-CA" w:eastAsia="en-CA"/>
              </w:rPr>
              <w:t>20 408</w:t>
            </w:r>
          </w:p>
        </w:tc>
      </w:tr>
      <w:tr w:rsidR="0029639D" w:rsidRPr="00415876" w14:paraId="0B8DA4C1"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31B8083C" w14:textId="6D02548B" w:rsidR="0029639D" w:rsidRPr="00415876" w:rsidRDefault="0029639D" w:rsidP="00120F79">
            <w:pPr>
              <w:jc w:val="right"/>
              <w:rPr>
                <w:kern w:val="22"/>
                <w:szCs w:val="22"/>
                <w:lang w:val="fr-CA" w:eastAsia="en-CA"/>
              </w:rPr>
            </w:pPr>
            <w:r>
              <w:rPr>
                <w:kern w:val="22"/>
                <w:szCs w:val="22"/>
                <w:lang w:val="fr-CA" w:eastAsia="en-CA"/>
              </w:rPr>
              <w:t>10</w:t>
            </w:r>
          </w:p>
        </w:tc>
        <w:tc>
          <w:tcPr>
            <w:tcW w:w="3823" w:type="dxa"/>
            <w:tcBorders>
              <w:top w:val="nil"/>
              <w:left w:val="nil"/>
              <w:bottom w:val="single" w:sz="4" w:space="0" w:color="auto"/>
              <w:right w:val="single" w:sz="4" w:space="0" w:color="auto"/>
            </w:tcBorders>
            <w:shd w:val="clear" w:color="auto" w:fill="auto"/>
            <w:vAlign w:val="center"/>
            <w:hideMark/>
          </w:tcPr>
          <w:p w14:paraId="7C20B6B7" w14:textId="77777777" w:rsidR="0029639D" w:rsidRPr="00415876" w:rsidRDefault="0029639D" w:rsidP="00120F79">
            <w:pPr>
              <w:jc w:val="left"/>
              <w:rPr>
                <w:kern w:val="22"/>
                <w:szCs w:val="22"/>
                <w:lang w:val="fr-CA" w:eastAsia="en-CA"/>
              </w:rPr>
            </w:pPr>
            <w:r w:rsidRPr="00415876">
              <w:rPr>
                <w:kern w:val="22"/>
                <w:szCs w:val="22"/>
                <w:lang w:val="fr-CA" w:eastAsia="en-CA"/>
              </w:rPr>
              <w:t>Belarus</w:t>
            </w:r>
          </w:p>
        </w:tc>
        <w:tc>
          <w:tcPr>
            <w:tcW w:w="1472" w:type="dxa"/>
            <w:tcBorders>
              <w:top w:val="nil"/>
              <w:left w:val="nil"/>
              <w:bottom w:val="single" w:sz="4" w:space="0" w:color="auto"/>
              <w:right w:val="single" w:sz="4" w:space="0" w:color="auto"/>
            </w:tcBorders>
            <w:shd w:val="clear" w:color="auto" w:fill="auto"/>
            <w:vAlign w:val="center"/>
            <w:hideMark/>
          </w:tcPr>
          <w:p w14:paraId="0E0E9148"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049</w:t>
            </w:r>
          </w:p>
        </w:tc>
        <w:tc>
          <w:tcPr>
            <w:tcW w:w="1715" w:type="dxa"/>
            <w:tcBorders>
              <w:top w:val="nil"/>
              <w:left w:val="nil"/>
              <w:bottom w:val="single" w:sz="4" w:space="0" w:color="auto"/>
              <w:right w:val="single" w:sz="4" w:space="0" w:color="auto"/>
            </w:tcBorders>
            <w:shd w:val="clear" w:color="auto" w:fill="auto"/>
            <w:noWrap/>
            <w:vAlign w:val="center"/>
            <w:hideMark/>
          </w:tcPr>
          <w:p w14:paraId="5FE821F0" w14:textId="77777777" w:rsidR="0029639D" w:rsidRPr="00415876" w:rsidRDefault="0029639D" w:rsidP="0029639D">
            <w:pPr>
              <w:tabs>
                <w:tab w:val="left" w:pos="1257"/>
              </w:tabs>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079</w:t>
            </w:r>
          </w:p>
        </w:tc>
        <w:tc>
          <w:tcPr>
            <w:tcW w:w="1715" w:type="dxa"/>
            <w:tcBorders>
              <w:top w:val="nil"/>
              <w:left w:val="nil"/>
              <w:bottom w:val="single" w:sz="4" w:space="0" w:color="auto"/>
              <w:right w:val="single" w:sz="4" w:space="0" w:color="auto"/>
            </w:tcBorders>
            <w:shd w:val="clear" w:color="auto" w:fill="auto"/>
            <w:noWrap/>
            <w:vAlign w:val="center"/>
            <w:hideMark/>
          </w:tcPr>
          <w:p w14:paraId="676AE986" w14:textId="77777777" w:rsidR="0029639D" w:rsidRPr="00415876" w:rsidRDefault="0029639D" w:rsidP="0029639D">
            <w:pPr>
              <w:ind w:right="247"/>
              <w:jc w:val="right"/>
              <w:rPr>
                <w:kern w:val="22"/>
                <w:szCs w:val="22"/>
                <w:lang w:val="fr-CA" w:eastAsia="en-CA"/>
              </w:rPr>
            </w:pPr>
            <w:r w:rsidRPr="00415876">
              <w:rPr>
                <w:kern w:val="22"/>
                <w:szCs w:val="22"/>
                <w:lang w:val="fr-CA" w:eastAsia="en-CA"/>
              </w:rPr>
              <w:t>1 477</w:t>
            </w:r>
          </w:p>
        </w:tc>
      </w:tr>
      <w:tr w:rsidR="0029639D" w:rsidRPr="00415876" w14:paraId="094303A2"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53F6493E" w14:textId="730FE765" w:rsidR="0029639D" w:rsidRPr="00415876" w:rsidRDefault="0029639D" w:rsidP="00120F79">
            <w:pPr>
              <w:jc w:val="right"/>
              <w:rPr>
                <w:kern w:val="22"/>
                <w:szCs w:val="22"/>
                <w:lang w:val="fr-CA" w:eastAsia="en-CA"/>
              </w:rPr>
            </w:pPr>
            <w:r>
              <w:rPr>
                <w:kern w:val="22"/>
                <w:szCs w:val="22"/>
                <w:lang w:val="fr-CA" w:eastAsia="en-CA"/>
              </w:rPr>
              <w:t>11</w:t>
            </w:r>
          </w:p>
        </w:tc>
        <w:tc>
          <w:tcPr>
            <w:tcW w:w="3823" w:type="dxa"/>
            <w:tcBorders>
              <w:top w:val="nil"/>
              <w:left w:val="nil"/>
              <w:bottom w:val="single" w:sz="4" w:space="0" w:color="auto"/>
              <w:right w:val="single" w:sz="4" w:space="0" w:color="auto"/>
            </w:tcBorders>
            <w:shd w:val="clear" w:color="auto" w:fill="auto"/>
            <w:vAlign w:val="center"/>
            <w:hideMark/>
          </w:tcPr>
          <w:p w14:paraId="2A64B427" w14:textId="77777777" w:rsidR="0029639D" w:rsidRPr="00415876" w:rsidRDefault="0029639D" w:rsidP="00415876">
            <w:pPr>
              <w:jc w:val="left"/>
              <w:rPr>
                <w:kern w:val="22"/>
                <w:szCs w:val="22"/>
                <w:lang w:val="fr-CA" w:eastAsia="en-CA"/>
              </w:rPr>
            </w:pPr>
            <w:r w:rsidRPr="00415876">
              <w:rPr>
                <w:kern w:val="22"/>
                <w:szCs w:val="22"/>
                <w:lang w:val="fr-CA" w:eastAsia="en-CA"/>
              </w:rPr>
              <w:t>Belgi</w:t>
            </w:r>
            <w:r>
              <w:rPr>
                <w:kern w:val="22"/>
                <w:szCs w:val="22"/>
                <w:lang w:val="fr-CA" w:eastAsia="en-CA"/>
              </w:rPr>
              <w:t>que</w:t>
            </w:r>
          </w:p>
        </w:tc>
        <w:tc>
          <w:tcPr>
            <w:tcW w:w="1472" w:type="dxa"/>
            <w:tcBorders>
              <w:top w:val="nil"/>
              <w:left w:val="nil"/>
              <w:bottom w:val="single" w:sz="4" w:space="0" w:color="auto"/>
              <w:right w:val="single" w:sz="4" w:space="0" w:color="auto"/>
            </w:tcBorders>
            <w:shd w:val="clear" w:color="auto" w:fill="auto"/>
            <w:vAlign w:val="center"/>
            <w:hideMark/>
          </w:tcPr>
          <w:p w14:paraId="746013D5"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821</w:t>
            </w:r>
          </w:p>
        </w:tc>
        <w:tc>
          <w:tcPr>
            <w:tcW w:w="1715" w:type="dxa"/>
            <w:tcBorders>
              <w:top w:val="nil"/>
              <w:left w:val="nil"/>
              <w:bottom w:val="single" w:sz="4" w:space="0" w:color="auto"/>
              <w:right w:val="single" w:sz="4" w:space="0" w:color="auto"/>
            </w:tcBorders>
            <w:shd w:val="clear" w:color="auto" w:fill="auto"/>
            <w:noWrap/>
            <w:vAlign w:val="center"/>
            <w:hideMark/>
          </w:tcPr>
          <w:p w14:paraId="24E5C027" w14:textId="77777777" w:rsidR="0029639D" w:rsidRPr="00415876" w:rsidRDefault="0029639D" w:rsidP="0029639D">
            <w:pPr>
              <w:tabs>
                <w:tab w:val="left" w:pos="1257"/>
              </w:tabs>
              <w:ind w:right="144"/>
              <w:jc w:val="right"/>
              <w:rPr>
                <w:kern w:val="22"/>
                <w:szCs w:val="22"/>
                <w:lang w:val="fr-CA" w:eastAsia="en-CA"/>
              </w:rPr>
            </w:pPr>
            <w:r w:rsidRPr="00415876">
              <w:rPr>
                <w:kern w:val="22"/>
                <w:szCs w:val="22"/>
                <w:lang w:val="fr-CA" w:eastAsia="en-CA"/>
              </w:rPr>
              <w:t>1</w:t>
            </w:r>
            <w:r>
              <w:rPr>
                <w:kern w:val="22"/>
                <w:szCs w:val="22"/>
                <w:lang w:val="fr-CA" w:eastAsia="en-CA"/>
              </w:rPr>
              <w:t>,</w:t>
            </w:r>
            <w:r w:rsidRPr="00415876">
              <w:rPr>
                <w:kern w:val="22"/>
                <w:szCs w:val="22"/>
                <w:lang w:val="fr-CA" w:eastAsia="en-CA"/>
              </w:rPr>
              <w:t>319</w:t>
            </w:r>
          </w:p>
        </w:tc>
        <w:tc>
          <w:tcPr>
            <w:tcW w:w="1715" w:type="dxa"/>
            <w:tcBorders>
              <w:top w:val="nil"/>
              <w:left w:val="nil"/>
              <w:bottom w:val="single" w:sz="4" w:space="0" w:color="auto"/>
              <w:right w:val="single" w:sz="4" w:space="0" w:color="auto"/>
            </w:tcBorders>
            <w:shd w:val="clear" w:color="auto" w:fill="auto"/>
            <w:noWrap/>
            <w:vAlign w:val="center"/>
            <w:hideMark/>
          </w:tcPr>
          <w:p w14:paraId="1D094FB1" w14:textId="77777777" w:rsidR="0029639D" w:rsidRPr="00415876" w:rsidRDefault="0029639D" w:rsidP="0029639D">
            <w:pPr>
              <w:ind w:right="247"/>
              <w:jc w:val="right"/>
              <w:rPr>
                <w:kern w:val="22"/>
                <w:szCs w:val="22"/>
                <w:lang w:val="fr-CA" w:eastAsia="en-CA"/>
              </w:rPr>
            </w:pPr>
            <w:r w:rsidRPr="00415876">
              <w:rPr>
                <w:kern w:val="22"/>
                <w:szCs w:val="22"/>
                <w:lang w:val="fr-CA" w:eastAsia="en-CA"/>
              </w:rPr>
              <w:t>24 749</w:t>
            </w:r>
          </w:p>
        </w:tc>
      </w:tr>
      <w:tr w:rsidR="0029639D" w:rsidRPr="00415876" w14:paraId="23B8D116"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6AEF1885" w14:textId="0DB79052" w:rsidR="0029639D" w:rsidRPr="00415876" w:rsidRDefault="0029639D" w:rsidP="00120F79">
            <w:pPr>
              <w:jc w:val="right"/>
              <w:rPr>
                <w:kern w:val="22"/>
                <w:szCs w:val="22"/>
                <w:lang w:val="fr-CA" w:eastAsia="en-CA"/>
              </w:rPr>
            </w:pPr>
            <w:r>
              <w:rPr>
                <w:kern w:val="22"/>
                <w:szCs w:val="22"/>
                <w:lang w:val="fr-CA" w:eastAsia="en-CA"/>
              </w:rPr>
              <w:t>12</w:t>
            </w:r>
          </w:p>
        </w:tc>
        <w:tc>
          <w:tcPr>
            <w:tcW w:w="3823" w:type="dxa"/>
            <w:tcBorders>
              <w:top w:val="nil"/>
              <w:left w:val="nil"/>
              <w:bottom w:val="single" w:sz="4" w:space="0" w:color="auto"/>
              <w:right w:val="single" w:sz="4" w:space="0" w:color="auto"/>
            </w:tcBorders>
            <w:shd w:val="clear" w:color="auto" w:fill="auto"/>
            <w:vAlign w:val="center"/>
            <w:hideMark/>
          </w:tcPr>
          <w:p w14:paraId="718C88C5" w14:textId="77777777" w:rsidR="0029639D" w:rsidRPr="00415876" w:rsidRDefault="0029639D" w:rsidP="00415876">
            <w:pPr>
              <w:jc w:val="left"/>
              <w:rPr>
                <w:kern w:val="22"/>
                <w:szCs w:val="22"/>
                <w:lang w:val="fr-CA" w:eastAsia="en-CA"/>
              </w:rPr>
            </w:pPr>
            <w:r w:rsidRPr="00415876">
              <w:rPr>
                <w:kern w:val="22"/>
                <w:szCs w:val="22"/>
                <w:lang w:val="fr-CA" w:eastAsia="en-CA"/>
              </w:rPr>
              <w:t>B</w:t>
            </w:r>
            <w:r>
              <w:rPr>
                <w:kern w:val="22"/>
                <w:szCs w:val="22"/>
                <w:lang w:val="fr-CA" w:eastAsia="en-CA"/>
              </w:rPr>
              <w:t>é</w:t>
            </w:r>
            <w:r w:rsidRPr="00415876">
              <w:rPr>
                <w:kern w:val="22"/>
                <w:szCs w:val="22"/>
                <w:lang w:val="fr-CA" w:eastAsia="en-CA"/>
              </w:rPr>
              <w:t>nin</w:t>
            </w:r>
          </w:p>
        </w:tc>
        <w:tc>
          <w:tcPr>
            <w:tcW w:w="1472" w:type="dxa"/>
            <w:tcBorders>
              <w:top w:val="nil"/>
              <w:left w:val="nil"/>
              <w:bottom w:val="single" w:sz="4" w:space="0" w:color="auto"/>
              <w:right w:val="single" w:sz="4" w:space="0" w:color="auto"/>
            </w:tcBorders>
            <w:shd w:val="clear" w:color="auto" w:fill="auto"/>
            <w:vAlign w:val="center"/>
            <w:hideMark/>
          </w:tcPr>
          <w:p w14:paraId="3767E17B"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003</w:t>
            </w:r>
          </w:p>
        </w:tc>
        <w:tc>
          <w:tcPr>
            <w:tcW w:w="1715" w:type="dxa"/>
            <w:tcBorders>
              <w:top w:val="nil"/>
              <w:left w:val="nil"/>
              <w:bottom w:val="single" w:sz="4" w:space="0" w:color="auto"/>
              <w:right w:val="single" w:sz="4" w:space="0" w:color="auto"/>
            </w:tcBorders>
            <w:shd w:val="clear" w:color="auto" w:fill="auto"/>
            <w:noWrap/>
            <w:vAlign w:val="center"/>
            <w:hideMark/>
          </w:tcPr>
          <w:p w14:paraId="27420586" w14:textId="77777777" w:rsidR="0029639D" w:rsidRPr="00415876" w:rsidRDefault="0029639D" w:rsidP="0029639D">
            <w:pPr>
              <w:tabs>
                <w:tab w:val="left" w:pos="1257"/>
              </w:tabs>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005</w:t>
            </w:r>
          </w:p>
        </w:tc>
        <w:tc>
          <w:tcPr>
            <w:tcW w:w="1715" w:type="dxa"/>
            <w:tcBorders>
              <w:top w:val="nil"/>
              <w:left w:val="nil"/>
              <w:bottom w:val="single" w:sz="4" w:space="0" w:color="auto"/>
              <w:right w:val="single" w:sz="4" w:space="0" w:color="auto"/>
            </w:tcBorders>
            <w:shd w:val="clear" w:color="auto" w:fill="auto"/>
            <w:noWrap/>
            <w:vAlign w:val="center"/>
            <w:hideMark/>
          </w:tcPr>
          <w:p w14:paraId="2ADAB75A" w14:textId="77777777" w:rsidR="0029639D" w:rsidRPr="00415876" w:rsidRDefault="0029639D" w:rsidP="0029639D">
            <w:pPr>
              <w:ind w:right="247"/>
              <w:jc w:val="right"/>
              <w:rPr>
                <w:kern w:val="22"/>
                <w:szCs w:val="22"/>
                <w:lang w:val="fr-CA" w:eastAsia="en-CA"/>
              </w:rPr>
            </w:pPr>
            <w:r w:rsidRPr="00415876">
              <w:rPr>
                <w:kern w:val="22"/>
                <w:szCs w:val="22"/>
                <w:lang w:val="fr-CA" w:eastAsia="en-CA"/>
              </w:rPr>
              <w:t>90</w:t>
            </w:r>
          </w:p>
        </w:tc>
      </w:tr>
      <w:tr w:rsidR="0029639D" w:rsidRPr="00415876" w14:paraId="78D22D91"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043A0739" w14:textId="64680D05" w:rsidR="0029639D" w:rsidRPr="00415876" w:rsidRDefault="0029639D" w:rsidP="00120F79">
            <w:pPr>
              <w:jc w:val="right"/>
              <w:rPr>
                <w:kern w:val="22"/>
                <w:szCs w:val="22"/>
                <w:lang w:val="fr-CA" w:eastAsia="en-CA"/>
              </w:rPr>
            </w:pPr>
            <w:r>
              <w:rPr>
                <w:kern w:val="22"/>
                <w:szCs w:val="22"/>
                <w:lang w:val="fr-CA" w:eastAsia="en-CA"/>
              </w:rPr>
              <w:t>13</w:t>
            </w:r>
          </w:p>
        </w:tc>
        <w:tc>
          <w:tcPr>
            <w:tcW w:w="3823" w:type="dxa"/>
            <w:tcBorders>
              <w:top w:val="nil"/>
              <w:left w:val="nil"/>
              <w:bottom w:val="single" w:sz="4" w:space="0" w:color="auto"/>
              <w:right w:val="single" w:sz="4" w:space="0" w:color="auto"/>
            </w:tcBorders>
            <w:shd w:val="clear" w:color="auto" w:fill="auto"/>
            <w:vAlign w:val="center"/>
            <w:hideMark/>
          </w:tcPr>
          <w:p w14:paraId="4133BB19" w14:textId="77777777" w:rsidR="0029639D" w:rsidRPr="00415876" w:rsidRDefault="0029639D" w:rsidP="00120F79">
            <w:pPr>
              <w:jc w:val="left"/>
              <w:rPr>
                <w:kern w:val="22"/>
                <w:szCs w:val="22"/>
                <w:lang w:val="fr-CA" w:eastAsia="en-CA"/>
              </w:rPr>
            </w:pPr>
            <w:r w:rsidRPr="00415876">
              <w:rPr>
                <w:kern w:val="22"/>
                <w:szCs w:val="22"/>
                <w:lang w:val="fr-CA" w:eastAsia="en-CA"/>
              </w:rPr>
              <w:t>Bh</w:t>
            </w:r>
            <w:r>
              <w:rPr>
                <w:kern w:val="22"/>
                <w:szCs w:val="22"/>
                <w:lang w:val="fr-CA" w:eastAsia="en-CA"/>
              </w:rPr>
              <w:t>o</w:t>
            </w:r>
            <w:r w:rsidRPr="00415876">
              <w:rPr>
                <w:kern w:val="22"/>
                <w:szCs w:val="22"/>
                <w:lang w:val="fr-CA" w:eastAsia="en-CA"/>
              </w:rPr>
              <w:t>utan</w:t>
            </w:r>
          </w:p>
        </w:tc>
        <w:tc>
          <w:tcPr>
            <w:tcW w:w="1472" w:type="dxa"/>
            <w:tcBorders>
              <w:top w:val="nil"/>
              <w:left w:val="nil"/>
              <w:bottom w:val="single" w:sz="4" w:space="0" w:color="auto"/>
              <w:right w:val="single" w:sz="4" w:space="0" w:color="auto"/>
            </w:tcBorders>
            <w:shd w:val="clear" w:color="auto" w:fill="auto"/>
            <w:vAlign w:val="center"/>
            <w:hideMark/>
          </w:tcPr>
          <w:p w14:paraId="789D7A0E"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001</w:t>
            </w:r>
          </w:p>
        </w:tc>
        <w:tc>
          <w:tcPr>
            <w:tcW w:w="1715" w:type="dxa"/>
            <w:tcBorders>
              <w:top w:val="nil"/>
              <w:left w:val="nil"/>
              <w:bottom w:val="single" w:sz="4" w:space="0" w:color="auto"/>
              <w:right w:val="single" w:sz="4" w:space="0" w:color="auto"/>
            </w:tcBorders>
            <w:shd w:val="clear" w:color="auto" w:fill="auto"/>
            <w:noWrap/>
            <w:vAlign w:val="center"/>
            <w:hideMark/>
          </w:tcPr>
          <w:p w14:paraId="4C607255" w14:textId="77777777" w:rsidR="0029639D" w:rsidRPr="00415876" w:rsidRDefault="0029639D" w:rsidP="0029639D">
            <w:pPr>
              <w:tabs>
                <w:tab w:val="left" w:pos="1257"/>
              </w:tabs>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002</w:t>
            </w:r>
          </w:p>
        </w:tc>
        <w:tc>
          <w:tcPr>
            <w:tcW w:w="1715" w:type="dxa"/>
            <w:tcBorders>
              <w:top w:val="nil"/>
              <w:left w:val="nil"/>
              <w:bottom w:val="single" w:sz="4" w:space="0" w:color="auto"/>
              <w:right w:val="single" w:sz="4" w:space="0" w:color="auto"/>
            </w:tcBorders>
            <w:shd w:val="clear" w:color="auto" w:fill="auto"/>
            <w:noWrap/>
            <w:vAlign w:val="center"/>
            <w:hideMark/>
          </w:tcPr>
          <w:p w14:paraId="2B0EFB79" w14:textId="77777777" w:rsidR="0029639D" w:rsidRPr="00415876" w:rsidRDefault="0029639D" w:rsidP="0029639D">
            <w:pPr>
              <w:ind w:right="247"/>
              <w:jc w:val="right"/>
              <w:rPr>
                <w:kern w:val="22"/>
                <w:szCs w:val="22"/>
                <w:lang w:val="fr-CA" w:eastAsia="en-CA"/>
              </w:rPr>
            </w:pPr>
            <w:r w:rsidRPr="00415876">
              <w:rPr>
                <w:kern w:val="22"/>
                <w:szCs w:val="22"/>
                <w:lang w:val="fr-CA" w:eastAsia="en-CA"/>
              </w:rPr>
              <w:t>30</w:t>
            </w:r>
          </w:p>
        </w:tc>
      </w:tr>
      <w:tr w:rsidR="0029639D" w:rsidRPr="00415876" w14:paraId="57BB9340"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322B00FF" w14:textId="4E76A46F" w:rsidR="0029639D" w:rsidRPr="00415876" w:rsidRDefault="0029639D" w:rsidP="00120F79">
            <w:pPr>
              <w:jc w:val="right"/>
              <w:rPr>
                <w:kern w:val="22"/>
                <w:szCs w:val="22"/>
                <w:lang w:val="fr-CA" w:eastAsia="en-CA"/>
              </w:rPr>
            </w:pPr>
            <w:r>
              <w:rPr>
                <w:kern w:val="22"/>
                <w:szCs w:val="22"/>
                <w:lang w:val="fr-CA" w:eastAsia="en-CA"/>
              </w:rPr>
              <w:t>14</w:t>
            </w:r>
          </w:p>
        </w:tc>
        <w:tc>
          <w:tcPr>
            <w:tcW w:w="3823" w:type="dxa"/>
            <w:tcBorders>
              <w:top w:val="nil"/>
              <w:left w:val="nil"/>
              <w:bottom w:val="single" w:sz="4" w:space="0" w:color="auto"/>
              <w:right w:val="single" w:sz="4" w:space="0" w:color="auto"/>
            </w:tcBorders>
            <w:shd w:val="clear" w:color="auto" w:fill="auto"/>
            <w:vAlign w:val="center"/>
            <w:hideMark/>
          </w:tcPr>
          <w:p w14:paraId="36D21113" w14:textId="77777777" w:rsidR="0029639D" w:rsidRPr="00415876" w:rsidRDefault="0029639D" w:rsidP="00415876">
            <w:pPr>
              <w:jc w:val="left"/>
              <w:rPr>
                <w:kern w:val="22"/>
                <w:szCs w:val="22"/>
                <w:lang w:val="fr-CA" w:eastAsia="en-CA"/>
              </w:rPr>
            </w:pPr>
            <w:r>
              <w:rPr>
                <w:kern w:val="22"/>
                <w:szCs w:val="22"/>
                <w:lang w:val="fr-CA" w:eastAsia="en-CA"/>
              </w:rPr>
              <w:t>Bolivie</w:t>
            </w:r>
            <w:r w:rsidRPr="00415876">
              <w:rPr>
                <w:kern w:val="22"/>
                <w:szCs w:val="22"/>
                <w:lang w:val="fr-CA" w:eastAsia="en-CA"/>
              </w:rPr>
              <w:t xml:space="preserve"> (</w:t>
            </w:r>
            <w:r>
              <w:rPr>
                <w:kern w:val="22"/>
                <w:szCs w:val="22"/>
                <w:lang w:val="fr-CA" w:eastAsia="en-CA"/>
              </w:rPr>
              <w:t>État plurinational de</w:t>
            </w:r>
            <w:r w:rsidRPr="00415876">
              <w:rPr>
                <w:kern w:val="22"/>
                <w:szCs w:val="22"/>
                <w:lang w:val="fr-CA" w:eastAsia="en-CA"/>
              </w:rPr>
              <w:t>)</w:t>
            </w:r>
          </w:p>
        </w:tc>
        <w:tc>
          <w:tcPr>
            <w:tcW w:w="1472" w:type="dxa"/>
            <w:tcBorders>
              <w:top w:val="nil"/>
              <w:left w:val="nil"/>
              <w:bottom w:val="single" w:sz="4" w:space="0" w:color="auto"/>
              <w:right w:val="single" w:sz="4" w:space="0" w:color="auto"/>
            </w:tcBorders>
            <w:shd w:val="clear" w:color="auto" w:fill="auto"/>
            <w:vAlign w:val="center"/>
            <w:hideMark/>
          </w:tcPr>
          <w:p w14:paraId="33E5E8F5"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016</w:t>
            </w:r>
          </w:p>
        </w:tc>
        <w:tc>
          <w:tcPr>
            <w:tcW w:w="1715" w:type="dxa"/>
            <w:tcBorders>
              <w:top w:val="nil"/>
              <w:left w:val="nil"/>
              <w:bottom w:val="single" w:sz="4" w:space="0" w:color="auto"/>
              <w:right w:val="single" w:sz="4" w:space="0" w:color="auto"/>
            </w:tcBorders>
            <w:shd w:val="clear" w:color="auto" w:fill="auto"/>
            <w:noWrap/>
            <w:vAlign w:val="center"/>
            <w:hideMark/>
          </w:tcPr>
          <w:p w14:paraId="1626DDCB" w14:textId="77777777" w:rsidR="0029639D" w:rsidRPr="00415876" w:rsidRDefault="0029639D" w:rsidP="0029639D">
            <w:pPr>
              <w:tabs>
                <w:tab w:val="left" w:pos="1257"/>
              </w:tabs>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026</w:t>
            </w:r>
          </w:p>
        </w:tc>
        <w:tc>
          <w:tcPr>
            <w:tcW w:w="1715" w:type="dxa"/>
            <w:tcBorders>
              <w:top w:val="nil"/>
              <w:left w:val="nil"/>
              <w:bottom w:val="single" w:sz="4" w:space="0" w:color="auto"/>
              <w:right w:val="single" w:sz="4" w:space="0" w:color="auto"/>
            </w:tcBorders>
            <w:shd w:val="clear" w:color="auto" w:fill="auto"/>
            <w:noWrap/>
            <w:vAlign w:val="center"/>
            <w:hideMark/>
          </w:tcPr>
          <w:p w14:paraId="6C175F9A" w14:textId="77777777" w:rsidR="0029639D" w:rsidRPr="00415876" w:rsidRDefault="0029639D" w:rsidP="0029639D">
            <w:pPr>
              <w:ind w:right="247"/>
              <w:jc w:val="right"/>
              <w:rPr>
                <w:kern w:val="22"/>
                <w:szCs w:val="22"/>
                <w:lang w:val="fr-CA" w:eastAsia="en-CA"/>
              </w:rPr>
            </w:pPr>
            <w:r w:rsidRPr="00415876">
              <w:rPr>
                <w:kern w:val="22"/>
                <w:szCs w:val="22"/>
                <w:lang w:val="fr-CA" w:eastAsia="en-CA"/>
              </w:rPr>
              <w:t>482</w:t>
            </w:r>
          </w:p>
        </w:tc>
      </w:tr>
      <w:tr w:rsidR="0029639D" w:rsidRPr="00415876" w14:paraId="3EE0E5E8"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520CE547" w14:textId="65F86F92" w:rsidR="0029639D" w:rsidRPr="00415876" w:rsidRDefault="0029639D" w:rsidP="00120F79">
            <w:pPr>
              <w:jc w:val="right"/>
              <w:rPr>
                <w:kern w:val="22"/>
                <w:szCs w:val="22"/>
                <w:lang w:val="fr-CA" w:eastAsia="en-CA"/>
              </w:rPr>
            </w:pPr>
            <w:r>
              <w:rPr>
                <w:kern w:val="22"/>
                <w:szCs w:val="22"/>
                <w:lang w:val="fr-CA" w:eastAsia="en-CA"/>
              </w:rPr>
              <w:t>15</w:t>
            </w:r>
          </w:p>
        </w:tc>
        <w:tc>
          <w:tcPr>
            <w:tcW w:w="3823" w:type="dxa"/>
            <w:tcBorders>
              <w:top w:val="nil"/>
              <w:left w:val="nil"/>
              <w:bottom w:val="single" w:sz="4" w:space="0" w:color="auto"/>
              <w:right w:val="single" w:sz="4" w:space="0" w:color="auto"/>
            </w:tcBorders>
            <w:shd w:val="clear" w:color="auto" w:fill="auto"/>
            <w:vAlign w:val="center"/>
            <w:hideMark/>
          </w:tcPr>
          <w:p w14:paraId="53C4A544" w14:textId="77777777" w:rsidR="0029639D" w:rsidRPr="00415876" w:rsidRDefault="0029639D" w:rsidP="00120F79">
            <w:pPr>
              <w:jc w:val="left"/>
              <w:rPr>
                <w:kern w:val="22"/>
                <w:szCs w:val="22"/>
                <w:lang w:val="fr-CA" w:eastAsia="en-CA"/>
              </w:rPr>
            </w:pPr>
            <w:r w:rsidRPr="00415876">
              <w:rPr>
                <w:kern w:val="22"/>
                <w:szCs w:val="22"/>
                <w:lang w:val="fr-CA" w:eastAsia="en-CA"/>
              </w:rPr>
              <w:t>Botswana</w:t>
            </w:r>
          </w:p>
        </w:tc>
        <w:tc>
          <w:tcPr>
            <w:tcW w:w="1472" w:type="dxa"/>
            <w:tcBorders>
              <w:top w:val="nil"/>
              <w:left w:val="nil"/>
              <w:bottom w:val="single" w:sz="4" w:space="0" w:color="auto"/>
              <w:right w:val="single" w:sz="4" w:space="0" w:color="auto"/>
            </w:tcBorders>
            <w:shd w:val="clear" w:color="auto" w:fill="auto"/>
            <w:vAlign w:val="center"/>
            <w:hideMark/>
          </w:tcPr>
          <w:p w14:paraId="3A04FEB1"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014</w:t>
            </w:r>
          </w:p>
        </w:tc>
        <w:tc>
          <w:tcPr>
            <w:tcW w:w="1715" w:type="dxa"/>
            <w:tcBorders>
              <w:top w:val="nil"/>
              <w:left w:val="nil"/>
              <w:bottom w:val="single" w:sz="4" w:space="0" w:color="auto"/>
              <w:right w:val="single" w:sz="4" w:space="0" w:color="auto"/>
            </w:tcBorders>
            <w:shd w:val="clear" w:color="auto" w:fill="auto"/>
            <w:noWrap/>
            <w:vAlign w:val="center"/>
            <w:hideMark/>
          </w:tcPr>
          <w:p w14:paraId="6CAB8FBC" w14:textId="77777777" w:rsidR="0029639D" w:rsidRPr="00415876" w:rsidRDefault="0029639D" w:rsidP="0029639D">
            <w:pPr>
              <w:tabs>
                <w:tab w:val="left" w:pos="1257"/>
              </w:tabs>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022</w:t>
            </w:r>
          </w:p>
        </w:tc>
        <w:tc>
          <w:tcPr>
            <w:tcW w:w="1715" w:type="dxa"/>
            <w:tcBorders>
              <w:top w:val="nil"/>
              <w:left w:val="nil"/>
              <w:bottom w:val="single" w:sz="4" w:space="0" w:color="auto"/>
              <w:right w:val="single" w:sz="4" w:space="0" w:color="auto"/>
            </w:tcBorders>
            <w:shd w:val="clear" w:color="auto" w:fill="auto"/>
            <w:noWrap/>
            <w:vAlign w:val="center"/>
            <w:hideMark/>
          </w:tcPr>
          <w:p w14:paraId="0CB60B6C" w14:textId="77777777" w:rsidR="0029639D" w:rsidRPr="00415876" w:rsidRDefault="0029639D" w:rsidP="0029639D">
            <w:pPr>
              <w:ind w:right="247"/>
              <w:jc w:val="right"/>
              <w:rPr>
                <w:kern w:val="22"/>
                <w:szCs w:val="22"/>
                <w:lang w:val="fr-CA" w:eastAsia="en-CA"/>
              </w:rPr>
            </w:pPr>
            <w:r w:rsidRPr="00415876">
              <w:rPr>
                <w:kern w:val="22"/>
                <w:szCs w:val="22"/>
                <w:lang w:val="fr-CA" w:eastAsia="en-CA"/>
              </w:rPr>
              <w:t>422</w:t>
            </w:r>
          </w:p>
        </w:tc>
      </w:tr>
      <w:tr w:rsidR="0029639D" w:rsidRPr="00415876" w14:paraId="3F44FBAB"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54E0CD8C" w14:textId="6CE27A72" w:rsidR="0029639D" w:rsidRPr="00415876" w:rsidRDefault="0029639D" w:rsidP="00120F79">
            <w:pPr>
              <w:jc w:val="right"/>
              <w:rPr>
                <w:kern w:val="22"/>
                <w:szCs w:val="22"/>
                <w:lang w:val="fr-CA" w:eastAsia="en-CA"/>
              </w:rPr>
            </w:pPr>
            <w:r>
              <w:rPr>
                <w:kern w:val="22"/>
                <w:szCs w:val="22"/>
                <w:lang w:val="fr-CA" w:eastAsia="en-CA"/>
              </w:rPr>
              <w:t>16</w:t>
            </w:r>
          </w:p>
        </w:tc>
        <w:tc>
          <w:tcPr>
            <w:tcW w:w="3823" w:type="dxa"/>
            <w:tcBorders>
              <w:top w:val="nil"/>
              <w:left w:val="nil"/>
              <w:bottom w:val="single" w:sz="4" w:space="0" w:color="auto"/>
              <w:right w:val="single" w:sz="4" w:space="0" w:color="auto"/>
            </w:tcBorders>
            <w:shd w:val="clear" w:color="auto" w:fill="auto"/>
            <w:vAlign w:val="center"/>
            <w:hideMark/>
          </w:tcPr>
          <w:p w14:paraId="4F3A4CA6" w14:textId="77777777" w:rsidR="0029639D" w:rsidRPr="00415876" w:rsidRDefault="0029639D" w:rsidP="00120F79">
            <w:pPr>
              <w:jc w:val="left"/>
              <w:rPr>
                <w:kern w:val="22"/>
                <w:szCs w:val="22"/>
                <w:lang w:val="fr-CA" w:eastAsia="en-CA"/>
              </w:rPr>
            </w:pPr>
            <w:r>
              <w:rPr>
                <w:kern w:val="22"/>
                <w:szCs w:val="22"/>
                <w:lang w:val="fr-CA" w:eastAsia="en-CA"/>
              </w:rPr>
              <w:t>Brésil</w:t>
            </w:r>
          </w:p>
        </w:tc>
        <w:tc>
          <w:tcPr>
            <w:tcW w:w="1472" w:type="dxa"/>
            <w:tcBorders>
              <w:top w:val="nil"/>
              <w:left w:val="nil"/>
              <w:bottom w:val="single" w:sz="4" w:space="0" w:color="auto"/>
              <w:right w:val="single" w:sz="4" w:space="0" w:color="auto"/>
            </w:tcBorders>
            <w:shd w:val="clear" w:color="auto" w:fill="auto"/>
            <w:vAlign w:val="center"/>
            <w:hideMark/>
          </w:tcPr>
          <w:p w14:paraId="0A9B5F83" w14:textId="77777777" w:rsidR="0029639D" w:rsidRPr="00415876" w:rsidRDefault="0029639D" w:rsidP="0029639D">
            <w:pPr>
              <w:ind w:right="144"/>
              <w:jc w:val="right"/>
              <w:rPr>
                <w:kern w:val="22"/>
                <w:szCs w:val="22"/>
                <w:lang w:val="fr-CA" w:eastAsia="en-CA"/>
              </w:rPr>
            </w:pPr>
            <w:r w:rsidRPr="00415876">
              <w:rPr>
                <w:kern w:val="22"/>
                <w:szCs w:val="22"/>
                <w:lang w:val="fr-CA" w:eastAsia="en-CA"/>
              </w:rPr>
              <w:t>2</w:t>
            </w:r>
            <w:r>
              <w:rPr>
                <w:kern w:val="22"/>
                <w:szCs w:val="22"/>
                <w:lang w:val="fr-CA" w:eastAsia="en-CA"/>
              </w:rPr>
              <w:t>,</w:t>
            </w:r>
            <w:r w:rsidRPr="00415876">
              <w:rPr>
                <w:kern w:val="22"/>
                <w:szCs w:val="22"/>
                <w:lang w:val="fr-CA" w:eastAsia="en-CA"/>
              </w:rPr>
              <w:t>948</w:t>
            </w:r>
          </w:p>
        </w:tc>
        <w:tc>
          <w:tcPr>
            <w:tcW w:w="1715" w:type="dxa"/>
            <w:tcBorders>
              <w:top w:val="nil"/>
              <w:left w:val="nil"/>
              <w:bottom w:val="single" w:sz="4" w:space="0" w:color="auto"/>
              <w:right w:val="single" w:sz="4" w:space="0" w:color="auto"/>
            </w:tcBorders>
            <w:shd w:val="clear" w:color="auto" w:fill="auto"/>
            <w:noWrap/>
            <w:vAlign w:val="center"/>
            <w:hideMark/>
          </w:tcPr>
          <w:p w14:paraId="05ABEAF4" w14:textId="77777777" w:rsidR="0029639D" w:rsidRPr="00415876" w:rsidRDefault="0029639D" w:rsidP="0029639D">
            <w:pPr>
              <w:tabs>
                <w:tab w:val="left" w:pos="1257"/>
              </w:tabs>
              <w:ind w:right="144"/>
              <w:jc w:val="right"/>
              <w:rPr>
                <w:kern w:val="22"/>
                <w:szCs w:val="22"/>
                <w:lang w:val="fr-CA" w:eastAsia="en-CA"/>
              </w:rPr>
            </w:pPr>
            <w:r w:rsidRPr="00415876">
              <w:rPr>
                <w:kern w:val="22"/>
                <w:szCs w:val="22"/>
                <w:lang w:val="fr-CA" w:eastAsia="en-CA"/>
              </w:rPr>
              <w:t>4</w:t>
            </w:r>
            <w:r>
              <w:rPr>
                <w:kern w:val="22"/>
                <w:szCs w:val="22"/>
                <w:lang w:val="fr-CA" w:eastAsia="en-CA"/>
              </w:rPr>
              <w:t>,</w:t>
            </w:r>
            <w:r w:rsidRPr="00415876">
              <w:rPr>
                <w:kern w:val="22"/>
                <w:szCs w:val="22"/>
                <w:lang w:val="fr-CA" w:eastAsia="en-CA"/>
              </w:rPr>
              <w:t>738</w:t>
            </w:r>
          </w:p>
        </w:tc>
        <w:tc>
          <w:tcPr>
            <w:tcW w:w="1715" w:type="dxa"/>
            <w:tcBorders>
              <w:top w:val="nil"/>
              <w:left w:val="nil"/>
              <w:bottom w:val="single" w:sz="4" w:space="0" w:color="auto"/>
              <w:right w:val="single" w:sz="4" w:space="0" w:color="auto"/>
            </w:tcBorders>
            <w:shd w:val="clear" w:color="auto" w:fill="auto"/>
            <w:noWrap/>
            <w:vAlign w:val="center"/>
            <w:hideMark/>
          </w:tcPr>
          <w:p w14:paraId="2F613542" w14:textId="77777777" w:rsidR="0029639D" w:rsidRPr="00415876" w:rsidRDefault="0029639D" w:rsidP="0029639D">
            <w:pPr>
              <w:ind w:right="247"/>
              <w:jc w:val="right"/>
              <w:rPr>
                <w:kern w:val="22"/>
                <w:szCs w:val="22"/>
                <w:lang w:val="fr-CA" w:eastAsia="en-CA"/>
              </w:rPr>
            </w:pPr>
            <w:r w:rsidRPr="00415876">
              <w:rPr>
                <w:kern w:val="22"/>
                <w:szCs w:val="22"/>
                <w:lang w:val="fr-CA" w:eastAsia="en-CA"/>
              </w:rPr>
              <w:t>88 867</w:t>
            </w:r>
          </w:p>
        </w:tc>
      </w:tr>
      <w:tr w:rsidR="0029639D" w:rsidRPr="00415876" w14:paraId="25C7342C"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5477AF07" w14:textId="22E617CD" w:rsidR="0029639D" w:rsidRPr="00415876" w:rsidRDefault="0029639D" w:rsidP="00120F79">
            <w:pPr>
              <w:jc w:val="right"/>
              <w:rPr>
                <w:kern w:val="22"/>
                <w:szCs w:val="22"/>
                <w:lang w:val="fr-CA" w:eastAsia="en-CA"/>
              </w:rPr>
            </w:pPr>
            <w:r>
              <w:rPr>
                <w:kern w:val="22"/>
                <w:szCs w:val="22"/>
                <w:lang w:val="fr-CA" w:eastAsia="en-CA"/>
              </w:rPr>
              <w:t>17</w:t>
            </w:r>
          </w:p>
        </w:tc>
        <w:tc>
          <w:tcPr>
            <w:tcW w:w="3823" w:type="dxa"/>
            <w:tcBorders>
              <w:top w:val="nil"/>
              <w:left w:val="nil"/>
              <w:bottom w:val="single" w:sz="4" w:space="0" w:color="auto"/>
              <w:right w:val="single" w:sz="4" w:space="0" w:color="auto"/>
            </w:tcBorders>
            <w:shd w:val="clear" w:color="auto" w:fill="auto"/>
            <w:vAlign w:val="center"/>
            <w:hideMark/>
          </w:tcPr>
          <w:p w14:paraId="0E828C91" w14:textId="77777777" w:rsidR="0029639D" w:rsidRPr="00415876" w:rsidRDefault="0029639D" w:rsidP="00120F79">
            <w:pPr>
              <w:jc w:val="left"/>
              <w:rPr>
                <w:kern w:val="22"/>
                <w:szCs w:val="22"/>
                <w:lang w:val="fr-CA" w:eastAsia="en-CA"/>
              </w:rPr>
            </w:pPr>
            <w:r>
              <w:rPr>
                <w:kern w:val="22"/>
                <w:szCs w:val="22"/>
                <w:lang w:val="fr-CA" w:eastAsia="en-CA"/>
              </w:rPr>
              <w:t>Bulgarie</w:t>
            </w:r>
          </w:p>
        </w:tc>
        <w:tc>
          <w:tcPr>
            <w:tcW w:w="1472" w:type="dxa"/>
            <w:tcBorders>
              <w:top w:val="nil"/>
              <w:left w:val="nil"/>
              <w:bottom w:val="single" w:sz="4" w:space="0" w:color="auto"/>
              <w:right w:val="single" w:sz="4" w:space="0" w:color="auto"/>
            </w:tcBorders>
            <w:shd w:val="clear" w:color="auto" w:fill="auto"/>
            <w:vAlign w:val="center"/>
            <w:hideMark/>
          </w:tcPr>
          <w:p w14:paraId="4157552B"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046</w:t>
            </w:r>
          </w:p>
        </w:tc>
        <w:tc>
          <w:tcPr>
            <w:tcW w:w="1715" w:type="dxa"/>
            <w:tcBorders>
              <w:top w:val="nil"/>
              <w:left w:val="nil"/>
              <w:bottom w:val="single" w:sz="4" w:space="0" w:color="auto"/>
              <w:right w:val="single" w:sz="4" w:space="0" w:color="auto"/>
            </w:tcBorders>
            <w:shd w:val="clear" w:color="auto" w:fill="auto"/>
            <w:noWrap/>
            <w:vAlign w:val="center"/>
            <w:hideMark/>
          </w:tcPr>
          <w:p w14:paraId="4E6B18D4" w14:textId="77777777" w:rsidR="0029639D" w:rsidRPr="00415876" w:rsidRDefault="0029639D" w:rsidP="0029639D">
            <w:pPr>
              <w:tabs>
                <w:tab w:val="left" w:pos="1257"/>
              </w:tabs>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074</w:t>
            </w:r>
          </w:p>
        </w:tc>
        <w:tc>
          <w:tcPr>
            <w:tcW w:w="1715" w:type="dxa"/>
            <w:tcBorders>
              <w:top w:val="nil"/>
              <w:left w:val="nil"/>
              <w:bottom w:val="single" w:sz="4" w:space="0" w:color="auto"/>
              <w:right w:val="single" w:sz="4" w:space="0" w:color="auto"/>
            </w:tcBorders>
            <w:shd w:val="clear" w:color="auto" w:fill="auto"/>
            <w:noWrap/>
            <w:vAlign w:val="center"/>
            <w:hideMark/>
          </w:tcPr>
          <w:p w14:paraId="7DA45E6B" w14:textId="77777777" w:rsidR="0029639D" w:rsidRPr="00415876" w:rsidRDefault="0029639D" w:rsidP="0029639D">
            <w:pPr>
              <w:ind w:right="247"/>
              <w:jc w:val="right"/>
              <w:rPr>
                <w:kern w:val="22"/>
                <w:szCs w:val="22"/>
                <w:lang w:val="fr-CA" w:eastAsia="en-CA"/>
              </w:rPr>
            </w:pPr>
            <w:r w:rsidRPr="00415876">
              <w:rPr>
                <w:kern w:val="22"/>
                <w:szCs w:val="22"/>
                <w:lang w:val="fr-CA" w:eastAsia="en-CA"/>
              </w:rPr>
              <w:t>1 387</w:t>
            </w:r>
          </w:p>
        </w:tc>
      </w:tr>
      <w:tr w:rsidR="0029639D" w:rsidRPr="00415876" w14:paraId="454E5E83"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662934DA" w14:textId="5E1CA02D" w:rsidR="0029639D" w:rsidRPr="00415876" w:rsidRDefault="0029639D" w:rsidP="00120F79">
            <w:pPr>
              <w:jc w:val="right"/>
              <w:rPr>
                <w:kern w:val="22"/>
                <w:szCs w:val="22"/>
                <w:lang w:val="fr-CA" w:eastAsia="en-CA"/>
              </w:rPr>
            </w:pPr>
            <w:r>
              <w:rPr>
                <w:kern w:val="22"/>
                <w:szCs w:val="22"/>
                <w:lang w:val="fr-CA" w:eastAsia="en-CA"/>
              </w:rPr>
              <w:t>18</w:t>
            </w:r>
          </w:p>
        </w:tc>
        <w:tc>
          <w:tcPr>
            <w:tcW w:w="3823" w:type="dxa"/>
            <w:tcBorders>
              <w:top w:val="nil"/>
              <w:left w:val="nil"/>
              <w:bottom w:val="single" w:sz="4" w:space="0" w:color="auto"/>
              <w:right w:val="single" w:sz="4" w:space="0" w:color="auto"/>
            </w:tcBorders>
            <w:shd w:val="clear" w:color="auto" w:fill="auto"/>
            <w:vAlign w:val="center"/>
            <w:hideMark/>
          </w:tcPr>
          <w:p w14:paraId="55DD8A3A" w14:textId="77777777" w:rsidR="0029639D" w:rsidRPr="00415876" w:rsidRDefault="0029639D" w:rsidP="00120F79">
            <w:pPr>
              <w:jc w:val="left"/>
              <w:rPr>
                <w:kern w:val="22"/>
                <w:szCs w:val="22"/>
                <w:lang w:val="fr-CA" w:eastAsia="en-CA"/>
              </w:rPr>
            </w:pPr>
            <w:r w:rsidRPr="00415876">
              <w:rPr>
                <w:kern w:val="22"/>
                <w:szCs w:val="22"/>
                <w:lang w:val="fr-CA" w:eastAsia="en-CA"/>
              </w:rPr>
              <w:t>Burkina Faso</w:t>
            </w:r>
          </w:p>
        </w:tc>
        <w:tc>
          <w:tcPr>
            <w:tcW w:w="1472" w:type="dxa"/>
            <w:tcBorders>
              <w:top w:val="nil"/>
              <w:left w:val="nil"/>
              <w:bottom w:val="single" w:sz="4" w:space="0" w:color="auto"/>
              <w:right w:val="single" w:sz="4" w:space="0" w:color="auto"/>
            </w:tcBorders>
            <w:shd w:val="clear" w:color="auto" w:fill="auto"/>
            <w:vAlign w:val="center"/>
            <w:hideMark/>
          </w:tcPr>
          <w:p w14:paraId="2F0CB6A7"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003</w:t>
            </w:r>
          </w:p>
        </w:tc>
        <w:tc>
          <w:tcPr>
            <w:tcW w:w="1715" w:type="dxa"/>
            <w:tcBorders>
              <w:top w:val="nil"/>
              <w:left w:val="nil"/>
              <w:bottom w:val="single" w:sz="4" w:space="0" w:color="auto"/>
              <w:right w:val="single" w:sz="4" w:space="0" w:color="auto"/>
            </w:tcBorders>
            <w:shd w:val="clear" w:color="auto" w:fill="auto"/>
            <w:noWrap/>
            <w:vAlign w:val="center"/>
            <w:hideMark/>
          </w:tcPr>
          <w:p w14:paraId="15C7E782" w14:textId="77777777" w:rsidR="0029639D" w:rsidRPr="00415876" w:rsidRDefault="0029639D" w:rsidP="0029639D">
            <w:pPr>
              <w:tabs>
                <w:tab w:val="left" w:pos="1257"/>
              </w:tabs>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005</w:t>
            </w:r>
          </w:p>
        </w:tc>
        <w:tc>
          <w:tcPr>
            <w:tcW w:w="1715" w:type="dxa"/>
            <w:tcBorders>
              <w:top w:val="nil"/>
              <w:left w:val="nil"/>
              <w:bottom w:val="single" w:sz="4" w:space="0" w:color="auto"/>
              <w:right w:val="single" w:sz="4" w:space="0" w:color="auto"/>
            </w:tcBorders>
            <w:shd w:val="clear" w:color="auto" w:fill="auto"/>
            <w:noWrap/>
            <w:vAlign w:val="center"/>
            <w:hideMark/>
          </w:tcPr>
          <w:p w14:paraId="31091A9A" w14:textId="77777777" w:rsidR="0029639D" w:rsidRPr="00415876" w:rsidRDefault="0029639D" w:rsidP="0029639D">
            <w:pPr>
              <w:ind w:right="247"/>
              <w:jc w:val="right"/>
              <w:rPr>
                <w:kern w:val="22"/>
                <w:szCs w:val="22"/>
                <w:lang w:val="fr-CA" w:eastAsia="en-CA"/>
              </w:rPr>
            </w:pPr>
            <w:r w:rsidRPr="00415876">
              <w:rPr>
                <w:kern w:val="22"/>
                <w:szCs w:val="22"/>
                <w:lang w:val="fr-CA" w:eastAsia="en-CA"/>
              </w:rPr>
              <w:t>90</w:t>
            </w:r>
          </w:p>
        </w:tc>
      </w:tr>
      <w:tr w:rsidR="0029639D" w:rsidRPr="00415876" w14:paraId="6159F040"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6A8C95E3" w14:textId="420B07B6" w:rsidR="0029639D" w:rsidRPr="00415876" w:rsidRDefault="0029639D" w:rsidP="00120F79">
            <w:pPr>
              <w:jc w:val="right"/>
              <w:rPr>
                <w:kern w:val="22"/>
                <w:szCs w:val="22"/>
                <w:lang w:val="fr-CA" w:eastAsia="en-CA"/>
              </w:rPr>
            </w:pPr>
            <w:r>
              <w:rPr>
                <w:kern w:val="22"/>
                <w:szCs w:val="22"/>
                <w:lang w:val="fr-CA" w:eastAsia="en-CA"/>
              </w:rPr>
              <w:t>19</w:t>
            </w:r>
          </w:p>
        </w:tc>
        <w:tc>
          <w:tcPr>
            <w:tcW w:w="3823" w:type="dxa"/>
            <w:tcBorders>
              <w:top w:val="nil"/>
              <w:left w:val="nil"/>
              <w:bottom w:val="single" w:sz="4" w:space="0" w:color="auto"/>
              <w:right w:val="single" w:sz="4" w:space="0" w:color="auto"/>
            </w:tcBorders>
            <w:shd w:val="clear" w:color="auto" w:fill="auto"/>
            <w:vAlign w:val="center"/>
            <w:hideMark/>
          </w:tcPr>
          <w:p w14:paraId="2E5F1E8D" w14:textId="77777777" w:rsidR="0029639D" w:rsidRPr="00415876" w:rsidRDefault="0029639D" w:rsidP="00120F79">
            <w:pPr>
              <w:jc w:val="left"/>
              <w:rPr>
                <w:kern w:val="22"/>
                <w:szCs w:val="22"/>
                <w:lang w:val="fr-CA" w:eastAsia="en-CA"/>
              </w:rPr>
            </w:pPr>
            <w:r w:rsidRPr="00415876">
              <w:rPr>
                <w:kern w:val="22"/>
                <w:szCs w:val="22"/>
                <w:lang w:val="fr-CA" w:eastAsia="en-CA"/>
              </w:rPr>
              <w:t>Burundi</w:t>
            </w:r>
          </w:p>
        </w:tc>
        <w:tc>
          <w:tcPr>
            <w:tcW w:w="1472" w:type="dxa"/>
            <w:tcBorders>
              <w:top w:val="nil"/>
              <w:left w:val="nil"/>
              <w:bottom w:val="single" w:sz="4" w:space="0" w:color="auto"/>
              <w:right w:val="single" w:sz="4" w:space="0" w:color="auto"/>
            </w:tcBorders>
            <w:shd w:val="clear" w:color="auto" w:fill="auto"/>
            <w:vAlign w:val="center"/>
            <w:hideMark/>
          </w:tcPr>
          <w:p w14:paraId="1223CF15"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001</w:t>
            </w:r>
          </w:p>
        </w:tc>
        <w:tc>
          <w:tcPr>
            <w:tcW w:w="1715" w:type="dxa"/>
            <w:tcBorders>
              <w:top w:val="nil"/>
              <w:left w:val="nil"/>
              <w:bottom w:val="single" w:sz="4" w:space="0" w:color="auto"/>
              <w:right w:val="single" w:sz="4" w:space="0" w:color="auto"/>
            </w:tcBorders>
            <w:shd w:val="clear" w:color="auto" w:fill="auto"/>
            <w:noWrap/>
            <w:vAlign w:val="center"/>
            <w:hideMark/>
          </w:tcPr>
          <w:p w14:paraId="02CC1387" w14:textId="77777777" w:rsidR="0029639D" w:rsidRPr="00415876" w:rsidRDefault="0029639D" w:rsidP="0029639D">
            <w:pPr>
              <w:tabs>
                <w:tab w:val="left" w:pos="1257"/>
              </w:tabs>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002</w:t>
            </w:r>
          </w:p>
        </w:tc>
        <w:tc>
          <w:tcPr>
            <w:tcW w:w="1715" w:type="dxa"/>
            <w:tcBorders>
              <w:top w:val="nil"/>
              <w:left w:val="nil"/>
              <w:bottom w:val="single" w:sz="4" w:space="0" w:color="auto"/>
              <w:right w:val="single" w:sz="4" w:space="0" w:color="auto"/>
            </w:tcBorders>
            <w:shd w:val="clear" w:color="auto" w:fill="auto"/>
            <w:noWrap/>
            <w:vAlign w:val="center"/>
            <w:hideMark/>
          </w:tcPr>
          <w:p w14:paraId="6A15CCAD" w14:textId="77777777" w:rsidR="0029639D" w:rsidRPr="00415876" w:rsidRDefault="0029639D" w:rsidP="0029639D">
            <w:pPr>
              <w:ind w:right="247"/>
              <w:jc w:val="right"/>
              <w:rPr>
                <w:kern w:val="22"/>
                <w:szCs w:val="22"/>
                <w:lang w:val="fr-CA" w:eastAsia="en-CA"/>
              </w:rPr>
            </w:pPr>
            <w:r w:rsidRPr="00415876">
              <w:rPr>
                <w:kern w:val="22"/>
                <w:szCs w:val="22"/>
                <w:lang w:val="fr-CA" w:eastAsia="en-CA"/>
              </w:rPr>
              <w:t>30</w:t>
            </w:r>
          </w:p>
        </w:tc>
      </w:tr>
      <w:tr w:rsidR="0029639D" w:rsidRPr="00415876" w14:paraId="138743AC"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5262AB34" w14:textId="247A52F4" w:rsidR="0029639D" w:rsidRPr="00415876" w:rsidRDefault="0029639D" w:rsidP="00120F79">
            <w:pPr>
              <w:jc w:val="right"/>
              <w:rPr>
                <w:kern w:val="22"/>
                <w:szCs w:val="22"/>
                <w:lang w:val="fr-CA" w:eastAsia="en-CA"/>
              </w:rPr>
            </w:pPr>
            <w:r>
              <w:rPr>
                <w:kern w:val="22"/>
                <w:szCs w:val="22"/>
                <w:lang w:val="fr-CA" w:eastAsia="en-CA"/>
              </w:rPr>
              <w:t>20</w:t>
            </w:r>
          </w:p>
        </w:tc>
        <w:tc>
          <w:tcPr>
            <w:tcW w:w="3823" w:type="dxa"/>
            <w:tcBorders>
              <w:top w:val="nil"/>
              <w:left w:val="nil"/>
              <w:bottom w:val="single" w:sz="4" w:space="0" w:color="auto"/>
              <w:right w:val="single" w:sz="4" w:space="0" w:color="auto"/>
            </w:tcBorders>
            <w:shd w:val="clear" w:color="auto" w:fill="auto"/>
            <w:vAlign w:val="center"/>
            <w:hideMark/>
          </w:tcPr>
          <w:p w14:paraId="2E4ECF92" w14:textId="77777777" w:rsidR="0029639D" w:rsidRPr="00415876" w:rsidRDefault="0029639D" w:rsidP="00415876">
            <w:pPr>
              <w:jc w:val="left"/>
              <w:rPr>
                <w:kern w:val="22"/>
                <w:szCs w:val="22"/>
                <w:lang w:val="fr-CA" w:eastAsia="en-CA"/>
              </w:rPr>
            </w:pPr>
            <w:r>
              <w:rPr>
                <w:kern w:val="22"/>
                <w:szCs w:val="22"/>
                <w:lang w:val="fr-CA" w:eastAsia="en-CA"/>
              </w:rPr>
              <w:t>Cambodge</w:t>
            </w:r>
          </w:p>
        </w:tc>
        <w:tc>
          <w:tcPr>
            <w:tcW w:w="1472" w:type="dxa"/>
            <w:tcBorders>
              <w:top w:val="nil"/>
              <w:left w:val="nil"/>
              <w:bottom w:val="single" w:sz="4" w:space="0" w:color="auto"/>
              <w:right w:val="single" w:sz="4" w:space="0" w:color="auto"/>
            </w:tcBorders>
            <w:shd w:val="clear" w:color="auto" w:fill="auto"/>
            <w:vAlign w:val="center"/>
            <w:hideMark/>
          </w:tcPr>
          <w:p w14:paraId="207DDA2D"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006</w:t>
            </w:r>
          </w:p>
        </w:tc>
        <w:tc>
          <w:tcPr>
            <w:tcW w:w="1715" w:type="dxa"/>
            <w:tcBorders>
              <w:top w:val="nil"/>
              <w:left w:val="nil"/>
              <w:bottom w:val="single" w:sz="4" w:space="0" w:color="auto"/>
              <w:right w:val="single" w:sz="4" w:space="0" w:color="auto"/>
            </w:tcBorders>
            <w:shd w:val="clear" w:color="auto" w:fill="auto"/>
            <w:noWrap/>
            <w:vAlign w:val="center"/>
            <w:hideMark/>
          </w:tcPr>
          <w:p w14:paraId="1727A46D" w14:textId="77777777" w:rsidR="0029639D" w:rsidRPr="00415876" w:rsidRDefault="0029639D" w:rsidP="0029639D">
            <w:pPr>
              <w:tabs>
                <w:tab w:val="left" w:pos="1257"/>
              </w:tabs>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010</w:t>
            </w:r>
          </w:p>
        </w:tc>
        <w:tc>
          <w:tcPr>
            <w:tcW w:w="1715" w:type="dxa"/>
            <w:tcBorders>
              <w:top w:val="nil"/>
              <w:left w:val="nil"/>
              <w:bottom w:val="single" w:sz="4" w:space="0" w:color="auto"/>
              <w:right w:val="single" w:sz="4" w:space="0" w:color="auto"/>
            </w:tcBorders>
            <w:shd w:val="clear" w:color="auto" w:fill="auto"/>
            <w:noWrap/>
            <w:vAlign w:val="center"/>
            <w:hideMark/>
          </w:tcPr>
          <w:p w14:paraId="66DBA64A" w14:textId="77777777" w:rsidR="0029639D" w:rsidRPr="00415876" w:rsidRDefault="0029639D" w:rsidP="0029639D">
            <w:pPr>
              <w:ind w:right="247"/>
              <w:jc w:val="right"/>
              <w:rPr>
                <w:kern w:val="22"/>
                <w:szCs w:val="22"/>
                <w:lang w:val="fr-CA" w:eastAsia="en-CA"/>
              </w:rPr>
            </w:pPr>
            <w:r w:rsidRPr="00415876">
              <w:rPr>
                <w:kern w:val="22"/>
                <w:szCs w:val="22"/>
                <w:lang w:val="fr-CA" w:eastAsia="en-CA"/>
              </w:rPr>
              <w:t>181</w:t>
            </w:r>
          </w:p>
        </w:tc>
      </w:tr>
      <w:tr w:rsidR="0029639D" w:rsidRPr="00415876" w14:paraId="34750282"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473BC858" w14:textId="7199ED68" w:rsidR="0029639D" w:rsidRPr="00415876" w:rsidRDefault="0029639D" w:rsidP="00120F79">
            <w:pPr>
              <w:jc w:val="right"/>
              <w:rPr>
                <w:kern w:val="22"/>
                <w:szCs w:val="22"/>
                <w:lang w:val="fr-CA" w:eastAsia="en-CA"/>
              </w:rPr>
            </w:pPr>
            <w:r>
              <w:rPr>
                <w:kern w:val="22"/>
                <w:szCs w:val="22"/>
                <w:lang w:val="fr-CA" w:eastAsia="en-CA"/>
              </w:rPr>
              <w:t>21</w:t>
            </w:r>
          </w:p>
        </w:tc>
        <w:tc>
          <w:tcPr>
            <w:tcW w:w="3823" w:type="dxa"/>
            <w:tcBorders>
              <w:top w:val="nil"/>
              <w:left w:val="nil"/>
              <w:bottom w:val="single" w:sz="4" w:space="0" w:color="auto"/>
              <w:right w:val="single" w:sz="4" w:space="0" w:color="auto"/>
            </w:tcBorders>
            <w:shd w:val="clear" w:color="auto" w:fill="auto"/>
            <w:vAlign w:val="center"/>
            <w:hideMark/>
          </w:tcPr>
          <w:p w14:paraId="5B81ADE9" w14:textId="77777777" w:rsidR="0029639D" w:rsidRPr="00415876" w:rsidRDefault="0029639D" w:rsidP="00120F79">
            <w:pPr>
              <w:jc w:val="left"/>
              <w:rPr>
                <w:kern w:val="22"/>
                <w:szCs w:val="22"/>
                <w:lang w:val="fr-CA" w:eastAsia="en-CA"/>
              </w:rPr>
            </w:pPr>
            <w:r>
              <w:rPr>
                <w:kern w:val="22"/>
                <w:szCs w:val="22"/>
                <w:lang w:val="fr-CA" w:eastAsia="en-CA"/>
              </w:rPr>
              <w:t>Camerou</w:t>
            </w:r>
            <w:r w:rsidRPr="00415876">
              <w:rPr>
                <w:kern w:val="22"/>
                <w:szCs w:val="22"/>
                <w:lang w:val="fr-CA" w:eastAsia="en-CA"/>
              </w:rPr>
              <w:t>n</w:t>
            </w:r>
          </w:p>
        </w:tc>
        <w:tc>
          <w:tcPr>
            <w:tcW w:w="1472" w:type="dxa"/>
            <w:tcBorders>
              <w:top w:val="nil"/>
              <w:left w:val="nil"/>
              <w:bottom w:val="single" w:sz="4" w:space="0" w:color="auto"/>
              <w:right w:val="single" w:sz="4" w:space="0" w:color="auto"/>
            </w:tcBorders>
            <w:shd w:val="clear" w:color="auto" w:fill="auto"/>
            <w:vAlign w:val="center"/>
            <w:hideMark/>
          </w:tcPr>
          <w:p w14:paraId="18F9AA99"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013</w:t>
            </w:r>
          </w:p>
        </w:tc>
        <w:tc>
          <w:tcPr>
            <w:tcW w:w="1715" w:type="dxa"/>
            <w:tcBorders>
              <w:top w:val="nil"/>
              <w:left w:val="nil"/>
              <w:bottom w:val="single" w:sz="4" w:space="0" w:color="auto"/>
              <w:right w:val="single" w:sz="4" w:space="0" w:color="auto"/>
            </w:tcBorders>
            <w:shd w:val="clear" w:color="auto" w:fill="auto"/>
            <w:noWrap/>
            <w:vAlign w:val="center"/>
            <w:hideMark/>
          </w:tcPr>
          <w:p w14:paraId="3D127916" w14:textId="77777777" w:rsidR="0029639D" w:rsidRPr="00415876" w:rsidRDefault="0029639D" w:rsidP="0029639D">
            <w:pPr>
              <w:tabs>
                <w:tab w:val="left" w:pos="1257"/>
              </w:tabs>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021</w:t>
            </w:r>
          </w:p>
        </w:tc>
        <w:tc>
          <w:tcPr>
            <w:tcW w:w="1715" w:type="dxa"/>
            <w:tcBorders>
              <w:top w:val="nil"/>
              <w:left w:val="nil"/>
              <w:bottom w:val="single" w:sz="4" w:space="0" w:color="auto"/>
              <w:right w:val="single" w:sz="4" w:space="0" w:color="auto"/>
            </w:tcBorders>
            <w:shd w:val="clear" w:color="auto" w:fill="auto"/>
            <w:noWrap/>
            <w:vAlign w:val="center"/>
            <w:hideMark/>
          </w:tcPr>
          <w:p w14:paraId="08BC221A" w14:textId="77777777" w:rsidR="0029639D" w:rsidRPr="00415876" w:rsidRDefault="0029639D" w:rsidP="0029639D">
            <w:pPr>
              <w:ind w:right="247"/>
              <w:jc w:val="right"/>
              <w:rPr>
                <w:kern w:val="22"/>
                <w:szCs w:val="22"/>
                <w:lang w:val="fr-CA" w:eastAsia="en-CA"/>
              </w:rPr>
            </w:pPr>
            <w:r w:rsidRPr="00415876">
              <w:rPr>
                <w:kern w:val="22"/>
                <w:szCs w:val="22"/>
                <w:lang w:val="fr-CA" w:eastAsia="en-CA"/>
              </w:rPr>
              <w:t>392</w:t>
            </w:r>
          </w:p>
        </w:tc>
      </w:tr>
      <w:tr w:rsidR="0029639D" w:rsidRPr="00415876" w14:paraId="1616A16C"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07EDFE83" w14:textId="58B26BE2" w:rsidR="0029639D" w:rsidRPr="00415876" w:rsidRDefault="0029639D" w:rsidP="00120F79">
            <w:pPr>
              <w:jc w:val="right"/>
              <w:rPr>
                <w:kern w:val="22"/>
                <w:szCs w:val="22"/>
                <w:lang w:val="fr-CA" w:eastAsia="en-CA"/>
              </w:rPr>
            </w:pPr>
            <w:r>
              <w:rPr>
                <w:kern w:val="22"/>
                <w:szCs w:val="22"/>
                <w:lang w:val="fr-CA" w:eastAsia="en-CA"/>
              </w:rPr>
              <w:t>22</w:t>
            </w:r>
          </w:p>
        </w:tc>
        <w:tc>
          <w:tcPr>
            <w:tcW w:w="3823" w:type="dxa"/>
            <w:tcBorders>
              <w:top w:val="nil"/>
              <w:left w:val="nil"/>
              <w:bottom w:val="single" w:sz="4" w:space="0" w:color="auto"/>
              <w:right w:val="single" w:sz="4" w:space="0" w:color="auto"/>
            </w:tcBorders>
            <w:shd w:val="clear" w:color="auto" w:fill="auto"/>
            <w:vAlign w:val="center"/>
            <w:hideMark/>
          </w:tcPr>
          <w:p w14:paraId="50498D6E" w14:textId="77777777" w:rsidR="0029639D" w:rsidRPr="00415876" w:rsidRDefault="0029639D" w:rsidP="00120F79">
            <w:pPr>
              <w:jc w:val="left"/>
              <w:rPr>
                <w:kern w:val="22"/>
                <w:szCs w:val="22"/>
                <w:lang w:val="fr-CA" w:eastAsia="en-CA"/>
              </w:rPr>
            </w:pPr>
            <w:r>
              <w:rPr>
                <w:kern w:val="22"/>
                <w:szCs w:val="22"/>
                <w:lang w:val="fr-CA" w:eastAsia="en-CA"/>
              </w:rPr>
              <w:t>Chine</w:t>
            </w:r>
          </w:p>
        </w:tc>
        <w:tc>
          <w:tcPr>
            <w:tcW w:w="1472" w:type="dxa"/>
            <w:tcBorders>
              <w:top w:val="nil"/>
              <w:left w:val="nil"/>
              <w:bottom w:val="single" w:sz="4" w:space="0" w:color="auto"/>
              <w:right w:val="single" w:sz="4" w:space="0" w:color="auto"/>
            </w:tcBorders>
            <w:shd w:val="clear" w:color="auto" w:fill="auto"/>
            <w:vAlign w:val="center"/>
            <w:hideMark/>
          </w:tcPr>
          <w:p w14:paraId="30C38463" w14:textId="77777777" w:rsidR="0029639D" w:rsidRPr="00415876" w:rsidRDefault="0029639D" w:rsidP="0029639D">
            <w:pPr>
              <w:ind w:right="144"/>
              <w:jc w:val="right"/>
              <w:rPr>
                <w:kern w:val="22"/>
                <w:szCs w:val="22"/>
                <w:lang w:val="fr-CA" w:eastAsia="en-CA"/>
              </w:rPr>
            </w:pPr>
            <w:r w:rsidRPr="00415876">
              <w:rPr>
                <w:kern w:val="22"/>
                <w:szCs w:val="22"/>
                <w:lang w:val="fr-CA" w:eastAsia="en-CA"/>
              </w:rPr>
              <w:t>12</w:t>
            </w:r>
            <w:r>
              <w:rPr>
                <w:kern w:val="22"/>
                <w:szCs w:val="22"/>
                <w:lang w:val="fr-CA" w:eastAsia="en-CA"/>
              </w:rPr>
              <w:t>,</w:t>
            </w:r>
            <w:r w:rsidRPr="00415876">
              <w:rPr>
                <w:kern w:val="22"/>
                <w:szCs w:val="22"/>
                <w:lang w:val="fr-CA" w:eastAsia="en-CA"/>
              </w:rPr>
              <w:t>005</w:t>
            </w:r>
          </w:p>
        </w:tc>
        <w:tc>
          <w:tcPr>
            <w:tcW w:w="1715" w:type="dxa"/>
            <w:tcBorders>
              <w:top w:val="nil"/>
              <w:left w:val="nil"/>
              <w:bottom w:val="single" w:sz="4" w:space="0" w:color="auto"/>
              <w:right w:val="single" w:sz="4" w:space="0" w:color="auto"/>
            </w:tcBorders>
            <w:shd w:val="clear" w:color="auto" w:fill="auto"/>
            <w:noWrap/>
            <w:vAlign w:val="center"/>
            <w:hideMark/>
          </w:tcPr>
          <w:p w14:paraId="57BA921F" w14:textId="77777777" w:rsidR="0029639D" w:rsidRPr="00415876" w:rsidRDefault="0029639D" w:rsidP="0029639D">
            <w:pPr>
              <w:tabs>
                <w:tab w:val="left" w:pos="1257"/>
              </w:tabs>
              <w:ind w:right="144"/>
              <w:jc w:val="right"/>
              <w:rPr>
                <w:kern w:val="22"/>
                <w:szCs w:val="22"/>
                <w:lang w:val="fr-CA" w:eastAsia="en-CA"/>
              </w:rPr>
            </w:pPr>
            <w:r w:rsidRPr="00415876">
              <w:rPr>
                <w:kern w:val="22"/>
                <w:szCs w:val="22"/>
                <w:lang w:val="fr-CA" w:eastAsia="en-CA"/>
              </w:rPr>
              <w:t>19</w:t>
            </w:r>
            <w:r>
              <w:rPr>
                <w:kern w:val="22"/>
                <w:szCs w:val="22"/>
                <w:lang w:val="fr-CA" w:eastAsia="en-CA"/>
              </w:rPr>
              <w:t>,</w:t>
            </w:r>
            <w:r w:rsidRPr="00415876">
              <w:rPr>
                <w:kern w:val="22"/>
                <w:szCs w:val="22"/>
                <w:lang w:val="fr-CA" w:eastAsia="en-CA"/>
              </w:rPr>
              <w:t>292</w:t>
            </w:r>
          </w:p>
        </w:tc>
        <w:tc>
          <w:tcPr>
            <w:tcW w:w="1715" w:type="dxa"/>
            <w:tcBorders>
              <w:top w:val="nil"/>
              <w:left w:val="nil"/>
              <w:bottom w:val="single" w:sz="4" w:space="0" w:color="auto"/>
              <w:right w:val="single" w:sz="4" w:space="0" w:color="auto"/>
            </w:tcBorders>
            <w:shd w:val="clear" w:color="auto" w:fill="auto"/>
            <w:noWrap/>
            <w:vAlign w:val="center"/>
            <w:hideMark/>
          </w:tcPr>
          <w:p w14:paraId="2B848608" w14:textId="77777777" w:rsidR="0029639D" w:rsidRPr="00415876" w:rsidRDefault="0029639D" w:rsidP="0029639D">
            <w:pPr>
              <w:ind w:right="247"/>
              <w:jc w:val="right"/>
              <w:rPr>
                <w:kern w:val="22"/>
                <w:szCs w:val="22"/>
                <w:lang w:val="fr-CA" w:eastAsia="en-CA"/>
              </w:rPr>
            </w:pPr>
            <w:r w:rsidRPr="00415876">
              <w:rPr>
                <w:kern w:val="22"/>
                <w:szCs w:val="22"/>
                <w:lang w:val="fr-CA" w:eastAsia="en-CA"/>
              </w:rPr>
              <w:t>361 890</w:t>
            </w:r>
          </w:p>
        </w:tc>
      </w:tr>
      <w:tr w:rsidR="0029639D" w:rsidRPr="00415876" w14:paraId="752E7AC8"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7D3B6EC4" w14:textId="1DC9FD51" w:rsidR="0029639D" w:rsidRPr="00415876" w:rsidRDefault="0029639D" w:rsidP="00120F79">
            <w:pPr>
              <w:jc w:val="right"/>
              <w:rPr>
                <w:kern w:val="22"/>
                <w:szCs w:val="22"/>
                <w:lang w:val="fr-CA" w:eastAsia="en-CA"/>
              </w:rPr>
            </w:pPr>
            <w:r w:rsidRPr="00415876">
              <w:rPr>
                <w:kern w:val="22"/>
                <w:szCs w:val="22"/>
                <w:lang w:val="fr-CA" w:eastAsia="en-CA"/>
              </w:rPr>
              <w:t>2</w:t>
            </w:r>
            <w:r>
              <w:rPr>
                <w:kern w:val="22"/>
                <w:szCs w:val="22"/>
                <w:lang w:val="fr-CA" w:eastAsia="en-CA"/>
              </w:rPr>
              <w:t>3</w:t>
            </w:r>
          </w:p>
        </w:tc>
        <w:tc>
          <w:tcPr>
            <w:tcW w:w="3823" w:type="dxa"/>
            <w:tcBorders>
              <w:top w:val="nil"/>
              <w:left w:val="nil"/>
              <w:bottom w:val="single" w:sz="4" w:space="0" w:color="auto"/>
              <w:right w:val="single" w:sz="4" w:space="0" w:color="auto"/>
            </w:tcBorders>
            <w:shd w:val="clear" w:color="auto" w:fill="auto"/>
            <w:vAlign w:val="center"/>
            <w:hideMark/>
          </w:tcPr>
          <w:p w14:paraId="6C1560CB" w14:textId="77777777" w:rsidR="0029639D" w:rsidRPr="00415876" w:rsidRDefault="0029639D" w:rsidP="00120F79">
            <w:pPr>
              <w:jc w:val="left"/>
              <w:rPr>
                <w:kern w:val="22"/>
                <w:szCs w:val="22"/>
                <w:lang w:val="fr-CA" w:eastAsia="en-CA"/>
              </w:rPr>
            </w:pPr>
            <w:r>
              <w:rPr>
                <w:kern w:val="22"/>
                <w:szCs w:val="22"/>
                <w:lang w:val="fr-CA" w:eastAsia="en-CA"/>
              </w:rPr>
              <w:t>Comore</w:t>
            </w:r>
            <w:r w:rsidRPr="00415876">
              <w:rPr>
                <w:kern w:val="22"/>
                <w:szCs w:val="22"/>
                <w:lang w:val="fr-CA" w:eastAsia="en-CA"/>
              </w:rPr>
              <w:t>s</w:t>
            </w:r>
          </w:p>
        </w:tc>
        <w:tc>
          <w:tcPr>
            <w:tcW w:w="1472" w:type="dxa"/>
            <w:tcBorders>
              <w:top w:val="nil"/>
              <w:left w:val="nil"/>
              <w:bottom w:val="single" w:sz="4" w:space="0" w:color="auto"/>
              <w:right w:val="single" w:sz="4" w:space="0" w:color="auto"/>
            </w:tcBorders>
            <w:shd w:val="clear" w:color="auto" w:fill="auto"/>
            <w:vAlign w:val="center"/>
            <w:hideMark/>
          </w:tcPr>
          <w:p w14:paraId="0B2F34E0"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001</w:t>
            </w:r>
          </w:p>
        </w:tc>
        <w:tc>
          <w:tcPr>
            <w:tcW w:w="1715" w:type="dxa"/>
            <w:tcBorders>
              <w:top w:val="nil"/>
              <w:left w:val="nil"/>
              <w:bottom w:val="single" w:sz="4" w:space="0" w:color="auto"/>
              <w:right w:val="single" w:sz="4" w:space="0" w:color="auto"/>
            </w:tcBorders>
            <w:shd w:val="clear" w:color="auto" w:fill="auto"/>
            <w:noWrap/>
            <w:vAlign w:val="center"/>
            <w:hideMark/>
          </w:tcPr>
          <w:p w14:paraId="2D0C22DC" w14:textId="77777777" w:rsidR="0029639D" w:rsidRPr="00415876" w:rsidRDefault="0029639D" w:rsidP="0029639D">
            <w:pPr>
              <w:tabs>
                <w:tab w:val="left" w:pos="1257"/>
              </w:tabs>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002</w:t>
            </w:r>
          </w:p>
        </w:tc>
        <w:tc>
          <w:tcPr>
            <w:tcW w:w="1715" w:type="dxa"/>
            <w:tcBorders>
              <w:top w:val="nil"/>
              <w:left w:val="nil"/>
              <w:bottom w:val="single" w:sz="4" w:space="0" w:color="auto"/>
              <w:right w:val="single" w:sz="4" w:space="0" w:color="auto"/>
            </w:tcBorders>
            <w:shd w:val="clear" w:color="auto" w:fill="auto"/>
            <w:noWrap/>
            <w:vAlign w:val="center"/>
            <w:hideMark/>
          </w:tcPr>
          <w:p w14:paraId="45A20F37" w14:textId="77777777" w:rsidR="0029639D" w:rsidRPr="00415876" w:rsidRDefault="0029639D" w:rsidP="0029639D">
            <w:pPr>
              <w:ind w:right="247"/>
              <w:jc w:val="right"/>
              <w:rPr>
                <w:kern w:val="22"/>
                <w:szCs w:val="22"/>
                <w:lang w:val="fr-CA" w:eastAsia="en-CA"/>
              </w:rPr>
            </w:pPr>
            <w:r w:rsidRPr="00415876">
              <w:rPr>
                <w:kern w:val="22"/>
                <w:szCs w:val="22"/>
                <w:lang w:val="fr-CA" w:eastAsia="en-CA"/>
              </w:rPr>
              <w:t>30</w:t>
            </w:r>
          </w:p>
        </w:tc>
      </w:tr>
      <w:tr w:rsidR="0029639D" w:rsidRPr="00415876" w14:paraId="01ED75A6"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132947A4" w14:textId="6DCEFF3F" w:rsidR="0029639D" w:rsidRPr="00415876" w:rsidRDefault="0029639D" w:rsidP="00120F79">
            <w:pPr>
              <w:jc w:val="right"/>
              <w:rPr>
                <w:kern w:val="22"/>
                <w:szCs w:val="22"/>
                <w:lang w:val="fr-CA" w:eastAsia="en-CA"/>
              </w:rPr>
            </w:pPr>
            <w:r>
              <w:rPr>
                <w:kern w:val="22"/>
                <w:szCs w:val="22"/>
                <w:lang w:val="fr-CA" w:eastAsia="en-CA"/>
              </w:rPr>
              <w:t>24</w:t>
            </w:r>
          </w:p>
        </w:tc>
        <w:tc>
          <w:tcPr>
            <w:tcW w:w="3823" w:type="dxa"/>
            <w:tcBorders>
              <w:top w:val="nil"/>
              <w:left w:val="nil"/>
              <w:bottom w:val="single" w:sz="4" w:space="0" w:color="auto"/>
              <w:right w:val="single" w:sz="4" w:space="0" w:color="auto"/>
            </w:tcBorders>
            <w:shd w:val="clear" w:color="auto" w:fill="auto"/>
            <w:vAlign w:val="center"/>
            <w:hideMark/>
          </w:tcPr>
          <w:p w14:paraId="31AE1128" w14:textId="77777777" w:rsidR="0029639D" w:rsidRPr="00415876" w:rsidRDefault="0029639D" w:rsidP="00120F79">
            <w:pPr>
              <w:jc w:val="left"/>
              <w:rPr>
                <w:kern w:val="22"/>
                <w:szCs w:val="22"/>
                <w:lang w:val="fr-CA" w:eastAsia="en-CA"/>
              </w:rPr>
            </w:pPr>
            <w:r w:rsidRPr="00415876">
              <w:rPr>
                <w:kern w:val="22"/>
                <w:szCs w:val="22"/>
                <w:lang w:val="fr-CA" w:eastAsia="en-CA"/>
              </w:rPr>
              <w:t>Congo</w:t>
            </w:r>
          </w:p>
        </w:tc>
        <w:tc>
          <w:tcPr>
            <w:tcW w:w="1472" w:type="dxa"/>
            <w:tcBorders>
              <w:top w:val="nil"/>
              <w:left w:val="nil"/>
              <w:bottom w:val="single" w:sz="4" w:space="0" w:color="auto"/>
              <w:right w:val="single" w:sz="4" w:space="0" w:color="auto"/>
            </w:tcBorders>
            <w:shd w:val="clear" w:color="auto" w:fill="auto"/>
            <w:vAlign w:val="center"/>
            <w:hideMark/>
          </w:tcPr>
          <w:p w14:paraId="7DD4F64E"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006</w:t>
            </w:r>
          </w:p>
        </w:tc>
        <w:tc>
          <w:tcPr>
            <w:tcW w:w="1715" w:type="dxa"/>
            <w:tcBorders>
              <w:top w:val="nil"/>
              <w:left w:val="nil"/>
              <w:bottom w:val="single" w:sz="4" w:space="0" w:color="auto"/>
              <w:right w:val="single" w:sz="4" w:space="0" w:color="auto"/>
            </w:tcBorders>
            <w:shd w:val="clear" w:color="auto" w:fill="auto"/>
            <w:noWrap/>
            <w:vAlign w:val="center"/>
            <w:hideMark/>
          </w:tcPr>
          <w:p w14:paraId="6DFA192D" w14:textId="77777777" w:rsidR="0029639D" w:rsidRPr="00415876" w:rsidRDefault="0029639D" w:rsidP="0029639D">
            <w:pPr>
              <w:tabs>
                <w:tab w:val="left" w:pos="1257"/>
              </w:tabs>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010</w:t>
            </w:r>
          </w:p>
        </w:tc>
        <w:tc>
          <w:tcPr>
            <w:tcW w:w="1715" w:type="dxa"/>
            <w:tcBorders>
              <w:top w:val="nil"/>
              <w:left w:val="nil"/>
              <w:bottom w:val="single" w:sz="4" w:space="0" w:color="auto"/>
              <w:right w:val="single" w:sz="4" w:space="0" w:color="auto"/>
            </w:tcBorders>
            <w:shd w:val="clear" w:color="auto" w:fill="auto"/>
            <w:noWrap/>
            <w:vAlign w:val="center"/>
            <w:hideMark/>
          </w:tcPr>
          <w:p w14:paraId="2EA4C384" w14:textId="77777777" w:rsidR="0029639D" w:rsidRPr="00415876" w:rsidRDefault="0029639D" w:rsidP="0029639D">
            <w:pPr>
              <w:ind w:right="247"/>
              <w:jc w:val="right"/>
              <w:rPr>
                <w:kern w:val="22"/>
                <w:szCs w:val="22"/>
                <w:lang w:val="fr-CA" w:eastAsia="en-CA"/>
              </w:rPr>
            </w:pPr>
            <w:r w:rsidRPr="00415876">
              <w:rPr>
                <w:kern w:val="22"/>
                <w:szCs w:val="22"/>
                <w:lang w:val="fr-CA" w:eastAsia="en-CA"/>
              </w:rPr>
              <w:t>181</w:t>
            </w:r>
          </w:p>
        </w:tc>
      </w:tr>
      <w:tr w:rsidR="0029639D" w:rsidRPr="00415876" w14:paraId="16BC6BD6"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0DC71ADA" w14:textId="0DFDD3C3" w:rsidR="0029639D" w:rsidRPr="00415876" w:rsidRDefault="0029639D" w:rsidP="00120F79">
            <w:pPr>
              <w:jc w:val="right"/>
              <w:rPr>
                <w:kern w:val="22"/>
                <w:szCs w:val="22"/>
                <w:lang w:val="fr-CA" w:eastAsia="en-CA"/>
              </w:rPr>
            </w:pPr>
            <w:r>
              <w:rPr>
                <w:kern w:val="22"/>
                <w:szCs w:val="22"/>
                <w:lang w:val="fr-CA" w:eastAsia="en-CA"/>
              </w:rPr>
              <w:t>25</w:t>
            </w:r>
          </w:p>
        </w:tc>
        <w:tc>
          <w:tcPr>
            <w:tcW w:w="3823" w:type="dxa"/>
            <w:tcBorders>
              <w:top w:val="nil"/>
              <w:left w:val="nil"/>
              <w:bottom w:val="single" w:sz="4" w:space="0" w:color="auto"/>
              <w:right w:val="single" w:sz="4" w:space="0" w:color="auto"/>
            </w:tcBorders>
            <w:shd w:val="clear" w:color="auto" w:fill="auto"/>
            <w:vAlign w:val="center"/>
            <w:hideMark/>
          </w:tcPr>
          <w:p w14:paraId="2A5DE3DB" w14:textId="77777777" w:rsidR="0029639D" w:rsidRPr="00415876" w:rsidRDefault="0029639D" w:rsidP="00120F79">
            <w:pPr>
              <w:jc w:val="left"/>
              <w:rPr>
                <w:kern w:val="22"/>
                <w:szCs w:val="22"/>
                <w:lang w:val="fr-CA" w:eastAsia="en-CA"/>
              </w:rPr>
            </w:pPr>
            <w:r>
              <w:rPr>
                <w:kern w:val="22"/>
                <w:szCs w:val="22"/>
                <w:lang w:val="fr-CA" w:eastAsia="en-CA"/>
              </w:rPr>
              <w:t>Cô</w:t>
            </w:r>
            <w:r w:rsidRPr="00415876">
              <w:rPr>
                <w:kern w:val="22"/>
                <w:szCs w:val="22"/>
                <w:lang w:val="fr-CA" w:eastAsia="en-CA"/>
              </w:rPr>
              <w:t>te d’Ivoire</w:t>
            </w:r>
          </w:p>
        </w:tc>
        <w:tc>
          <w:tcPr>
            <w:tcW w:w="1472" w:type="dxa"/>
            <w:tcBorders>
              <w:top w:val="nil"/>
              <w:left w:val="nil"/>
              <w:bottom w:val="single" w:sz="4" w:space="0" w:color="auto"/>
              <w:right w:val="single" w:sz="4" w:space="0" w:color="auto"/>
            </w:tcBorders>
            <w:shd w:val="clear" w:color="auto" w:fill="auto"/>
            <w:vAlign w:val="center"/>
            <w:hideMark/>
          </w:tcPr>
          <w:p w14:paraId="6EFB1E0D"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013</w:t>
            </w:r>
          </w:p>
        </w:tc>
        <w:tc>
          <w:tcPr>
            <w:tcW w:w="1715" w:type="dxa"/>
            <w:tcBorders>
              <w:top w:val="nil"/>
              <w:left w:val="nil"/>
              <w:bottom w:val="single" w:sz="4" w:space="0" w:color="auto"/>
              <w:right w:val="single" w:sz="4" w:space="0" w:color="auto"/>
            </w:tcBorders>
            <w:shd w:val="clear" w:color="auto" w:fill="auto"/>
            <w:noWrap/>
            <w:vAlign w:val="center"/>
            <w:hideMark/>
          </w:tcPr>
          <w:p w14:paraId="32BCBC3B" w14:textId="77777777" w:rsidR="0029639D" w:rsidRPr="00415876" w:rsidRDefault="0029639D" w:rsidP="0029639D">
            <w:pPr>
              <w:tabs>
                <w:tab w:val="left" w:pos="1257"/>
              </w:tabs>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021</w:t>
            </w:r>
          </w:p>
        </w:tc>
        <w:tc>
          <w:tcPr>
            <w:tcW w:w="1715" w:type="dxa"/>
            <w:tcBorders>
              <w:top w:val="nil"/>
              <w:left w:val="nil"/>
              <w:bottom w:val="single" w:sz="4" w:space="0" w:color="auto"/>
              <w:right w:val="single" w:sz="4" w:space="0" w:color="auto"/>
            </w:tcBorders>
            <w:shd w:val="clear" w:color="auto" w:fill="auto"/>
            <w:noWrap/>
            <w:vAlign w:val="center"/>
            <w:hideMark/>
          </w:tcPr>
          <w:p w14:paraId="0D8DDF4E" w14:textId="77777777" w:rsidR="0029639D" w:rsidRPr="00415876" w:rsidRDefault="0029639D" w:rsidP="0029639D">
            <w:pPr>
              <w:ind w:right="247"/>
              <w:jc w:val="right"/>
              <w:rPr>
                <w:kern w:val="22"/>
                <w:szCs w:val="22"/>
                <w:lang w:val="fr-CA" w:eastAsia="en-CA"/>
              </w:rPr>
            </w:pPr>
            <w:r w:rsidRPr="00415876">
              <w:rPr>
                <w:kern w:val="22"/>
                <w:szCs w:val="22"/>
                <w:lang w:val="fr-CA" w:eastAsia="en-CA"/>
              </w:rPr>
              <w:t>392</w:t>
            </w:r>
          </w:p>
        </w:tc>
      </w:tr>
      <w:tr w:rsidR="0029639D" w:rsidRPr="00415876" w14:paraId="58405CFB"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5581A292" w14:textId="039AD781" w:rsidR="0029639D" w:rsidRPr="00415876" w:rsidRDefault="0029639D" w:rsidP="00120F79">
            <w:pPr>
              <w:jc w:val="right"/>
              <w:rPr>
                <w:kern w:val="22"/>
                <w:szCs w:val="22"/>
                <w:lang w:val="fr-CA" w:eastAsia="en-CA"/>
              </w:rPr>
            </w:pPr>
            <w:r>
              <w:rPr>
                <w:kern w:val="22"/>
                <w:szCs w:val="22"/>
                <w:lang w:val="fr-CA" w:eastAsia="en-CA"/>
              </w:rPr>
              <w:t>26</w:t>
            </w:r>
          </w:p>
        </w:tc>
        <w:tc>
          <w:tcPr>
            <w:tcW w:w="3823" w:type="dxa"/>
            <w:tcBorders>
              <w:top w:val="nil"/>
              <w:left w:val="nil"/>
              <w:bottom w:val="single" w:sz="4" w:space="0" w:color="auto"/>
              <w:right w:val="single" w:sz="4" w:space="0" w:color="auto"/>
            </w:tcBorders>
            <w:shd w:val="clear" w:color="auto" w:fill="auto"/>
            <w:vAlign w:val="center"/>
            <w:hideMark/>
          </w:tcPr>
          <w:p w14:paraId="69468CDC" w14:textId="77777777" w:rsidR="0029639D" w:rsidRPr="00415876" w:rsidRDefault="0029639D" w:rsidP="00415876">
            <w:pPr>
              <w:jc w:val="left"/>
              <w:rPr>
                <w:kern w:val="22"/>
                <w:szCs w:val="22"/>
                <w:lang w:val="fr-CA" w:eastAsia="en-CA"/>
              </w:rPr>
            </w:pPr>
            <w:r w:rsidRPr="00415876">
              <w:rPr>
                <w:kern w:val="22"/>
                <w:szCs w:val="22"/>
                <w:lang w:val="fr-CA" w:eastAsia="en-CA"/>
              </w:rPr>
              <w:t>Croati</w:t>
            </w:r>
            <w:r>
              <w:rPr>
                <w:kern w:val="22"/>
                <w:szCs w:val="22"/>
                <w:lang w:val="fr-CA" w:eastAsia="en-CA"/>
              </w:rPr>
              <w:t>e</w:t>
            </w:r>
          </w:p>
        </w:tc>
        <w:tc>
          <w:tcPr>
            <w:tcW w:w="1472" w:type="dxa"/>
            <w:tcBorders>
              <w:top w:val="nil"/>
              <w:left w:val="nil"/>
              <w:bottom w:val="single" w:sz="4" w:space="0" w:color="auto"/>
              <w:right w:val="single" w:sz="4" w:space="0" w:color="auto"/>
            </w:tcBorders>
            <w:shd w:val="clear" w:color="auto" w:fill="auto"/>
            <w:vAlign w:val="center"/>
            <w:hideMark/>
          </w:tcPr>
          <w:p w14:paraId="5296BB3F"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077</w:t>
            </w:r>
          </w:p>
        </w:tc>
        <w:tc>
          <w:tcPr>
            <w:tcW w:w="1715" w:type="dxa"/>
            <w:tcBorders>
              <w:top w:val="nil"/>
              <w:left w:val="nil"/>
              <w:bottom w:val="single" w:sz="4" w:space="0" w:color="auto"/>
              <w:right w:val="single" w:sz="4" w:space="0" w:color="auto"/>
            </w:tcBorders>
            <w:shd w:val="clear" w:color="auto" w:fill="auto"/>
            <w:noWrap/>
            <w:vAlign w:val="center"/>
            <w:hideMark/>
          </w:tcPr>
          <w:p w14:paraId="7B9A4C3B" w14:textId="77777777" w:rsidR="0029639D" w:rsidRPr="00415876" w:rsidRDefault="0029639D" w:rsidP="0029639D">
            <w:pPr>
              <w:tabs>
                <w:tab w:val="left" w:pos="1257"/>
              </w:tabs>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124</w:t>
            </w:r>
          </w:p>
        </w:tc>
        <w:tc>
          <w:tcPr>
            <w:tcW w:w="1715" w:type="dxa"/>
            <w:tcBorders>
              <w:top w:val="nil"/>
              <w:left w:val="nil"/>
              <w:bottom w:val="single" w:sz="4" w:space="0" w:color="auto"/>
              <w:right w:val="single" w:sz="4" w:space="0" w:color="auto"/>
            </w:tcBorders>
            <w:shd w:val="clear" w:color="auto" w:fill="auto"/>
            <w:noWrap/>
            <w:vAlign w:val="center"/>
            <w:hideMark/>
          </w:tcPr>
          <w:p w14:paraId="696B664C" w14:textId="77777777" w:rsidR="0029639D" w:rsidRPr="00415876" w:rsidRDefault="0029639D" w:rsidP="0029639D">
            <w:pPr>
              <w:ind w:right="247"/>
              <w:jc w:val="right"/>
              <w:rPr>
                <w:kern w:val="22"/>
                <w:szCs w:val="22"/>
                <w:lang w:val="fr-CA" w:eastAsia="en-CA"/>
              </w:rPr>
            </w:pPr>
            <w:r w:rsidRPr="00415876">
              <w:rPr>
                <w:kern w:val="22"/>
                <w:szCs w:val="22"/>
                <w:lang w:val="fr-CA" w:eastAsia="en-CA"/>
              </w:rPr>
              <w:t>2 321</w:t>
            </w:r>
          </w:p>
        </w:tc>
      </w:tr>
      <w:tr w:rsidR="0029639D" w:rsidRPr="00415876" w14:paraId="3BAB4E67"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383BEE30" w14:textId="42DC0D91" w:rsidR="0029639D" w:rsidRPr="00415876" w:rsidRDefault="0029639D" w:rsidP="00120F79">
            <w:pPr>
              <w:jc w:val="right"/>
              <w:rPr>
                <w:kern w:val="22"/>
                <w:szCs w:val="22"/>
                <w:lang w:val="fr-CA" w:eastAsia="en-CA"/>
              </w:rPr>
            </w:pPr>
            <w:r>
              <w:rPr>
                <w:kern w:val="22"/>
                <w:szCs w:val="22"/>
                <w:lang w:val="fr-CA" w:eastAsia="en-CA"/>
              </w:rPr>
              <w:t>27</w:t>
            </w:r>
          </w:p>
        </w:tc>
        <w:tc>
          <w:tcPr>
            <w:tcW w:w="3823" w:type="dxa"/>
            <w:tcBorders>
              <w:top w:val="nil"/>
              <w:left w:val="nil"/>
              <w:bottom w:val="single" w:sz="4" w:space="0" w:color="auto"/>
              <w:right w:val="single" w:sz="4" w:space="0" w:color="auto"/>
            </w:tcBorders>
            <w:shd w:val="clear" w:color="auto" w:fill="auto"/>
            <w:vAlign w:val="center"/>
            <w:hideMark/>
          </w:tcPr>
          <w:p w14:paraId="6E2D7B94" w14:textId="77777777" w:rsidR="0029639D" w:rsidRPr="00415876" w:rsidRDefault="0029639D" w:rsidP="00120F79">
            <w:pPr>
              <w:jc w:val="left"/>
              <w:rPr>
                <w:kern w:val="22"/>
                <w:szCs w:val="22"/>
                <w:lang w:val="fr-CA" w:eastAsia="en-CA"/>
              </w:rPr>
            </w:pPr>
            <w:r w:rsidRPr="00415876">
              <w:rPr>
                <w:kern w:val="22"/>
                <w:szCs w:val="22"/>
                <w:lang w:val="fr-CA" w:eastAsia="en-CA"/>
              </w:rPr>
              <w:t>Cuba</w:t>
            </w:r>
          </w:p>
        </w:tc>
        <w:tc>
          <w:tcPr>
            <w:tcW w:w="1472" w:type="dxa"/>
            <w:tcBorders>
              <w:top w:val="nil"/>
              <w:left w:val="nil"/>
              <w:bottom w:val="single" w:sz="4" w:space="0" w:color="auto"/>
              <w:right w:val="single" w:sz="4" w:space="0" w:color="auto"/>
            </w:tcBorders>
            <w:shd w:val="clear" w:color="auto" w:fill="auto"/>
            <w:vAlign w:val="center"/>
            <w:hideMark/>
          </w:tcPr>
          <w:p w14:paraId="61EADC4B"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080</w:t>
            </w:r>
          </w:p>
        </w:tc>
        <w:tc>
          <w:tcPr>
            <w:tcW w:w="1715" w:type="dxa"/>
            <w:tcBorders>
              <w:top w:val="nil"/>
              <w:left w:val="nil"/>
              <w:bottom w:val="single" w:sz="4" w:space="0" w:color="auto"/>
              <w:right w:val="single" w:sz="4" w:space="0" w:color="auto"/>
            </w:tcBorders>
            <w:shd w:val="clear" w:color="auto" w:fill="auto"/>
            <w:noWrap/>
            <w:vAlign w:val="center"/>
            <w:hideMark/>
          </w:tcPr>
          <w:p w14:paraId="0A120915" w14:textId="77777777" w:rsidR="0029639D" w:rsidRPr="00415876" w:rsidRDefault="0029639D" w:rsidP="0029639D">
            <w:pPr>
              <w:tabs>
                <w:tab w:val="left" w:pos="1257"/>
              </w:tabs>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129</w:t>
            </w:r>
          </w:p>
        </w:tc>
        <w:tc>
          <w:tcPr>
            <w:tcW w:w="1715" w:type="dxa"/>
            <w:tcBorders>
              <w:top w:val="nil"/>
              <w:left w:val="nil"/>
              <w:bottom w:val="single" w:sz="4" w:space="0" w:color="auto"/>
              <w:right w:val="single" w:sz="4" w:space="0" w:color="auto"/>
            </w:tcBorders>
            <w:shd w:val="clear" w:color="auto" w:fill="auto"/>
            <w:noWrap/>
            <w:vAlign w:val="center"/>
            <w:hideMark/>
          </w:tcPr>
          <w:p w14:paraId="70F32A51" w14:textId="77777777" w:rsidR="0029639D" w:rsidRPr="00415876" w:rsidRDefault="0029639D" w:rsidP="0029639D">
            <w:pPr>
              <w:ind w:right="247"/>
              <w:jc w:val="right"/>
              <w:rPr>
                <w:kern w:val="22"/>
                <w:szCs w:val="22"/>
                <w:lang w:val="fr-CA" w:eastAsia="en-CA"/>
              </w:rPr>
            </w:pPr>
            <w:r w:rsidRPr="00415876">
              <w:rPr>
                <w:kern w:val="22"/>
                <w:szCs w:val="22"/>
                <w:lang w:val="fr-CA" w:eastAsia="en-CA"/>
              </w:rPr>
              <w:t>2 412</w:t>
            </w:r>
          </w:p>
        </w:tc>
      </w:tr>
      <w:tr w:rsidR="0029639D" w:rsidRPr="00415876" w14:paraId="180D57FF"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35EB8B54" w14:textId="3E0AC984" w:rsidR="0029639D" w:rsidRPr="00415876" w:rsidRDefault="0029639D" w:rsidP="00120F79">
            <w:pPr>
              <w:jc w:val="right"/>
              <w:rPr>
                <w:kern w:val="22"/>
                <w:szCs w:val="22"/>
                <w:lang w:val="fr-CA" w:eastAsia="en-CA"/>
              </w:rPr>
            </w:pPr>
            <w:r>
              <w:rPr>
                <w:kern w:val="22"/>
                <w:szCs w:val="22"/>
                <w:lang w:val="fr-CA" w:eastAsia="en-CA"/>
              </w:rPr>
              <w:t>28</w:t>
            </w:r>
          </w:p>
        </w:tc>
        <w:tc>
          <w:tcPr>
            <w:tcW w:w="3823" w:type="dxa"/>
            <w:tcBorders>
              <w:top w:val="nil"/>
              <w:left w:val="nil"/>
              <w:bottom w:val="single" w:sz="4" w:space="0" w:color="auto"/>
              <w:right w:val="single" w:sz="4" w:space="0" w:color="auto"/>
            </w:tcBorders>
            <w:shd w:val="clear" w:color="auto" w:fill="auto"/>
            <w:vAlign w:val="center"/>
            <w:hideMark/>
          </w:tcPr>
          <w:p w14:paraId="284CDB0D" w14:textId="77777777" w:rsidR="0029639D" w:rsidRPr="00415876" w:rsidRDefault="0029639D" w:rsidP="00120F79">
            <w:pPr>
              <w:jc w:val="left"/>
              <w:rPr>
                <w:kern w:val="22"/>
                <w:szCs w:val="22"/>
                <w:lang w:val="fr-CA" w:eastAsia="en-CA"/>
              </w:rPr>
            </w:pPr>
            <w:r>
              <w:rPr>
                <w:kern w:val="22"/>
                <w:szCs w:val="22"/>
                <w:lang w:val="fr-CA" w:eastAsia="en-CA"/>
              </w:rPr>
              <w:t>Danemark</w:t>
            </w:r>
          </w:p>
        </w:tc>
        <w:tc>
          <w:tcPr>
            <w:tcW w:w="1472" w:type="dxa"/>
            <w:tcBorders>
              <w:top w:val="nil"/>
              <w:left w:val="nil"/>
              <w:bottom w:val="single" w:sz="4" w:space="0" w:color="auto"/>
              <w:right w:val="single" w:sz="4" w:space="0" w:color="auto"/>
            </w:tcBorders>
            <w:shd w:val="clear" w:color="auto" w:fill="auto"/>
            <w:vAlign w:val="center"/>
            <w:hideMark/>
          </w:tcPr>
          <w:p w14:paraId="277C4AC8"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554</w:t>
            </w:r>
          </w:p>
        </w:tc>
        <w:tc>
          <w:tcPr>
            <w:tcW w:w="1715" w:type="dxa"/>
            <w:tcBorders>
              <w:top w:val="nil"/>
              <w:left w:val="nil"/>
              <w:bottom w:val="single" w:sz="4" w:space="0" w:color="auto"/>
              <w:right w:val="single" w:sz="4" w:space="0" w:color="auto"/>
            </w:tcBorders>
            <w:shd w:val="clear" w:color="auto" w:fill="auto"/>
            <w:noWrap/>
            <w:vAlign w:val="center"/>
            <w:hideMark/>
          </w:tcPr>
          <w:p w14:paraId="664D91F4" w14:textId="77777777" w:rsidR="0029639D" w:rsidRPr="00415876" w:rsidRDefault="0029639D" w:rsidP="0029639D">
            <w:pPr>
              <w:tabs>
                <w:tab w:val="left" w:pos="1257"/>
              </w:tabs>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890</w:t>
            </w:r>
          </w:p>
        </w:tc>
        <w:tc>
          <w:tcPr>
            <w:tcW w:w="1715" w:type="dxa"/>
            <w:tcBorders>
              <w:top w:val="nil"/>
              <w:left w:val="nil"/>
              <w:bottom w:val="single" w:sz="4" w:space="0" w:color="auto"/>
              <w:right w:val="single" w:sz="4" w:space="0" w:color="auto"/>
            </w:tcBorders>
            <w:shd w:val="clear" w:color="auto" w:fill="auto"/>
            <w:noWrap/>
            <w:vAlign w:val="center"/>
            <w:hideMark/>
          </w:tcPr>
          <w:p w14:paraId="48E5196D" w14:textId="77777777" w:rsidR="0029639D" w:rsidRPr="00415876" w:rsidRDefault="0029639D" w:rsidP="0029639D">
            <w:pPr>
              <w:ind w:right="247"/>
              <w:jc w:val="right"/>
              <w:rPr>
                <w:kern w:val="22"/>
                <w:szCs w:val="22"/>
                <w:lang w:val="fr-CA" w:eastAsia="en-CA"/>
              </w:rPr>
            </w:pPr>
            <w:r w:rsidRPr="00415876">
              <w:rPr>
                <w:kern w:val="22"/>
                <w:szCs w:val="22"/>
                <w:lang w:val="fr-CA" w:eastAsia="en-CA"/>
              </w:rPr>
              <w:t>16 700</w:t>
            </w:r>
          </w:p>
        </w:tc>
      </w:tr>
      <w:tr w:rsidR="0029639D" w:rsidRPr="00415876" w14:paraId="17119F80"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52F58C9B" w14:textId="71CB6B49" w:rsidR="0029639D" w:rsidRPr="00415876" w:rsidRDefault="0029639D" w:rsidP="00120F79">
            <w:pPr>
              <w:jc w:val="right"/>
              <w:rPr>
                <w:kern w:val="22"/>
                <w:szCs w:val="22"/>
                <w:lang w:val="fr-CA" w:eastAsia="en-CA"/>
              </w:rPr>
            </w:pPr>
            <w:r>
              <w:rPr>
                <w:kern w:val="22"/>
                <w:szCs w:val="22"/>
                <w:lang w:val="fr-CA" w:eastAsia="en-CA"/>
              </w:rPr>
              <w:t>29</w:t>
            </w:r>
          </w:p>
        </w:tc>
        <w:tc>
          <w:tcPr>
            <w:tcW w:w="3823" w:type="dxa"/>
            <w:tcBorders>
              <w:top w:val="nil"/>
              <w:left w:val="nil"/>
              <w:bottom w:val="single" w:sz="4" w:space="0" w:color="auto"/>
              <w:right w:val="single" w:sz="4" w:space="0" w:color="auto"/>
            </w:tcBorders>
            <w:shd w:val="clear" w:color="auto" w:fill="auto"/>
            <w:vAlign w:val="center"/>
            <w:hideMark/>
          </w:tcPr>
          <w:p w14:paraId="311FEE47" w14:textId="77777777" w:rsidR="0029639D" w:rsidRPr="00415876" w:rsidRDefault="0029639D" w:rsidP="00120F79">
            <w:pPr>
              <w:jc w:val="left"/>
              <w:rPr>
                <w:kern w:val="22"/>
                <w:szCs w:val="22"/>
                <w:lang w:val="fr-CA" w:eastAsia="en-CA"/>
              </w:rPr>
            </w:pPr>
            <w:r w:rsidRPr="00415876">
              <w:rPr>
                <w:kern w:val="22"/>
                <w:szCs w:val="22"/>
                <w:lang w:val="fr-CA" w:eastAsia="en-CA"/>
              </w:rPr>
              <w:t>Djibouti</w:t>
            </w:r>
          </w:p>
        </w:tc>
        <w:tc>
          <w:tcPr>
            <w:tcW w:w="1472" w:type="dxa"/>
            <w:tcBorders>
              <w:top w:val="nil"/>
              <w:left w:val="nil"/>
              <w:bottom w:val="single" w:sz="4" w:space="0" w:color="auto"/>
              <w:right w:val="single" w:sz="4" w:space="0" w:color="auto"/>
            </w:tcBorders>
            <w:shd w:val="clear" w:color="auto" w:fill="auto"/>
            <w:vAlign w:val="center"/>
            <w:hideMark/>
          </w:tcPr>
          <w:p w14:paraId="3104D6B6"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001</w:t>
            </w:r>
          </w:p>
        </w:tc>
        <w:tc>
          <w:tcPr>
            <w:tcW w:w="1715" w:type="dxa"/>
            <w:tcBorders>
              <w:top w:val="nil"/>
              <w:left w:val="nil"/>
              <w:bottom w:val="single" w:sz="4" w:space="0" w:color="auto"/>
              <w:right w:val="single" w:sz="4" w:space="0" w:color="auto"/>
            </w:tcBorders>
            <w:shd w:val="clear" w:color="auto" w:fill="auto"/>
            <w:noWrap/>
            <w:vAlign w:val="center"/>
            <w:hideMark/>
          </w:tcPr>
          <w:p w14:paraId="21ADD172" w14:textId="77777777" w:rsidR="0029639D" w:rsidRPr="00415876" w:rsidRDefault="0029639D" w:rsidP="0029639D">
            <w:pPr>
              <w:tabs>
                <w:tab w:val="left" w:pos="1257"/>
              </w:tabs>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002</w:t>
            </w:r>
          </w:p>
        </w:tc>
        <w:tc>
          <w:tcPr>
            <w:tcW w:w="1715" w:type="dxa"/>
            <w:tcBorders>
              <w:top w:val="nil"/>
              <w:left w:val="nil"/>
              <w:bottom w:val="single" w:sz="4" w:space="0" w:color="auto"/>
              <w:right w:val="single" w:sz="4" w:space="0" w:color="auto"/>
            </w:tcBorders>
            <w:shd w:val="clear" w:color="auto" w:fill="auto"/>
            <w:noWrap/>
            <w:vAlign w:val="center"/>
            <w:hideMark/>
          </w:tcPr>
          <w:p w14:paraId="2448C746" w14:textId="77777777" w:rsidR="0029639D" w:rsidRPr="00415876" w:rsidRDefault="0029639D" w:rsidP="0029639D">
            <w:pPr>
              <w:ind w:right="247"/>
              <w:jc w:val="right"/>
              <w:rPr>
                <w:kern w:val="22"/>
                <w:szCs w:val="22"/>
                <w:lang w:val="fr-CA" w:eastAsia="en-CA"/>
              </w:rPr>
            </w:pPr>
            <w:r w:rsidRPr="00415876">
              <w:rPr>
                <w:kern w:val="22"/>
                <w:szCs w:val="22"/>
                <w:lang w:val="fr-CA" w:eastAsia="en-CA"/>
              </w:rPr>
              <w:t>30</w:t>
            </w:r>
          </w:p>
        </w:tc>
      </w:tr>
      <w:tr w:rsidR="0029639D" w:rsidRPr="00415876" w14:paraId="2E839550"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1A20A787" w14:textId="5B8165EB" w:rsidR="0029639D" w:rsidRPr="00415876" w:rsidRDefault="0029639D" w:rsidP="00120F79">
            <w:pPr>
              <w:jc w:val="right"/>
              <w:rPr>
                <w:kern w:val="22"/>
                <w:szCs w:val="22"/>
                <w:lang w:val="fr-CA" w:eastAsia="en-CA"/>
              </w:rPr>
            </w:pPr>
            <w:r>
              <w:rPr>
                <w:kern w:val="22"/>
                <w:szCs w:val="22"/>
                <w:lang w:val="fr-CA" w:eastAsia="en-CA"/>
              </w:rPr>
              <w:t>30</w:t>
            </w:r>
          </w:p>
        </w:tc>
        <w:tc>
          <w:tcPr>
            <w:tcW w:w="3823" w:type="dxa"/>
            <w:tcBorders>
              <w:top w:val="nil"/>
              <w:left w:val="nil"/>
              <w:bottom w:val="single" w:sz="4" w:space="0" w:color="auto"/>
              <w:right w:val="single" w:sz="4" w:space="0" w:color="auto"/>
            </w:tcBorders>
            <w:shd w:val="clear" w:color="auto" w:fill="auto"/>
            <w:vAlign w:val="center"/>
            <w:hideMark/>
          </w:tcPr>
          <w:p w14:paraId="71C79818" w14:textId="77777777" w:rsidR="0029639D" w:rsidRPr="00415876" w:rsidRDefault="0029639D" w:rsidP="00120F79">
            <w:pPr>
              <w:jc w:val="left"/>
              <w:rPr>
                <w:kern w:val="22"/>
                <w:szCs w:val="22"/>
                <w:lang w:val="fr-CA" w:eastAsia="en-CA"/>
              </w:rPr>
            </w:pPr>
            <w:r>
              <w:rPr>
                <w:kern w:val="22"/>
                <w:szCs w:val="22"/>
                <w:lang w:val="fr-CA" w:eastAsia="en-CA"/>
              </w:rPr>
              <w:t>Égypte</w:t>
            </w:r>
          </w:p>
        </w:tc>
        <w:tc>
          <w:tcPr>
            <w:tcW w:w="1472" w:type="dxa"/>
            <w:tcBorders>
              <w:top w:val="nil"/>
              <w:left w:val="nil"/>
              <w:bottom w:val="single" w:sz="4" w:space="0" w:color="auto"/>
              <w:right w:val="single" w:sz="4" w:space="0" w:color="auto"/>
            </w:tcBorders>
            <w:shd w:val="clear" w:color="auto" w:fill="auto"/>
            <w:vAlign w:val="center"/>
            <w:hideMark/>
          </w:tcPr>
          <w:p w14:paraId="1122B773"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186</w:t>
            </w:r>
          </w:p>
        </w:tc>
        <w:tc>
          <w:tcPr>
            <w:tcW w:w="1715" w:type="dxa"/>
            <w:tcBorders>
              <w:top w:val="nil"/>
              <w:left w:val="nil"/>
              <w:bottom w:val="single" w:sz="4" w:space="0" w:color="auto"/>
              <w:right w:val="single" w:sz="4" w:space="0" w:color="auto"/>
            </w:tcBorders>
            <w:shd w:val="clear" w:color="auto" w:fill="auto"/>
            <w:noWrap/>
            <w:vAlign w:val="center"/>
            <w:hideMark/>
          </w:tcPr>
          <w:p w14:paraId="7BE46B73"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299</w:t>
            </w:r>
          </w:p>
        </w:tc>
        <w:tc>
          <w:tcPr>
            <w:tcW w:w="1715" w:type="dxa"/>
            <w:tcBorders>
              <w:top w:val="nil"/>
              <w:left w:val="nil"/>
              <w:bottom w:val="single" w:sz="4" w:space="0" w:color="auto"/>
              <w:right w:val="single" w:sz="4" w:space="0" w:color="auto"/>
            </w:tcBorders>
            <w:shd w:val="clear" w:color="auto" w:fill="auto"/>
            <w:noWrap/>
            <w:vAlign w:val="center"/>
            <w:hideMark/>
          </w:tcPr>
          <w:p w14:paraId="04FB0F38" w14:textId="77777777" w:rsidR="0029639D" w:rsidRPr="00415876" w:rsidRDefault="0029639D" w:rsidP="0029639D">
            <w:pPr>
              <w:ind w:right="247"/>
              <w:jc w:val="right"/>
              <w:rPr>
                <w:kern w:val="22"/>
                <w:szCs w:val="22"/>
                <w:lang w:val="fr-CA" w:eastAsia="en-CA"/>
              </w:rPr>
            </w:pPr>
            <w:r w:rsidRPr="00415876">
              <w:rPr>
                <w:kern w:val="22"/>
                <w:szCs w:val="22"/>
                <w:lang w:val="fr-CA" w:eastAsia="en-CA"/>
              </w:rPr>
              <w:t>5 607</w:t>
            </w:r>
          </w:p>
        </w:tc>
      </w:tr>
      <w:tr w:rsidR="0029639D" w:rsidRPr="00415876" w14:paraId="5DE94C60"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0903D9DC" w14:textId="58AD89A0" w:rsidR="0029639D" w:rsidRPr="00415876" w:rsidRDefault="0029639D" w:rsidP="00995EEF">
            <w:pPr>
              <w:jc w:val="right"/>
              <w:rPr>
                <w:kern w:val="22"/>
                <w:szCs w:val="22"/>
                <w:lang w:val="fr-CA" w:eastAsia="en-CA"/>
              </w:rPr>
            </w:pPr>
            <w:r>
              <w:rPr>
                <w:kern w:val="22"/>
                <w:szCs w:val="22"/>
                <w:lang w:val="fr-CA" w:eastAsia="en-CA"/>
              </w:rPr>
              <w:t>31</w:t>
            </w:r>
          </w:p>
        </w:tc>
        <w:tc>
          <w:tcPr>
            <w:tcW w:w="3823" w:type="dxa"/>
            <w:tcBorders>
              <w:top w:val="nil"/>
              <w:left w:val="nil"/>
              <w:bottom w:val="single" w:sz="4" w:space="0" w:color="auto"/>
              <w:right w:val="single" w:sz="4" w:space="0" w:color="auto"/>
            </w:tcBorders>
            <w:shd w:val="clear" w:color="auto" w:fill="auto"/>
            <w:vAlign w:val="center"/>
            <w:hideMark/>
          </w:tcPr>
          <w:p w14:paraId="73C97E72" w14:textId="77777777" w:rsidR="0029639D" w:rsidRPr="00415876" w:rsidRDefault="0029639D" w:rsidP="00995EEF">
            <w:pPr>
              <w:jc w:val="left"/>
              <w:rPr>
                <w:kern w:val="22"/>
                <w:szCs w:val="22"/>
                <w:lang w:val="fr-CA" w:eastAsia="en-CA"/>
              </w:rPr>
            </w:pPr>
            <w:r>
              <w:rPr>
                <w:kern w:val="22"/>
                <w:szCs w:val="22"/>
                <w:lang w:val="fr-CA" w:eastAsia="en-CA"/>
              </w:rPr>
              <w:t>Émirats arabes unis</w:t>
            </w:r>
          </w:p>
        </w:tc>
        <w:tc>
          <w:tcPr>
            <w:tcW w:w="1472" w:type="dxa"/>
            <w:tcBorders>
              <w:top w:val="nil"/>
              <w:left w:val="nil"/>
              <w:bottom w:val="single" w:sz="4" w:space="0" w:color="auto"/>
              <w:right w:val="single" w:sz="4" w:space="0" w:color="auto"/>
            </w:tcBorders>
            <w:shd w:val="clear" w:color="auto" w:fill="auto"/>
            <w:vAlign w:val="center"/>
            <w:hideMark/>
          </w:tcPr>
          <w:p w14:paraId="1404DE18"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616</w:t>
            </w:r>
          </w:p>
        </w:tc>
        <w:tc>
          <w:tcPr>
            <w:tcW w:w="1715" w:type="dxa"/>
            <w:tcBorders>
              <w:top w:val="nil"/>
              <w:left w:val="nil"/>
              <w:bottom w:val="single" w:sz="4" w:space="0" w:color="auto"/>
              <w:right w:val="single" w:sz="4" w:space="0" w:color="auto"/>
            </w:tcBorders>
            <w:shd w:val="clear" w:color="auto" w:fill="auto"/>
            <w:noWrap/>
            <w:vAlign w:val="center"/>
            <w:hideMark/>
          </w:tcPr>
          <w:p w14:paraId="19C8E9CE"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990</w:t>
            </w:r>
          </w:p>
        </w:tc>
        <w:tc>
          <w:tcPr>
            <w:tcW w:w="1715" w:type="dxa"/>
            <w:tcBorders>
              <w:top w:val="nil"/>
              <w:left w:val="nil"/>
              <w:bottom w:val="single" w:sz="4" w:space="0" w:color="auto"/>
              <w:right w:val="single" w:sz="4" w:space="0" w:color="auto"/>
            </w:tcBorders>
            <w:shd w:val="clear" w:color="auto" w:fill="auto"/>
            <w:noWrap/>
            <w:vAlign w:val="center"/>
            <w:hideMark/>
          </w:tcPr>
          <w:p w14:paraId="4BBE4852" w14:textId="77777777" w:rsidR="0029639D" w:rsidRPr="00415876" w:rsidRDefault="0029639D" w:rsidP="0029639D">
            <w:pPr>
              <w:ind w:right="247"/>
              <w:jc w:val="right"/>
              <w:rPr>
                <w:kern w:val="22"/>
                <w:szCs w:val="22"/>
                <w:lang w:val="fr-CA" w:eastAsia="en-CA"/>
              </w:rPr>
            </w:pPr>
            <w:r w:rsidRPr="00415876">
              <w:rPr>
                <w:kern w:val="22"/>
                <w:szCs w:val="22"/>
                <w:lang w:val="fr-CA" w:eastAsia="en-CA"/>
              </w:rPr>
              <w:t>18 569</w:t>
            </w:r>
          </w:p>
        </w:tc>
      </w:tr>
      <w:tr w:rsidR="0029639D" w:rsidRPr="00415876" w14:paraId="4A859C62"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5A23EFDE" w14:textId="65BCDCB8" w:rsidR="0029639D" w:rsidRPr="00415876" w:rsidRDefault="0029639D" w:rsidP="00120F79">
            <w:pPr>
              <w:jc w:val="right"/>
              <w:rPr>
                <w:kern w:val="22"/>
                <w:szCs w:val="22"/>
                <w:lang w:val="fr-CA" w:eastAsia="en-CA"/>
              </w:rPr>
            </w:pPr>
            <w:r>
              <w:rPr>
                <w:kern w:val="22"/>
                <w:szCs w:val="22"/>
                <w:lang w:val="fr-CA" w:eastAsia="en-CA"/>
              </w:rPr>
              <w:t>32</w:t>
            </w:r>
          </w:p>
        </w:tc>
        <w:tc>
          <w:tcPr>
            <w:tcW w:w="3823" w:type="dxa"/>
            <w:tcBorders>
              <w:top w:val="nil"/>
              <w:left w:val="nil"/>
              <w:bottom w:val="single" w:sz="4" w:space="0" w:color="auto"/>
              <w:right w:val="single" w:sz="4" w:space="0" w:color="auto"/>
            </w:tcBorders>
            <w:shd w:val="clear" w:color="auto" w:fill="auto"/>
            <w:vAlign w:val="center"/>
            <w:hideMark/>
          </w:tcPr>
          <w:p w14:paraId="2FB5EE31" w14:textId="77777777" w:rsidR="0029639D" w:rsidRPr="00415876" w:rsidRDefault="0029639D" w:rsidP="00120F79">
            <w:pPr>
              <w:jc w:val="left"/>
              <w:rPr>
                <w:kern w:val="22"/>
                <w:szCs w:val="22"/>
                <w:lang w:val="fr-CA" w:eastAsia="en-CA"/>
              </w:rPr>
            </w:pPr>
            <w:r>
              <w:rPr>
                <w:kern w:val="22"/>
                <w:szCs w:val="22"/>
                <w:lang w:val="fr-CA" w:eastAsia="en-CA"/>
              </w:rPr>
              <w:t>Équateur</w:t>
            </w:r>
          </w:p>
        </w:tc>
        <w:tc>
          <w:tcPr>
            <w:tcW w:w="1472" w:type="dxa"/>
            <w:tcBorders>
              <w:top w:val="nil"/>
              <w:left w:val="nil"/>
              <w:bottom w:val="single" w:sz="4" w:space="0" w:color="auto"/>
              <w:right w:val="single" w:sz="4" w:space="0" w:color="auto"/>
            </w:tcBorders>
            <w:shd w:val="clear" w:color="auto" w:fill="auto"/>
            <w:vAlign w:val="center"/>
            <w:hideMark/>
          </w:tcPr>
          <w:p w14:paraId="717F9FC5"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080</w:t>
            </w:r>
          </w:p>
        </w:tc>
        <w:tc>
          <w:tcPr>
            <w:tcW w:w="1715" w:type="dxa"/>
            <w:tcBorders>
              <w:top w:val="nil"/>
              <w:left w:val="nil"/>
              <w:bottom w:val="single" w:sz="4" w:space="0" w:color="auto"/>
              <w:right w:val="single" w:sz="4" w:space="0" w:color="auto"/>
            </w:tcBorders>
            <w:shd w:val="clear" w:color="auto" w:fill="auto"/>
            <w:noWrap/>
            <w:vAlign w:val="center"/>
            <w:hideMark/>
          </w:tcPr>
          <w:p w14:paraId="48213DD4"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129</w:t>
            </w:r>
          </w:p>
        </w:tc>
        <w:tc>
          <w:tcPr>
            <w:tcW w:w="1715" w:type="dxa"/>
            <w:tcBorders>
              <w:top w:val="nil"/>
              <w:left w:val="nil"/>
              <w:bottom w:val="single" w:sz="4" w:space="0" w:color="auto"/>
              <w:right w:val="single" w:sz="4" w:space="0" w:color="auto"/>
            </w:tcBorders>
            <w:shd w:val="clear" w:color="auto" w:fill="auto"/>
            <w:noWrap/>
            <w:vAlign w:val="center"/>
            <w:hideMark/>
          </w:tcPr>
          <w:p w14:paraId="3E4DD232" w14:textId="77777777" w:rsidR="0029639D" w:rsidRPr="00415876" w:rsidRDefault="0029639D" w:rsidP="0029639D">
            <w:pPr>
              <w:ind w:right="247"/>
              <w:jc w:val="right"/>
              <w:rPr>
                <w:kern w:val="22"/>
                <w:szCs w:val="22"/>
                <w:lang w:val="fr-CA" w:eastAsia="en-CA"/>
              </w:rPr>
            </w:pPr>
            <w:r w:rsidRPr="00415876">
              <w:rPr>
                <w:kern w:val="22"/>
                <w:szCs w:val="22"/>
                <w:lang w:val="fr-CA" w:eastAsia="en-CA"/>
              </w:rPr>
              <w:t>2 412</w:t>
            </w:r>
          </w:p>
        </w:tc>
      </w:tr>
      <w:tr w:rsidR="0029639D" w:rsidRPr="00415876" w14:paraId="2C625B32"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02CD3BBD" w14:textId="6D539A94" w:rsidR="0029639D" w:rsidRPr="00415876" w:rsidRDefault="0029639D" w:rsidP="00120F79">
            <w:pPr>
              <w:jc w:val="right"/>
              <w:rPr>
                <w:kern w:val="22"/>
                <w:szCs w:val="22"/>
                <w:lang w:val="fr-CA" w:eastAsia="en-CA"/>
              </w:rPr>
            </w:pPr>
            <w:r>
              <w:rPr>
                <w:kern w:val="22"/>
                <w:szCs w:val="22"/>
                <w:lang w:val="fr-CA" w:eastAsia="en-CA"/>
              </w:rPr>
              <w:t>33</w:t>
            </w:r>
          </w:p>
        </w:tc>
        <w:tc>
          <w:tcPr>
            <w:tcW w:w="3823" w:type="dxa"/>
            <w:tcBorders>
              <w:top w:val="nil"/>
              <w:left w:val="nil"/>
              <w:bottom w:val="single" w:sz="4" w:space="0" w:color="auto"/>
              <w:right w:val="single" w:sz="4" w:space="0" w:color="auto"/>
            </w:tcBorders>
            <w:shd w:val="clear" w:color="auto" w:fill="auto"/>
            <w:vAlign w:val="center"/>
            <w:hideMark/>
          </w:tcPr>
          <w:p w14:paraId="167976DD" w14:textId="77777777" w:rsidR="0029639D" w:rsidRPr="00415876" w:rsidRDefault="0029639D" w:rsidP="00120F79">
            <w:pPr>
              <w:jc w:val="left"/>
              <w:rPr>
                <w:kern w:val="22"/>
                <w:szCs w:val="22"/>
                <w:lang w:val="fr-CA" w:eastAsia="en-CA"/>
              </w:rPr>
            </w:pPr>
            <w:r>
              <w:rPr>
                <w:kern w:val="22"/>
                <w:szCs w:val="22"/>
                <w:lang w:val="fr-CA" w:eastAsia="en-CA"/>
              </w:rPr>
              <w:t>Érythrée</w:t>
            </w:r>
          </w:p>
        </w:tc>
        <w:tc>
          <w:tcPr>
            <w:tcW w:w="1472" w:type="dxa"/>
            <w:tcBorders>
              <w:top w:val="nil"/>
              <w:left w:val="nil"/>
              <w:bottom w:val="single" w:sz="4" w:space="0" w:color="auto"/>
              <w:right w:val="single" w:sz="4" w:space="0" w:color="auto"/>
            </w:tcBorders>
            <w:shd w:val="clear" w:color="auto" w:fill="auto"/>
            <w:vAlign w:val="center"/>
            <w:hideMark/>
          </w:tcPr>
          <w:p w14:paraId="4CD1AE6A"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001</w:t>
            </w:r>
          </w:p>
        </w:tc>
        <w:tc>
          <w:tcPr>
            <w:tcW w:w="1715" w:type="dxa"/>
            <w:tcBorders>
              <w:top w:val="nil"/>
              <w:left w:val="nil"/>
              <w:bottom w:val="single" w:sz="4" w:space="0" w:color="auto"/>
              <w:right w:val="single" w:sz="4" w:space="0" w:color="auto"/>
            </w:tcBorders>
            <w:shd w:val="clear" w:color="auto" w:fill="auto"/>
            <w:noWrap/>
            <w:vAlign w:val="center"/>
            <w:hideMark/>
          </w:tcPr>
          <w:p w14:paraId="231CF6D8"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002</w:t>
            </w:r>
          </w:p>
        </w:tc>
        <w:tc>
          <w:tcPr>
            <w:tcW w:w="1715" w:type="dxa"/>
            <w:tcBorders>
              <w:top w:val="nil"/>
              <w:left w:val="nil"/>
              <w:bottom w:val="single" w:sz="4" w:space="0" w:color="auto"/>
              <w:right w:val="single" w:sz="4" w:space="0" w:color="auto"/>
            </w:tcBorders>
            <w:shd w:val="clear" w:color="auto" w:fill="auto"/>
            <w:noWrap/>
            <w:vAlign w:val="center"/>
            <w:hideMark/>
          </w:tcPr>
          <w:p w14:paraId="29368A3F" w14:textId="77777777" w:rsidR="0029639D" w:rsidRPr="00415876" w:rsidRDefault="0029639D" w:rsidP="0029639D">
            <w:pPr>
              <w:ind w:right="247"/>
              <w:jc w:val="right"/>
              <w:rPr>
                <w:kern w:val="22"/>
                <w:szCs w:val="22"/>
                <w:lang w:val="fr-CA" w:eastAsia="en-CA"/>
              </w:rPr>
            </w:pPr>
            <w:r w:rsidRPr="00415876">
              <w:rPr>
                <w:kern w:val="22"/>
                <w:szCs w:val="22"/>
                <w:lang w:val="fr-CA" w:eastAsia="en-CA"/>
              </w:rPr>
              <w:t>30</w:t>
            </w:r>
          </w:p>
        </w:tc>
      </w:tr>
      <w:tr w:rsidR="0029639D" w:rsidRPr="00415876" w14:paraId="2D712245"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54514B81" w14:textId="23C9AC9B" w:rsidR="0029639D" w:rsidRPr="00415876" w:rsidRDefault="0029639D" w:rsidP="00995EEF">
            <w:pPr>
              <w:jc w:val="right"/>
              <w:rPr>
                <w:kern w:val="22"/>
                <w:szCs w:val="22"/>
                <w:lang w:val="fr-CA" w:eastAsia="en-CA"/>
              </w:rPr>
            </w:pPr>
            <w:r>
              <w:rPr>
                <w:kern w:val="22"/>
                <w:szCs w:val="22"/>
                <w:lang w:val="fr-CA" w:eastAsia="en-CA"/>
              </w:rPr>
              <w:t>34</w:t>
            </w:r>
          </w:p>
        </w:tc>
        <w:tc>
          <w:tcPr>
            <w:tcW w:w="3823" w:type="dxa"/>
            <w:tcBorders>
              <w:top w:val="nil"/>
              <w:left w:val="nil"/>
              <w:bottom w:val="single" w:sz="4" w:space="0" w:color="auto"/>
              <w:right w:val="single" w:sz="4" w:space="0" w:color="auto"/>
            </w:tcBorders>
            <w:shd w:val="clear" w:color="auto" w:fill="auto"/>
            <w:vAlign w:val="center"/>
            <w:hideMark/>
          </w:tcPr>
          <w:p w14:paraId="4DCA727F" w14:textId="77777777" w:rsidR="0029639D" w:rsidRPr="00415876" w:rsidRDefault="0029639D" w:rsidP="00995EEF">
            <w:pPr>
              <w:jc w:val="left"/>
              <w:rPr>
                <w:kern w:val="22"/>
                <w:szCs w:val="22"/>
                <w:lang w:val="fr-CA" w:eastAsia="en-CA"/>
              </w:rPr>
            </w:pPr>
            <w:r>
              <w:rPr>
                <w:kern w:val="22"/>
                <w:szCs w:val="22"/>
                <w:lang w:val="fr-CA" w:eastAsia="en-CA"/>
              </w:rPr>
              <w:t>Espagne</w:t>
            </w:r>
          </w:p>
        </w:tc>
        <w:tc>
          <w:tcPr>
            <w:tcW w:w="1472" w:type="dxa"/>
            <w:tcBorders>
              <w:top w:val="nil"/>
              <w:left w:val="nil"/>
              <w:bottom w:val="single" w:sz="4" w:space="0" w:color="auto"/>
              <w:right w:val="single" w:sz="4" w:space="0" w:color="auto"/>
            </w:tcBorders>
            <w:shd w:val="clear" w:color="auto" w:fill="auto"/>
            <w:vAlign w:val="center"/>
            <w:hideMark/>
          </w:tcPr>
          <w:p w14:paraId="6A975BC9" w14:textId="77777777" w:rsidR="0029639D" w:rsidRPr="00415876" w:rsidRDefault="0029639D" w:rsidP="0029639D">
            <w:pPr>
              <w:ind w:right="144"/>
              <w:jc w:val="right"/>
              <w:rPr>
                <w:kern w:val="22"/>
                <w:szCs w:val="22"/>
                <w:lang w:val="fr-CA" w:eastAsia="en-CA"/>
              </w:rPr>
            </w:pPr>
            <w:r w:rsidRPr="00415876">
              <w:rPr>
                <w:kern w:val="22"/>
                <w:szCs w:val="22"/>
                <w:lang w:val="fr-CA" w:eastAsia="en-CA"/>
              </w:rPr>
              <w:t>2</w:t>
            </w:r>
            <w:r>
              <w:rPr>
                <w:kern w:val="22"/>
                <w:szCs w:val="22"/>
                <w:lang w:val="fr-CA" w:eastAsia="en-CA"/>
              </w:rPr>
              <w:t>,</w:t>
            </w:r>
            <w:r w:rsidRPr="00415876">
              <w:rPr>
                <w:kern w:val="22"/>
                <w:szCs w:val="22"/>
                <w:lang w:val="fr-CA" w:eastAsia="en-CA"/>
              </w:rPr>
              <w:t>146</w:t>
            </w:r>
          </w:p>
        </w:tc>
        <w:tc>
          <w:tcPr>
            <w:tcW w:w="1715" w:type="dxa"/>
            <w:tcBorders>
              <w:top w:val="nil"/>
              <w:left w:val="nil"/>
              <w:bottom w:val="single" w:sz="4" w:space="0" w:color="auto"/>
              <w:right w:val="single" w:sz="4" w:space="0" w:color="auto"/>
            </w:tcBorders>
            <w:shd w:val="clear" w:color="auto" w:fill="auto"/>
            <w:noWrap/>
            <w:vAlign w:val="center"/>
            <w:hideMark/>
          </w:tcPr>
          <w:p w14:paraId="4BA90C34" w14:textId="77777777" w:rsidR="0029639D" w:rsidRPr="00415876" w:rsidRDefault="0029639D" w:rsidP="0029639D">
            <w:pPr>
              <w:ind w:right="144"/>
              <w:jc w:val="right"/>
              <w:rPr>
                <w:kern w:val="22"/>
                <w:szCs w:val="22"/>
                <w:lang w:val="fr-CA" w:eastAsia="en-CA"/>
              </w:rPr>
            </w:pPr>
            <w:r w:rsidRPr="00415876">
              <w:rPr>
                <w:kern w:val="22"/>
                <w:szCs w:val="22"/>
                <w:lang w:val="fr-CA" w:eastAsia="en-CA"/>
              </w:rPr>
              <w:t>3</w:t>
            </w:r>
            <w:r>
              <w:rPr>
                <w:kern w:val="22"/>
                <w:szCs w:val="22"/>
                <w:lang w:val="fr-CA" w:eastAsia="en-CA"/>
              </w:rPr>
              <w:t>,</w:t>
            </w:r>
            <w:r w:rsidRPr="00415876">
              <w:rPr>
                <w:kern w:val="22"/>
                <w:szCs w:val="22"/>
                <w:lang w:val="fr-CA" w:eastAsia="en-CA"/>
              </w:rPr>
              <w:t>449</w:t>
            </w:r>
          </w:p>
        </w:tc>
        <w:tc>
          <w:tcPr>
            <w:tcW w:w="1715" w:type="dxa"/>
            <w:tcBorders>
              <w:top w:val="nil"/>
              <w:left w:val="nil"/>
              <w:bottom w:val="single" w:sz="4" w:space="0" w:color="auto"/>
              <w:right w:val="single" w:sz="4" w:space="0" w:color="auto"/>
            </w:tcBorders>
            <w:shd w:val="clear" w:color="auto" w:fill="auto"/>
            <w:noWrap/>
            <w:vAlign w:val="center"/>
            <w:hideMark/>
          </w:tcPr>
          <w:p w14:paraId="2F460D18" w14:textId="77777777" w:rsidR="0029639D" w:rsidRPr="00415876" w:rsidRDefault="0029639D" w:rsidP="0029639D">
            <w:pPr>
              <w:ind w:right="247"/>
              <w:jc w:val="right"/>
              <w:rPr>
                <w:kern w:val="22"/>
                <w:szCs w:val="22"/>
                <w:lang w:val="fr-CA" w:eastAsia="en-CA"/>
              </w:rPr>
            </w:pPr>
            <w:r w:rsidRPr="00415876">
              <w:rPr>
                <w:kern w:val="22"/>
                <w:szCs w:val="22"/>
                <w:lang w:val="fr-CA" w:eastAsia="en-CA"/>
              </w:rPr>
              <w:t>64 691</w:t>
            </w:r>
          </w:p>
        </w:tc>
      </w:tr>
      <w:tr w:rsidR="0029639D" w:rsidRPr="00415876" w14:paraId="06826610"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683C6EA8" w14:textId="208015C0" w:rsidR="0029639D" w:rsidRPr="00415876" w:rsidRDefault="0029639D" w:rsidP="00120F79">
            <w:pPr>
              <w:jc w:val="right"/>
              <w:rPr>
                <w:kern w:val="22"/>
                <w:szCs w:val="22"/>
                <w:lang w:val="fr-CA" w:eastAsia="en-CA"/>
              </w:rPr>
            </w:pPr>
            <w:r>
              <w:rPr>
                <w:kern w:val="22"/>
                <w:szCs w:val="22"/>
                <w:lang w:val="fr-CA" w:eastAsia="en-CA"/>
              </w:rPr>
              <w:t>35</w:t>
            </w:r>
          </w:p>
        </w:tc>
        <w:tc>
          <w:tcPr>
            <w:tcW w:w="3823" w:type="dxa"/>
            <w:tcBorders>
              <w:top w:val="nil"/>
              <w:left w:val="nil"/>
              <w:bottom w:val="single" w:sz="4" w:space="0" w:color="auto"/>
              <w:right w:val="single" w:sz="4" w:space="0" w:color="auto"/>
            </w:tcBorders>
            <w:shd w:val="clear" w:color="auto" w:fill="auto"/>
            <w:vAlign w:val="center"/>
            <w:hideMark/>
          </w:tcPr>
          <w:p w14:paraId="716E08B5" w14:textId="77777777" w:rsidR="0029639D" w:rsidRPr="00415876" w:rsidRDefault="0029639D" w:rsidP="00120F79">
            <w:pPr>
              <w:jc w:val="left"/>
              <w:rPr>
                <w:kern w:val="22"/>
                <w:szCs w:val="22"/>
                <w:lang w:val="fr-CA" w:eastAsia="en-CA"/>
              </w:rPr>
            </w:pPr>
            <w:r>
              <w:rPr>
                <w:kern w:val="22"/>
                <w:szCs w:val="22"/>
                <w:lang w:val="fr-CA" w:eastAsia="en-CA"/>
              </w:rPr>
              <w:t>Estonie</w:t>
            </w:r>
          </w:p>
        </w:tc>
        <w:tc>
          <w:tcPr>
            <w:tcW w:w="1472" w:type="dxa"/>
            <w:tcBorders>
              <w:top w:val="nil"/>
              <w:left w:val="nil"/>
              <w:bottom w:val="single" w:sz="4" w:space="0" w:color="auto"/>
              <w:right w:val="single" w:sz="4" w:space="0" w:color="auto"/>
            </w:tcBorders>
            <w:shd w:val="clear" w:color="auto" w:fill="auto"/>
            <w:vAlign w:val="center"/>
            <w:hideMark/>
          </w:tcPr>
          <w:p w14:paraId="2550F441" w14:textId="77777777" w:rsidR="0029639D" w:rsidRPr="00415876" w:rsidRDefault="0029639D" w:rsidP="0029639D">
            <w:pPr>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039</w:t>
            </w:r>
          </w:p>
        </w:tc>
        <w:tc>
          <w:tcPr>
            <w:tcW w:w="1715" w:type="dxa"/>
            <w:tcBorders>
              <w:top w:val="nil"/>
              <w:left w:val="nil"/>
              <w:bottom w:val="single" w:sz="4" w:space="0" w:color="auto"/>
              <w:right w:val="single" w:sz="4" w:space="0" w:color="auto"/>
            </w:tcBorders>
            <w:shd w:val="clear" w:color="auto" w:fill="auto"/>
            <w:noWrap/>
            <w:vAlign w:val="center"/>
            <w:hideMark/>
          </w:tcPr>
          <w:p w14:paraId="2DB715B1" w14:textId="77777777" w:rsidR="0029639D" w:rsidRPr="00415876" w:rsidRDefault="0029639D" w:rsidP="0029639D">
            <w:pPr>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063</w:t>
            </w:r>
          </w:p>
        </w:tc>
        <w:tc>
          <w:tcPr>
            <w:tcW w:w="1715" w:type="dxa"/>
            <w:tcBorders>
              <w:top w:val="nil"/>
              <w:left w:val="nil"/>
              <w:bottom w:val="single" w:sz="4" w:space="0" w:color="auto"/>
              <w:right w:val="single" w:sz="4" w:space="0" w:color="auto"/>
            </w:tcBorders>
            <w:shd w:val="clear" w:color="auto" w:fill="auto"/>
            <w:noWrap/>
            <w:vAlign w:val="center"/>
            <w:hideMark/>
          </w:tcPr>
          <w:p w14:paraId="63C7E3FE" w14:textId="77777777" w:rsidR="0029639D" w:rsidRPr="00415876" w:rsidRDefault="0029639D" w:rsidP="0029639D">
            <w:pPr>
              <w:adjustRightInd w:val="0"/>
              <w:snapToGrid w:val="0"/>
              <w:ind w:right="247"/>
              <w:jc w:val="right"/>
              <w:rPr>
                <w:kern w:val="22"/>
                <w:szCs w:val="22"/>
                <w:lang w:val="fr-CA" w:eastAsia="en-CA"/>
              </w:rPr>
            </w:pPr>
            <w:r w:rsidRPr="00415876">
              <w:rPr>
                <w:kern w:val="22"/>
                <w:szCs w:val="22"/>
                <w:lang w:val="fr-CA" w:eastAsia="en-CA"/>
              </w:rPr>
              <w:t>1 176</w:t>
            </w:r>
          </w:p>
        </w:tc>
      </w:tr>
      <w:tr w:rsidR="0029639D" w:rsidRPr="00415876" w14:paraId="08E09E47"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53921EAC" w14:textId="62CBB69C" w:rsidR="0029639D" w:rsidRPr="00415876" w:rsidRDefault="0029639D" w:rsidP="00120F79">
            <w:pPr>
              <w:jc w:val="right"/>
              <w:rPr>
                <w:kern w:val="22"/>
                <w:szCs w:val="22"/>
                <w:lang w:val="fr-CA" w:eastAsia="en-CA"/>
              </w:rPr>
            </w:pPr>
            <w:r>
              <w:rPr>
                <w:kern w:val="22"/>
                <w:szCs w:val="22"/>
                <w:lang w:val="fr-CA" w:eastAsia="en-CA"/>
              </w:rPr>
              <w:t>36</w:t>
            </w:r>
          </w:p>
        </w:tc>
        <w:tc>
          <w:tcPr>
            <w:tcW w:w="3823" w:type="dxa"/>
            <w:tcBorders>
              <w:top w:val="nil"/>
              <w:left w:val="nil"/>
              <w:bottom w:val="single" w:sz="4" w:space="0" w:color="auto"/>
              <w:right w:val="single" w:sz="4" w:space="0" w:color="auto"/>
            </w:tcBorders>
            <w:shd w:val="clear" w:color="auto" w:fill="auto"/>
            <w:vAlign w:val="center"/>
            <w:hideMark/>
          </w:tcPr>
          <w:p w14:paraId="27AF826E" w14:textId="77777777" w:rsidR="0029639D" w:rsidRPr="00415876" w:rsidRDefault="0029639D" w:rsidP="00120F79">
            <w:pPr>
              <w:jc w:val="left"/>
              <w:rPr>
                <w:kern w:val="22"/>
                <w:szCs w:val="22"/>
                <w:lang w:val="fr-CA" w:eastAsia="en-CA"/>
              </w:rPr>
            </w:pPr>
            <w:r w:rsidRPr="00415876">
              <w:rPr>
                <w:kern w:val="22"/>
                <w:szCs w:val="22"/>
                <w:lang w:val="fr-CA" w:eastAsia="en-CA"/>
              </w:rPr>
              <w:t>Eswatini</w:t>
            </w:r>
          </w:p>
        </w:tc>
        <w:tc>
          <w:tcPr>
            <w:tcW w:w="1472" w:type="dxa"/>
            <w:tcBorders>
              <w:top w:val="nil"/>
              <w:left w:val="nil"/>
              <w:bottom w:val="single" w:sz="4" w:space="0" w:color="auto"/>
              <w:right w:val="single" w:sz="4" w:space="0" w:color="auto"/>
            </w:tcBorders>
            <w:shd w:val="clear" w:color="auto" w:fill="auto"/>
            <w:vAlign w:val="center"/>
            <w:hideMark/>
          </w:tcPr>
          <w:p w14:paraId="132B768D" w14:textId="77777777" w:rsidR="0029639D" w:rsidRPr="00415876" w:rsidRDefault="0029639D" w:rsidP="0029639D">
            <w:pPr>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002</w:t>
            </w:r>
          </w:p>
        </w:tc>
        <w:tc>
          <w:tcPr>
            <w:tcW w:w="1715" w:type="dxa"/>
            <w:tcBorders>
              <w:top w:val="nil"/>
              <w:left w:val="nil"/>
              <w:bottom w:val="single" w:sz="4" w:space="0" w:color="auto"/>
              <w:right w:val="single" w:sz="4" w:space="0" w:color="auto"/>
            </w:tcBorders>
            <w:shd w:val="clear" w:color="auto" w:fill="auto"/>
            <w:noWrap/>
            <w:vAlign w:val="center"/>
            <w:hideMark/>
          </w:tcPr>
          <w:p w14:paraId="056FC8BB" w14:textId="77777777" w:rsidR="0029639D" w:rsidRPr="00415876" w:rsidRDefault="0029639D" w:rsidP="0029639D">
            <w:pPr>
              <w:tabs>
                <w:tab w:val="left" w:pos="1257"/>
              </w:tabs>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003</w:t>
            </w:r>
          </w:p>
        </w:tc>
        <w:tc>
          <w:tcPr>
            <w:tcW w:w="1715" w:type="dxa"/>
            <w:tcBorders>
              <w:top w:val="nil"/>
              <w:left w:val="nil"/>
              <w:bottom w:val="single" w:sz="4" w:space="0" w:color="auto"/>
              <w:right w:val="single" w:sz="4" w:space="0" w:color="auto"/>
            </w:tcBorders>
            <w:shd w:val="clear" w:color="auto" w:fill="auto"/>
            <w:noWrap/>
            <w:vAlign w:val="center"/>
            <w:hideMark/>
          </w:tcPr>
          <w:p w14:paraId="2C7468AE" w14:textId="77777777" w:rsidR="0029639D" w:rsidRPr="00415876" w:rsidRDefault="0029639D" w:rsidP="0029639D">
            <w:pPr>
              <w:adjustRightInd w:val="0"/>
              <w:snapToGrid w:val="0"/>
              <w:ind w:right="247"/>
              <w:jc w:val="right"/>
              <w:rPr>
                <w:kern w:val="22"/>
                <w:szCs w:val="22"/>
                <w:lang w:val="fr-CA" w:eastAsia="en-CA"/>
              </w:rPr>
            </w:pPr>
            <w:r w:rsidRPr="00415876">
              <w:rPr>
                <w:kern w:val="22"/>
                <w:szCs w:val="22"/>
                <w:lang w:val="fr-CA" w:eastAsia="en-CA"/>
              </w:rPr>
              <w:t>60</w:t>
            </w:r>
          </w:p>
        </w:tc>
      </w:tr>
      <w:tr w:rsidR="0029639D" w:rsidRPr="00415876" w14:paraId="5FFEF76E"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2C24ACB6" w14:textId="18FBEDDA" w:rsidR="0029639D" w:rsidRPr="00415876" w:rsidRDefault="0029639D" w:rsidP="00120F79">
            <w:pPr>
              <w:jc w:val="right"/>
              <w:rPr>
                <w:kern w:val="22"/>
                <w:szCs w:val="22"/>
                <w:lang w:val="fr-CA" w:eastAsia="en-CA"/>
              </w:rPr>
            </w:pPr>
            <w:r>
              <w:rPr>
                <w:kern w:val="22"/>
                <w:szCs w:val="22"/>
                <w:lang w:val="fr-CA" w:eastAsia="en-CA"/>
              </w:rPr>
              <w:t>37</w:t>
            </w:r>
          </w:p>
        </w:tc>
        <w:tc>
          <w:tcPr>
            <w:tcW w:w="3823" w:type="dxa"/>
            <w:tcBorders>
              <w:top w:val="nil"/>
              <w:left w:val="nil"/>
              <w:bottom w:val="single" w:sz="4" w:space="0" w:color="auto"/>
              <w:right w:val="single" w:sz="4" w:space="0" w:color="auto"/>
            </w:tcBorders>
            <w:shd w:val="clear" w:color="auto" w:fill="auto"/>
            <w:vAlign w:val="center"/>
            <w:hideMark/>
          </w:tcPr>
          <w:p w14:paraId="16028E52" w14:textId="77777777" w:rsidR="0029639D" w:rsidRPr="00415876" w:rsidRDefault="0029639D" w:rsidP="00120F79">
            <w:pPr>
              <w:jc w:val="left"/>
              <w:rPr>
                <w:kern w:val="22"/>
                <w:szCs w:val="22"/>
                <w:lang w:val="fr-CA" w:eastAsia="en-CA"/>
              </w:rPr>
            </w:pPr>
            <w:r>
              <w:rPr>
                <w:kern w:val="22"/>
                <w:szCs w:val="22"/>
                <w:lang w:val="fr-CA" w:eastAsia="en-CA"/>
              </w:rPr>
              <w:t>Éthiopie</w:t>
            </w:r>
          </w:p>
        </w:tc>
        <w:tc>
          <w:tcPr>
            <w:tcW w:w="1472" w:type="dxa"/>
            <w:tcBorders>
              <w:top w:val="nil"/>
              <w:left w:val="nil"/>
              <w:bottom w:val="single" w:sz="4" w:space="0" w:color="auto"/>
              <w:right w:val="single" w:sz="4" w:space="0" w:color="auto"/>
            </w:tcBorders>
            <w:shd w:val="clear" w:color="auto" w:fill="auto"/>
            <w:vAlign w:val="center"/>
            <w:hideMark/>
          </w:tcPr>
          <w:p w14:paraId="7B1AAF36" w14:textId="77777777" w:rsidR="0029639D" w:rsidRPr="00415876" w:rsidRDefault="0029639D" w:rsidP="0029639D">
            <w:pPr>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010</w:t>
            </w:r>
          </w:p>
        </w:tc>
        <w:tc>
          <w:tcPr>
            <w:tcW w:w="1715" w:type="dxa"/>
            <w:tcBorders>
              <w:top w:val="nil"/>
              <w:left w:val="nil"/>
              <w:bottom w:val="single" w:sz="4" w:space="0" w:color="auto"/>
              <w:right w:val="single" w:sz="4" w:space="0" w:color="auto"/>
            </w:tcBorders>
            <w:shd w:val="clear" w:color="auto" w:fill="auto"/>
            <w:noWrap/>
            <w:vAlign w:val="center"/>
            <w:hideMark/>
          </w:tcPr>
          <w:p w14:paraId="49C09923" w14:textId="77777777" w:rsidR="0029639D" w:rsidRPr="00415876" w:rsidRDefault="0029639D" w:rsidP="0029639D">
            <w:pPr>
              <w:tabs>
                <w:tab w:val="left" w:pos="1257"/>
              </w:tabs>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010</w:t>
            </w:r>
          </w:p>
        </w:tc>
        <w:tc>
          <w:tcPr>
            <w:tcW w:w="1715" w:type="dxa"/>
            <w:tcBorders>
              <w:top w:val="nil"/>
              <w:left w:val="nil"/>
              <w:bottom w:val="single" w:sz="4" w:space="0" w:color="auto"/>
              <w:right w:val="single" w:sz="4" w:space="0" w:color="auto"/>
            </w:tcBorders>
            <w:shd w:val="clear" w:color="auto" w:fill="auto"/>
            <w:noWrap/>
            <w:vAlign w:val="center"/>
            <w:hideMark/>
          </w:tcPr>
          <w:p w14:paraId="7CBFAA8E" w14:textId="77777777" w:rsidR="0029639D" w:rsidRPr="00415876" w:rsidRDefault="0029639D" w:rsidP="0029639D">
            <w:pPr>
              <w:adjustRightInd w:val="0"/>
              <w:snapToGrid w:val="0"/>
              <w:ind w:right="247"/>
              <w:jc w:val="right"/>
              <w:rPr>
                <w:kern w:val="22"/>
                <w:szCs w:val="22"/>
                <w:lang w:val="fr-CA" w:eastAsia="en-CA"/>
              </w:rPr>
            </w:pPr>
            <w:r w:rsidRPr="00415876">
              <w:rPr>
                <w:kern w:val="22"/>
                <w:szCs w:val="22"/>
                <w:lang w:val="fr-CA" w:eastAsia="en-CA"/>
              </w:rPr>
              <w:t>188</w:t>
            </w:r>
          </w:p>
        </w:tc>
      </w:tr>
      <w:tr w:rsidR="0029639D" w:rsidRPr="00415876" w14:paraId="1791BCF2"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53671BE3" w14:textId="26250A1B" w:rsidR="0029639D" w:rsidRPr="00415876" w:rsidRDefault="0029639D" w:rsidP="00120F79">
            <w:pPr>
              <w:jc w:val="right"/>
              <w:rPr>
                <w:kern w:val="22"/>
                <w:szCs w:val="22"/>
                <w:lang w:val="fr-CA" w:eastAsia="en-CA"/>
              </w:rPr>
            </w:pPr>
            <w:r>
              <w:rPr>
                <w:kern w:val="22"/>
                <w:szCs w:val="22"/>
                <w:lang w:val="fr-CA" w:eastAsia="en-CA"/>
              </w:rPr>
              <w:t>38</w:t>
            </w:r>
          </w:p>
        </w:tc>
        <w:tc>
          <w:tcPr>
            <w:tcW w:w="3823" w:type="dxa"/>
            <w:tcBorders>
              <w:top w:val="nil"/>
              <w:left w:val="nil"/>
              <w:bottom w:val="single" w:sz="4" w:space="0" w:color="auto"/>
              <w:right w:val="single" w:sz="4" w:space="0" w:color="auto"/>
            </w:tcBorders>
            <w:shd w:val="clear" w:color="auto" w:fill="auto"/>
            <w:vAlign w:val="center"/>
            <w:hideMark/>
          </w:tcPr>
          <w:p w14:paraId="35A5C701" w14:textId="77777777" w:rsidR="0029639D" w:rsidRPr="00415876" w:rsidRDefault="0029639D" w:rsidP="00120F79">
            <w:pPr>
              <w:jc w:val="left"/>
              <w:rPr>
                <w:kern w:val="22"/>
                <w:szCs w:val="22"/>
                <w:lang w:val="fr-CA" w:eastAsia="en-CA"/>
              </w:rPr>
            </w:pPr>
            <w:r w:rsidRPr="00415876">
              <w:rPr>
                <w:kern w:val="22"/>
                <w:szCs w:val="22"/>
                <w:lang w:val="fr-CA" w:eastAsia="en-CA"/>
              </w:rPr>
              <w:t>Fi</w:t>
            </w:r>
            <w:r>
              <w:rPr>
                <w:kern w:val="22"/>
                <w:szCs w:val="22"/>
                <w:lang w:val="fr-CA" w:eastAsia="en-CA"/>
              </w:rPr>
              <w:t>d</w:t>
            </w:r>
            <w:r w:rsidRPr="00415876">
              <w:rPr>
                <w:kern w:val="22"/>
                <w:szCs w:val="22"/>
                <w:lang w:val="fr-CA" w:eastAsia="en-CA"/>
              </w:rPr>
              <w:t>ji</w:t>
            </w:r>
          </w:p>
        </w:tc>
        <w:tc>
          <w:tcPr>
            <w:tcW w:w="1472" w:type="dxa"/>
            <w:tcBorders>
              <w:top w:val="nil"/>
              <w:left w:val="nil"/>
              <w:bottom w:val="single" w:sz="4" w:space="0" w:color="auto"/>
              <w:right w:val="single" w:sz="4" w:space="0" w:color="auto"/>
            </w:tcBorders>
            <w:shd w:val="clear" w:color="auto" w:fill="auto"/>
            <w:vAlign w:val="center"/>
            <w:hideMark/>
          </w:tcPr>
          <w:p w14:paraId="33D04EA6" w14:textId="77777777" w:rsidR="0029639D" w:rsidRPr="00415876" w:rsidRDefault="0029639D" w:rsidP="0029639D">
            <w:pPr>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003</w:t>
            </w:r>
          </w:p>
        </w:tc>
        <w:tc>
          <w:tcPr>
            <w:tcW w:w="1715" w:type="dxa"/>
            <w:tcBorders>
              <w:top w:val="nil"/>
              <w:left w:val="nil"/>
              <w:bottom w:val="single" w:sz="4" w:space="0" w:color="auto"/>
              <w:right w:val="single" w:sz="4" w:space="0" w:color="auto"/>
            </w:tcBorders>
            <w:shd w:val="clear" w:color="auto" w:fill="auto"/>
            <w:noWrap/>
            <w:vAlign w:val="center"/>
            <w:hideMark/>
          </w:tcPr>
          <w:p w14:paraId="5966159D" w14:textId="77777777" w:rsidR="0029639D" w:rsidRPr="00415876" w:rsidRDefault="0029639D" w:rsidP="0029639D">
            <w:pPr>
              <w:tabs>
                <w:tab w:val="left" w:pos="1257"/>
              </w:tabs>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005</w:t>
            </w:r>
          </w:p>
        </w:tc>
        <w:tc>
          <w:tcPr>
            <w:tcW w:w="1715" w:type="dxa"/>
            <w:tcBorders>
              <w:top w:val="nil"/>
              <w:left w:val="nil"/>
              <w:bottom w:val="single" w:sz="4" w:space="0" w:color="auto"/>
              <w:right w:val="single" w:sz="4" w:space="0" w:color="auto"/>
            </w:tcBorders>
            <w:shd w:val="clear" w:color="auto" w:fill="auto"/>
            <w:noWrap/>
            <w:vAlign w:val="center"/>
            <w:hideMark/>
          </w:tcPr>
          <w:p w14:paraId="3C5803AC" w14:textId="77777777" w:rsidR="0029639D" w:rsidRPr="00415876" w:rsidRDefault="0029639D" w:rsidP="0029639D">
            <w:pPr>
              <w:adjustRightInd w:val="0"/>
              <w:snapToGrid w:val="0"/>
              <w:ind w:right="157"/>
              <w:jc w:val="right"/>
              <w:rPr>
                <w:kern w:val="22"/>
                <w:szCs w:val="22"/>
                <w:lang w:val="fr-CA" w:eastAsia="en-CA"/>
              </w:rPr>
            </w:pPr>
            <w:r w:rsidRPr="00415876">
              <w:rPr>
                <w:kern w:val="22"/>
                <w:szCs w:val="22"/>
                <w:lang w:val="fr-CA" w:eastAsia="en-CA"/>
              </w:rPr>
              <w:t>90</w:t>
            </w:r>
          </w:p>
        </w:tc>
      </w:tr>
      <w:tr w:rsidR="0029639D" w:rsidRPr="00415876" w14:paraId="4F34AAEF"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4D0A5320" w14:textId="30AFE028" w:rsidR="0029639D" w:rsidRPr="00415876" w:rsidRDefault="0029639D" w:rsidP="00120F79">
            <w:pPr>
              <w:jc w:val="right"/>
              <w:rPr>
                <w:kern w:val="22"/>
                <w:szCs w:val="22"/>
                <w:lang w:val="fr-CA" w:eastAsia="en-CA"/>
              </w:rPr>
            </w:pPr>
            <w:r>
              <w:rPr>
                <w:kern w:val="22"/>
                <w:szCs w:val="22"/>
                <w:lang w:val="fr-CA" w:eastAsia="en-CA"/>
              </w:rPr>
              <w:t>39</w:t>
            </w:r>
          </w:p>
        </w:tc>
        <w:tc>
          <w:tcPr>
            <w:tcW w:w="3823" w:type="dxa"/>
            <w:tcBorders>
              <w:top w:val="nil"/>
              <w:left w:val="nil"/>
              <w:bottom w:val="single" w:sz="4" w:space="0" w:color="auto"/>
              <w:right w:val="single" w:sz="4" w:space="0" w:color="auto"/>
            </w:tcBorders>
            <w:shd w:val="clear" w:color="auto" w:fill="auto"/>
            <w:vAlign w:val="center"/>
            <w:hideMark/>
          </w:tcPr>
          <w:p w14:paraId="2023C9D8" w14:textId="77777777" w:rsidR="0029639D" w:rsidRPr="00415876" w:rsidRDefault="0029639D" w:rsidP="00120F79">
            <w:pPr>
              <w:jc w:val="left"/>
              <w:rPr>
                <w:kern w:val="22"/>
                <w:szCs w:val="22"/>
                <w:lang w:val="fr-CA" w:eastAsia="en-CA"/>
              </w:rPr>
            </w:pPr>
            <w:r>
              <w:rPr>
                <w:kern w:val="22"/>
                <w:szCs w:val="22"/>
                <w:lang w:val="fr-CA" w:eastAsia="en-CA"/>
              </w:rPr>
              <w:t>Finlande</w:t>
            </w:r>
          </w:p>
        </w:tc>
        <w:tc>
          <w:tcPr>
            <w:tcW w:w="1472" w:type="dxa"/>
            <w:tcBorders>
              <w:top w:val="nil"/>
              <w:left w:val="nil"/>
              <w:bottom w:val="single" w:sz="4" w:space="0" w:color="auto"/>
              <w:right w:val="single" w:sz="4" w:space="0" w:color="auto"/>
            </w:tcBorders>
            <w:shd w:val="clear" w:color="auto" w:fill="auto"/>
            <w:vAlign w:val="center"/>
            <w:hideMark/>
          </w:tcPr>
          <w:p w14:paraId="1803276E" w14:textId="77777777" w:rsidR="0029639D" w:rsidRPr="00415876" w:rsidRDefault="0029639D" w:rsidP="0029639D">
            <w:pPr>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421</w:t>
            </w:r>
          </w:p>
        </w:tc>
        <w:tc>
          <w:tcPr>
            <w:tcW w:w="1715" w:type="dxa"/>
            <w:tcBorders>
              <w:top w:val="nil"/>
              <w:left w:val="nil"/>
              <w:bottom w:val="single" w:sz="4" w:space="0" w:color="auto"/>
              <w:right w:val="single" w:sz="4" w:space="0" w:color="auto"/>
            </w:tcBorders>
            <w:shd w:val="clear" w:color="auto" w:fill="auto"/>
            <w:noWrap/>
            <w:vAlign w:val="center"/>
            <w:hideMark/>
          </w:tcPr>
          <w:p w14:paraId="4C0C7722" w14:textId="77777777" w:rsidR="0029639D" w:rsidRPr="00415876" w:rsidRDefault="0029639D" w:rsidP="0029639D">
            <w:pPr>
              <w:tabs>
                <w:tab w:val="left" w:pos="1257"/>
              </w:tabs>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677</w:t>
            </w:r>
          </w:p>
        </w:tc>
        <w:tc>
          <w:tcPr>
            <w:tcW w:w="1715" w:type="dxa"/>
            <w:tcBorders>
              <w:top w:val="nil"/>
              <w:left w:val="nil"/>
              <w:bottom w:val="single" w:sz="4" w:space="0" w:color="auto"/>
              <w:right w:val="single" w:sz="4" w:space="0" w:color="auto"/>
            </w:tcBorders>
            <w:shd w:val="clear" w:color="auto" w:fill="auto"/>
            <w:noWrap/>
            <w:vAlign w:val="center"/>
            <w:hideMark/>
          </w:tcPr>
          <w:p w14:paraId="15433AD5" w14:textId="77777777" w:rsidR="0029639D" w:rsidRPr="00415876" w:rsidRDefault="0029639D" w:rsidP="0029639D">
            <w:pPr>
              <w:adjustRightInd w:val="0"/>
              <w:snapToGrid w:val="0"/>
              <w:ind w:right="157"/>
              <w:jc w:val="right"/>
              <w:rPr>
                <w:kern w:val="22"/>
                <w:szCs w:val="22"/>
                <w:lang w:val="fr-CA" w:eastAsia="en-CA"/>
              </w:rPr>
            </w:pPr>
            <w:r w:rsidRPr="00415876">
              <w:rPr>
                <w:kern w:val="22"/>
                <w:szCs w:val="22"/>
                <w:lang w:val="fr-CA" w:eastAsia="en-CA"/>
              </w:rPr>
              <w:t>12 691</w:t>
            </w:r>
          </w:p>
        </w:tc>
      </w:tr>
      <w:tr w:rsidR="0029639D" w:rsidRPr="00415876" w14:paraId="2209F16F"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328E7D73" w14:textId="6AF11A6E" w:rsidR="0029639D" w:rsidRPr="00415876" w:rsidRDefault="0029639D" w:rsidP="00120F79">
            <w:pPr>
              <w:jc w:val="right"/>
              <w:rPr>
                <w:kern w:val="22"/>
                <w:szCs w:val="22"/>
                <w:lang w:val="fr-CA" w:eastAsia="en-CA"/>
              </w:rPr>
            </w:pPr>
            <w:r>
              <w:rPr>
                <w:kern w:val="22"/>
                <w:szCs w:val="22"/>
                <w:lang w:val="fr-CA" w:eastAsia="en-CA"/>
              </w:rPr>
              <w:t>40</w:t>
            </w:r>
          </w:p>
        </w:tc>
        <w:tc>
          <w:tcPr>
            <w:tcW w:w="3823" w:type="dxa"/>
            <w:tcBorders>
              <w:top w:val="nil"/>
              <w:left w:val="nil"/>
              <w:bottom w:val="single" w:sz="4" w:space="0" w:color="auto"/>
              <w:right w:val="single" w:sz="4" w:space="0" w:color="auto"/>
            </w:tcBorders>
            <w:shd w:val="clear" w:color="auto" w:fill="auto"/>
            <w:vAlign w:val="center"/>
            <w:hideMark/>
          </w:tcPr>
          <w:p w14:paraId="1F6F6A77" w14:textId="77777777" w:rsidR="0029639D" w:rsidRPr="00415876" w:rsidRDefault="0029639D" w:rsidP="00120F79">
            <w:pPr>
              <w:jc w:val="left"/>
              <w:rPr>
                <w:kern w:val="22"/>
                <w:szCs w:val="22"/>
                <w:lang w:val="fr-CA" w:eastAsia="en-CA"/>
              </w:rPr>
            </w:pPr>
            <w:r w:rsidRPr="00415876">
              <w:rPr>
                <w:kern w:val="22"/>
                <w:szCs w:val="22"/>
                <w:lang w:val="fr-CA" w:eastAsia="en-CA"/>
              </w:rPr>
              <w:t>France</w:t>
            </w:r>
          </w:p>
        </w:tc>
        <w:tc>
          <w:tcPr>
            <w:tcW w:w="1472" w:type="dxa"/>
            <w:tcBorders>
              <w:top w:val="nil"/>
              <w:left w:val="nil"/>
              <w:bottom w:val="single" w:sz="4" w:space="0" w:color="auto"/>
              <w:right w:val="single" w:sz="4" w:space="0" w:color="auto"/>
            </w:tcBorders>
            <w:shd w:val="clear" w:color="auto" w:fill="auto"/>
            <w:vAlign w:val="center"/>
            <w:hideMark/>
          </w:tcPr>
          <w:p w14:paraId="105407DD" w14:textId="77777777" w:rsidR="0029639D" w:rsidRPr="00415876" w:rsidRDefault="0029639D" w:rsidP="0029639D">
            <w:pPr>
              <w:adjustRightInd w:val="0"/>
              <w:snapToGrid w:val="0"/>
              <w:ind w:right="144"/>
              <w:jc w:val="right"/>
              <w:rPr>
                <w:kern w:val="22"/>
                <w:szCs w:val="22"/>
                <w:lang w:val="fr-CA" w:eastAsia="en-CA"/>
              </w:rPr>
            </w:pPr>
            <w:r w:rsidRPr="00415876">
              <w:rPr>
                <w:kern w:val="22"/>
                <w:szCs w:val="22"/>
                <w:lang w:val="fr-CA" w:eastAsia="en-CA"/>
              </w:rPr>
              <w:t>4</w:t>
            </w:r>
            <w:r>
              <w:rPr>
                <w:kern w:val="22"/>
                <w:szCs w:val="22"/>
                <w:lang w:val="fr-CA" w:eastAsia="en-CA"/>
              </w:rPr>
              <w:t>,</w:t>
            </w:r>
            <w:r w:rsidRPr="00415876">
              <w:rPr>
                <w:kern w:val="22"/>
                <w:szCs w:val="22"/>
                <w:lang w:val="fr-CA" w:eastAsia="en-CA"/>
              </w:rPr>
              <w:t>427</w:t>
            </w:r>
          </w:p>
        </w:tc>
        <w:tc>
          <w:tcPr>
            <w:tcW w:w="1715" w:type="dxa"/>
            <w:tcBorders>
              <w:top w:val="nil"/>
              <w:left w:val="nil"/>
              <w:bottom w:val="single" w:sz="4" w:space="0" w:color="auto"/>
              <w:right w:val="single" w:sz="4" w:space="0" w:color="auto"/>
            </w:tcBorders>
            <w:shd w:val="clear" w:color="auto" w:fill="auto"/>
            <w:noWrap/>
            <w:vAlign w:val="center"/>
            <w:hideMark/>
          </w:tcPr>
          <w:p w14:paraId="02BE5858" w14:textId="77777777" w:rsidR="0029639D" w:rsidRPr="00415876" w:rsidRDefault="0029639D" w:rsidP="0029639D">
            <w:pPr>
              <w:tabs>
                <w:tab w:val="left" w:pos="1257"/>
              </w:tabs>
              <w:adjustRightInd w:val="0"/>
              <w:snapToGrid w:val="0"/>
              <w:ind w:right="144"/>
              <w:jc w:val="right"/>
              <w:rPr>
                <w:kern w:val="22"/>
                <w:szCs w:val="22"/>
                <w:lang w:val="fr-CA" w:eastAsia="en-CA"/>
              </w:rPr>
            </w:pPr>
            <w:r w:rsidRPr="00415876">
              <w:rPr>
                <w:kern w:val="22"/>
                <w:szCs w:val="22"/>
                <w:lang w:val="fr-CA" w:eastAsia="en-CA"/>
              </w:rPr>
              <w:t>7</w:t>
            </w:r>
            <w:r>
              <w:rPr>
                <w:kern w:val="22"/>
                <w:szCs w:val="22"/>
                <w:lang w:val="fr-CA" w:eastAsia="en-CA"/>
              </w:rPr>
              <w:t>,</w:t>
            </w:r>
            <w:r w:rsidRPr="00415876">
              <w:rPr>
                <w:kern w:val="22"/>
                <w:szCs w:val="22"/>
                <w:lang w:val="fr-CA" w:eastAsia="en-CA"/>
              </w:rPr>
              <w:t>114</w:t>
            </w:r>
          </w:p>
        </w:tc>
        <w:tc>
          <w:tcPr>
            <w:tcW w:w="1715" w:type="dxa"/>
            <w:tcBorders>
              <w:top w:val="nil"/>
              <w:left w:val="nil"/>
              <w:bottom w:val="single" w:sz="4" w:space="0" w:color="auto"/>
              <w:right w:val="single" w:sz="4" w:space="0" w:color="auto"/>
            </w:tcBorders>
            <w:shd w:val="clear" w:color="auto" w:fill="auto"/>
            <w:noWrap/>
            <w:vAlign w:val="center"/>
            <w:hideMark/>
          </w:tcPr>
          <w:p w14:paraId="5B4FDE24" w14:textId="77777777" w:rsidR="0029639D" w:rsidRPr="00415876" w:rsidRDefault="0029639D" w:rsidP="0029639D">
            <w:pPr>
              <w:adjustRightInd w:val="0"/>
              <w:snapToGrid w:val="0"/>
              <w:ind w:right="157"/>
              <w:jc w:val="right"/>
              <w:rPr>
                <w:kern w:val="22"/>
                <w:szCs w:val="22"/>
                <w:lang w:val="fr-CA" w:eastAsia="en-CA"/>
              </w:rPr>
            </w:pPr>
            <w:r w:rsidRPr="00415876">
              <w:rPr>
                <w:kern w:val="22"/>
                <w:szCs w:val="22"/>
                <w:lang w:val="fr-CA" w:eastAsia="en-CA"/>
              </w:rPr>
              <w:t>133 452</w:t>
            </w:r>
          </w:p>
        </w:tc>
      </w:tr>
      <w:tr w:rsidR="0029639D" w:rsidRPr="00415876" w14:paraId="5B583978"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727FFE72" w14:textId="2F29FB9D" w:rsidR="0029639D" w:rsidRPr="00415876" w:rsidRDefault="0029639D" w:rsidP="00120F79">
            <w:pPr>
              <w:jc w:val="right"/>
              <w:rPr>
                <w:kern w:val="22"/>
                <w:szCs w:val="22"/>
                <w:lang w:val="fr-CA" w:eastAsia="en-CA"/>
              </w:rPr>
            </w:pPr>
            <w:r>
              <w:rPr>
                <w:kern w:val="22"/>
                <w:szCs w:val="22"/>
                <w:lang w:val="fr-CA" w:eastAsia="en-CA"/>
              </w:rPr>
              <w:t>41</w:t>
            </w:r>
          </w:p>
        </w:tc>
        <w:tc>
          <w:tcPr>
            <w:tcW w:w="3823" w:type="dxa"/>
            <w:tcBorders>
              <w:top w:val="nil"/>
              <w:left w:val="nil"/>
              <w:bottom w:val="single" w:sz="4" w:space="0" w:color="auto"/>
              <w:right w:val="single" w:sz="4" w:space="0" w:color="auto"/>
            </w:tcBorders>
            <w:shd w:val="clear" w:color="auto" w:fill="auto"/>
            <w:vAlign w:val="center"/>
            <w:hideMark/>
          </w:tcPr>
          <w:p w14:paraId="3351546D" w14:textId="77777777" w:rsidR="0029639D" w:rsidRPr="00415876" w:rsidRDefault="0029639D" w:rsidP="00120F79">
            <w:pPr>
              <w:jc w:val="left"/>
              <w:rPr>
                <w:kern w:val="22"/>
                <w:szCs w:val="22"/>
                <w:lang w:val="fr-CA" w:eastAsia="en-CA"/>
              </w:rPr>
            </w:pPr>
            <w:r w:rsidRPr="00415876">
              <w:rPr>
                <w:kern w:val="22"/>
                <w:szCs w:val="22"/>
                <w:lang w:val="fr-CA" w:eastAsia="en-CA"/>
              </w:rPr>
              <w:t>Gabon</w:t>
            </w:r>
          </w:p>
        </w:tc>
        <w:tc>
          <w:tcPr>
            <w:tcW w:w="1472" w:type="dxa"/>
            <w:tcBorders>
              <w:top w:val="nil"/>
              <w:left w:val="nil"/>
              <w:bottom w:val="single" w:sz="4" w:space="0" w:color="auto"/>
              <w:right w:val="single" w:sz="4" w:space="0" w:color="auto"/>
            </w:tcBorders>
            <w:shd w:val="clear" w:color="auto" w:fill="auto"/>
            <w:vAlign w:val="center"/>
            <w:hideMark/>
          </w:tcPr>
          <w:p w14:paraId="52209A8F" w14:textId="77777777" w:rsidR="0029639D" w:rsidRPr="00415876" w:rsidRDefault="0029639D" w:rsidP="0029639D">
            <w:pPr>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015</w:t>
            </w:r>
          </w:p>
        </w:tc>
        <w:tc>
          <w:tcPr>
            <w:tcW w:w="1715" w:type="dxa"/>
            <w:tcBorders>
              <w:top w:val="nil"/>
              <w:left w:val="nil"/>
              <w:bottom w:val="single" w:sz="4" w:space="0" w:color="auto"/>
              <w:right w:val="single" w:sz="4" w:space="0" w:color="auto"/>
            </w:tcBorders>
            <w:shd w:val="clear" w:color="auto" w:fill="auto"/>
            <w:noWrap/>
            <w:vAlign w:val="center"/>
            <w:hideMark/>
          </w:tcPr>
          <w:p w14:paraId="47D64C4C" w14:textId="77777777" w:rsidR="0029639D" w:rsidRPr="00415876" w:rsidRDefault="0029639D" w:rsidP="0029639D">
            <w:pPr>
              <w:tabs>
                <w:tab w:val="left" w:pos="1257"/>
              </w:tabs>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024</w:t>
            </w:r>
          </w:p>
        </w:tc>
        <w:tc>
          <w:tcPr>
            <w:tcW w:w="1715" w:type="dxa"/>
            <w:tcBorders>
              <w:top w:val="nil"/>
              <w:left w:val="nil"/>
              <w:bottom w:val="single" w:sz="4" w:space="0" w:color="auto"/>
              <w:right w:val="single" w:sz="4" w:space="0" w:color="auto"/>
            </w:tcBorders>
            <w:shd w:val="clear" w:color="auto" w:fill="auto"/>
            <w:noWrap/>
            <w:vAlign w:val="center"/>
            <w:hideMark/>
          </w:tcPr>
          <w:p w14:paraId="0339CC1D" w14:textId="77777777" w:rsidR="0029639D" w:rsidRPr="00415876" w:rsidRDefault="0029639D" w:rsidP="0029639D">
            <w:pPr>
              <w:adjustRightInd w:val="0"/>
              <w:snapToGrid w:val="0"/>
              <w:ind w:right="157"/>
              <w:jc w:val="right"/>
              <w:rPr>
                <w:kern w:val="22"/>
                <w:szCs w:val="22"/>
                <w:lang w:val="fr-CA" w:eastAsia="en-CA"/>
              </w:rPr>
            </w:pPr>
            <w:r w:rsidRPr="00415876">
              <w:rPr>
                <w:kern w:val="22"/>
                <w:szCs w:val="22"/>
                <w:lang w:val="fr-CA" w:eastAsia="en-CA"/>
              </w:rPr>
              <w:t>452</w:t>
            </w:r>
          </w:p>
        </w:tc>
      </w:tr>
      <w:tr w:rsidR="0029639D" w:rsidRPr="00415876" w14:paraId="5E458ACF"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62A18EA1" w14:textId="2857BCA5" w:rsidR="0029639D" w:rsidRPr="00415876" w:rsidRDefault="0029639D" w:rsidP="00120F79">
            <w:pPr>
              <w:jc w:val="right"/>
              <w:rPr>
                <w:kern w:val="22"/>
                <w:szCs w:val="22"/>
                <w:lang w:val="fr-CA" w:eastAsia="en-CA"/>
              </w:rPr>
            </w:pPr>
            <w:r>
              <w:rPr>
                <w:kern w:val="22"/>
                <w:szCs w:val="22"/>
                <w:lang w:val="fr-CA" w:eastAsia="en-CA"/>
              </w:rPr>
              <w:t>42</w:t>
            </w:r>
          </w:p>
        </w:tc>
        <w:tc>
          <w:tcPr>
            <w:tcW w:w="3823" w:type="dxa"/>
            <w:tcBorders>
              <w:top w:val="nil"/>
              <w:left w:val="nil"/>
              <w:bottom w:val="single" w:sz="4" w:space="0" w:color="auto"/>
              <w:right w:val="single" w:sz="4" w:space="0" w:color="auto"/>
            </w:tcBorders>
            <w:shd w:val="clear" w:color="auto" w:fill="auto"/>
            <w:vAlign w:val="center"/>
            <w:hideMark/>
          </w:tcPr>
          <w:p w14:paraId="6AE9A5C1" w14:textId="77777777" w:rsidR="0029639D" w:rsidRPr="00415876" w:rsidRDefault="0029639D" w:rsidP="00120F79">
            <w:pPr>
              <w:jc w:val="left"/>
              <w:rPr>
                <w:kern w:val="22"/>
                <w:szCs w:val="22"/>
                <w:lang w:val="fr-CA" w:eastAsia="en-CA"/>
              </w:rPr>
            </w:pPr>
            <w:r>
              <w:rPr>
                <w:kern w:val="22"/>
                <w:szCs w:val="22"/>
                <w:lang w:val="fr-CA" w:eastAsia="en-CA"/>
              </w:rPr>
              <w:t>Gambie</w:t>
            </w:r>
          </w:p>
        </w:tc>
        <w:tc>
          <w:tcPr>
            <w:tcW w:w="1472" w:type="dxa"/>
            <w:tcBorders>
              <w:top w:val="nil"/>
              <w:left w:val="nil"/>
              <w:bottom w:val="single" w:sz="4" w:space="0" w:color="auto"/>
              <w:right w:val="single" w:sz="4" w:space="0" w:color="auto"/>
            </w:tcBorders>
            <w:shd w:val="clear" w:color="auto" w:fill="auto"/>
            <w:vAlign w:val="center"/>
            <w:hideMark/>
          </w:tcPr>
          <w:p w14:paraId="2088D334" w14:textId="77777777" w:rsidR="0029639D" w:rsidRPr="00415876" w:rsidRDefault="0029639D" w:rsidP="0029639D">
            <w:pPr>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001</w:t>
            </w:r>
          </w:p>
        </w:tc>
        <w:tc>
          <w:tcPr>
            <w:tcW w:w="1715" w:type="dxa"/>
            <w:tcBorders>
              <w:top w:val="nil"/>
              <w:left w:val="nil"/>
              <w:bottom w:val="single" w:sz="4" w:space="0" w:color="auto"/>
              <w:right w:val="single" w:sz="4" w:space="0" w:color="auto"/>
            </w:tcBorders>
            <w:shd w:val="clear" w:color="auto" w:fill="auto"/>
            <w:noWrap/>
            <w:vAlign w:val="center"/>
            <w:hideMark/>
          </w:tcPr>
          <w:p w14:paraId="3C1B2F8F" w14:textId="77777777" w:rsidR="0029639D" w:rsidRPr="00415876" w:rsidRDefault="0029639D" w:rsidP="0029639D">
            <w:pPr>
              <w:tabs>
                <w:tab w:val="left" w:pos="1257"/>
              </w:tabs>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002</w:t>
            </w:r>
          </w:p>
        </w:tc>
        <w:tc>
          <w:tcPr>
            <w:tcW w:w="1715" w:type="dxa"/>
            <w:tcBorders>
              <w:top w:val="nil"/>
              <w:left w:val="nil"/>
              <w:bottom w:val="single" w:sz="4" w:space="0" w:color="auto"/>
              <w:right w:val="single" w:sz="4" w:space="0" w:color="auto"/>
            </w:tcBorders>
            <w:shd w:val="clear" w:color="auto" w:fill="auto"/>
            <w:noWrap/>
            <w:vAlign w:val="center"/>
            <w:hideMark/>
          </w:tcPr>
          <w:p w14:paraId="79FC473B" w14:textId="77777777" w:rsidR="0029639D" w:rsidRPr="00415876" w:rsidRDefault="0029639D" w:rsidP="0029639D">
            <w:pPr>
              <w:adjustRightInd w:val="0"/>
              <w:snapToGrid w:val="0"/>
              <w:ind w:right="157"/>
              <w:jc w:val="right"/>
              <w:rPr>
                <w:kern w:val="22"/>
                <w:szCs w:val="22"/>
                <w:lang w:val="fr-CA" w:eastAsia="en-CA"/>
              </w:rPr>
            </w:pPr>
            <w:r w:rsidRPr="00415876">
              <w:rPr>
                <w:kern w:val="22"/>
                <w:szCs w:val="22"/>
                <w:lang w:val="fr-CA" w:eastAsia="en-CA"/>
              </w:rPr>
              <w:t>30</w:t>
            </w:r>
          </w:p>
        </w:tc>
      </w:tr>
      <w:tr w:rsidR="0029639D" w:rsidRPr="00415876" w14:paraId="3C12EBF4"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2CEB0217" w14:textId="3F43F081" w:rsidR="0029639D" w:rsidRPr="00415876" w:rsidRDefault="0029639D" w:rsidP="00120F79">
            <w:pPr>
              <w:jc w:val="right"/>
              <w:rPr>
                <w:kern w:val="22"/>
                <w:szCs w:val="22"/>
                <w:lang w:val="fr-CA" w:eastAsia="en-CA"/>
              </w:rPr>
            </w:pPr>
            <w:r>
              <w:rPr>
                <w:kern w:val="22"/>
                <w:szCs w:val="22"/>
                <w:lang w:val="fr-CA" w:eastAsia="en-CA"/>
              </w:rPr>
              <w:t>43</w:t>
            </w:r>
          </w:p>
        </w:tc>
        <w:tc>
          <w:tcPr>
            <w:tcW w:w="3823" w:type="dxa"/>
            <w:tcBorders>
              <w:top w:val="nil"/>
              <w:left w:val="nil"/>
              <w:bottom w:val="single" w:sz="4" w:space="0" w:color="auto"/>
              <w:right w:val="single" w:sz="4" w:space="0" w:color="auto"/>
            </w:tcBorders>
            <w:shd w:val="clear" w:color="auto" w:fill="auto"/>
            <w:vAlign w:val="center"/>
            <w:hideMark/>
          </w:tcPr>
          <w:p w14:paraId="4EBBEC7E" w14:textId="77777777" w:rsidR="0029639D" w:rsidRPr="00415876" w:rsidRDefault="0029639D" w:rsidP="00120F79">
            <w:pPr>
              <w:jc w:val="left"/>
              <w:rPr>
                <w:kern w:val="22"/>
                <w:szCs w:val="22"/>
                <w:lang w:val="fr-CA" w:eastAsia="en-CA"/>
              </w:rPr>
            </w:pPr>
            <w:r w:rsidRPr="00415876">
              <w:rPr>
                <w:kern w:val="22"/>
                <w:szCs w:val="22"/>
                <w:lang w:val="fr-CA" w:eastAsia="en-CA"/>
              </w:rPr>
              <w:t>Ghana</w:t>
            </w:r>
          </w:p>
        </w:tc>
        <w:tc>
          <w:tcPr>
            <w:tcW w:w="1472" w:type="dxa"/>
            <w:tcBorders>
              <w:top w:val="nil"/>
              <w:left w:val="nil"/>
              <w:bottom w:val="single" w:sz="4" w:space="0" w:color="auto"/>
              <w:right w:val="single" w:sz="4" w:space="0" w:color="auto"/>
            </w:tcBorders>
            <w:shd w:val="clear" w:color="auto" w:fill="auto"/>
            <w:vAlign w:val="center"/>
            <w:hideMark/>
          </w:tcPr>
          <w:p w14:paraId="1A6C8A33" w14:textId="77777777" w:rsidR="0029639D" w:rsidRPr="00415876" w:rsidRDefault="0029639D" w:rsidP="0029639D">
            <w:pPr>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015</w:t>
            </w:r>
          </w:p>
        </w:tc>
        <w:tc>
          <w:tcPr>
            <w:tcW w:w="1715" w:type="dxa"/>
            <w:tcBorders>
              <w:top w:val="nil"/>
              <w:left w:val="nil"/>
              <w:bottom w:val="single" w:sz="4" w:space="0" w:color="auto"/>
              <w:right w:val="single" w:sz="4" w:space="0" w:color="auto"/>
            </w:tcBorders>
            <w:shd w:val="clear" w:color="auto" w:fill="auto"/>
            <w:noWrap/>
            <w:vAlign w:val="center"/>
            <w:hideMark/>
          </w:tcPr>
          <w:p w14:paraId="50FE73A2" w14:textId="77777777" w:rsidR="0029639D" w:rsidRPr="00415876" w:rsidRDefault="0029639D" w:rsidP="0029639D">
            <w:pPr>
              <w:tabs>
                <w:tab w:val="left" w:pos="1257"/>
              </w:tabs>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024</w:t>
            </w:r>
          </w:p>
        </w:tc>
        <w:tc>
          <w:tcPr>
            <w:tcW w:w="1715" w:type="dxa"/>
            <w:tcBorders>
              <w:top w:val="nil"/>
              <w:left w:val="nil"/>
              <w:bottom w:val="single" w:sz="4" w:space="0" w:color="auto"/>
              <w:right w:val="single" w:sz="4" w:space="0" w:color="auto"/>
            </w:tcBorders>
            <w:shd w:val="clear" w:color="auto" w:fill="auto"/>
            <w:noWrap/>
            <w:vAlign w:val="center"/>
            <w:hideMark/>
          </w:tcPr>
          <w:p w14:paraId="4CA6F507" w14:textId="77777777" w:rsidR="0029639D" w:rsidRPr="00415876" w:rsidRDefault="0029639D" w:rsidP="0029639D">
            <w:pPr>
              <w:adjustRightInd w:val="0"/>
              <w:snapToGrid w:val="0"/>
              <w:ind w:right="157"/>
              <w:jc w:val="right"/>
              <w:rPr>
                <w:kern w:val="22"/>
                <w:szCs w:val="22"/>
                <w:lang w:val="fr-CA" w:eastAsia="en-CA"/>
              </w:rPr>
            </w:pPr>
            <w:r w:rsidRPr="00415876">
              <w:rPr>
                <w:kern w:val="22"/>
                <w:szCs w:val="22"/>
                <w:lang w:val="fr-CA" w:eastAsia="en-CA"/>
              </w:rPr>
              <w:t>452</w:t>
            </w:r>
          </w:p>
        </w:tc>
      </w:tr>
      <w:tr w:rsidR="0029639D" w:rsidRPr="00415876" w14:paraId="07870A3E"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3CF2C463" w14:textId="2264A35B" w:rsidR="0029639D" w:rsidRPr="00415876" w:rsidRDefault="0029639D" w:rsidP="00120F79">
            <w:pPr>
              <w:jc w:val="right"/>
              <w:rPr>
                <w:kern w:val="22"/>
                <w:szCs w:val="22"/>
                <w:lang w:val="fr-CA" w:eastAsia="en-CA"/>
              </w:rPr>
            </w:pPr>
            <w:r>
              <w:rPr>
                <w:kern w:val="22"/>
                <w:szCs w:val="22"/>
                <w:lang w:val="fr-CA" w:eastAsia="en-CA"/>
              </w:rPr>
              <w:t>44</w:t>
            </w:r>
          </w:p>
        </w:tc>
        <w:tc>
          <w:tcPr>
            <w:tcW w:w="3823" w:type="dxa"/>
            <w:tcBorders>
              <w:top w:val="nil"/>
              <w:left w:val="nil"/>
              <w:bottom w:val="single" w:sz="4" w:space="0" w:color="auto"/>
              <w:right w:val="single" w:sz="4" w:space="0" w:color="auto"/>
            </w:tcBorders>
            <w:shd w:val="clear" w:color="auto" w:fill="auto"/>
            <w:vAlign w:val="center"/>
            <w:hideMark/>
          </w:tcPr>
          <w:p w14:paraId="4864CE26" w14:textId="77777777" w:rsidR="0029639D" w:rsidRPr="00415876" w:rsidRDefault="0029639D" w:rsidP="00120F79">
            <w:pPr>
              <w:jc w:val="left"/>
              <w:rPr>
                <w:kern w:val="22"/>
                <w:szCs w:val="22"/>
                <w:lang w:val="fr-CA" w:eastAsia="en-CA"/>
              </w:rPr>
            </w:pPr>
            <w:r>
              <w:rPr>
                <w:kern w:val="22"/>
                <w:szCs w:val="22"/>
                <w:lang w:val="fr-CA" w:eastAsia="en-CA"/>
              </w:rPr>
              <w:t>Grè</w:t>
            </w:r>
            <w:r w:rsidRPr="00415876">
              <w:rPr>
                <w:kern w:val="22"/>
                <w:szCs w:val="22"/>
                <w:lang w:val="fr-CA" w:eastAsia="en-CA"/>
              </w:rPr>
              <w:t>ce</w:t>
            </w:r>
          </w:p>
        </w:tc>
        <w:tc>
          <w:tcPr>
            <w:tcW w:w="1472" w:type="dxa"/>
            <w:tcBorders>
              <w:top w:val="nil"/>
              <w:left w:val="nil"/>
              <w:bottom w:val="single" w:sz="4" w:space="0" w:color="auto"/>
              <w:right w:val="single" w:sz="4" w:space="0" w:color="auto"/>
            </w:tcBorders>
            <w:shd w:val="clear" w:color="auto" w:fill="auto"/>
            <w:vAlign w:val="center"/>
            <w:hideMark/>
          </w:tcPr>
          <w:p w14:paraId="5E456CE2" w14:textId="77777777" w:rsidR="0029639D" w:rsidRPr="00415876" w:rsidRDefault="0029639D" w:rsidP="0029639D">
            <w:pPr>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366</w:t>
            </w:r>
          </w:p>
        </w:tc>
        <w:tc>
          <w:tcPr>
            <w:tcW w:w="1715" w:type="dxa"/>
            <w:tcBorders>
              <w:top w:val="nil"/>
              <w:left w:val="nil"/>
              <w:bottom w:val="single" w:sz="4" w:space="0" w:color="auto"/>
              <w:right w:val="single" w:sz="4" w:space="0" w:color="auto"/>
            </w:tcBorders>
            <w:shd w:val="clear" w:color="auto" w:fill="auto"/>
            <w:noWrap/>
            <w:vAlign w:val="center"/>
            <w:hideMark/>
          </w:tcPr>
          <w:p w14:paraId="286EF537" w14:textId="77777777" w:rsidR="0029639D" w:rsidRPr="00415876" w:rsidRDefault="0029639D" w:rsidP="0029639D">
            <w:pPr>
              <w:tabs>
                <w:tab w:val="left" w:pos="1257"/>
              </w:tabs>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588</w:t>
            </w:r>
          </w:p>
        </w:tc>
        <w:tc>
          <w:tcPr>
            <w:tcW w:w="1715" w:type="dxa"/>
            <w:tcBorders>
              <w:top w:val="nil"/>
              <w:left w:val="nil"/>
              <w:bottom w:val="single" w:sz="4" w:space="0" w:color="auto"/>
              <w:right w:val="single" w:sz="4" w:space="0" w:color="auto"/>
            </w:tcBorders>
            <w:shd w:val="clear" w:color="auto" w:fill="auto"/>
            <w:noWrap/>
            <w:vAlign w:val="center"/>
            <w:hideMark/>
          </w:tcPr>
          <w:p w14:paraId="43C21406" w14:textId="77777777" w:rsidR="0029639D" w:rsidRPr="00415876" w:rsidRDefault="0029639D" w:rsidP="0029639D">
            <w:pPr>
              <w:adjustRightInd w:val="0"/>
              <w:snapToGrid w:val="0"/>
              <w:ind w:right="157"/>
              <w:jc w:val="right"/>
              <w:rPr>
                <w:kern w:val="22"/>
                <w:szCs w:val="22"/>
                <w:lang w:val="fr-CA" w:eastAsia="en-CA"/>
              </w:rPr>
            </w:pPr>
            <w:r w:rsidRPr="00415876">
              <w:rPr>
                <w:kern w:val="22"/>
                <w:szCs w:val="22"/>
                <w:lang w:val="fr-CA" w:eastAsia="en-CA"/>
              </w:rPr>
              <w:t>11 033</w:t>
            </w:r>
          </w:p>
        </w:tc>
      </w:tr>
      <w:tr w:rsidR="0029639D" w:rsidRPr="00415876" w14:paraId="1599C98F"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62A09AC1" w14:textId="1DA338C4" w:rsidR="0029639D" w:rsidRPr="00415876" w:rsidRDefault="0029639D" w:rsidP="00120F79">
            <w:pPr>
              <w:jc w:val="right"/>
              <w:rPr>
                <w:kern w:val="22"/>
                <w:szCs w:val="22"/>
                <w:lang w:val="fr-CA" w:eastAsia="en-CA"/>
              </w:rPr>
            </w:pPr>
            <w:r>
              <w:rPr>
                <w:kern w:val="22"/>
                <w:szCs w:val="22"/>
                <w:lang w:val="fr-CA" w:eastAsia="en-CA"/>
              </w:rPr>
              <w:t>45</w:t>
            </w:r>
          </w:p>
        </w:tc>
        <w:tc>
          <w:tcPr>
            <w:tcW w:w="3823" w:type="dxa"/>
            <w:tcBorders>
              <w:top w:val="nil"/>
              <w:left w:val="nil"/>
              <w:bottom w:val="single" w:sz="4" w:space="0" w:color="auto"/>
              <w:right w:val="single" w:sz="4" w:space="0" w:color="auto"/>
            </w:tcBorders>
            <w:shd w:val="clear" w:color="auto" w:fill="auto"/>
            <w:vAlign w:val="center"/>
            <w:hideMark/>
          </w:tcPr>
          <w:p w14:paraId="465DBAB9" w14:textId="77777777" w:rsidR="0029639D" w:rsidRPr="00415876" w:rsidRDefault="0029639D" w:rsidP="00120F79">
            <w:pPr>
              <w:jc w:val="left"/>
              <w:rPr>
                <w:kern w:val="22"/>
                <w:szCs w:val="22"/>
                <w:lang w:val="fr-CA" w:eastAsia="en-CA"/>
              </w:rPr>
            </w:pPr>
            <w:r w:rsidRPr="00415876">
              <w:rPr>
                <w:kern w:val="22"/>
                <w:szCs w:val="22"/>
                <w:lang w:val="fr-CA" w:eastAsia="en-CA"/>
              </w:rPr>
              <w:t>Guatemala</w:t>
            </w:r>
          </w:p>
        </w:tc>
        <w:tc>
          <w:tcPr>
            <w:tcW w:w="1472" w:type="dxa"/>
            <w:tcBorders>
              <w:top w:val="nil"/>
              <w:left w:val="nil"/>
              <w:bottom w:val="single" w:sz="4" w:space="0" w:color="auto"/>
              <w:right w:val="single" w:sz="4" w:space="0" w:color="auto"/>
            </w:tcBorders>
            <w:shd w:val="clear" w:color="auto" w:fill="auto"/>
            <w:vAlign w:val="center"/>
            <w:hideMark/>
          </w:tcPr>
          <w:p w14:paraId="14D13888" w14:textId="77777777" w:rsidR="0029639D" w:rsidRPr="00415876" w:rsidRDefault="0029639D" w:rsidP="0029639D">
            <w:pPr>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036</w:t>
            </w:r>
          </w:p>
        </w:tc>
        <w:tc>
          <w:tcPr>
            <w:tcW w:w="1715" w:type="dxa"/>
            <w:tcBorders>
              <w:top w:val="nil"/>
              <w:left w:val="nil"/>
              <w:bottom w:val="single" w:sz="4" w:space="0" w:color="auto"/>
              <w:right w:val="single" w:sz="4" w:space="0" w:color="auto"/>
            </w:tcBorders>
            <w:shd w:val="clear" w:color="auto" w:fill="auto"/>
            <w:noWrap/>
            <w:vAlign w:val="center"/>
            <w:hideMark/>
          </w:tcPr>
          <w:p w14:paraId="39726D68" w14:textId="77777777" w:rsidR="0029639D" w:rsidRPr="00415876" w:rsidRDefault="0029639D" w:rsidP="0029639D">
            <w:pPr>
              <w:tabs>
                <w:tab w:val="left" w:pos="1257"/>
              </w:tabs>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058</w:t>
            </w:r>
          </w:p>
        </w:tc>
        <w:tc>
          <w:tcPr>
            <w:tcW w:w="1715" w:type="dxa"/>
            <w:tcBorders>
              <w:top w:val="nil"/>
              <w:left w:val="nil"/>
              <w:bottom w:val="single" w:sz="4" w:space="0" w:color="auto"/>
              <w:right w:val="single" w:sz="4" w:space="0" w:color="auto"/>
            </w:tcBorders>
            <w:shd w:val="clear" w:color="auto" w:fill="auto"/>
            <w:noWrap/>
            <w:vAlign w:val="center"/>
            <w:hideMark/>
          </w:tcPr>
          <w:p w14:paraId="75DC0ADD" w14:textId="77777777" w:rsidR="0029639D" w:rsidRPr="00415876" w:rsidRDefault="0029639D" w:rsidP="0029639D">
            <w:pPr>
              <w:adjustRightInd w:val="0"/>
              <w:snapToGrid w:val="0"/>
              <w:ind w:right="157"/>
              <w:jc w:val="right"/>
              <w:rPr>
                <w:kern w:val="22"/>
                <w:szCs w:val="22"/>
                <w:lang w:val="fr-CA" w:eastAsia="en-CA"/>
              </w:rPr>
            </w:pPr>
            <w:r w:rsidRPr="00415876">
              <w:rPr>
                <w:kern w:val="22"/>
                <w:szCs w:val="22"/>
                <w:lang w:val="fr-CA" w:eastAsia="en-CA"/>
              </w:rPr>
              <w:t>1 085</w:t>
            </w:r>
          </w:p>
        </w:tc>
      </w:tr>
      <w:tr w:rsidR="0029639D" w:rsidRPr="00415876" w14:paraId="6C4580E7"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47D61D6F" w14:textId="49A81832" w:rsidR="0029639D" w:rsidRPr="00415876" w:rsidRDefault="0029639D" w:rsidP="00120F79">
            <w:pPr>
              <w:jc w:val="right"/>
              <w:rPr>
                <w:kern w:val="22"/>
                <w:szCs w:val="22"/>
                <w:lang w:val="fr-CA" w:eastAsia="en-CA"/>
              </w:rPr>
            </w:pPr>
            <w:r>
              <w:rPr>
                <w:kern w:val="22"/>
                <w:szCs w:val="22"/>
                <w:lang w:val="fr-CA" w:eastAsia="en-CA"/>
              </w:rPr>
              <w:t>46</w:t>
            </w:r>
          </w:p>
        </w:tc>
        <w:tc>
          <w:tcPr>
            <w:tcW w:w="3823" w:type="dxa"/>
            <w:tcBorders>
              <w:top w:val="nil"/>
              <w:left w:val="nil"/>
              <w:bottom w:val="single" w:sz="4" w:space="0" w:color="auto"/>
              <w:right w:val="single" w:sz="4" w:space="0" w:color="auto"/>
            </w:tcBorders>
            <w:shd w:val="clear" w:color="auto" w:fill="auto"/>
            <w:vAlign w:val="center"/>
            <w:hideMark/>
          </w:tcPr>
          <w:p w14:paraId="7C3404C9" w14:textId="77777777" w:rsidR="0029639D" w:rsidRPr="00415876" w:rsidRDefault="0029639D" w:rsidP="008D5864">
            <w:pPr>
              <w:jc w:val="left"/>
              <w:rPr>
                <w:kern w:val="22"/>
                <w:szCs w:val="22"/>
                <w:lang w:val="fr-CA" w:eastAsia="en-CA"/>
              </w:rPr>
            </w:pPr>
            <w:r w:rsidRPr="00415876">
              <w:rPr>
                <w:kern w:val="22"/>
                <w:szCs w:val="22"/>
                <w:lang w:val="fr-CA" w:eastAsia="en-CA"/>
              </w:rPr>
              <w:t>Guin</w:t>
            </w:r>
            <w:r>
              <w:rPr>
                <w:kern w:val="22"/>
                <w:szCs w:val="22"/>
                <w:lang w:val="fr-CA" w:eastAsia="en-CA"/>
              </w:rPr>
              <w:t>ée</w:t>
            </w:r>
          </w:p>
        </w:tc>
        <w:tc>
          <w:tcPr>
            <w:tcW w:w="1472" w:type="dxa"/>
            <w:tcBorders>
              <w:top w:val="nil"/>
              <w:left w:val="nil"/>
              <w:bottom w:val="single" w:sz="4" w:space="0" w:color="auto"/>
              <w:right w:val="single" w:sz="4" w:space="0" w:color="auto"/>
            </w:tcBorders>
            <w:shd w:val="clear" w:color="auto" w:fill="auto"/>
            <w:vAlign w:val="center"/>
            <w:hideMark/>
          </w:tcPr>
          <w:p w14:paraId="72A88E93" w14:textId="77777777" w:rsidR="0029639D" w:rsidRPr="00415876" w:rsidRDefault="0029639D" w:rsidP="0029639D">
            <w:pPr>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003</w:t>
            </w:r>
          </w:p>
        </w:tc>
        <w:tc>
          <w:tcPr>
            <w:tcW w:w="1715" w:type="dxa"/>
            <w:tcBorders>
              <w:top w:val="nil"/>
              <w:left w:val="nil"/>
              <w:bottom w:val="single" w:sz="4" w:space="0" w:color="auto"/>
              <w:right w:val="single" w:sz="4" w:space="0" w:color="auto"/>
            </w:tcBorders>
            <w:shd w:val="clear" w:color="auto" w:fill="auto"/>
            <w:noWrap/>
            <w:vAlign w:val="center"/>
            <w:hideMark/>
          </w:tcPr>
          <w:p w14:paraId="47728B79" w14:textId="77777777" w:rsidR="0029639D" w:rsidRPr="00415876" w:rsidRDefault="0029639D" w:rsidP="0029639D">
            <w:pPr>
              <w:tabs>
                <w:tab w:val="left" w:pos="1257"/>
              </w:tabs>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005</w:t>
            </w:r>
          </w:p>
        </w:tc>
        <w:tc>
          <w:tcPr>
            <w:tcW w:w="1715" w:type="dxa"/>
            <w:tcBorders>
              <w:top w:val="nil"/>
              <w:left w:val="nil"/>
              <w:bottom w:val="single" w:sz="4" w:space="0" w:color="auto"/>
              <w:right w:val="single" w:sz="4" w:space="0" w:color="auto"/>
            </w:tcBorders>
            <w:shd w:val="clear" w:color="auto" w:fill="auto"/>
            <w:noWrap/>
            <w:vAlign w:val="center"/>
            <w:hideMark/>
          </w:tcPr>
          <w:p w14:paraId="105D745B" w14:textId="77777777" w:rsidR="0029639D" w:rsidRPr="00415876" w:rsidRDefault="0029639D" w:rsidP="0029639D">
            <w:pPr>
              <w:adjustRightInd w:val="0"/>
              <w:snapToGrid w:val="0"/>
              <w:ind w:right="157"/>
              <w:jc w:val="right"/>
              <w:rPr>
                <w:kern w:val="22"/>
                <w:szCs w:val="22"/>
                <w:lang w:val="fr-CA" w:eastAsia="en-CA"/>
              </w:rPr>
            </w:pPr>
            <w:r w:rsidRPr="00415876">
              <w:rPr>
                <w:kern w:val="22"/>
                <w:szCs w:val="22"/>
                <w:lang w:val="fr-CA" w:eastAsia="en-CA"/>
              </w:rPr>
              <w:t>90</w:t>
            </w:r>
          </w:p>
        </w:tc>
      </w:tr>
      <w:tr w:rsidR="0029639D" w:rsidRPr="00415876" w14:paraId="6BDCF41F"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416F0073" w14:textId="4E675A32" w:rsidR="0029639D" w:rsidRPr="00415876" w:rsidRDefault="0029639D" w:rsidP="00120F79">
            <w:pPr>
              <w:jc w:val="right"/>
              <w:rPr>
                <w:kern w:val="22"/>
                <w:szCs w:val="22"/>
                <w:lang w:val="fr-CA" w:eastAsia="en-CA"/>
              </w:rPr>
            </w:pPr>
            <w:r>
              <w:rPr>
                <w:kern w:val="22"/>
                <w:szCs w:val="22"/>
                <w:lang w:val="fr-CA" w:eastAsia="en-CA"/>
              </w:rPr>
              <w:t>47</w:t>
            </w:r>
          </w:p>
        </w:tc>
        <w:tc>
          <w:tcPr>
            <w:tcW w:w="3823" w:type="dxa"/>
            <w:tcBorders>
              <w:top w:val="nil"/>
              <w:left w:val="nil"/>
              <w:bottom w:val="single" w:sz="4" w:space="0" w:color="auto"/>
              <w:right w:val="single" w:sz="4" w:space="0" w:color="auto"/>
            </w:tcBorders>
            <w:shd w:val="clear" w:color="auto" w:fill="auto"/>
            <w:vAlign w:val="center"/>
            <w:hideMark/>
          </w:tcPr>
          <w:p w14:paraId="5A711038" w14:textId="77777777" w:rsidR="0029639D" w:rsidRPr="00415876" w:rsidRDefault="0029639D" w:rsidP="008D5864">
            <w:pPr>
              <w:jc w:val="left"/>
              <w:rPr>
                <w:kern w:val="22"/>
                <w:szCs w:val="22"/>
                <w:lang w:val="fr-CA" w:eastAsia="en-CA"/>
              </w:rPr>
            </w:pPr>
            <w:r w:rsidRPr="00415876">
              <w:rPr>
                <w:kern w:val="22"/>
                <w:szCs w:val="22"/>
                <w:lang w:val="fr-CA" w:eastAsia="en-CA"/>
              </w:rPr>
              <w:t>Guin</w:t>
            </w:r>
            <w:r>
              <w:rPr>
                <w:kern w:val="22"/>
                <w:szCs w:val="22"/>
                <w:lang w:val="fr-CA" w:eastAsia="en-CA"/>
              </w:rPr>
              <w:t>ée</w:t>
            </w:r>
            <w:r w:rsidRPr="00415876">
              <w:rPr>
                <w:kern w:val="22"/>
                <w:szCs w:val="22"/>
                <w:lang w:val="fr-CA" w:eastAsia="en-CA"/>
              </w:rPr>
              <w:t>-Bissau</w:t>
            </w:r>
          </w:p>
        </w:tc>
        <w:tc>
          <w:tcPr>
            <w:tcW w:w="1472" w:type="dxa"/>
            <w:tcBorders>
              <w:top w:val="nil"/>
              <w:left w:val="nil"/>
              <w:bottom w:val="single" w:sz="4" w:space="0" w:color="auto"/>
              <w:right w:val="single" w:sz="4" w:space="0" w:color="auto"/>
            </w:tcBorders>
            <w:shd w:val="clear" w:color="auto" w:fill="auto"/>
            <w:vAlign w:val="center"/>
            <w:hideMark/>
          </w:tcPr>
          <w:p w14:paraId="3E882962" w14:textId="77777777" w:rsidR="0029639D" w:rsidRPr="00415876" w:rsidRDefault="0029639D" w:rsidP="0029639D">
            <w:pPr>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001</w:t>
            </w:r>
          </w:p>
        </w:tc>
        <w:tc>
          <w:tcPr>
            <w:tcW w:w="1715" w:type="dxa"/>
            <w:tcBorders>
              <w:top w:val="nil"/>
              <w:left w:val="nil"/>
              <w:bottom w:val="single" w:sz="4" w:space="0" w:color="auto"/>
              <w:right w:val="single" w:sz="4" w:space="0" w:color="auto"/>
            </w:tcBorders>
            <w:shd w:val="clear" w:color="auto" w:fill="auto"/>
            <w:noWrap/>
            <w:vAlign w:val="center"/>
            <w:hideMark/>
          </w:tcPr>
          <w:p w14:paraId="08A863CE" w14:textId="77777777" w:rsidR="0029639D" w:rsidRPr="00415876" w:rsidRDefault="0029639D" w:rsidP="0029639D">
            <w:pPr>
              <w:tabs>
                <w:tab w:val="left" w:pos="1257"/>
              </w:tabs>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002</w:t>
            </w:r>
          </w:p>
        </w:tc>
        <w:tc>
          <w:tcPr>
            <w:tcW w:w="1715" w:type="dxa"/>
            <w:tcBorders>
              <w:top w:val="nil"/>
              <w:left w:val="nil"/>
              <w:bottom w:val="single" w:sz="4" w:space="0" w:color="auto"/>
              <w:right w:val="single" w:sz="4" w:space="0" w:color="auto"/>
            </w:tcBorders>
            <w:shd w:val="clear" w:color="auto" w:fill="auto"/>
            <w:noWrap/>
            <w:vAlign w:val="center"/>
            <w:hideMark/>
          </w:tcPr>
          <w:p w14:paraId="3F098916" w14:textId="77777777" w:rsidR="0029639D" w:rsidRPr="00415876" w:rsidRDefault="0029639D" w:rsidP="0029639D">
            <w:pPr>
              <w:adjustRightInd w:val="0"/>
              <w:snapToGrid w:val="0"/>
              <w:ind w:right="157"/>
              <w:jc w:val="right"/>
              <w:rPr>
                <w:kern w:val="22"/>
                <w:szCs w:val="22"/>
                <w:lang w:val="fr-CA" w:eastAsia="en-CA"/>
              </w:rPr>
            </w:pPr>
            <w:r w:rsidRPr="00415876">
              <w:rPr>
                <w:kern w:val="22"/>
                <w:szCs w:val="22"/>
                <w:lang w:val="fr-CA" w:eastAsia="en-CA"/>
              </w:rPr>
              <w:t>30</w:t>
            </w:r>
          </w:p>
        </w:tc>
      </w:tr>
      <w:tr w:rsidR="0029639D" w:rsidRPr="00415876" w14:paraId="1B2AC8F1"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168E2F04" w14:textId="7BEFD950" w:rsidR="0029639D" w:rsidRPr="00415876" w:rsidRDefault="0029639D" w:rsidP="00120F79">
            <w:pPr>
              <w:jc w:val="right"/>
              <w:rPr>
                <w:kern w:val="22"/>
                <w:szCs w:val="22"/>
                <w:lang w:val="fr-CA" w:eastAsia="en-CA"/>
              </w:rPr>
            </w:pPr>
            <w:r>
              <w:rPr>
                <w:kern w:val="22"/>
                <w:szCs w:val="22"/>
                <w:lang w:val="fr-CA" w:eastAsia="en-CA"/>
              </w:rPr>
              <w:t>48</w:t>
            </w:r>
          </w:p>
        </w:tc>
        <w:tc>
          <w:tcPr>
            <w:tcW w:w="3823" w:type="dxa"/>
            <w:tcBorders>
              <w:top w:val="nil"/>
              <w:left w:val="nil"/>
              <w:bottom w:val="single" w:sz="4" w:space="0" w:color="auto"/>
              <w:right w:val="single" w:sz="4" w:space="0" w:color="auto"/>
            </w:tcBorders>
            <w:shd w:val="clear" w:color="auto" w:fill="auto"/>
            <w:vAlign w:val="center"/>
            <w:hideMark/>
          </w:tcPr>
          <w:p w14:paraId="67AE79B4" w14:textId="77777777" w:rsidR="0029639D" w:rsidRPr="00415876" w:rsidRDefault="0029639D" w:rsidP="00120F79">
            <w:pPr>
              <w:jc w:val="left"/>
              <w:rPr>
                <w:kern w:val="22"/>
                <w:szCs w:val="22"/>
                <w:lang w:val="fr-CA" w:eastAsia="en-CA"/>
              </w:rPr>
            </w:pPr>
            <w:r w:rsidRPr="00415876">
              <w:rPr>
                <w:kern w:val="22"/>
                <w:szCs w:val="22"/>
                <w:lang w:val="fr-CA" w:eastAsia="en-CA"/>
              </w:rPr>
              <w:t>Guyana</w:t>
            </w:r>
          </w:p>
        </w:tc>
        <w:tc>
          <w:tcPr>
            <w:tcW w:w="1472" w:type="dxa"/>
            <w:tcBorders>
              <w:top w:val="nil"/>
              <w:left w:val="nil"/>
              <w:bottom w:val="single" w:sz="4" w:space="0" w:color="auto"/>
              <w:right w:val="single" w:sz="4" w:space="0" w:color="auto"/>
            </w:tcBorders>
            <w:shd w:val="clear" w:color="auto" w:fill="auto"/>
            <w:vAlign w:val="center"/>
            <w:hideMark/>
          </w:tcPr>
          <w:p w14:paraId="2B7FD2A5" w14:textId="77777777" w:rsidR="0029639D" w:rsidRPr="00415876" w:rsidRDefault="0029639D" w:rsidP="0029639D">
            <w:pPr>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002</w:t>
            </w:r>
          </w:p>
        </w:tc>
        <w:tc>
          <w:tcPr>
            <w:tcW w:w="1715" w:type="dxa"/>
            <w:tcBorders>
              <w:top w:val="nil"/>
              <w:left w:val="nil"/>
              <w:bottom w:val="single" w:sz="4" w:space="0" w:color="auto"/>
              <w:right w:val="single" w:sz="4" w:space="0" w:color="auto"/>
            </w:tcBorders>
            <w:shd w:val="clear" w:color="auto" w:fill="auto"/>
            <w:noWrap/>
            <w:vAlign w:val="center"/>
            <w:hideMark/>
          </w:tcPr>
          <w:p w14:paraId="61C0DF21" w14:textId="77777777" w:rsidR="0029639D" w:rsidRPr="00415876" w:rsidRDefault="0029639D" w:rsidP="0029639D">
            <w:pPr>
              <w:tabs>
                <w:tab w:val="left" w:pos="1257"/>
              </w:tabs>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003</w:t>
            </w:r>
          </w:p>
        </w:tc>
        <w:tc>
          <w:tcPr>
            <w:tcW w:w="1715" w:type="dxa"/>
            <w:tcBorders>
              <w:top w:val="nil"/>
              <w:left w:val="nil"/>
              <w:bottom w:val="single" w:sz="4" w:space="0" w:color="auto"/>
              <w:right w:val="single" w:sz="4" w:space="0" w:color="auto"/>
            </w:tcBorders>
            <w:shd w:val="clear" w:color="auto" w:fill="auto"/>
            <w:noWrap/>
            <w:vAlign w:val="center"/>
            <w:hideMark/>
          </w:tcPr>
          <w:p w14:paraId="3F3CD100" w14:textId="77777777" w:rsidR="0029639D" w:rsidRPr="00415876" w:rsidRDefault="0029639D" w:rsidP="0029639D">
            <w:pPr>
              <w:adjustRightInd w:val="0"/>
              <w:snapToGrid w:val="0"/>
              <w:ind w:right="157"/>
              <w:jc w:val="right"/>
              <w:rPr>
                <w:kern w:val="22"/>
                <w:szCs w:val="22"/>
                <w:lang w:val="fr-CA" w:eastAsia="en-CA"/>
              </w:rPr>
            </w:pPr>
            <w:r w:rsidRPr="00415876">
              <w:rPr>
                <w:kern w:val="22"/>
                <w:szCs w:val="22"/>
                <w:lang w:val="fr-CA" w:eastAsia="en-CA"/>
              </w:rPr>
              <w:t>60</w:t>
            </w:r>
          </w:p>
        </w:tc>
      </w:tr>
      <w:tr w:rsidR="0029639D" w:rsidRPr="00415876" w14:paraId="2C872791"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536B7428" w14:textId="712B58DD" w:rsidR="0029639D" w:rsidRPr="00415876" w:rsidRDefault="0029639D" w:rsidP="00120F79">
            <w:pPr>
              <w:jc w:val="right"/>
              <w:rPr>
                <w:kern w:val="22"/>
                <w:szCs w:val="22"/>
                <w:lang w:val="fr-CA" w:eastAsia="en-CA"/>
              </w:rPr>
            </w:pPr>
            <w:r>
              <w:rPr>
                <w:kern w:val="22"/>
                <w:szCs w:val="22"/>
                <w:lang w:val="fr-CA" w:eastAsia="en-CA"/>
              </w:rPr>
              <w:t>49</w:t>
            </w:r>
          </w:p>
        </w:tc>
        <w:tc>
          <w:tcPr>
            <w:tcW w:w="3823" w:type="dxa"/>
            <w:tcBorders>
              <w:top w:val="nil"/>
              <w:left w:val="nil"/>
              <w:bottom w:val="single" w:sz="4" w:space="0" w:color="auto"/>
              <w:right w:val="single" w:sz="4" w:space="0" w:color="auto"/>
            </w:tcBorders>
            <w:shd w:val="clear" w:color="auto" w:fill="auto"/>
            <w:vAlign w:val="center"/>
            <w:hideMark/>
          </w:tcPr>
          <w:p w14:paraId="5C53FB9F" w14:textId="77777777" w:rsidR="0029639D" w:rsidRPr="00415876" w:rsidRDefault="0029639D" w:rsidP="00120F79">
            <w:pPr>
              <w:jc w:val="left"/>
              <w:rPr>
                <w:kern w:val="22"/>
                <w:szCs w:val="22"/>
                <w:lang w:val="fr-CA" w:eastAsia="en-CA"/>
              </w:rPr>
            </w:pPr>
            <w:r w:rsidRPr="00415876">
              <w:rPr>
                <w:kern w:val="22"/>
                <w:szCs w:val="22"/>
                <w:lang w:val="fr-CA" w:eastAsia="en-CA"/>
              </w:rPr>
              <w:t>Honduras</w:t>
            </w:r>
          </w:p>
        </w:tc>
        <w:tc>
          <w:tcPr>
            <w:tcW w:w="1472" w:type="dxa"/>
            <w:tcBorders>
              <w:top w:val="nil"/>
              <w:left w:val="nil"/>
              <w:bottom w:val="single" w:sz="4" w:space="0" w:color="auto"/>
              <w:right w:val="single" w:sz="4" w:space="0" w:color="auto"/>
            </w:tcBorders>
            <w:shd w:val="clear" w:color="auto" w:fill="auto"/>
            <w:vAlign w:val="center"/>
            <w:hideMark/>
          </w:tcPr>
          <w:p w14:paraId="1CE8DB7B" w14:textId="77777777" w:rsidR="0029639D" w:rsidRPr="00415876" w:rsidRDefault="0029639D" w:rsidP="0029639D">
            <w:pPr>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009</w:t>
            </w:r>
          </w:p>
        </w:tc>
        <w:tc>
          <w:tcPr>
            <w:tcW w:w="1715" w:type="dxa"/>
            <w:tcBorders>
              <w:top w:val="nil"/>
              <w:left w:val="nil"/>
              <w:bottom w:val="single" w:sz="4" w:space="0" w:color="auto"/>
              <w:right w:val="single" w:sz="4" w:space="0" w:color="auto"/>
            </w:tcBorders>
            <w:shd w:val="clear" w:color="auto" w:fill="auto"/>
            <w:noWrap/>
            <w:vAlign w:val="center"/>
            <w:hideMark/>
          </w:tcPr>
          <w:p w14:paraId="2C38B38F" w14:textId="77777777" w:rsidR="0029639D" w:rsidRPr="00415876" w:rsidRDefault="0029639D" w:rsidP="0029639D">
            <w:pPr>
              <w:tabs>
                <w:tab w:val="left" w:pos="1257"/>
              </w:tabs>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014</w:t>
            </w:r>
          </w:p>
        </w:tc>
        <w:tc>
          <w:tcPr>
            <w:tcW w:w="1715" w:type="dxa"/>
            <w:tcBorders>
              <w:top w:val="nil"/>
              <w:left w:val="nil"/>
              <w:bottom w:val="single" w:sz="4" w:space="0" w:color="auto"/>
              <w:right w:val="single" w:sz="4" w:space="0" w:color="auto"/>
            </w:tcBorders>
            <w:shd w:val="clear" w:color="auto" w:fill="auto"/>
            <w:noWrap/>
            <w:vAlign w:val="center"/>
            <w:hideMark/>
          </w:tcPr>
          <w:p w14:paraId="164D3F6E" w14:textId="77777777" w:rsidR="0029639D" w:rsidRPr="00415876" w:rsidRDefault="0029639D" w:rsidP="0029639D">
            <w:pPr>
              <w:adjustRightInd w:val="0"/>
              <w:snapToGrid w:val="0"/>
              <w:ind w:right="157"/>
              <w:jc w:val="right"/>
              <w:rPr>
                <w:kern w:val="22"/>
                <w:szCs w:val="22"/>
                <w:lang w:val="fr-CA" w:eastAsia="en-CA"/>
              </w:rPr>
            </w:pPr>
            <w:r w:rsidRPr="00415876">
              <w:rPr>
                <w:kern w:val="22"/>
                <w:szCs w:val="22"/>
                <w:lang w:val="fr-CA" w:eastAsia="en-CA"/>
              </w:rPr>
              <w:t>271</w:t>
            </w:r>
          </w:p>
        </w:tc>
      </w:tr>
      <w:tr w:rsidR="0029639D" w:rsidRPr="00415876" w14:paraId="09975486"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5805BFE3" w14:textId="535ACD81" w:rsidR="0029639D" w:rsidRPr="00415876" w:rsidRDefault="0029639D" w:rsidP="00120F79">
            <w:pPr>
              <w:jc w:val="right"/>
              <w:rPr>
                <w:kern w:val="22"/>
                <w:szCs w:val="22"/>
                <w:lang w:val="fr-CA" w:eastAsia="en-CA"/>
              </w:rPr>
            </w:pPr>
            <w:r>
              <w:rPr>
                <w:kern w:val="22"/>
                <w:szCs w:val="22"/>
                <w:lang w:val="fr-CA" w:eastAsia="en-CA"/>
              </w:rPr>
              <w:t>50</w:t>
            </w:r>
          </w:p>
        </w:tc>
        <w:tc>
          <w:tcPr>
            <w:tcW w:w="3823" w:type="dxa"/>
            <w:tcBorders>
              <w:top w:val="nil"/>
              <w:left w:val="nil"/>
              <w:bottom w:val="single" w:sz="4" w:space="0" w:color="auto"/>
              <w:right w:val="single" w:sz="4" w:space="0" w:color="auto"/>
            </w:tcBorders>
            <w:shd w:val="clear" w:color="auto" w:fill="auto"/>
            <w:vAlign w:val="center"/>
            <w:hideMark/>
          </w:tcPr>
          <w:p w14:paraId="6F9F5BFA" w14:textId="77777777" w:rsidR="0029639D" w:rsidRPr="00415876" w:rsidRDefault="0029639D" w:rsidP="00120F79">
            <w:pPr>
              <w:jc w:val="left"/>
              <w:rPr>
                <w:kern w:val="22"/>
                <w:szCs w:val="22"/>
                <w:lang w:val="fr-CA" w:eastAsia="en-CA"/>
              </w:rPr>
            </w:pPr>
            <w:r>
              <w:rPr>
                <w:kern w:val="22"/>
                <w:szCs w:val="22"/>
                <w:lang w:val="fr-CA" w:eastAsia="en-CA"/>
              </w:rPr>
              <w:t>Hongrie</w:t>
            </w:r>
          </w:p>
        </w:tc>
        <w:tc>
          <w:tcPr>
            <w:tcW w:w="1472" w:type="dxa"/>
            <w:tcBorders>
              <w:top w:val="nil"/>
              <w:left w:val="nil"/>
              <w:bottom w:val="single" w:sz="4" w:space="0" w:color="auto"/>
              <w:right w:val="single" w:sz="4" w:space="0" w:color="auto"/>
            </w:tcBorders>
            <w:shd w:val="clear" w:color="auto" w:fill="auto"/>
            <w:vAlign w:val="center"/>
            <w:hideMark/>
          </w:tcPr>
          <w:p w14:paraId="4F9870F8" w14:textId="77777777" w:rsidR="0029639D" w:rsidRPr="00415876" w:rsidRDefault="0029639D" w:rsidP="0029639D">
            <w:pPr>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206</w:t>
            </w:r>
          </w:p>
        </w:tc>
        <w:tc>
          <w:tcPr>
            <w:tcW w:w="1715" w:type="dxa"/>
            <w:tcBorders>
              <w:top w:val="nil"/>
              <w:left w:val="nil"/>
              <w:bottom w:val="single" w:sz="4" w:space="0" w:color="auto"/>
              <w:right w:val="single" w:sz="4" w:space="0" w:color="auto"/>
            </w:tcBorders>
            <w:shd w:val="clear" w:color="auto" w:fill="auto"/>
            <w:noWrap/>
            <w:vAlign w:val="center"/>
            <w:hideMark/>
          </w:tcPr>
          <w:p w14:paraId="2632AA58" w14:textId="77777777" w:rsidR="0029639D" w:rsidRPr="00415876" w:rsidRDefault="0029639D" w:rsidP="0029639D">
            <w:pPr>
              <w:tabs>
                <w:tab w:val="left" w:pos="1257"/>
              </w:tabs>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331</w:t>
            </w:r>
          </w:p>
        </w:tc>
        <w:tc>
          <w:tcPr>
            <w:tcW w:w="1715" w:type="dxa"/>
            <w:tcBorders>
              <w:top w:val="nil"/>
              <w:left w:val="nil"/>
              <w:bottom w:val="single" w:sz="4" w:space="0" w:color="auto"/>
              <w:right w:val="single" w:sz="4" w:space="0" w:color="auto"/>
            </w:tcBorders>
            <w:shd w:val="clear" w:color="auto" w:fill="auto"/>
            <w:noWrap/>
            <w:vAlign w:val="center"/>
            <w:hideMark/>
          </w:tcPr>
          <w:p w14:paraId="00BDBA0E" w14:textId="77777777" w:rsidR="0029639D" w:rsidRPr="00415876" w:rsidRDefault="0029639D" w:rsidP="0029639D">
            <w:pPr>
              <w:adjustRightInd w:val="0"/>
              <w:snapToGrid w:val="0"/>
              <w:ind w:right="157"/>
              <w:jc w:val="right"/>
              <w:rPr>
                <w:kern w:val="22"/>
                <w:szCs w:val="22"/>
                <w:lang w:val="fr-CA" w:eastAsia="en-CA"/>
              </w:rPr>
            </w:pPr>
            <w:r w:rsidRPr="00415876">
              <w:rPr>
                <w:kern w:val="22"/>
                <w:szCs w:val="22"/>
                <w:lang w:val="fr-CA" w:eastAsia="en-CA"/>
              </w:rPr>
              <w:t>6 210</w:t>
            </w:r>
          </w:p>
        </w:tc>
      </w:tr>
      <w:tr w:rsidR="0029639D" w:rsidRPr="00415876" w14:paraId="4EB19DCE"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0D925D52" w14:textId="2A452217" w:rsidR="0029639D" w:rsidRPr="00415876" w:rsidRDefault="0029639D" w:rsidP="00120F79">
            <w:pPr>
              <w:jc w:val="right"/>
              <w:rPr>
                <w:kern w:val="22"/>
                <w:szCs w:val="22"/>
                <w:lang w:val="fr-CA" w:eastAsia="en-CA"/>
              </w:rPr>
            </w:pPr>
            <w:r>
              <w:rPr>
                <w:kern w:val="22"/>
                <w:szCs w:val="22"/>
                <w:lang w:val="fr-CA" w:eastAsia="en-CA"/>
              </w:rPr>
              <w:t>51</w:t>
            </w:r>
          </w:p>
        </w:tc>
        <w:tc>
          <w:tcPr>
            <w:tcW w:w="3823" w:type="dxa"/>
            <w:tcBorders>
              <w:top w:val="nil"/>
              <w:left w:val="nil"/>
              <w:bottom w:val="single" w:sz="4" w:space="0" w:color="auto"/>
              <w:right w:val="single" w:sz="4" w:space="0" w:color="auto"/>
            </w:tcBorders>
            <w:shd w:val="clear" w:color="auto" w:fill="auto"/>
            <w:vAlign w:val="center"/>
            <w:hideMark/>
          </w:tcPr>
          <w:p w14:paraId="4312BA17" w14:textId="77777777" w:rsidR="0029639D" w:rsidRPr="00415876" w:rsidRDefault="0029639D" w:rsidP="00120F79">
            <w:pPr>
              <w:jc w:val="left"/>
              <w:rPr>
                <w:kern w:val="22"/>
                <w:szCs w:val="22"/>
                <w:lang w:val="fr-CA" w:eastAsia="en-CA"/>
              </w:rPr>
            </w:pPr>
            <w:r>
              <w:rPr>
                <w:kern w:val="22"/>
                <w:szCs w:val="22"/>
                <w:lang w:val="fr-CA" w:eastAsia="en-CA"/>
              </w:rPr>
              <w:t>Îles Marshall</w:t>
            </w:r>
          </w:p>
        </w:tc>
        <w:tc>
          <w:tcPr>
            <w:tcW w:w="1472" w:type="dxa"/>
            <w:tcBorders>
              <w:top w:val="nil"/>
              <w:left w:val="nil"/>
              <w:bottom w:val="single" w:sz="4" w:space="0" w:color="auto"/>
              <w:right w:val="single" w:sz="4" w:space="0" w:color="auto"/>
            </w:tcBorders>
            <w:shd w:val="clear" w:color="auto" w:fill="auto"/>
            <w:vAlign w:val="center"/>
            <w:hideMark/>
          </w:tcPr>
          <w:p w14:paraId="4079D564"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001</w:t>
            </w:r>
          </w:p>
        </w:tc>
        <w:tc>
          <w:tcPr>
            <w:tcW w:w="1715" w:type="dxa"/>
            <w:tcBorders>
              <w:top w:val="nil"/>
              <w:left w:val="nil"/>
              <w:bottom w:val="single" w:sz="4" w:space="0" w:color="auto"/>
              <w:right w:val="single" w:sz="4" w:space="0" w:color="auto"/>
            </w:tcBorders>
            <w:shd w:val="clear" w:color="auto" w:fill="auto"/>
            <w:noWrap/>
            <w:vAlign w:val="center"/>
            <w:hideMark/>
          </w:tcPr>
          <w:p w14:paraId="1CFC34FF" w14:textId="77777777" w:rsidR="0029639D" w:rsidRPr="00415876" w:rsidRDefault="0029639D" w:rsidP="0029639D">
            <w:pPr>
              <w:tabs>
                <w:tab w:val="left" w:pos="1257"/>
              </w:tabs>
              <w:ind w:right="152"/>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002</w:t>
            </w:r>
          </w:p>
        </w:tc>
        <w:tc>
          <w:tcPr>
            <w:tcW w:w="1715" w:type="dxa"/>
            <w:tcBorders>
              <w:top w:val="nil"/>
              <w:left w:val="nil"/>
              <w:bottom w:val="single" w:sz="4" w:space="0" w:color="auto"/>
              <w:right w:val="single" w:sz="4" w:space="0" w:color="auto"/>
            </w:tcBorders>
            <w:shd w:val="clear" w:color="auto" w:fill="auto"/>
            <w:noWrap/>
            <w:vAlign w:val="center"/>
            <w:hideMark/>
          </w:tcPr>
          <w:p w14:paraId="1289E20C" w14:textId="77777777" w:rsidR="0029639D" w:rsidRPr="00415876" w:rsidRDefault="0029639D" w:rsidP="0029639D">
            <w:pPr>
              <w:ind w:right="157"/>
              <w:jc w:val="right"/>
              <w:rPr>
                <w:kern w:val="22"/>
                <w:szCs w:val="22"/>
                <w:lang w:val="fr-CA" w:eastAsia="en-CA"/>
              </w:rPr>
            </w:pPr>
            <w:r w:rsidRPr="00415876">
              <w:rPr>
                <w:kern w:val="22"/>
                <w:szCs w:val="22"/>
                <w:lang w:val="fr-CA" w:eastAsia="en-CA"/>
              </w:rPr>
              <w:t>30</w:t>
            </w:r>
          </w:p>
        </w:tc>
      </w:tr>
      <w:tr w:rsidR="0029639D" w:rsidRPr="00415876" w14:paraId="17A2B655"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0EFFD190" w14:textId="7389FF41" w:rsidR="0029639D" w:rsidRPr="00415876" w:rsidRDefault="0029639D" w:rsidP="00995EEF">
            <w:pPr>
              <w:jc w:val="right"/>
              <w:rPr>
                <w:kern w:val="22"/>
                <w:szCs w:val="22"/>
                <w:lang w:val="fr-CA" w:eastAsia="en-CA"/>
              </w:rPr>
            </w:pPr>
            <w:r>
              <w:rPr>
                <w:kern w:val="22"/>
                <w:szCs w:val="22"/>
                <w:lang w:val="fr-CA" w:eastAsia="en-CA"/>
              </w:rPr>
              <w:t>52</w:t>
            </w:r>
          </w:p>
        </w:tc>
        <w:tc>
          <w:tcPr>
            <w:tcW w:w="3823" w:type="dxa"/>
            <w:tcBorders>
              <w:top w:val="nil"/>
              <w:left w:val="nil"/>
              <w:bottom w:val="single" w:sz="4" w:space="0" w:color="auto"/>
              <w:right w:val="single" w:sz="4" w:space="0" w:color="auto"/>
            </w:tcBorders>
            <w:shd w:val="clear" w:color="auto" w:fill="auto"/>
            <w:vAlign w:val="center"/>
            <w:hideMark/>
          </w:tcPr>
          <w:p w14:paraId="0717401B" w14:textId="77777777" w:rsidR="0029639D" w:rsidRPr="00415876" w:rsidRDefault="0029639D" w:rsidP="00995EEF">
            <w:pPr>
              <w:jc w:val="left"/>
              <w:rPr>
                <w:kern w:val="22"/>
                <w:szCs w:val="22"/>
                <w:lang w:val="fr-CA" w:eastAsia="en-CA"/>
              </w:rPr>
            </w:pPr>
            <w:r>
              <w:rPr>
                <w:kern w:val="22"/>
                <w:szCs w:val="22"/>
                <w:lang w:val="fr-CA" w:eastAsia="en-CA"/>
              </w:rPr>
              <w:t>Îles Salomon</w:t>
            </w:r>
          </w:p>
        </w:tc>
        <w:tc>
          <w:tcPr>
            <w:tcW w:w="1472" w:type="dxa"/>
            <w:tcBorders>
              <w:top w:val="nil"/>
              <w:left w:val="nil"/>
              <w:bottom w:val="single" w:sz="4" w:space="0" w:color="auto"/>
              <w:right w:val="single" w:sz="4" w:space="0" w:color="auto"/>
            </w:tcBorders>
            <w:shd w:val="clear" w:color="auto" w:fill="auto"/>
            <w:vAlign w:val="center"/>
            <w:hideMark/>
          </w:tcPr>
          <w:p w14:paraId="22030787"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001</w:t>
            </w:r>
          </w:p>
        </w:tc>
        <w:tc>
          <w:tcPr>
            <w:tcW w:w="1715" w:type="dxa"/>
            <w:tcBorders>
              <w:top w:val="nil"/>
              <w:left w:val="nil"/>
              <w:bottom w:val="single" w:sz="4" w:space="0" w:color="auto"/>
              <w:right w:val="single" w:sz="4" w:space="0" w:color="auto"/>
            </w:tcBorders>
            <w:shd w:val="clear" w:color="auto" w:fill="auto"/>
            <w:noWrap/>
            <w:vAlign w:val="center"/>
            <w:hideMark/>
          </w:tcPr>
          <w:p w14:paraId="694496F7" w14:textId="77777777" w:rsidR="0029639D" w:rsidRPr="00415876" w:rsidRDefault="0029639D" w:rsidP="0029639D">
            <w:pPr>
              <w:ind w:right="152"/>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002</w:t>
            </w:r>
          </w:p>
        </w:tc>
        <w:tc>
          <w:tcPr>
            <w:tcW w:w="1715" w:type="dxa"/>
            <w:tcBorders>
              <w:top w:val="nil"/>
              <w:left w:val="nil"/>
              <w:bottom w:val="single" w:sz="4" w:space="0" w:color="auto"/>
              <w:right w:val="single" w:sz="4" w:space="0" w:color="auto"/>
            </w:tcBorders>
            <w:shd w:val="clear" w:color="auto" w:fill="auto"/>
            <w:noWrap/>
            <w:vAlign w:val="center"/>
            <w:hideMark/>
          </w:tcPr>
          <w:p w14:paraId="0760622B" w14:textId="77777777" w:rsidR="0029639D" w:rsidRPr="00415876" w:rsidRDefault="0029639D" w:rsidP="0029639D">
            <w:pPr>
              <w:ind w:right="157"/>
              <w:jc w:val="right"/>
              <w:rPr>
                <w:kern w:val="22"/>
                <w:szCs w:val="22"/>
                <w:lang w:val="fr-CA" w:eastAsia="en-CA"/>
              </w:rPr>
            </w:pPr>
            <w:r w:rsidRPr="00415876">
              <w:rPr>
                <w:kern w:val="22"/>
                <w:szCs w:val="22"/>
                <w:lang w:val="fr-CA" w:eastAsia="en-CA"/>
              </w:rPr>
              <w:t>30</w:t>
            </w:r>
          </w:p>
        </w:tc>
      </w:tr>
      <w:tr w:rsidR="0029639D" w:rsidRPr="00415876" w14:paraId="297D2F9E"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5839A2E2" w14:textId="2D13187F" w:rsidR="0029639D" w:rsidRPr="00415876" w:rsidRDefault="0029639D" w:rsidP="00120F79">
            <w:pPr>
              <w:jc w:val="right"/>
              <w:rPr>
                <w:kern w:val="22"/>
                <w:szCs w:val="22"/>
                <w:lang w:val="fr-CA" w:eastAsia="en-CA"/>
              </w:rPr>
            </w:pPr>
            <w:r>
              <w:rPr>
                <w:kern w:val="22"/>
                <w:szCs w:val="22"/>
                <w:lang w:val="fr-CA" w:eastAsia="en-CA"/>
              </w:rPr>
              <w:t>53</w:t>
            </w:r>
          </w:p>
        </w:tc>
        <w:tc>
          <w:tcPr>
            <w:tcW w:w="3823" w:type="dxa"/>
            <w:tcBorders>
              <w:top w:val="nil"/>
              <w:left w:val="nil"/>
              <w:bottom w:val="single" w:sz="4" w:space="0" w:color="auto"/>
              <w:right w:val="single" w:sz="4" w:space="0" w:color="auto"/>
            </w:tcBorders>
            <w:shd w:val="clear" w:color="auto" w:fill="auto"/>
            <w:vAlign w:val="center"/>
            <w:hideMark/>
          </w:tcPr>
          <w:p w14:paraId="362AA74C" w14:textId="77777777" w:rsidR="0029639D" w:rsidRPr="00415876" w:rsidRDefault="0029639D" w:rsidP="00120F79">
            <w:pPr>
              <w:jc w:val="left"/>
              <w:rPr>
                <w:kern w:val="22"/>
                <w:szCs w:val="22"/>
                <w:lang w:val="fr-CA" w:eastAsia="en-CA"/>
              </w:rPr>
            </w:pPr>
            <w:r>
              <w:rPr>
                <w:kern w:val="22"/>
                <w:szCs w:val="22"/>
                <w:lang w:val="fr-CA" w:eastAsia="en-CA"/>
              </w:rPr>
              <w:t>Inde</w:t>
            </w:r>
          </w:p>
        </w:tc>
        <w:tc>
          <w:tcPr>
            <w:tcW w:w="1472" w:type="dxa"/>
            <w:tcBorders>
              <w:top w:val="nil"/>
              <w:left w:val="nil"/>
              <w:bottom w:val="single" w:sz="4" w:space="0" w:color="auto"/>
              <w:right w:val="single" w:sz="4" w:space="0" w:color="auto"/>
            </w:tcBorders>
            <w:shd w:val="clear" w:color="auto" w:fill="auto"/>
            <w:vAlign w:val="center"/>
            <w:hideMark/>
          </w:tcPr>
          <w:p w14:paraId="1D60D75E" w14:textId="77777777" w:rsidR="0029639D" w:rsidRPr="00415876" w:rsidRDefault="0029639D" w:rsidP="0029639D">
            <w:pPr>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834</w:t>
            </w:r>
          </w:p>
        </w:tc>
        <w:tc>
          <w:tcPr>
            <w:tcW w:w="1715" w:type="dxa"/>
            <w:tcBorders>
              <w:top w:val="nil"/>
              <w:left w:val="nil"/>
              <w:bottom w:val="single" w:sz="4" w:space="0" w:color="auto"/>
              <w:right w:val="single" w:sz="4" w:space="0" w:color="auto"/>
            </w:tcBorders>
            <w:shd w:val="clear" w:color="auto" w:fill="auto"/>
            <w:noWrap/>
            <w:vAlign w:val="center"/>
            <w:hideMark/>
          </w:tcPr>
          <w:p w14:paraId="2732F2F0" w14:textId="77777777" w:rsidR="0029639D" w:rsidRPr="00415876" w:rsidRDefault="0029639D" w:rsidP="0029639D">
            <w:pPr>
              <w:tabs>
                <w:tab w:val="left" w:pos="1257"/>
              </w:tabs>
              <w:adjustRightInd w:val="0"/>
              <w:snapToGrid w:val="0"/>
              <w:ind w:right="144"/>
              <w:jc w:val="right"/>
              <w:rPr>
                <w:kern w:val="22"/>
                <w:szCs w:val="22"/>
                <w:lang w:val="fr-CA" w:eastAsia="en-CA"/>
              </w:rPr>
            </w:pPr>
            <w:r w:rsidRPr="00415876">
              <w:rPr>
                <w:kern w:val="22"/>
                <w:szCs w:val="22"/>
                <w:lang w:val="fr-CA" w:eastAsia="en-CA"/>
              </w:rPr>
              <w:t>1</w:t>
            </w:r>
            <w:r>
              <w:rPr>
                <w:kern w:val="22"/>
                <w:szCs w:val="22"/>
                <w:lang w:val="fr-CA" w:eastAsia="en-CA"/>
              </w:rPr>
              <w:t>,</w:t>
            </w:r>
            <w:r w:rsidRPr="00415876">
              <w:rPr>
                <w:kern w:val="22"/>
                <w:szCs w:val="22"/>
                <w:lang w:val="fr-CA" w:eastAsia="en-CA"/>
              </w:rPr>
              <w:t>340</w:t>
            </w:r>
          </w:p>
        </w:tc>
        <w:tc>
          <w:tcPr>
            <w:tcW w:w="1715" w:type="dxa"/>
            <w:tcBorders>
              <w:top w:val="nil"/>
              <w:left w:val="nil"/>
              <w:bottom w:val="single" w:sz="4" w:space="0" w:color="auto"/>
              <w:right w:val="single" w:sz="4" w:space="0" w:color="auto"/>
            </w:tcBorders>
            <w:shd w:val="clear" w:color="auto" w:fill="auto"/>
            <w:noWrap/>
            <w:vAlign w:val="center"/>
            <w:hideMark/>
          </w:tcPr>
          <w:p w14:paraId="689EA718" w14:textId="77777777" w:rsidR="0029639D" w:rsidRPr="00415876" w:rsidRDefault="0029639D" w:rsidP="0029639D">
            <w:pPr>
              <w:adjustRightInd w:val="0"/>
              <w:snapToGrid w:val="0"/>
              <w:ind w:right="157"/>
              <w:jc w:val="right"/>
              <w:rPr>
                <w:kern w:val="22"/>
                <w:szCs w:val="22"/>
                <w:lang w:val="fr-CA" w:eastAsia="en-CA"/>
              </w:rPr>
            </w:pPr>
            <w:r w:rsidRPr="00415876">
              <w:rPr>
                <w:kern w:val="22"/>
                <w:szCs w:val="22"/>
                <w:lang w:val="fr-CA" w:eastAsia="en-CA"/>
              </w:rPr>
              <w:t>25 141</w:t>
            </w:r>
          </w:p>
        </w:tc>
      </w:tr>
      <w:tr w:rsidR="0029639D" w:rsidRPr="00415876" w14:paraId="7D296A52"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42988974" w14:textId="15EB7D1B" w:rsidR="0029639D" w:rsidRPr="00415876" w:rsidRDefault="0029639D" w:rsidP="00120F79">
            <w:pPr>
              <w:jc w:val="right"/>
              <w:rPr>
                <w:kern w:val="22"/>
                <w:szCs w:val="22"/>
                <w:lang w:val="fr-CA" w:eastAsia="en-CA"/>
              </w:rPr>
            </w:pPr>
            <w:r>
              <w:rPr>
                <w:kern w:val="22"/>
                <w:szCs w:val="22"/>
                <w:lang w:val="fr-CA" w:eastAsia="en-CA"/>
              </w:rPr>
              <w:t>54</w:t>
            </w:r>
          </w:p>
        </w:tc>
        <w:tc>
          <w:tcPr>
            <w:tcW w:w="3823" w:type="dxa"/>
            <w:tcBorders>
              <w:top w:val="nil"/>
              <w:left w:val="nil"/>
              <w:bottom w:val="single" w:sz="4" w:space="0" w:color="auto"/>
              <w:right w:val="single" w:sz="4" w:space="0" w:color="auto"/>
            </w:tcBorders>
            <w:shd w:val="clear" w:color="auto" w:fill="auto"/>
            <w:vAlign w:val="center"/>
            <w:hideMark/>
          </w:tcPr>
          <w:p w14:paraId="70DE04CC" w14:textId="77777777" w:rsidR="0029639D" w:rsidRPr="00415876" w:rsidRDefault="0029639D" w:rsidP="008D5864">
            <w:pPr>
              <w:jc w:val="left"/>
              <w:rPr>
                <w:kern w:val="22"/>
                <w:szCs w:val="22"/>
                <w:lang w:val="fr-CA" w:eastAsia="en-CA"/>
              </w:rPr>
            </w:pPr>
            <w:r>
              <w:rPr>
                <w:kern w:val="22"/>
                <w:szCs w:val="22"/>
                <w:lang w:val="fr-CA" w:eastAsia="en-CA"/>
              </w:rPr>
              <w:t>Indonésie</w:t>
            </w:r>
          </w:p>
        </w:tc>
        <w:tc>
          <w:tcPr>
            <w:tcW w:w="1472" w:type="dxa"/>
            <w:tcBorders>
              <w:top w:val="nil"/>
              <w:left w:val="nil"/>
              <w:bottom w:val="single" w:sz="4" w:space="0" w:color="auto"/>
              <w:right w:val="single" w:sz="4" w:space="0" w:color="auto"/>
            </w:tcBorders>
            <w:shd w:val="clear" w:color="auto" w:fill="auto"/>
            <w:vAlign w:val="center"/>
            <w:hideMark/>
          </w:tcPr>
          <w:p w14:paraId="106B0843" w14:textId="77777777" w:rsidR="0029639D" w:rsidRPr="00415876" w:rsidRDefault="0029639D" w:rsidP="0029639D">
            <w:pPr>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543</w:t>
            </w:r>
          </w:p>
        </w:tc>
        <w:tc>
          <w:tcPr>
            <w:tcW w:w="1715" w:type="dxa"/>
            <w:tcBorders>
              <w:top w:val="nil"/>
              <w:left w:val="nil"/>
              <w:bottom w:val="single" w:sz="4" w:space="0" w:color="auto"/>
              <w:right w:val="single" w:sz="4" w:space="0" w:color="auto"/>
            </w:tcBorders>
            <w:shd w:val="clear" w:color="auto" w:fill="auto"/>
            <w:noWrap/>
            <w:vAlign w:val="center"/>
            <w:hideMark/>
          </w:tcPr>
          <w:p w14:paraId="7528B972" w14:textId="77777777" w:rsidR="0029639D" w:rsidRPr="00415876" w:rsidRDefault="0029639D" w:rsidP="0029639D">
            <w:pPr>
              <w:tabs>
                <w:tab w:val="left" w:pos="1257"/>
              </w:tabs>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873</w:t>
            </w:r>
          </w:p>
        </w:tc>
        <w:tc>
          <w:tcPr>
            <w:tcW w:w="1715" w:type="dxa"/>
            <w:tcBorders>
              <w:top w:val="nil"/>
              <w:left w:val="nil"/>
              <w:bottom w:val="single" w:sz="4" w:space="0" w:color="auto"/>
              <w:right w:val="single" w:sz="4" w:space="0" w:color="auto"/>
            </w:tcBorders>
            <w:shd w:val="clear" w:color="auto" w:fill="auto"/>
            <w:noWrap/>
            <w:vAlign w:val="center"/>
            <w:hideMark/>
          </w:tcPr>
          <w:p w14:paraId="365F32B7" w14:textId="77777777" w:rsidR="0029639D" w:rsidRPr="00415876" w:rsidRDefault="0029639D" w:rsidP="0029639D">
            <w:pPr>
              <w:adjustRightInd w:val="0"/>
              <w:snapToGrid w:val="0"/>
              <w:ind w:right="157"/>
              <w:jc w:val="right"/>
              <w:rPr>
                <w:kern w:val="22"/>
                <w:szCs w:val="22"/>
                <w:lang w:val="fr-CA" w:eastAsia="en-CA"/>
              </w:rPr>
            </w:pPr>
            <w:r w:rsidRPr="00415876">
              <w:rPr>
                <w:kern w:val="22"/>
                <w:szCs w:val="22"/>
                <w:lang w:val="fr-CA" w:eastAsia="en-CA"/>
              </w:rPr>
              <w:t>16 369</w:t>
            </w:r>
          </w:p>
        </w:tc>
      </w:tr>
      <w:tr w:rsidR="0029639D" w:rsidRPr="00415876" w14:paraId="598142A2"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38E0D5CF" w14:textId="44897E17" w:rsidR="0029639D" w:rsidRPr="00415876" w:rsidRDefault="0029639D" w:rsidP="00120F79">
            <w:pPr>
              <w:jc w:val="right"/>
              <w:rPr>
                <w:kern w:val="22"/>
                <w:szCs w:val="22"/>
                <w:lang w:val="fr-CA" w:eastAsia="en-CA"/>
              </w:rPr>
            </w:pPr>
            <w:r>
              <w:rPr>
                <w:kern w:val="22"/>
                <w:szCs w:val="22"/>
                <w:lang w:val="fr-CA" w:eastAsia="en-CA"/>
              </w:rPr>
              <w:t>55</w:t>
            </w:r>
          </w:p>
        </w:tc>
        <w:tc>
          <w:tcPr>
            <w:tcW w:w="3823" w:type="dxa"/>
            <w:tcBorders>
              <w:top w:val="nil"/>
              <w:left w:val="nil"/>
              <w:bottom w:val="single" w:sz="4" w:space="0" w:color="auto"/>
              <w:right w:val="single" w:sz="4" w:space="0" w:color="auto"/>
            </w:tcBorders>
            <w:shd w:val="clear" w:color="auto" w:fill="auto"/>
            <w:vAlign w:val="center"/>
            <w:hideMark/>
          </w:tcPr>
          <w:p w14:paraId="24773028" w14:textId="77777777" w:rsidR="0029639D" w:rsidRPr="00415876" w:rsidRDefault="0029639D" w:rsidP="00120F79">
            <w:pPr>
              <w:jc w:val="left"/>
              <w:rPr>
                <w:kern w:val="22"/>
                <w:szCs w:val="22"/>
                <w:lang w:val="fr-CA" w:eastAsia="en-CA"/>
              </w:rPr>
            </w:pPr>
            <w:r>
              <w:rPr>
                <w:kern w:val="22"/>
                <w:szCs w:val="22"/>
                <w:lang w:val="fr-CA" w:eastAsia="en-CA"/>
              </w:rPr>
              <w:t>Japo</w:t>
            </w:r>
            <w:r w:rsidRPr="00415876">
              <w:rPr>
                <w:kern w:val="22"/>
                <w:szCs w:val="22"/>
                <w:lang w:val="fr-CA" w:eastAsia="en-CA"/>
              </w:rPr>
              <w:t>n</w:t>
            </w:r>
          </w:p>
        </w:tc>
        <w:tc>
          <w:tcPr>
            <w:tcW w:w="1472" w:type="dxa"/>
            <w:tcBorders>
              <w:top w:val="nil"/>
              <w:left w:val="nil"/>
              <w:bottom w:val="single" w:sz="4" w:space="0" w:color="auto"/>
              <w:right w:val="single" w:sz="4" w:space="0" w:color="auto"/>
            </w:tcBorders>
            <w:shd w:val="clear" w:color="auto" w:fill="auto"/>
            <w:noWrap/>
            <w:vAlign w:val="center"/>
            <w:hideMark/>
          </w:tcPr>
          <w:p w14:paraId="0B7F2CBA" w14:textId="77777777" w:rsidR="0029639D" w:rsidRPr="00415876" w:rsidRDefault="0029639D" w:rsidP="0029639D">
            <w:pPr>
              <w:adjustRightInd w:val="0"/>
              <w:snapToGrid w:val="0"/>
              <w:ind w:right="144"/>
              <w:jc w:val="right"/>
              <w:rPr>
                <w:kern w:val="22"/>
                <w:szCs w:val="22"/>
                <w:lang w:val="fr-CA" w:eastAsia="en-CA"/>
              </w:rPr>
            </w:pPr>
            <w:r w:rsidRPr="00415876">
              <w:rPr>
                <w:kern w:val="22"/>
                <w:szCs w:val="22"/>
                <w:lang w:val="fr-CA" w:eastAsia="en-CA"/>
              </w:rPr>
              <w:t>8</w:t>
            </w:r>
            <w:r>
              <w:rPr>
                <w:kern w:val="22"/>
                <w:szCs w:val="22"/>
                <w:lang w:val="fr-CA" w:eastAsia="en-CA"/>
              </w:rPr>
              <w:t>,</w:t>
            </w:r>
            <w:r w:rsidRPr="00415876">
              <w:rPr>
                <w:kern w:val="22"/>
                <w:szCs w:val="22"/>
                <w:lang w:val="fr-CA" w:eastAsia="en-CA"/>
              </w:rPr>
              <w:t>564</w:t>
            </w:r>
          </w:p>
        </w:tc>
        <w:tc>
          <w:tcPr>
            <w:tcW w:w="1715" w:type="dxa"/>
            <w:tcBorders>
              <w:top w:val="nil"/>
              <w:left w:val="nil"/>
              <w:bottom w:val="single" w:sz="4" w:space="0" w:color="auto"/>
              <w:right w:val="single" w:sz="4" w:space="0" w:color="auto"/>
            </w:tcBorders>
            <w:shd w:val="clear" w:color="auto" w:fill="auto"/>
            <w:noWrap/>
            <w:vAlign w:val="center"/>
            <w:hideMark/>
          </w:tcPr>
          <w:p w14:paraId="28E385E8" w14:textId="77777777" w:rsidR="0029639D" w:rsidRPr="00415876" w:rsidRDefault="0029639D" w:rsidP="0029639D">
            <w:pPr>
              <w:tabs>
                <w:tab w:val="left" w:pos="1257"/>
              </w:tabs>
              <w:adjustRightInd w:val="0"/>
              <w:snapToGrid w:val="0"/>
              <w:ind w:right="144"/>
              <w:jc w:val="right"/>
              <w:rPr>
                <w:kern w:val="22"/>
                <w:szCs w:val="22"/>
                <w:lang w:val="fr-CA" w:eastAsia="en-CA"/>
              </w:rPr>
            </w:pPr>
            <w:r w:rsidRPr="00415876">
              <w:rPr>
                <w:kern w:val="22"/>
                <w:szCs w:val="22"/>
                <w:lang w:val="fr-CA" w:eastAsia="en-CA"/>
              </w:rPr>
              <w:t>13</w:t>
            </w:r>
            <w:r>
              <w:rPr>
                <w:kern w:val="22"/>
                <w:szCs w:val="22"/>
                <w:lang w:val="fr-CA" w:eastAsia="en-CA"/>
              </w:rPr>
              <w:t>,</w:t>
            </w:r>
            <w:r w:rsidRPr="00415876">
              <w:rPr>
                <w:kern w:val="22"/>
                <w:szCs w:val="22"/>
                <w:lang w:val="fr-CA" w:eastAsia="en-CA"/>
              </w:rPr>
              <w:t>763</w:t>
            </w:r>
          </w:p>
        </w:tc>
        <w:tc>
          <w:tcPr>
            <w:tcW w:w="1715" w:type="dxa"/>
            <w:tcBorders>
              <w:top w:val="nil"/>
              <w:left w:val="nil"/>
              <w:bottom w:val="single" w:sz="4" w:space="0" w:color="auto"/>
              <w:right w:val="single" w:sz="4" w:space="0" w:color="auto"/>
            </w:tcBorders>
            <w:shd w:val="clear" w:color="auto" w:fill="auto"/>
            <w:noWrap/>
            <w:vAlign w:val="center"/>
            <w:hideMark/>
          </w:tcPr>
          <w:p w14:paraId="3B94E0CF" w14:textId="77777777" w:rsidR="0029639D" w:rsidRPr="00415876" w:rsidRDefault="0029639D" w:rsidP="0029639D">
            <w:pPr>
              <w:adjustRightInd w:val="0"/>
              <w:snapToGrid w:val="0"/>
              <w:ind w:right="157"/>
              <w:jc w:val="right"/>
              <w:rPr>
                <w:kern w:val="22"/>
                <w:szCs w:val="22"/>
                <w:lang w:val="fr-CA" w:eastAsia="en-CA"/>
              </w:rPr>
            </w:pPr>
            <w:r w:rsidRPr="00415876">
              <w:rPr>
                <w:kern w:val="22"/>
                <w:szCs w:val="22"/>
                <w:lang w:val="fr-CA" w:eastAsia="en-CA"/>
              </w:rPr>
              <w:t>258 161</w:t>
            </w:r>
          </w:p>
        </w:tc>
      </w:tr>
      <w:tr w:rsidR="0029639D" w:rsidRPr="00415876" w14:paraId="38C057A3"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4EE62E19" w14:textId="314FE22C" w:rsidR="0029639D" w:rsidRPr="00415876" w:rsidRDefault="0029639D" w:rsidP="00120F79">
            <w:pPr>
              <w:jc w:val="right"/>
              <w:rPr>
                <w:kern w:val="22"/>
                <w:szCs w:val="22"/>
                <w:lang w:val="fr-CA" w:eastAsia="en-CA"/>
              </w:rPr>
            </w:pPr>
            <w:r>
              <w:rPr>
                <w:kern w:val="22"/>
                <w:szCs w:val="22"/>
                <w:lang w:val="fr-CA" w:eastAsia="en-CA"/>
              </w:rPr>
              <w:t>56</w:t>
            </w:r>
          </w:p>
        </w:tc>
        <w:tc>
          <w:tcPr>
            <w:tcW w:w="3823" w:type="dxa"/>
            <w:tcBorders>
              <w:top w:val="nil"/>
              <w:left w:val="nil"/>
              <w:bottom w:val="single" w:sz="4" w:space="0" w:color="auto"/>
              <w:right w:val="single" w:sz="4" w:space="0" w:color="auto"/>
            </w:tcBorders>
            <w:shd w:val="clear" w:color="auto" w:fill="auto"/>
            <w:vAlign w:val="center"/>
            <w:hideMark/>
          </w:tcPr>
          <w:p w14:paraId="6F83487A" w14:textId="77777777" w:rsidR="0029639D" w:rsidRPr="00415876" w:rsidRDefault="0029639D" w:rsidP="00120F79">
            <w:pPr>
              <w:jc w:val="left"/>
              <w:rPr>
                <w:kern w:val="22"/>
                <w:szCs w:val="22"/>
                <w:lang w:val="fr-CA" w:eastAsia="en-CA"/>
              </w:rPr>
            </w:pPr>
            <w:r w:rsidRPr="00415876">
              <w:rPr>
                <w:kern w:val="22"/>
                <w:szCs w:val="22"/>
                <w:lang w:val="fr-CA" w:eastAsia="en-CA"/>
              </w:rPr>
              <w:t>Jordan</w:t>
            </w:r>
            <w:r>
              <w:rPr>
                <w:kern w:val="22"/>
                <w:szCs w:val="22"/>
                <w:lang w:val="fr-CA" w:eastAsia="en-CA"/>
              </w:rPr>
              <w:t>ie</w:t>
            </w:r>
          </w:p>
        </w:tc>
        <w:tc>
          <w:tcPr>
            <w:tcW w:w="1472" w:type="dxa"/>
            <w:tcBorders>
              <w:top w:val="nil"/>
              <w:left w:val="nil"/>
              <w:bottom w:val="single" w:sz="4" w:space="0" w:color="auto"/>
              <w:right w:val="single" w:sz="4" w:space="0" w:color="auto"/>
            </w:tcBorders>
            <w:shd w:val="clear" w:color="auto" w:fill="auto"/>
            <w:vAlign w:val="center"/>
            <w:hideMark/>
          </w:tcPr>
          <w:p w14:paraId="1A805088" w14:textId="77777777" w:rsidR="0029639D" w:rsidRPr="00415876" w:rsidRDefault="0029639D" w:rsidP="0029639D">
            <w:pPr>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021</w:t>
            </w:r>
          </w:p>
        </w:tc>
        <w:tc>
          <w:tcPr>
            <w:tcW w:w="1715" w:type="dxa"/>
            <w:tcBorders>
              <w:top w:val="nil"/>
              <w:left w:val="nil"/>
              <w:bottom w:val="single" w:sz="4" w:space="0" w:color="auto"/>
              <w:right w:val="single" w:sz="4" w:space="0" w:color="auto"/>
            </w:tcBorders>
            <w:shd w:val="clear" w:color="auto" w:fill="auto"/>
            <w:noWrap/>
            <w:vAlign w:val="center"/>
            <w:hideMark/>
          </w:tcPr>
          <w:p w14:paraId="479E2D93" w14:textId="77777777" w:rsidR="0029639D" w:rsidRPr="00415876" w:rsidRDefault="0029639D" w:rsidP="0029639D">
            <w:pPr>
              <w:tabs>
                <w:tab w:val="left" w:pos="1257"/>
              </w:tabs>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034</w:t>
            </w:r>
          </w:p>
        </w:tc>
        <w:tc>
          <w:tcPr>
            <w:tcW w:w="1715" w:type="dxa"/>
            <w:tcBorders>
              <w:top w:val="nil"/>
              <w:left w:val="nil"/>
              <w:bottom w:val="single" w:sz="4" w:space="0" w:color="auto"/>
              <w:right w:val="single" w:sz="4" w:space="0" w:color="auto"/>
            </w:tcBorders>
            <w:shd w:val="clear" w:color="auto" w:fill="auto"/>
            <w:noWrap/>
            <w:vAlign w:val="center"/>
            <w:hideMark/>
          </w:tcPr>
          <w:p w14:paraId="1A4734C6" w14:textId="77777777" w:rsidR="0029639D" w:rsidRPr="00415876" w:rsidRDefault="0029639D" w:rsidP="0029639D">
            <w:pPr>
              <w:adjustRightInd w:val="0"/>
              <w:snapToGrid w:val="0"/>
              <w:ind w:right="157"/>
              <w:jc w:val="right"/>
              <w:rPr>
                <w:kern w:val="22"/>
                <w:szCs w:val="22"/>
                <w:lang w:val="fr-CA" w:eastAsia="en-CA"/>
              </w:rPr>
            </w:pPr>
            <w:r w:rsidRPr="00415876">
              <w:rPr>
                <w:kern w:val="22"/>
                <w:szCs w:val="22"/>
                <w:lang w:val="fr-CA" w:eastAsia="en-CA"/>
              </w:rPr>
              <w:t>633</w:t>
            </w:r>
          </w:p>
        </w:tc>
      </w:tr>
      <w:tr w:rsidR="0029639D" w:rsidRPr="00415876" w14:paraId="7ED59AE2"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45EEDB89" w14:textId="1FBAFBAF" w:rsidR="0029639D" w:rsidRPr="00415876" w:rsidRDefault="0029639D" w:rsidP="00120F79">
            <w:pPr>
              <w:jc w:val="right"/>
              <w:rPr>
                <w:kern w:val="22"/>
                <w:szCs w:val="22"/>
                <w:lang w:val="fr-CA" w:eastAsia="en-CA"/>
              </w:rPr>
            </w:pPr>
            <w:r>
              <w:rPr>
                <w:kern w:val="22"/>
                <w:szCs w:val="22"/>
                <w:lang w:val="fr-CA" w:eastAsia="en-CA"/>
              </w:rPr>
              <w:t>57</w:t>
            </w:r>
          </w:p>
        </w:tc>
        <w:tc>
          <w:tcPr>
            <w:tcW w:w="3823" w:type="dxa"/>
            <w:tcBorders>
              <w:top w:val="nil"/>
              <w:left w:val="nil"/>
              <w:bottom w:val="single" w:sz="4" w:space="0" w:color="auto"/>
              <w:right w:val="single" w:sz="4" w:space="0" w:color="auto"/>
            </w:tcBorders>
            <w:shd w:val="clear" w:color="auto" w:fill="auto"/>
            <w:vAlign w:val="center"/>
            <w:hideMark/>
          </w:tcPr>
          <w:p w14:paraId="7768F002" w14:textId="77777777" w:rsidR="0029639D" w:rsidRPr="00415876" w:rsidRDefault="0029639D" w:rsidP="00120F79">
            <w:pPr>
              <w:jc w:val="left"/>
              <w:rPr>
                <w:kern w:val="22"/>
                <w:szCs w:val="22"/>
                <w:lang w:val="fr-CA" w:eastAsia="en-CA"/>
              </w:rPr>
            </w:pPr>
            <w:r w:rsidRPr="00415876">
              <w:rPr>
                <w:kern w:val="22"/>
                <w:szCs w:val="22"/>
                <w:lang w:val="fr-CA" w:eastAsia="en-CA"/>
              </w:rPr>
              <w:t>Kazakhstan</w:t>
            </w:r>
          </w:p>
        </w:tc>
        <w:tc>
          <w:tcPr>
            <w:tcW w:w="1472" w:type="dxa"/>
            <w:tcBorders>
              <w:top w:val="nil"/>
              <w:left w:val="nil"/>
              <w:bottom w:val="single" w:sz="4" w:space="0" w:color="auto"/>
              <w:right w:val="single" w:sz="4" w:space="0" w:color="auto"/>
            </w:tcBorders>
            <w:shd w:val="clear" w:color="auto" w:fill="auto"/>
            <w:vAlign w:val="center"/>
            <w:hideMark/>
          </w:tcPr>
          <w:p w14:paraId="0FCC6362" w14:textId="77777777" w:rsidR="0029639D" w:rsidRPr="00415876" w:rsidRDefault="0029639D" w:rsidP="0029639D">
            <w:pPr>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178</w:t>
            </w:r>
          </w:p>
        </w:tc>
        <w:tc>
          <w:tcPr>
            <w:tcW w:w="1715" w:type="dxa"/>
            <w:tcBorders>
              <w:top w:val="nil"/>
              <w:left w:val="nil"/>
              <w:bottom w:val="single" w:sz="4" w:space="0" w:color="auto"/>
              <w:right w:val="single" w:sz="4" w:space="0" w:color="auto"/>
            </w:tcBorders>
            <w:shd w:val="clear" w:color="auto" w:fill="auto"/>
            <w:noWrap/>
            <w:vAlign w:val="center"/>
            <w:hideMark/>
          </w:tcPr>
          <w:p w14:paraId="2F0D5462" w14:textId="77777777" w:rsidR="0029639D" w:rsidRPr="00415876" w:rsidRDefault="0029639D" w:rsidP="0029639D">
            <w:pPr>
              <w:tabs>
                <w:tab w:val="left" w:pos="1257"/>
              </w:tabs>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286</w:t>
            </w:r>
          </w:p>
        </w:tc>
        <w:tc>
          <w:tcPr>
            <w:tcW w:w="1715" w:type="dxa"/>
            <w:tcBorders>
              <w:top w:val="nil"/>
              <w:left w:val="nil"/>
              <w:bottom w:val="single" w:sz="4" w:space="0" w:color="auto"/>
              <w:right w:val="single" w:sz="4" w:space="0" w:color="auto"/>
            </w:tcBorders>
            <w:shd w:val="clear" w:color="auto" w:fill="auto"/>
            <w:noWrap/>
            <w:vAlign w:val="center"/>
            <w:hideMark/>
          </w:tcPr>
          <w:p w14:paraId="2D6B0CC5" w14:textId="77777777" w:rsidR="0029639D" w:rsidRPr="00415876" w:rsidRDefault="0029639D" w:rsidP="0029639D">
            <w:pPr>
              <w:adjustRightInd w:val="0"/>
              <w:snapToGrid w:val="0"/>
              <w:ind w:right="157"/>
              <w:jc w:val="right"/>
              <w:rPr>
                <w:kern w:val="22"/>
                <w:szCs w:val="22"/>
                <w:lang w:val="fr-CA" w:eastAsia="en-CA"/>
              </w:rPr>
            </w:pPr>
            <w:r w:rsidRPr="00415876">
              <w:rPr>
                <w:kern w:val="22"/>
                <w:szCs w:val="22"/>
                <w:lang w:val="fr-CA" w:eastAsia="en-CA"/>
              </w:rPr>
              <w:t>5 366</w:t>
            </w:r>
          </w:p>
        </w:tc>
      </w:tr>
      <w:tr w:rsidR="0029639D" w:rsidRPr="00415876" w14:paraId="4AD1125E"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63A3CE94" w14:textId="7E4A592B" w:rsidR="0029639D" w:rsidRPr="00415876" w:rsidRDefault="0029639D" w:rsidP="00120F79">
            <w:pPr>
              <w:jc w:val="right"/>
              <w:rPr>
                <w:kern w:val="22"/>
                <w:szCs w:val="22"/>
                <w:lang w:val="fr-CA" w:eastAsia="en-CA"/>
              </w:rPr>
            </w:pPr>
            <w:r>
              <w:rPr>
                <w:kern w:val="22"/>
                <w:szCs w:val="22"/>
                <w:lang w:val="fr-CA" w:eastAsia="en-CA"/>
              </w:rPr>
              <w:t>58</w:t>
            </w:r>
          </w:p>
        </w:tc>
        <w:tc>
          <w:tcPr>
            <w:tcW w:w="3823" w:type="dxa"/>
            <w:tcBorders>
              <w:top w:val="nil"/>
              <w:left w:val="nil"/>
              <w:bottom w:val="single" w:sz="4" w:space="0" w:color="auto"/>
              <w:right w:val="single" w:sz="4" w:space="0" w:color="auto"/>
            </w:tcBorders>
            <w:shd w:val="clear" w:color="auto" w:fill="auto"/>
            <w:vAlign w:val="center"/>
            <w:hideMark/>
          </w:tcPr>
          <w:p w14:paraId="1E38F4FC" w14:textId="77777777" w:rsidR="0029639D" w:rsidRPr="00415876" w:rsidRDefault="0029639D" w:rsidP="00120F79">
            <w:pPr>
              <w:jc w:val="left"/>
              <w:rPr>
                <w:kern w:val="22"/>
                <w:szCs w:val="22"/>
                <w:lang w:val="fr-CA" w:eastAsia="en-CA"/>
              </w:rPr>
            </w:pPr>
            <w:r w:rsidRPr="00415876">
              <w:rPr>
                <w:kern w:val="22"/>
                <w:szCs w:val="22"/>
                <w:lang w:val="fr-CA" w:eastAsia="en-CA"/>
              </w:rPr>
              <w:t>Kenya</w:t>
            </w:r>
          </w:p>
        </w:tc>
        <w:tc>
          <w:tcPr>
            <w:tcW w:w="1472" w:type="dxa"/>
            <w:tcBorders>
              <w:top w:val="nil"/>
              <w:left w:val="nil"/>
              <w:bottom w:val="single" w:sz="4" w:space="0" w:color="auto"/>
              <w:right w:val="single" w:sz="4" w:space="0" w:color="auto"/>
            </w:tcBorders>
            <w:shd w:val="clear" w:color="auto" w:fill="auto"/>
            <w:vAlign w:val="center"/>
            <w:hideMark/>
          </w:tcPr>
          <w:p w14:paraId="0A1B2CA2" w14:textId="77777777" w:rsidR="0029639D" w:rsidRPr="00415876" w:rsidRDefault="0029639D" w:rsidP="0029639D">
            <w:pPr>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024</w:t>
            </w:r>
          </w:p>
        </w:tc>
        <w:tc>
          <w:tcPr>
            <w:tcW w:w="1715" w:type="dxa"/>
            <w:tcBorders>
              <w:top w:val="nil"/>
              <w:left w:val="nil"/>
              <w:bottom w:val="single" w:sz="4" w:space="0" w:color="auto"/>
              <w:right w:val="single" w:sz="4" w:space="0" w:color="auto"/>
            </w:tcBorders>
            <w:shd w:val="clear" w:color="auto" w:fill="auto"/>
            <w:noWrap/>
            <w:vAlign w:val="center"/>
            <w:hideMark/>
          </w:tcPr>
          <w:p w14:paraId="4F8C0876" w14:textId="77777777" w:rsidR="0029639D" w:rsidRPr="00415876" w:rsidRDefault="0029639D" w:rsidP="0029639D">
            <w:pPr>
              <w:tabs>
                <w:tab w:val="left" w:pos="1257"/>
              </w:tabs>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039</w:t>
            </w:r>
          </w:p>
        </w:tc>
        <w:tc>
          <w:tcPr>
            <w:tcW w:w="1715" w:type="dxa"/>
            <w:tcBorders>
              <w:top w:val="nil"/>
              <w:left w:val="nil"/>
              <w:bottom w:val="single" w:sz="4" w:space="0" w:color="auto"/>
              <w:right w:val="single" w:sz="4" w:space="0" w:color="auto"/>
            </w:tcBorders>
            <w:shd w:val="clear" w:color="auto" w:fill="auto"/>
            <w:noWrap/>
            <w:vAlign w:val="center"/>
            <w:hideMark/>
          </w:tcPr>
          <w:p w14:paraId="4A2D66E4" w14:textId="77777777" w:rsidR="0029639D" w:rsidRPr="00415876" w:rsidRDefault="0029639D" w:rsidP="0029639D">
            <w:pPr>
              <w:adjustRightInd w:val="0"/>
              <w:snapToGrid w:val="0"/>
              <w:ind w:right="157"/>
              <w:jc w:val="right"/>
              <w:rPr>
                <w:kern w:val="22"/>
                <w:szCs w:val="22"/>
                <w:lang w:val="fr-CA" w:eastAsia="en-CA"/>
              </w:rPr>
            </w:pPr>
            <w:r w:rsidRPr="00415876">
              <w:rPr>
                <w:kern w:val="22"/>
                <w:szCs w:val="22"/>
                <w:lang w:val="fr-CA" w:eastAsia="en-CA"/>
              </w:rPr>
              <w:t>723</w:t>
            </w:r>
          </w:p>
        </w:tc>
      </w:tr>
      <w:tr w:rsidR="0029639D" w:rsidRPr="00415876" w14:paraId="63EFAA45"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51BA7C4F" w14:textId="47C6B66F" w:rsidR="0029639D" w:rsidRPr="00415876" w:rsidRDefault="0029639D" w:rsidP="00120F79">
            <w:pPr>
              <w:jc w:val="right"/>
              <w:rPr>
                <w:kern w:val="22"/>
                <w:szCs w:val="22"/>
                <w:lang w:val="fr-CA" w:eastAsia="en-CA"/>
              </w:rPr>
            </w:pPr>
            <w:r>
              <w:rPr>
                <w:kern w:val="22"/>
                <w:szCs w:val="22"/>
                <w:lang w:val="fr-CA" w:eastAsia="en-CA"/>
              </w:rPr>
              <w:t>59</w:t>
            </w:r>
          </w:p>
        </w:tc>
        <w:tc>
          <w:tcPr>
            <w:tcW w:w="3823" w:type="dxa"/>
            <w:tcBorders>
              <w:top w:val="nil"/>
              <w:left w:val="nil"/>
              <w:bottom w:val="single" w:sz="4" w:space="0" w:color="auto"/>
              <w:right w:val="single" w:sz="4" w:space="0" w:color="auto"/>
            </w:tcBorders>
            <w:shd w:val="clear" w:color="auto" w:fill="auto"/>
            <w:vAlign w:val="center"/>
            <w:hideMark/>
          </w:tcPr>
          <w:p w14:paraId="7A3FCC92" w14:textId="77777777" w:rsidR="0029639D" w:rsidRPr="00415876" w:rsidRDefault="0029639D" w:rsidP="00120F79">
            <w:pPr>
              <w:jc w:val="left"/>
              <w:rPr>
                <w:kern w:val="22"/>
                <w:szCs w:val="22"/>
                <w:lang w:val="fr-CA" w:eastAsia="en-CA"/>
              </w:rPr>
            </w:pPr>
            <w:r>
              <w:rPr>
                <w:kern w:val="22"/>
                <w:szCs w:val="22"/>
                <w:lang w:val="fr-CA" w:eastAsia="en-CA"/>
              </w:rPr>
              <w:t>Kirghizistan</w:t>
            </w:r>
          </w:p>
        </w:tc>
        <w:tc>
          <w:tcPr>
            <w:tcW w:w="1472" w:type="dxa"/>
            <w:tcBorders>
              <w:top w:val="nil"/>
              <w:left w:val="nil"/>
              <w:bottom w:val="single" w:sz="4" w:space="0" w:color="auto"/>
              <w:right w:val="single" w:sz="4" w:space="0" w:color="auto"/>
            </w:tcBorders>
            <w:shd w:val="clear" w:color="auto" w:fill="auto"/>
            <w:vAlign w:val="center"/>
            <w:hideMark/>
          </w:tcPr>
          <w:p w14:paraId="7C97F020" w14:textId="77777777" w:rsidR="0029639D" w:rsidRPr="00415876" w:rsidRDefault="0029639D" w:rsidP="0029639D">
            <w:pPr>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002</w:t>
            </w:r>
          </w:p>
        </w:tc>
        <w:tc>
          <w:tcPr>
            <w:tcW w:w="1715" w:type="dxa"/>
            <w:tcBorders>
              <w:top w:val="nil"/>
              <w:left w:val="nil"/>
              <w:bottom w:val="single" w:sz="4" w:space="0" w:color="auto"/>
              <w:right w:val="single" w:sz="4" w:space="0" w:color="auto"/>
            </w:tcBorders>
            <w:shd w:val="clear" w:color="auto" w:fill="auto"/>
            <w:noWrap/>
            <w:vAlign w:val="center"/>
            <w:hideMark/>
          </w:tcPr>
          <w:p w14:paraId="6BE3FBD3" w14:textId="77777777" w:rsidR="0029639D" w:rsidRPr="00415876" w:rsidRDefault="0029639D" w:rsidP="0029639D">
            <w:pPr>
              <w:tabs>
                <w:tab w:val="left" w:pos="1257"/>
              </w:tabs>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003</w:t>
            </w:r>
          </w:p>
        </w:tc>
        <w:tc>
          <w:tcPr>
            <w:tcW w:w="1715" w:type="dxa"/>
            <w:tcBorders>
              <w:top w:val="nil"/>
              <w:left w:val="nil"/>
              <w:bottom w:val="single" w:sz="4" w:space="0" w:color="auto"/>
              <w:right w:val="single" w:sz="4" w:space="0" w:color="auto"/>
            </w:tcBorders>
            <w:shd w:val="clear" w:color="auto" w:fill="auto"/>
            <w:noWrap/>
            <w:vAlign w:val="center"/>
            <w:hideMark/>
          </w:tcPr>
          <w:p w14:paraId="2440C5C4" w14:textId="77777777" w:rsidR="0029639D" w:rsidRPr="00415876" w:rsidRDefault="0029639D" w:rsidP="0029639D">
            <w:pPr>
              <w:adjustRightInd w:val="0"/>
              <w:snapToGrid w:val="0"/>
              <w:ind w:right="157"/>
              <w:jc w:val="right"/>
              <w:rPr>
                <w:kern w:val="22"/>
                <w:szCs w:val="22"/>
                <w:lang w:val="fr-CA" w:eastAsia="en-CA"/>
              </w:rPr>
            </w:pPr>
            <w:r w:rsidRPr="00415876">
              <w:rPr>
                <w:kern w:val="22"/>
                <w:szCs w:val="22"/>
                <w:lang w:val="fr-CA" w:eastAsia="en-CA"/>
              </w:rPr>
              <w:t>60</w:t>
            </w:r>
          </w:p>
        </w:tc>
      </w:tr>
      <w:tr w:rsidR="0029639D" w:rsidRPr="00415876" w14:paraId="270BC209"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7C641080" w14:textId="77777777" w:rsidR="0029639D" w:rsidRPr="00415876" w:rsidRDefault="0029639D" w:rsidP="00120F79">
            <w:pPr>
              <w:jc w:val="right"/>
              <w:rPr>
                <w:kern w:val="22"/>
                <w:szCs w:val="22"/>
                <w:lang w:val="fr-CA" w:eastAsia="en-CA"/>
              </w:rPr>
            </w:pPr>
            <w:r w:rsidRPr="00415876">
              <w:rPr>
                <w:kern w:val="22"/>
                <w:szCs w:val="22"/>
                <w:lang w:val="fr-CA" w:eastAsia="en-CA"/>
              </w:rPr>
              <w:t>60</w:t>
            </w:r>
          </w:p>
        </w:tc>
        <w:tc>
          <w:tcPr>
            <w:tcW w:w="3823" w:type="dxa"/>
            <w:tcBorders>
              <w:top w:val="nil"/>
              <w:left w:val="nil"/>
              <w:bottom w:val="single" w:sz="4" w:space="0" w:color="auto"/>
              <w:right w:val="single" w:sz="4" w:space="0" w:color="auto"/>
            </w:tcBorders>
            <w:shd w:val="clear" w:color="auto" w:fill="auto"/>
            <w:vAlign w:val="center"/>
            <w:hideMark/>
          </w:tcPr>
          <w:p w14:paraId="25D9ECDF" w14:textId="77777777" w:rsidR="0029639D" w:rsidRPr="00415876" w:rsidRDefault="0029639D" w:rsidP="00120F79">
            <w:pPr>
              <w:jc w:val="left"/>
              <w:rPr>
                <w:kern w:val="22"/>
                <w:szCs w:val="22"/>
                <w:lang w:val="fr-CA" w:eastAsia="en-CA"/>
              </w:rPr>
            </w:pPr>
            <w:r w:rsidRPr="00415876">
              <w:rPr>
                <w:kern w:val="22"/>
                <w:szCs w:val="22"/>
                <w:lang w:val="fr-CA" w:eastAsia="en-CA"/>
              </w:rPr>
              <w:t>Kiribati</w:t>
            </w:r>
          </w:p>
        </w:tc>
        <w:tc>
          <w:tcPr>
            <w:tcW w:w="1472" w:type="dxa"/>
            <w:tcBorders>
              <w:top w:val="nil"/>
              <w:left w:val="nil"/>
              <w:bottom w:val="single" w:sz="4" w:space="0" w:color="auto"/>
              <w:right w:val="single" w:sz="4" w:space="0" w:color="auto"/>
            </w:tcBorders>
            <w:shd w:val="clear" w:color="auto" w:fill="auto"/>
            <w:vAlign w:val="center"/>
            <w:hideMark/>
          </w:tcPr>
          <w:p w14:paraId="3460EFEB" w14:textId="77777777" w:rsidR="0029639D" w:rsidRPr="00415876" w:rsidRDefault="0029639D" w:rsidP="0029639D">
            <w:pPr>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001</w:t>
            </w:r>
          </w:p>
        </w:tc>
        <w:tc>
          <w:tcPr>
            <w:tcW w:w="1715" w:type="dxa"/>
            <w:tcBorders>
              <w:top w:val="nil"/>
              <w:left w:val="nil"/>
              <w:bottom w:val="single" w:sz="4" w:space="0" w:color="auto"/>
              <w:right w:val="single" w:sz="4" w:space="0" w:color="auto"/>
            </w:tcBorders>
            <w:shd w:val="clear" w:color="auto" w:fill="auto"/>
            <w:noWrap/>
            <w:vAlign w:val="center"/>
            <w:hideMark/>
          </w:tcPr>
          <w:p w14:paraId="05E0DA19" w14:textId="77777777" w:rsidR="0029639D" w:rsidRPr="00415876" w:rsidRDefault="0029639D" w:rsidP="0029639D">
            <w:pPr>
              <w:tabs>
                <w:tab w:val="left" w:pos="1257"/>
              </w:tabs>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002</w:t>
            </w:r>
          </w:p>
        </w:tc>
        <w:tc>
          <w:tcPr>
            <w:tcW w:w="1715" w:type="dxa"/>
            <w:tcBorders>
              <w:top w:val="nil"/>
              <w:left w:val="nil"/>
              <w:bottom w:val="single" w:sz="4" w:space="0" w:color="auto"/>
              <w:right w:val="single" w:sz="4" w:space="0" w:color="auto"/>
            </w:tcBorders>
            <w:shd w:val="clear" w:color="auto" w:fill="auto"/>
            <w:noWrap/>
            <w:vAlign w:val="center"/>
            <w:hideMark/>
          </w:tcPr>
          <w:p w14:paraId="1E1BAEC0" w14:textId="77777777" w:rsidR="0029639D" w:rsidRPr="00415876" w:rsidRDefault="0029639D" w:rsidP="0029639D">
            <w:pPr>
              <w:adjustRightInd w:val="0"/>
              <w:snapToGrid w:val="0"/>
              <w:ind w:right="157"/>
              <w:jc w:val="right"/>
              <w:rPr>
                <w:kern w:val="22"/>
                <w:szCs w:val="22"/>
                <w:lang w:val="fr-CA" w:eastAsia="en-CA"/>
              </w:rPr>
            </w:pPr>
            <w:r w:rsidRPr="00415876">
              <w:rPr>
                <w:kern w:val="22"/>
                <w:szCs w:val="22"/>
                <w:lang w:val="fr-CA" w:eastAsia="en-CA"/>
              </w:rPr>
              <w:t>30</w:t>
            </w:r>
          </w:p>
        </w:tc>
      </w:tr>
      <w:tr w:rsidR="0029639D" w:rsidRPr="00415876" w14:paraId="68D0ABAD"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091F9549" w14:textId="77777777" w:rsidR="0029639D" w:rsidRPr="00415876" w:rsidRDefault="0029639D" w:rsidP="00120F79">
            <w:pPr>
              <w:jc w:val="right"/>
              <w:rPr>
                <w:kern w:val="22"/>
                <w:szCs w:val="22"/>
                <w:lang w:val="fr-CA" w:eastAsia="en-CA"/>
              </w:rPr>
            </w:pPr>
            <w:r w:rsidRPr="00415876">
              <w:rPr>
                <w:kern w:val="22"/>
                <w:szCs w:val="22"/>
                <w:lang w:val="fr-CA" w:eastAsia="en-CA"/>
              </w:rPr>
              <w:t>61</w:t>
            </w:r>
          </w:p>
        </w:tc>
        <w:tc>
          <w:tcPr>
            <w:tcW w:w="3823" w:type="dxa"/>
            <w:tcBorders>
              <w:top w:val="nil"/>
              <w:left w:val="nil"/>
              <w:bottom w:val="single" w:sz="4" w:space="0" w:color="auto"/>
              <w:right w:val="single" w:sz="4" w:space="0" w:color="auto"/>
            </w:tcBorders>
            <w:shd w:val="clear" w:color="auto" w:fill="auto"/>
            <w:vAlign w:val="center"/>
            <w:hideMark/>
          </w:tcPr>
          <w:p w14:paraId="1BAEC5F9" w14:textId="77777777" w:rsidR="0029639D" w:rsidRPr="00415876" w:rsidRDefault="0029639D" w:rsidP="00120F79">
            <w:pPr>
              <w:jc w:val="left"/>
              <w:rPr>
                <w:kern w:val="22"/>
                <w:szCs w:val="22"/>
                <w:lang w:val="fr-CA" w:eastAsia="en-CA"/>
              </w:rPr>
            </w:pPr>
            <w:r>
              <w:rPr>
                <w:kern w:val="22"/>
                <w:szCs w:val="22"/>
                <w:lang w:val="fr-CA" w:eastAsia="en-CA"/>
              </w:rPr>
              <w:t>Koweït</w:t>
            </w:r>
          </w:p>
        </w:tc>
        <w:tc>
          <w:tcPr>
            <w:tcW w:w="1472" w:type="dxa"/>
            <w:tcBorders>
              <w:top w:val="nil"/>
              <w:left w:val="nil"/>
              <w:bottom w:val="single" w:sz="4" w:space="0" w:color="auto"/>
              <w:right w:val="single" w:sz="4" w:space="0" w:color="auto"/>
            </w:tcBorders>
            <w:shd w:val="clear" w:color="auto" w:fill="auto"/>
            <w:vAlign w:val="center"/>
            <w:hideMark/>
          </w:tcPr>
          <w:p w14:paraId="1AED9AA1" w14:textId="77777777" w:rsidR="0029639D" w:rsidRPr="00415876" w:rsidRDefault="0029639D" w:rsidP="0029639D">
            <w:pPr>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252</w:t>
            </w:r>
          </w:p>
        </w:tc>
        <w:tc>
          <w:tcPr>
            <w:tcW w:w="1715" w:type="dxa"/>
            <w:tcBorders>
              <w:top w:val="nil"/>
              <w:left w:val="nil"/>
              <w:bottom w:val="single" w:sz="4" w:space="0" w:color="auto"/>
              <w:right w:val="single" w:sz="4" w:space="0" w:color="auto"/>
            </w:tcBorders>
            <w:shd w:val="clear" w:color="auto" w:fill="auto"/>
            <w:noWrap/>
            <w:vAlign w:val="center"/>
            <w:hideMark/>
          </w:tcPr>
          <w:p w14:paraId="2851DCAB" w14:textId="77777777" w:rsidR="0029639D" w:rsidRPr="00415876" w:rsidRDefault="0029639D" w:rsidP="0029639D">
            <w:pPr>
              <w:tabs>
                <w:tab w:val="left" w:pos="1257"/>
              </w:tabs>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405</w:t>
            </w:r>
          </w:p>
        </w:tc>
        <w:tc>
          <w:tcPr>
            <w:tcW w:w="1715" w:type="dxa"/>
            <w:tcBorders>
              <w:top w:val="nil"/>
              <w:left w:val="nil"/>
              <w:bottom w:val="single" w:sz="4" w:space="0" w:color="auto"/>
              <w:right w:val="single" w:sz="4" w:space="0" w:color="auto"/>
            </w:tcBorders>
            <w:shd w:val="clear" w:color="auto" w:fill="auto"/>
            <w:noWrap/>
            <w:vAlign w:val="center"/>
            <w:hideMark/>
          </w:tcPr>
          <w:p w14:paraId="678B5F37" w14:textId="77777777" w:rsidR="0029639D" w:rsidRPr="00415876" w:rsidRDefault="0029639D" w:rsidP="0029639D">
            <w:pPr>
              <w:adjustRightInd w:val="0"/>
              <w:snapToGrid w:val="0"/>
              <w:ind w:right="157"/>
              <w:jc w:val="right"/>
              <w:rPr>
                <w:kern w:val="22"/>
                <w:szCs w:val="22"/>
                <w:lang w:val="fr-CA" w:eastAsia="en-CA"/>
              </w:rPr>
            </w:pPr>
            <w:r w:rsidRPr="00415876">
              <w:rPr>
                <w:kern w:val="22"/>
                <w:szCs w:val="22"/>
                <w:lang w:val="fr-CA" w:eastAsia="en-CA"/>
              </w:rPr>
              <w:t>7 597</w:t>
            </w:r>
          </w:p>
        </w:tc>
      </w:tr>
      <w:tr w:rsidR="0029639D" w:rsidRPr="00415876" w14:paraId="5A53A981"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2856FEDD" w14:textId="31151217" w:rsidR="0029639D" w:rsidRPr="00415876" w:rsidRDefault="0029639D" w:rsidP="00120F79">
            <w:pPr>
              <w:jc w:val="right"/>
              <w:rPr>
                <w:kern w:val="22"/>
                <w:szCs w:val="22"/>
                <w:lang w:val="fr-CA" w:eastAsia="en-CA"/>
              </w:rPr>
            </w:pPr>
            <w:r>
              <w:rPr>
                <w:kern w:val="22"/>
                <w:szCs w:val="22"/>
                <w:lang w:val="fr-CA" w:eastAsia="en-CA"/>
              </w:rPr>
              <w:t>62</w:t>
            </w:r>
          </w:p>
        </w:tc>
        <w:tc>
          <w:tcPr>
            <w:tcW w:w="3823" w:type="dxa"/>
            <w:tcBorders>
              <w:top w:val="nil"/>
              <w:left w:val="nil"/>
              <w:bottom w:val="single" w:sz="4" w:space="0" w:color="auto"/>
              <w:right w:val="single" w:sz="4" w:space="0" w:color="auto"/>
            </w:tcBorders>
            <w:shd w:val="clear" w:color="auto" w:fill="auto"/>
            <w:vAlign w:val="center"/>
            <w:hideMark/>
          </w:tcPr>
          <w:p w14:paraId="2C7C3728" w14:textId="77777777" w:rsidR="0029639D" w:rsidRPr="00415876" w:rsidRDefault="0029639D" w:rsidP="00120F79">
            <w:pPr>
              <w:jc w:val="left"/>
              <w:rPr>
                <w:kern w:val="22"/>
                <w:szCs w:val="22"/>
                <w:lang w:val="fr-CA" w:eastAsia="en-CA"/>
              </w:rPr>
            </w:pPr>
            <w:r w:rsidRPr="00415876">
              <w:rPr>
                <w:kern w:val="22"/>
                <w:szCs w:val="22"/>
                <w:lang w:val="fr-CA" w:eastAsia="en-CA"/>
              </w:rPr>
              <w:t>Lesotho</w:t>
            </w:r>
          </w:p>
        </w:tc>
        <w:tc>
          <w:tcPr>
            <w:tcW w:w="1472" w:type="dxa"/>
            <w:tcBorders>
              <w:top w:val="nil"/>
              <w:left w:val="nil"/>
              <w:bottom w:val="single" w:sz="4" w:space="0" w:color="auto"/>
              <w:right w:val="single" w:sz="4" w:space="0" w:color="auto"/>
            </w:tcBorders>
            <w:shd w:val="clear" w:color="auto" w:fill="auto"/>
            <w:vAlign w:val="center"/>
            <w:hideMark/>
          </w:tcPr>
          <w:p w14:paraId="345CCF53" w14:textId="77777777" w:rsidR="0029639D" w:rsidRPr="00415876" w:rsidRDefault="0029639D" w:rsidP="0029639D">
            <w:pPr>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001</w:t>
            </w:r>
          </w:p>
        </w:tc>
        <w:tc>
          <w:tcPr>
            <w:tcW w:w="1715" w:type="dxa"/>
            <w:tcBorders>
              <w:top w:val="nil"/>
              <w:left w:val="nil"/>
              <w:bottom w:val="single" w:sz="4" w:space="0" w:color="auto"/>
              <w:right w:val="single" w:sz="4" w:space="0" w:color="auto"/>
            </w:tcBorders>
            <w:shd w:val="clear" w:color="auto" w:fill="auto"/>
            <w:noWrap/>
            <w:vAlign w:val="center"/>
            <w:hideMark/>
          </w:tcPr>
          <w:p w14:paraId="678A7C2A" w14:textId="77777777" w:rsidR="0029639D" w:rsidRPr="00415876" w:rsidRDefault="0029639D" w:rsidP="0029639D">
            <w:pPr>
              <w:tabs>
                <w:tab w:val="left" w:pos="1257"/>
              </w:tabs>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002</w:t>
            </w:r>
          </w:p>
        </w:tc>
        <w:tc>
          <w:tcPr>
            <w:tcW w:w="1715" w:type="dxa"/>
            <w:tcBorders>
              <w:top w:val="nil"/>
              <w:left w:val="nil"/>
              <w:bottom w:val="single" w:sz="4" w:space="0" w:color="auto"/>
              <w:right w:val="single" w:sz="4" w:space="0" w:color="auto"/>
            </w:tcBorders>
            <w:shd w:val="clear" w:color="auto" w:fill="auto"/>
            <w:noWrap/>
            <w:vAlign w:val="center"/>
            <w:hideMark/>
          </w:tcPr>
          <w:p w14:paraId="46CA4F5E" w14:textId="77777777" w:rsidR="0029639D" w:rsidRPr="00415876" w:rsidRDefault="0029639D" w:rsidP="0029639D">
            <w:pPr>
              <w:adjustRightInd w:val="0"/>
              <w:snapToGrid w:val="0"/>
              <w:ind w:right="157"/>
              <w:jc w:val="right"/>
              <w:rPr>
                <w:kern w:val="22"/>
                <w:szCs w:val="22"/>
                <w:lang w:val="fr-CA" w:eastAsia="en-CA"/>
              </w:rPr>
            </w:pPr>
            <w:r w:rsidRPr="00415876">
              <w:rPr>
                <w:kern w:val="22"/>
                <w:szCs w:val="22"/>
                <w:lang w:val="fr-CA" w:eastAsia="en-CA"/>
              </w:rPr>
              <w:t>30</w:t>
            </w:r>
          </w:p>
        </w:tc>
      </w:tr>
      <w:tr w:rsidR="0029639D" w:rsidRPr="00415876" w14:paraId="0FE9D065"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569AAA54" w14:textId="614DEBA3" w:rsidR="0029639D" w:rsidRPr="00415876" w:rsidRDefault="0029639D" w:rsidP="00120F79">
            <w:pPr>
              <w:jc w:val="right"/>
              <w:rPr>
                <w:kern w:val="22"/>
                <w:szCs w:val="22"/>
                <w:lang w:val="fr-CA" w:eastAsia="en-CA"/>
              </w:rPr>
            </w:pPr>
            <w:r>
              <w:rPr>
                <w:kern w:val="22"/>
                <w:szCs w:val="22"/>
                <w:lang w:val="fr-CA" w:eastAsia="en-CA"/>
              </w:rPr>
              <w:t>63</w:t>
            </w:r>
          </w:p>
        </w:tc>
        <w:tc>
          <w:tcPr>
            <w:tcW w:w="3823" w:type="dxa"/>
            <w:tcBorders>
              <w:top w:val="nil"/>
              <w:left w:val="nil"/>
              <w:bottom w:val="single" w:sz="4" w:space="0" w:color="auto"/>
              <w:right w:val="single" w:sz="4" w:space="0" w:color="auto"/>
            </w:tcBorders>
            <w:shd w:val="clear" w:color="auto" w:fill="auto"/>
            <w:vAlign w:val="center"/>
            <w:hideMark/>
          </w:tcPr>
          <w:p w14:paraId="06854B03" w14:textId="77777777" w:rsidR="0029639D" w:rsidRPr="00415876" w:rsidRDefault="0029639D" w:rsidP="00120F79">
            <w:pPr>
              <w:jc w:val="left"/>
              <w:rPr>
                <w:kern w:val="22"/>
                <w:szCs w:val="22"/>
                <w:lang w:val="fr-CA" w:eastAsia="en-CA"/>
              </w:rPr>
            </w:pPr>
            <w:r>
              <w:rPr>
                <w:kern w:val="22"/>
                <w:szCs w:val="22"/>
                <w:lang w:val="fr-CA" w:eastAsia="en-CA"/>
              </w:rPr>
              <w:t>Liban</w:t>
            </w:r>
          </w:p>
        </w:tc>
        <w:tc>
          <w:tcPr>
            <w:tcW w:w="1472" w:type="dxa"/>
            <w:tcBorders>
              <w:top w:val="nil"/>
              <w:left w:val="nil"/>
              <w:bottom w:val="single" w:sz="4" w:space="0" w:color="auto"/>
              <w:right w:val="single" w:sz="4" w:space="0" w:color="auto"/>
            </w:tcBorders>
            <w:shd w:val="clear" w:color="auto" w:fill="auto"/>
            <w:vAlign w:val="center"/>
            <w:hideMark/>
          </w:tcPr>
          <w:p w14:paraId="429B542F" w14:textId="77777777" w:rsidR="0029639D" w:rsidRPr="00415876" w:rsidRDefault="0029639D" w:rsidP="0029639D">
            <w:pPr>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047</w:t>
            </w:r>
          </w:p>
        </w:tc>
        <w:tc>
          <w:tcPr>
            <w:tcW w:w="1715" w:type="dxa"/>
            <w:tcBorders>
              <w:top w:val="nil"/>
              <w:left w:val="nil"/>
              <w:bottom w:val="single" w:sz="4" w:space="0" w:color="auto"/>
              <w:right w:val="single" w:sz="4" w:space="0" w:color="auto"/>
            </w:tcBorders>
            <w:shd w:val="clear" w:color="auto" w:fill="auto"/>
            <w:noWrap/>
            <w:vAlign w:val="center"/>
            <w:hideMark/>
          </w:tcPr>
          <w:p w14:paraId="5BF95B5A" w14:textId="77777777" w:rsidR="0029639D" w:rsidRPr="00415876" w:rsidRDefault="0029639D" w:rsidP="0029639D">
            <w:pPr>
              <w:tabs>
                <w:tab w:val="left" w:pos="1257"/>
              </w:tabs>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076</w:t>
            </w:r>
          </w:p>
        </w:tc>
        <w:tc>
          <w:tcPr>
            <w:tcW w:w="1715" w:type="dxa"/>
            <w:tcBorders>
              <w:top w:val="nil"/>
              <w:left w:val="nil"/>
              <w:bottom w:val="single" w:sz="4" w:space="0" w:color="auto"/>
              <w:right w:val="single" w:sz="4" w:space="0" w:color="auto"/>
            </w:tcBorders>
            <w:shd w:val="clear" w:color="auto" w:fill="auto"/>
            <w:noWrap/>
            <w:vAlign w:val="center"/>
            <w:hideMark/>
          </w:tcPr>
          <w:p w14:paraId="08326217" w14:textId="77777777" w:rsidR="0029639D" w:rsidRPr="00415876" w:rsidRDefault="0029639D" w:rsidP="0029639D">
            <w:pPr>
              <w:adjustRightInd w:val="0"/>
              <w:snapToGrid w:val="0"/>
              <w:ind w:right="157"/>
              <w:jc w:val="right"/>
              <w:rPr>
                <w:kern w:val="22"/>
                <w:szCs w:val="22"/>
                <w:lang w:val="fr-CA" w:eastAsia="en-CA"/>
              </w:rPr>
            </w:pPr>
            <w:r w:rsidRPr="00415876">
              <w:rPr>
                <w:kern w:val="22"/>
                <w:szCs w:val="22"/>
                <w:lang w:val="fr-CA" w:eastAsia="en-CA"/>
              </w:rPr>
              <w:t>1 417</w:t>
            </w:r>
          </w:p>
        </w:tc>
      </w:tr>
      <w:tr w:rsidR="0029639D" w:rsidRPr="00415876" w14:paraId="4C16B62E"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17EC6379" w14:textId="42BECE06" w:rsidR="0029639D" w:rsidRPr="00415876" w:rsidRDefault="0029639D" w:rsidP="00120F79">
            <w:pPr>
              <w:jc w:val="right"/>
              <w:rPr>
                <w:kern w:val="22"/>
                <w:szCs w:val="22"/>
                <w:lang w:val="fr-CA" w:eastAsia="en-CA"/>
              </w:rPr>
            </w:pPr>
            <w:r>
              <w:rPr>
                <w:kern w:val="22"/>
                <w:szCs w:val="22"/>
                <w:lang w:val="fr-CA" w:eastAsia="en-CA"/>
              </w:rPr>
              <w:t>64</w:t>
            </w:r>
          </w:p>
        </w:tc>
        <w:tc>
          <w:tcPr>
            <w:tcW w:w="3823" w:type="dxa"/>
            <w:tcBorders>
              <w:top w:val="nil"/>
              <w:left w:val="nil"/>
              <w:bottom w:val="single" w:sz="4" w:space="0" w:color="auto"/>
              <w:right w:val="single" w:sz="4" w:space="0" w:color="auto"/>
            </w:tcBorders>
            <w:shd w:val="clear" w:color="auto" w:fill="auto"/>
            <w:vAlign w:val="center"/>
            <w:hideMark/>
          </w:tcPr>
          <w:p w14:paraId="62B0D5F2" w14:textId="77777777" w:rsidR="0029639D" w:rsidRPr="00415876" w:rsidRDefault="0029639D" w:rsidP="008D5864">
            <w:pPr>
              <w:jc w:val="left"/>
              <w:rPr>
                <w:kern w:val="22"/>
                <w:szCs w:val="22"/>
                <w:lang w:val="fr-CA" w:eastAsia="en-CA"/>
              </w:rPr>
            </w:pPr>
            <w:r w:rsidRPr="00415876">
              <w:rPr>
                <w:kern w:val="22"/>
                <w:szCs w:val="22"/>
                <w:lang w:val="fr-CA" w:eastAsia="en-CA"/>
              </w:rPr>
              <w:t>Lib</w:t>
            </w:r>
            <w:r>
              <w:rPr>
                <w:kern w:val="22"/>
                <w:szCs w:val="22"/>
                <w:lang w:val="fr-CA" w:eastAsia="en-CA"/>
              </w:rPr>
              <w:t>é</w:t>
            </w:r>
            <w:r w:rsidRPr="00415876">
              <w:rPr>
                <w:kern w:val="22"/>
                <w:szCs w:val="22"/>
                <w:lang w:val="fr-CA" w:eastAsia="en-CA"/>
              </w:rPr>
              <w:t>ria</w:t>
            </w:r>
          </w:p>
        </w:tc>
        <w:tc>
          <w:tcPr>
            <w:tcW w:w="1472" w:type="dxa"/>
            <w:tcBorders>
              <w:top w:val="nil"/>
              <w:left w:val="nil"/>
              <w:bottom w:val="single" w:sz="4" w:space="0" w:color="auto"/>
              <w:right w:val="single" w:sz="4" w:space="0" w:color="auto"/>
            </w:tcBorders>
            <w:shd w:val="clear" w:color="auto" w:fill="auto"/>
            <w:vAlign w:val="center"/>
            <w:hideMark/>
          </w:tcPr>
          <w:p w14:paraId="350C9F93" w14:textId="77777777" w:rsidR="0029639D" w:rsidRPr="00415876" w:rsidRDefault="0029639D" w:rsidP="0029639D">
            <w:pPr>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001</w:t>
            </w:r>
          </w:p>
        </w:tc>
        <w:tc>
          <w:tcPr>
            <w:tcW w:w="1715" w:type="dxa"/>
            <w:tcBorders>
              <w:top w:val="nil"/>
              <w:left w:val="nil"/>
              <w:bottom w:val="single" w:sz="4" w:space="0" w:color="auto"/>
              <w:right w:val="single" w:sz="4" w:space="0" w:color="auto"/>
            </w:tcBorders>
            <w:shd w:val="clear" w:color="auto" w:fill="auto"/>
            <w:noWrap/>
            <w:vAlign w:val="center"/>
            <w:hideMark/>
          </w:tcPr>
          <w:p w14:paraId="40528B24" w14:textId="77777777" w:rsidR="0029639D" w:rsidRPr="00415876" w:rsidRDefault="0029639D" w:rsidP="0029639D">
            <w:pPr>
              <w:tabs>
                <w:tab w:val="left" w:pos="1257"/>
              </w:tabs>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002</w:t>
            </w:r>
          </w:p>
        </w:tc>
        <w:tc>
          <w:tcPr>
            <w:tcW w:w="1715" w:type="dxa"/>
            <w:tcBorders>
              <w:top w:val="nil"/>
              <w:left w:val="nil"/>
              <w:bottom w:val="single" w:sz="4" w:space="0" w:color="auto"/>
              <w:right w:val="single" w:sz="4" w:space="0" w:color="auto"/>
            </w:tcBorders>
            <w:shd w:val="clear" w:color="auto" w:fill="auto"/>
            <w:noWrap/>
            <w:vAlign w:val="center"/>
            <w:hideMark/>
          </w:tcPr>
          <w:p w14:paraId="39B0BB85" w14:textId="77777777" w:rsidR="0029639D" w:rsidRPr="00415876" w:rsidRDefault="0029639D" w:rsidP="0029639D">
            <w:pPr>
              <w:adjustRightInd w:val="0"/>
              <w:snapToGrid w:val="0"/>
              <w:ind w:right="157"/>
              <w:jc w:val="right"/>
              <w:rPr>
                <w:kern w:val="22"/>
                <w:szCs w:val="22"/>
                <w:lang w:val="fr-CA" w:eastAsia="en-CA"/>
              </w:rPr>
            </w:pPr>
            <w:r w:rsidRPr="00415876">
              <w:rPr>
                <w:kern w:val="22"/>
                <w:szCs w:val="22"/>
                <w:lang w:val="fr-CA" w:eastAsia="en-CA"/>
              </w:rPr>
              <w:t>30</w:t>
            </w:r>
          </w:p>
        </w:tc>
      </w:tr>
      <w:tr w:rsidR="0029639D" w:rsidRPr="00415876" w14:paraId="5695A925"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1E57ECE3" w14:textId="71DC6AB3" w:rsidR="0029639D" w:rsidRPr="00415876" w:rsidRDefault="0029639D" w:rsidP="00120F79">
            <w:pPr>
              <w:jc w:val="right"/>
              <w:rPr>
                <w:kern w:val="22"/>
                <w:szCs w:val="22"/>
                <w:lang w:val="fr-CA" w:eastAsia="en-CA"/>
              </w:rPr>
            </w:pPr>
            <w:r>
              <w:rPr>
                <w:kern w:val="22"/>
                <w:szCs w:val="22"/>
                <w:lang w:val="fr-CA" w:eastAsia="en-CA"/>
              </w:rPr>
              <w:t>65</w:t>
            </w:r>
          </w:p>
        </w:tc>
        <w:tc>
          <w:tcPr>
            <w:tcW w:w="3823" w:type="dxa"/>
            <w:tcBorders>
              <w:top w:val="nil"/>
              <w:left w:val="nil"/>
              <w:bottom w:val="single" w:sz="4" w:space="0" w:color="auto"/>
              <w:right w:val="single" w:sz="4" w:space="0" w:color="auto"/>
            </w:tcBorders>
            <w:shd w:val="clear" w:color="auto" w:fill="auto"/>
            <w:vAlign w:val="center"/>
            <w:hideMark/>
          </w:tcPr>
          <w:p w14:paraId="2E2782B4" w14:textId="77777777" w:rsidR="0029639D" w:rsidRPr="00415876" w:rsidRDefault="0029639D" w:rsidP="00120F79">
            <w:pPr>
              <w:jc w:val="left"/>
              <w:rPr>
                <w:kern w:val="22"/>
                <w:szCs w:val="22"/>
                <w:lang w:val="fr-CA" w:eastAsia="en-CA"/>
              </w:rPr>
            </w:pPr>
            <w:r w:rsidRPr="00415876">
              <w:rPr>
                <w:kern w:val="22"/>
                <w:szCs w:val="22"/>
                <w:lang w:val="fr-CA" w:eastAsia="en-CA"/>
              </w:rPr>
              <w:t>Luxembourg</w:t>
            </w:r>
          </w:p>
        </w:tc>
        <w:tc>
          <w:tcPr>
            <w:tcW w:w="1472" w:type="dxa"/>
            <w:tcBorders>
              <w:top w:val="nil"/>
              <w:left w:val="nil"/>
              <w:bottom w:val="single" w:sz="4" w:space="0" w:color="auto"/>
              <w:right w:val="single" w:sz="4" w:space="0" w:color="auto"/>
            </w:tcBorders>
            <w:shd w:val="clear" w:color="auto" w:fill="auto"/>
            <w:vAlign w:val="center"/>
            <w:hideMark/>
          </w:tcPr>
          <w:p w14:paraId="3CCDFCBF" w14:textId="77777777" w:rsidR="0029639D" w:rsidRPr="00415876" w:rsidRDefault="0029639D" w:rsidP="0029639D">
            <w:pPr>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067</w:t>
            </w:r>
          </w:p>
        </w:tc>
        <w:tc>
          <w:tcPr>
            <w:tcW w:w="1715" w:type="dxa"/>
            <w:tcBorders>
              <w:top w:val="nil"/>
              <w:left w:val="nil"/>
              <w:bottom w:val="single" w:sz="4" w:space="0" w:color="auto"/>
              <w:right w:val="single" w:sz="4" w:space="0" w:color="auto"/>
            </w:tcBorders>
            <w:shd w:val="clear" w:color="auto" w:fill="auto"/>
            <w:noWrap/>
            <w:vAlign w:val="center"/>
            <w:hideMark/>
          </w:tcPr>
          <w:p w14:paraId="4565FE8F" w14:textId="77777777" w:rsidR="0029639D" w:rsidRPr="00415876" w:rsidRDefault="0029639D" w:rsidP="0029639D">
            <w:pPr>
              <w:tabs>
                <w:tab w:val="left" w:pos="1257"/>
              </w:tabs>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108</w:t>
            </w:r>
          </w:p>
        </w:tc>
        <w:tc>
          <w:tcPr>
            <w:tcW w:w="1715" w:type="dxa"/>
            <w:tcBorders>
              <w:top w:val="nil"/>
              <w:left w:val="nil"/>
              <w:bottom w:val="single" w:sz="4" w:space="0" w:color="auto"/>
              <w:right w:val="single" w:sz="4" w:space="0" w:color="auto"/>
            </w:tcBorders>
            <w:shd w:val="clear" w:color="auto" w:fill="auto"/>
            <w:noWrap/>
            <w:vAlign w:val="center"/>
            <w:hideMark/>
          </w:tcPr>
          <w:p w14:paraId="74E37F40" w14:textId="77777777" w:rsidR="0029639D" w:rsidRPr="00415876" w:rsidRDefault="0029639D" w:rsidP="0029639D">
            <w:pPr>
              <w:adjustRightInd w:val="0"/>
              <w:snapToGrid w:val="0"/>
              <w:ind w:right="157"/>
              <w:jc w:val="right"/>
              <w:rPr>
                <w:kern w:val="22"/>
                <w:szCs w:val="22"/>
                <w:lang w:val="fr-CA" w:eastAsia="en-CA"/>
              </w:rPr>
            </w:pPr>
            <w:r w:rsidRPr="00415876">
              <w:rPr>
                <w:kern w:val="22"/>
                <w:szCs w:val="22"/>
                <w:lang w:val="fr-CA" w:eastAsia="en-CA"/>
              </w:rPr>
              <w:t>2 020</w:t>
            </w:r>
          </w:p>
        </w:tc>
      </w:tr>
      <w:tr w:rsidR="0029639D" w:rsidRPr="00415876" w14:paraId="067B19F9"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4686C3B0" w14:textId="1844A95A" w:rsidR="0029639D" w:rsidRPr="00415876" w:rsidRDefault="0029639D" w:rsidP="00120F79">
            <w:pPr>
              <w:jc w:val="right"/>
              <w:rPr>
                <w:kern w:val="22"/>
                <w:szCs w:val="22"/>
                <w:lang w:val="fr-CA" w:eastAsia="en-CA"/>
              </w:rPr>
            </w:pPr>
            <w:r>
              <w:rPr>
                <w:kern w:val="22"/>
                <w:szCs w:val="22"/>
                <w:lang w:val="fr-CA" w:eastAsia="en-CA"/>
              </w:rPr>
              <w:t>66</w:t>
            </w:r>
          </w:p>
        </w:tc>
        <w:tc>
          <w:tcPr>
            <w:tcW w:w="3823" w:type="dxa"/>
            <w:tcBorders>
              <w:top w:val="nil"/>
              <w:left w:val="nil"/>
              <w:bottom w:val="single" w:sz="4" w:space="0" w:color="auto"/>
              <w:right w:val="single" w:sz="4" w:space="0" w:color="auto"/>
            </w:tcBorders>
            <w:shd w:val="clear" w:color="auto" w:fill="auto"/>
            <w:vAlign w:val="center"/>
            <w:hideMark/>
          </w:tcPr>
          <w:p w14:paraId="3B0E0936" w14:textId="77777777" w:rsidR="0029639D" w:rsidRPr="00415876" w:rsidRDefault="0029639D" w:rsidP="00120F79">
            <w:pPr>
              <w:jc w:val="left"/>
              <w:rPr>
                <w:kern w:val="22"/>
                <w:szCs w:val="22"/>
                <w:lang w:val="fr-CA" w:eastAsia="en-CA"/>
              </w:rPr>
            </w:pPr>
            <w:r w:rsidRPr="00415876">
              <w:rPr>
                <w:kern w:val="22"/>
                <w:szCs w:val="22"/>
                <w:lang w:val="fr-CA" w:eastAsia="en-CA"/>
              </w:rPr>
              <w:t>Madagascar</w:t>
            </w:r>
          </w:p>
        </w:tc>
        <w:tc>
          <w:tcPr>
            <w:tcW w:w="1472" w:type="dxa"/>
            <w:tcBorders>
              <w:top w:val="nil"/>
              <w:left w:val="nil"/>
              <w:bottom w:val="single" w:sz="4" w:space="0" w:color="auto"/>
              <w:right w:val="single" w:sz="4" w:space="0" w:color="auto"/>
            </w:tcBorders>
            <w:shd w:val="clear" w:color="auto" w:fill="auto"/>
            <w:vAlign w:val="center"/>
            <w:hideMark/>
          </w:tcPr>
          <w:p w14:paraId="24842107" w14:textId="77777777" w:rsidR="0029639D" w:rsidRPr="00415876" w:rsidRDefault="0029639D" w:rsidP="0029639D">
            <w:pPr>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004</w:t>
            </w:r>
          </w:p>
        </w:tc>
        <w:tc>
          <w:tcPr>
            <w:tcW w:w="1715" w:type="dxa"/>
            <w:tcBorders>
              <w:top w:val="nil"/>
              <w:left w:val="nil"/>
              <w:bottom w:val="single" w:sz="4" w:space="0" w:color="auto"/>
              <w:right w:val="single" w:sz="4" w:space="0" w:color="auto"/>
            </w:tcBorders>
            <w:shd w:val="clear" w:color="auto" w:fill="auto"/>
            <w:noWrap/>
            <w:vAlign w:val="center"/>
            <w:hideMark/>
          </w:tcPr>
          <w:p w14:paraId="7BF3DD29" w14:textId="77777777" w:rsidR="0029639D" w:rsidRPr="00415876" w:rsidRDefault="0029639D" w:rsidP="0029639D">
            <w:pPr>
              <w:tabs>
                <w:tab w:val="left" w:pos="1257"/>
              </w:tabs>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006</w:t>
            </w:r>
          </w:p>
        </w:tc>
        <w:tc>
          <w:tcPr>
            <w:tcW w:w="1715" w:type="dxa"/>
            <w:tcBorders>
              <w:top w:val="nil"/>
              <w:left w:val="nil"/>
              <w:bottom w:val="single" w:sz="4" w:space="0" w:color="auto"/>
              <w:right w:val="single" w:sz="4" w:space="0" w:color="auto"/>
            </w:tcBorders>
            <w:shd w:val="clear" w:color="auto" w:fill="auto"/>
            <w:noWrap/>
            <w:vAlign w:val="center"/>
            <w:hideMark/>
          </w:tcPr>
          <w:p w14:paraId="55786302" w14:textId="77777777" w:rsidR="0029639D" w:rsidRPr="00415876" w:rsidRDefault="0029639D" w:rsidP="0029639D">
            <w:pPr>
              <w:adjustRightInd w:val="0"/>
              <w:snapToGrid w:val="0"/>
              <w:ind w:right="157"/>
              <w:jc w:val="right"/>
              <w:rPr>
                <w:kern w:val="22"/>
                <w:szCs w:val="22"/>
                <w:lang w:val="fr-CA" w:eastAsia="en-CA"/>
              </w:rPr>
            </w:pPr>
            <w:r w:rsidRPr="00415876">
              <w:rPr>
                <w:kern w:val="22"/>
                <w:szCs w:val="22"/>
                <w:lang w:val="fr-CA" w:eastAsia="en-CA"/>
              </w:rPr>
              <w:t>121</w:t>
            </w:r>
          </w:p>
        </w:tc>
      </w:tr>
      <w:tr w:rsidR="0029639D" w:rsidRPr="00415876" w14:paraId="2A4FB3FE"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3BA01B8E" w14:textId="3A2611E7" w:rsidR="0029639D" w:rsidRPr="00415876" w:rsidRDefault="0029639D" w:rsidP="00120F79">
            <w:pPr>
              <w:jc w:val="right"/>
              <w:rPr>
                <w:kern w:val="22"/>
                <w:szCs w:val="22"/>
                <w:lang w:val="fr-CA" w:eastAsia="en-CA"/>
              </w:rPr>
            </w:pPr>
            <w:r>
              <w:rPr>
                <w:kern w:val="22"/>
                <w:szCs w:val="22"/>
                <w:lang w:val="fr-CA" w:eastAsia="en-CA"/>
              </w:rPr>
              <w:t>67</w:t>
            </w:r>
          </w:p>
        </w:tc>
        <w:tc>
          <w:tcPr>
            <w:tcW w:w="3823" w:type="dxa"/>
            <w:tcBorders>
              <w:top w:val="nil"/>
              <w:left w:val="nil"/>
              <w:bottom w:val="single" w:sz="4" w:space="0" w:color="auto"/>
              <w:right w:val="single" w:sz="4" w:space="0" w:color="auto"/>
            </w:tcBorders>
            <w:shd w:val="clear" w:color="auto" w:fill="auto"/>
            <w:vAlign w:val="center"/>
            <w:hideMark/>
          </w:tcPr>
          <w:p w14:paraId="084DF5F9" w14:textId="77777777" w:rsidR="0029639D" w:rsidRPr="00415876" w:rsidRDefault="0029639D" w:rsidP="00120F79">
            <w:pPr>
              <w:jc w:val="left"/>
              <w:rPr>
                <w:kern w:val="22"/>
                <w:szCs w:val="22"/>
                <w:lang w:val="fr-CA" w:eastAsia="en-CA"/>
              </w:rPr>
            </w:pPr>
            <w:r>
              <w:rPr>
                <w:kern w:val="22"/>
                <w:szCs w:val="22"/>
                <w:lang w:val="fr-CA" w:eastAsia="en-CA"/>
              </w:rPr>
              <w:t>Malaisie</w:t>
            </w:r>
          </w:p>
        </w:tc>
        <w:tc>
          <w:tcPr>
            <w:tcW w:w="1472" w:type="dxa"/>
            <w:tcBorders>
              <w:top w:val="nil"/>
              <w:left w:val="nil"/>
              <w:bottom w:val="single" w:sz="4" w:space="0" w:color="auto"/>
              <w:right w:val="single" w:sz="4" w:space="0" w:color="auto"/>
            </w:tcBorders>
            <w:shd w:val="clear" w:color="auto" w:fill="auto"/>
            <w:vAlign w:val="center"/>
            <w:hideMark/>
          </w:tcPr>
          <w:p w14:paraId="31E20DB3" w14:textId="77777777" w:rsidR="0029639D" w:rsidRPr="00415876" w:rsidRDefault="0029639D" w:rsidP="0029639D">
            <w:pPr>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341</w:t>
            </w:r>
          </w:p>
        </w:tc>
        <w:tc>
          <w:tcPr>
            <w:tcW w:w="1715" w:type="dxa"/>
            <w:tcBorders>
              <w:top w:val="nil"/>
              <w:left w:val="nil"/>
              <w:bottom w:val="single" w:sz="4" w:space="0" w:color="auto"/>
              <w:right w:val="single" w:sz="4" w:space="0" w:color="auto"/>
            </w:tcBorders>
            <w:shd w:val="clear" w:color="auto" w:fill="auto"/>
            <w:noWrap/>
            <w:vAlign w:val="center"/>
            <w:hideMark/>
          </w:tcPr>
          <w:p w14:paraId="4834675D" w14:textId="77777777" w:rsidR="0029639D" w:rsidRPr="00415876" w:rsidRDefault="0029639D" w:rsidP="0029639D">
            <w:pPr>
              <w:tabs>
                <w:tab w:val="left" w:pos="1257"/>
              </w:tabs>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548</w:t>
            </w:r>
          </w:p>
        </w:tc>
        <w:tc>
          <w:tcPr>
            <w:tcW w:w="1715" w:type="dxa"/>
            <w:tcBorders>
              <w:top w:val="nil"/>
              <w:left w:val="nil"/>
              <w:bottom w:val="single" w:sz="4" w:space="0" w:color="auto"/>
              <w:right w:val="single" w:sz="4" w:space="0" w:color="auto"/>
            </w:tcBorders>
            <w:shd w:val="clear" w:color="auto" w:fill="auto"/>
            <w:noWrap/>
            <w:vAlign w:val="center"/>
            <w:hideMark/>
          </w:tcPr>
          <w:p w14:paraId="1D6E44BC" w14:textId="77777777" w:rsidR="0029639D" w:rsidRPr="00415876" w:rsidRDefault="0029639D" w:rsidP="0029639D">
            <w:pPr>
              <w:adjustRightInd w:val="0"/>
              <w:snapToGrid w:val="0"/>
              <w:ind w:right="157"/>
              <w:jc w:val="right"/>
              <w:rPr>
                <w:kern w:val="22"/>
                <w:szCs w:val="22"/>
                <w:lang w:val="fr-CA" w:eastAsia="en-CA"/>
              </w:rPr>
            </w:pPr>
            <w:r w:rsidRPr="00415876">
              <w:rPr>
                <w:kern w:val="22"/>
                <w:szCs w:val="22"/>
                <w:lang w:val="fr-CA" w:eastAsia="en-CA"/>
              </w:rPr>
              <w:t>10 279</w:t>
            </w:r>
          </w:p>
        </w:tc>
      </w:tr>
      <w:tr w:rsidR="0029639D" w:rsidRPr="00415876" w14:paraId="4064F8DE"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4EB8ECFE" w14:textId="61899B04" w:rsidR="0029639D" w:rsidRPr="00415876" w:rsidRDefault="0029639D" w:rsidP="00120F79">
            <w:pPr>
              <w:jc w:val="right"/>
              <w:rPr>
                <w:kern w:val="22"/>
                <w:szCs w:val="22"/>
                <w:lang w:val="fr-CA" w:eastAsia="en-CA"/>
              </w:rPr>
            </w:pPr>
            <w:r>
              <w:rPr>
                <w:kern w:val="22"/>
                <w:szCs w:val="22"/>
                <w:lang w:val="fr-CA" w:eastAsia="en-CA"/>
              </w:rPr>
              <w:t>68</w:t>
            </w:r>
          </w:p>
        </w:tc>
        <w:tc>
          <w:tcPr>
            <w:tcW w:w="3823" w:type="dxa"/>
            <w:tcBorders>
              <w:top w:val="nil"/>
              <w:left w:val="nil"/>
              <w:bottom w:val="single" w:sz="4" w:space="0" w:color="auto"/>
              <w:right w:val="single" w:sz="4" w:space="0" w:color="auto"/>
            </w:tcBorders>
            <w:shd w:val="clear" w:color="auto" w:fill="auto"/>
            <w:vAlign w:val="center"/>
            <w:hideMark/>
          </w:tcPr>
          <w:p w14:paraId="27689E52" w14:textId="77777777" w:rsidR="0029639D" w:rsidRPr="00415876" w:rsidRDefault="0029639D" w:rsidP="00120F79">
            <w:pPr>
              <w:jc w:val="left"/>
              <w:rPr>
                <w:kern w:val="22"/>
                <w:szCs w:val="22"/>
                <w:lang w:val="fr-CA" w:eastAsia="en-CA"/>
              </w:rPr>
            </w:pPr>
            <w:r w:rsidRPr="00415876">
              <w:rPr>
                <w:kern w:val="22"/>
                <w:szCs w:val="22"/>
                <w:lang w:val="fr-CA" w:eastAsia="en-CA"/>
              </w:rPr>
              <w:t>Malawi</w:t>
            </w:r>
          </w:p>
        </w:tc>
        <w:tc>
          <w:tcPr>
            <w:tcW w:w="1472" w:type="dxa"/>
            <w:tcBorders>
              <w:top w:val="nil"/>
              <w:left w:val="nil"/>
              <w:bottom w:val="single" w:sz="4" w:space="0" w:color="auto"/>
              <w:right w:val="single" w:sz="4" w:space="0" w:color="auto"/>
            </w:tcBorders>
            <w:shd w:val="clear" w:color="auto" w:fill="auto"/>
            <w:vAlign w:val="center"/>
            <w:hideMark/>
          </w:tcPr>
          <w:p w14:paraId="738E85A7" w14:textId="77777777" w:rsidR="0029639D" w:rsidRPr="00415876" w:rsidRDefault="0029639D" w:rsidP="0029639D">
            <w:pPr>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002</w:t>
            </w:r>
          </w:p>
        </w:tc>
        <w:tc>
          <w:tcPr>
            <w:tcW w:w="1715" w:type="dxa"/>
            <w:tcBorders>
              <w:top w:val="nil"/>
              <w:left w:val="nil"/>
              <w:bottom w:val="single" w:sz="4" w:space="0" w:color="auto"/>
              <w:right w:val="single" w:sz="4" w:space="0" w:color="auto"/>
            </w:tcBorders>
            <w:shd w:val="clear" w:color="auto" w:fill="auto"/>
            <w:noWrap/>
            <w:vAlign w:val="center"/>
            <w:hideMark/>
          </w:tcPr>
          <w:p w14:paraId="3DAA5E04" w14:textId="77777777" w:rsidR="0029639D" w:rsidRPr="00415876" w:rsidRDefault="0029639D" w:rsidP="0029639D">
            <w:pPr>
              <w:tabs>
                <w:tab w:val="left" w:pos="1257"/>
              </w:tabs>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003</w:t>
            </w:r>
          </w:p>
        </w:tc>
        <w:tc>
          <w:tcPr>
            <w:tcW w:w="1715" w:type="dxa"/>
            <w:tcBorders>
              <w:top w:val="nil"/>
              <w:left w:val="nil"/>
              <w:bottom w:val="single" w:sz="4" w:space="0" w:color="auto"/>
              <w:right w:val="single" w:sz="4" w:space="0" w:color="auto"/>
            </w:tcBorders>
            <w:shd w:val="clear" w:color="auto" w:fill="auto"/>
            <w:noWrap/>
            <w:vAlign w:val="center"/>
            <w:hideMark/>
          </w:tcPr>
          <w:p w14:paraId="4BE58D27" w14:textId="77777777" w:rsidR="0029639D" w:rsidRPr="00415876" w:rsidRDefault="0029639D" w:rsidP="0029639D">
            <w:pPr>
              <w:adjustRightInd w:val="0"/>
              <w:snapToGrid w:val="0"/>
              <w:ind w:right="157"/>
              <w:jc w:val="right"/>
              <w:rPr>
                <w:kern w:val="22"/>
                <w:szCs w:val="22"/>
                <w:lang w:val="fr-CA" w:eastAsia="en-CA"/>
              </w:rPr>
            </w:pPr>
            <w:r w:rsidRPr="00415876">
              <w:rPr>
                <w:kern w:val="22"/>
                <w:szCs w:val="22"/>
                <w:lang w:val="fr-CA" w:eastAsia="en-CA"/>
              </w:rPr>
              <w:t>60</w:t>
            </w:r>
          </w:p>
        </w:tc>
      </w:tr>
      <w:tr w:rsidR="0029639D" w:rsidRPr="00415876" w14:paraId="0B878251"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7CAC4578" w14:textId="40865D69" w:rsidR="0029639D" w:rsidRPr="00415876" w:rsidRDefault="0029639D" w:rsidP="00120F79">
            <w:pPr>
              <w:jc w:val="right"/>
              <w:rPr>
                <w:kern w:val="22"/>
                <w:szCs w:val="22"/>
                <w:lang w:val="fr-CA" w:eastAsia="en-CA"/>
              </w:rPr>
            </w:pPr>
            <w:r>
              <w:rPr>
                <w:kern w:val="22"/>
                <w:szCs w:val="22"/>
                <w:lang w:val="fr-CA" w:eastAsia="en-CA"/>
              </w:rPr>
              <w:t>69</w:t>
            </w:r>
          </w:p>
        </w:tc>
        <w:tc>
          <w:tcPr>
            <w:tcW w:w="3823" w:type="dxa"/>
            <w:tcBorders>
              <w:top w:val="nil"/>
              <w:left w:val="nil"/>
              <w:bottom w:val="single" w:sz="4" w:space="0" w:color="auto"/>
              <w:right w:val="single" w:sz="4" w:space="0" w:color="auto"/>
            </w:tcBorders>
            <w:shd w:val="clear" w:color="auto" w:fill="auto"/>
            <w:vAlign w:val="center"/>
            <w:hideMark/>
          </w:tcPr>
          <w:p w14:paraId="77F21137" w14:textId="77777777" w:rsidR="0029639D" w:rsidRPr="00415876" w:rsidRDefault="0029639D" w:rsidP="00120F79">
            <w:pPr>
              <w:jc w:val="left"/>
              <w:rPr>
                <w:kern w:val="22"/>
                <w:szCs w:val="22"/>
                <w:lang w:val="fr-CA" w:eastAsia="en-CA"/>
              </w:rPr>
            </w:pPr>
            <w:r w:rsidRPr="00415876">
              <w:rPr>
                <w:kern w:val="22"/>
                <w:szCs w:val="22"/>
                <w:lang w:val="fr-CA" w:eastAsia="en-CA"/>
              </w:rPr>
              <w:t>Maldives</w:t>
            </w:r>
          </w:p>
        </w:tc>
        <w:tc>
          <w:tcPr>
            <w:tcW w:w="1472" w:type="dxa"/>
            <w:tcBorders>
              <w:top w:val="nil"/>
              <w:left w:val="nil"/>
              <w:bottom w:val="single" w:sz="4" w:space="0" w:color="auto"/>
              <w:right w:val="single" w:sz="4" w:space="0" w:color="auto"/>
            </w:tcBorders>
            <w:shd w:val="clear" w:color="auto" w:fill="auto"/>
            <w:vAlign w:val="center"/>
            <w:hideMark/>
          </w:tcPr>
          <w:p w14:paraId="1C8B584E"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004</w:t>
            </w:r>
          </w:p>
        </w:tc>
        <w:tc>
          <w:tcPr>
            <w:tcW w:w="1715" w:type="dxa"/>
            <w:tcBorders>
              <w:top w:val="nil"/>
              <w:left w:val="nil"/>
              <w:bottom w:val="single" w:sz="4" w:space="0" w:color="auto"/>
              <w:right w:val="single" w:sz="4" w:space="0" w:color="auto"/>
            </w:tcBorders>
            <w:shd w:val="clear" w:color="auto" w:fill="auto"/>
            <w:noWrap/>
            <w:vAlign w:val="center"/>
            <w:hideMark/>
          </w:tcPr>
          <w:p w14:paraId="28C75C6A" w14:textId="77777777" w:rsidR="0029639D" w:rsidRPr="00415876" w:rsidRDefault="0029639D" w:rsidP="0029639D">
            <w:pPr>
              <w:tabs>
                <w:tab w:val="left" w:pos="1257"/>
              </w:tabs>
              <w:ind w:right="152"/>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006</w:t>
            </w:r>
          </w:p>
        </w:tc>
        <w:tc>
          <w:tcPr>
            <w:tcW w:w="1715" w:type="dxa"/>
            <w:tcBorders>
              <w:top w:val="nil"/>
              <w:left w:val="nil"/>
              <w:bottom w:val="single" w:sz="4" w:space="0" w:color="auto"/>
              <w:right w:val="single" w:sz="4" w:space="0" w:color="auto"/>
            </w:tcBorders>
            <w:shd w:val="clear" w:color="auto" w:fill="auto"/>
            <w:noWrap/>
            <w:vAlign w:val="center"/>
            <w:hideMark/>
          </w:tcPr>
          <w:p w14:paraId="03310B34" w14:textId="77777777" w:rsidR="0029639D" w:rsidRPr="00415876" w:rsidRDefault="0029639D" w:rsidP="0029639D">
            <w:pPr>
              <w:ind w:right="157"/>
              <w:jc w:val="right"/>
              <w:rPr>
                <w:kern w:val="22"/>
                <w:szCs w:val="22"/>
                <w:lang w:val="fr-CA" w:eastAsia="en-CA"/>
              </w:rPr>
            </w:pPr>
            <w:r w:rsidRPr="00415876">
              <w:rPr>
                <w:kern w:val="22"/>
                <w:szCs w:val="22"/>
                <w:lang w:val="fr-CA" w:eastAsia="en-CA"/>
              </w:rPr>
              <w:t>121</w:t>
            </w:r>
          </w:p>
        </w:tc>
      </w:tr>
      <w:tr w:rsidR="0029639D" w:rsidRPr="00415876" w14:paraId="47EBBDE7"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689F0849" w14:textId="6E9360FB" w:rsidR="0029639D" w:rsidRPr="00415876" w:rsidRDefault="0029639D" w:rsidP="00120F79">
            <w:pPr>
              <w:jc w:val="right"/>
              <w:rPr>
                <w:kern w:val="22"/>
                <w:szCs w:val="22"/>
                <w:lang w:val="fr-CA" w:eastAsia="en-CA"/>
              </w:rPr>
            </w:pPr>
            <w:r>
              <w:rPr>
                <w:kern w:val="22"/>
                <w:szCs w:val="22"/>
                <w:lang w:val="fr-CA" w:eastAsia="en-CA"/>
              </w:rPr>
              <w:t>70</w:t>
            </w:r>
          </w:p>
        </w:tc>
        <w:tc>
          <w:tcPr>
            <w:tcW w:w="3823" w:type="dxa"/>
            <w:tcBorders>
              <w:top w:val="nil"/>
              <w:left w:val="nil"/>
              <w:bottom w:val="single" w:sz="4" w:space="0" w:color="auto"/>
              <w:right w:val="single" w:sz="4" w:space="0" w:color="auto"/>
            </w:tcBorders>
            <w:shd w:val="clear" w:color="auto" w:fill="auto"/>
            <w:vAlign w:val="center"/>
            <w:hideMark/>
          </w:tcPr>
          <w:p w14:paraId="380DC575" w14:textId="77777777" w:rsidR="0029639D" w:rsidRPr="00415876" w:rsidRDefault="0029639D" w:rsidP="00120F79">
            <w:pPr>
              <w:jc w:val="left"/>
              <w:rPr>
                <w:kern w:val="22"/>
                <w:szCs w:val="22"/>
                <w:lang w:val="fr-CA" w:eastAsia="en-CA"/>
              </w:rPr>
            </w:pPr>
            <w:r w:rsidRPr="00415876">
              <w:rPr>
                <w:kern w:val="22"/>
                <w:szCs w:val="22"/>
                <w:lang w:val="fr-CA" w:eastAsia="en-CA"/>
              </w:rPr>
              <w:t>Mali</w:t>
            </w:r>
          </w:p>
        </w:tc>
        <w:tc>
          <w:tcPr>
            <w:tcW w:w="1472" w:type="dxa"/>
            <w:tcBorders>
              <w:top w:val="nil"/>
              <w:left w:val="nil"/>
              <w:bottom w:val="single" w:sz="4" w:space="0" w:color="auto"/>
              <w:right w:val="single" w:sz="4" w:space="0" w:color="auto"/>
            </w:tcBorders>
            <w:shd w:val="clear" w:color="auto" w:fill="auto"/>
            <w:vAlign w:val="center"/>
            <w:hideMark/>
          </w:tcPr>
          <w:p w14:paraId="035CE81C"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004</w:t>
            </w:r>
          </w:p>
        </w:tc>
        <w:tc>
          <w:tcPr>
            <w:tcW w:w="1715" w:type="dxa"/>
            <w:tcBorders>
              <w:top w:val="nil"/>
              <w:left w:val="nil"/>
              <w:bottom w:val="single" w:sz="4" w:space="0" w:color="auto"/>
              <w:right w:val="single" w:sz="4" w:space="0" w:color="auto"/>
            </w:tcBorders>
            <w:shd w:val="clear" w:color="auto" w:fill="auto"/>
            <w:noWrap/>
            <w:vAlign w:val="center"/>
            <w:hideMark/>
          </w:tcPr>
          <w:p w14:paraId="1E411C0B" w14:textId="77777777" w:rsidR="0029639D" w:rsidRPr="00415876" w:rsidRDefault="0029639D" w:rsidP="0029639D">
            <w:pPr>
              <w:tabs>
                <w:tab w:val="left" w:pos="1257"/>
              </w:tabs>
              <w:ind w:right="152"/>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006</w:t>
            </w:r>
          </w:p>
        </w:tc>
        <w:tc>
          <w:tcPr>
            <w:tcW w:w="1715" w:type="dxa"/>
            <w:tcBorders>
              <w:top w:val="nil"/>
              <w:left w:val="nil"/>
              <w:bottom w:val="single" w:sz="4" w:space="0" w:color="auto"/>
              <w:right w:val="single" w:sz="4" w:space="0" w:color="auto"/>
            </w:tcBorders>
            <w:shd w:val="clear" w:color="auto" w:fill="auto"/>
            <w:noWrap/>
            <w:vAlign w:val="center"/>
            <w:hideMark/>
          </w:tcPr>
          <w:p w14:paraId="42DD895E" w14:textId="77777777" w:rsidR="0029639D" w:rsidRPr="00415876" w:rsidRDefault="0029639D" w:rsidP="0029639D">
            <w:pPr>
              <w:ind w:right="157"/>
              <w:jc w:val="right"/>
              <w:rPr>
                <w:kern w:val="22"/>
                <w:szCs w:val="22"/>
                <w:lang w:val="fr-CA" w:eastAsia="en-CA"/>
              </w:rPr>
            </w:pPr>
            <w:r w:rsidRPr="00415876">
              <w:rPr>
                <w:kern w:val="22"/>
                <w:szCs w:val="22"/>
                <w:lang w:val="fr-CA" w:eastAsia="en-CA"/>
              </w:rPr>
              <w:t>121</w:t>
            </w:r>
          </w:p>
        </w:tc>
      </w:tr>
      <w:tr w:rsidR="0029639D" w:rsidRPr="00415876" w14:paraId="0F015714"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39E13031" w14:textId="3BB43B22" w:rsidR="0029639D" w:rsidRPr="00415876" w:rsidRDefault="0029639D" w:rsidP="00120F79">
            <w:pPr>
              <w:jc w:val="right"/>
              <w:rPr>
                <w:kern w:val="22"/>
                <w:szCs w:val="22"/>
                <w:lang w:val="fr-CA" w:eastAsia="en-CA"/>
              </w:rPr>
            </w:pPr>
            <w:r>
              <w:rPr>
                <w:kern w:val="22"/>
                <w:szCs w:val="22"/>
                <w:lang w:val="fr-CA" w:eastAsia="en-CA"/>
              </w:rPr>
              <w:t>71</w:t>
            </w:r>
          </w:p>
        </w:tc>
        <w:tc>
          <w:tcPr>
            <w:tcW w:w="3823" w:type="dxa"/>
            <w:tcBorders>
              <w:top w:val="nil"/>
              <w:left w:val="nil"/>
              <w:bottom w:val="single" w:sz="4" w:space="0" w:color="auto"/>
              <w:right w:val="single" w:sz="4" w:space="0" w:color="auto"/>
            </w:tcBorders>
            <w:shd w:val="clear" w:color="auto" w:fill="auto"/>
            <w:vAlign w:val="center"/>
            <w:hideMark/>
          </w:tcPr>
          <w:p w14:paraId="0F02A983" w14:textId="77777777" w:rsidR="0029639D" w:rsidRPr="00415876" w:rsidRDefault="0029639D" w:rsidP="00120F79">
            <w:pPr>
              <w:jc w:val="left"/>
              <w:rPr>
                <w:kern w:val="22"/>
                <w:szCs w:val="22"/>
                <w:lang w:val="fr-CA" w:eastAsia="en-CA"/>
              </w:rPr>
            </w:pPr>
            <w:r>
              <w:rPr>
                <w:kern w:val="22"/>
                <w:szCs w:val="22"/>
                <w:lang w:val="fr-CA" w:eastAsia="en-CA"/>
              </w:rPr>
              <w:t>Malte</w:t>
            </w:r>
          </w:p>
        </w:tc>
        <w:tc>
          <w:tcPr>
            <w:tcW w:w="1472" w:type="dxa"/>
            <w:tcBorders>
              <w:top w:val="nil"/>
              <w:left w:val="nil"/>
              <w:bottom w:val="single" w:sz="4" w:space="0" w:color="auto"/>
              <w:right w:val="single" w:sz="4" w:space="0" w:color="auto"/>
            </w:tcBorders>
            <w:shd w:val="clear" w:color="auto" w:fill="auto"/>
            <w:vAlign w:val="center"/>
            <w:hideMark/>
          </w:tcPr>
          <w:p w14:paraId="742DB4AB"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017</w:t>
            </w:r>
          </w:p>
        </w:tc>
        <w:tc>
          <w:tcPr>
            <w:tcW w:w="1715" w:type="dxa"/>
            <w:tcBorders>
              <w:top w:val="nil"/>
              <w:left w:val="nil"/>
              <w:bottom w:val="single" w:sz="4" w:space="0" w:color="auto"/>
              <w:right w:val="single" w:sz="4" w:space="0" w:color="auto"/>
            </w:tcBorders>
            <w:shd w:val="clear" w:color="auto" w:fill="auto"/>
            <w:noWrap/>
            <w:vAlign w:val="center"/>
            <w:hideMark/>
          </w:tcPr>
          <w:p w14:paraId="1878F929" w14:textId="77777777" w:rsidR="0029639D" w:rsidRPr="00415876" w:rsidRDefault="0029639D" w:rsidP="0029639D">
            <w:pPr>
              <w:tabs>
                <w:tab w:val="left" w:pos="1257"/>
              </w:tabs>
              <w:ind w:right="152"/>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027</w:t>
            </w:r>
          </w:p>
        </w:tc>
        <w:tc>
          <w:tcPr>
            <w:tcW w:w="1715" w:type="dxa"/>
            <w:tcBorders>
              <w:top w:val="nil"/>
              <w:left w:val="nil"/>
              <w:bottom w:val="single" w:sz="4" w:space="0" w:color="auto"/>
              <w:right w:val="single" w:sz="4" w:space="0" w:color="auto"/>
            </w:tcBorders>
            <w:shd w:val="clear" w:color="auto" w:fill="auto"/>
            <w:noWrap/>
            <w:vAlign w:val="center"/>
            <w:hideMark/>
          </w:tcPr>
          <w:p w14:paraId="73FB693E" w14:textId="77777777" w:rsidR="0029639D" w:rsidRPr="00415876" w:rsidRDefault="0029639D" w:rsidP="0029639D">
            <w:pPr>
              <w:ind w:right="157"/>
              <w:jc w:val="right"/>
              <w:rPr>
                <w:kern w:val="22"/>
                <w:szCs w:val="22"/>
                <w:lang w:val="fr-CA" w:eastAsia="en-CA"/>
              </w:rPr>
            </w:pPr>
            <w:r w:rsidRPr="00415876">
              <w:rPr>
                <w:kern w:val="22"/>
                <w:szCs w:val="22"/>
                <w:lang w:val="fr-CA" w:eastAsia="en-CA"/>
              </w:rPr>
              <w:t>512</w:t>
            </w:r>
          </w:p>
        </w:tc>
      </w:tr>
      <w:tr w:rsidR="0029639D" w:rsidRPr="00415876" w14:paraId="62C80E4C"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41764EF1" w14:textId="0C29ADEC" w:rsidR="0029639D" w:rsidRPr="00415876" w:rsidRDefault="0029639D" w:rsidP="00120F79">
            <w:pPr>
              <w:jc w:val="right"/>
              <w:rPr>
                <w:kern w:val="22"/>
                <w:szCs w:val="22"/>
                <w:lang w:val="fr-CA" w:eastAsia="en-CA"/>
              </w:rPr>
            </w:pPr>
            <w:r>
              <w:rPr>
                <w:kern w:val="22"/>
                <w:szCs w:val="22"/>
                <w:lang w:val="fr-CA" w:eastAsia="en-CA"/>
              </w:rPr>
              <w:t>72</w:t>
            </w:r>
          </w:p>
        </w:tc>
        <w:tc>
          <w:tcPr>
            <w:tcW w:w="3823" w:type="dxa"/>
            <w:tcBorders>
              <w:top w:val="nil"/>
              <w:left w:val="nil"/>
              <w:bottom w:val="single" w:sz="4" w:space="0" w:color="auto"/>
              <w:right w:val="single" w:sz="4" w:space="0" w:color="auto"/>
            </w:tcBorders>
            <w:shd w:val="clear" w:color="auto" w:fill="auto"/>
            <w:vAlign w:val="center"/>
            <w:hideMark/>
          </w:tcPr>
          <w:p w14:paraId="72BF41A0" w14:textId="77777777" w:rsidR="0029639D" w:rsidRPr="00415876" w:rsidRDefault="0029639D" w:rsidP="00120F79">
            <w:pPr>
              <w:jc w:val="left"/>
              <w:rPr>
                <w:kern w:val="22"/>
                <w:szCs w:val="22"/>
                <w:lang w:val="fr-CA" w:eastAsia="en-CA"/>
              </w:rPr>
            </w:pPr>
            <w:r>
              <w:rPr>
                <w:kern w:val="22"/>
                <w:szCs w:val="22"/>
                <w:lang w:val="fr-CA" w:eastAsia="en-CA"/>
              </w:rPr>
              <w:t>Maurice</w:t>
            </w:r>
          </w:p>
        </w:tc>
        <w:tc>
          <w:tcPr>
            <w:tcW w:w="1472" w:type="dxa"/>
            <w:tcBorders>
              <w:top w:val="nil"/>
              <w:left w:val="nil"/>
              <w:bottom w:val="single" w:sz="4" w:space="0" w:color="auto"/>
              <w:right w:val="single" w:sz="4" w:space="0" w:color="auto"/>
            </w:tcBorders>
            <w:shd w:val="clear" w:color="auto" w:fill="auto"/>
            <w:vAlign w:val="center"/>
            <w:hideMark/>
          </w:tcPr>
          <w:p w14:paraId="2E457B4E"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011</w:t>
            </w:r>
          </w:p>
        </w:tc>
        <w:tc>
          <w:tcPr>
            <w:tcW w:w="1715" w:type="dxa"/>
            <w:tcBorders>
              <w:top w:val="nil"/>
              <w:left w:val="nil"/>
              <w:bottom w:val="single" w:sz="4" w:space="0" w:color="auto"/>
              <w:right w:val="single" w:sz="4" w:space="0" w:color="auto"/>
            </w:tcBorders>
            <w:shd w:val="clear" w:color="auto" w:fill="auto"/>
            <w:noWrap/>
            <w:vAlign w:val="center"/>
            <w:hideMark/>
          </w:tcPr>
          <w:p w14:paraId="3A9833A2" w14:textId="77777777" w:rsidR="0029639D" w:rsidRPr="00415876" w:rsidRDefault="0029639D" w:rsidP="0029639D">
            <w:pPr>
              <w:tabs>
                <w:tab w:val="left" w:pos="1257"/>
              </w:tabs>
              <w:ind w:right="152"/>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018</w:t>
            </w:r>
          </w:p>
        </w:tc>
        <w:tc>
          <w:tcPr>
            <w:tcW w:w="1715" w:type="dxa"/>
            <w:tcBorders>
              <w:top w:val="nil"/>
              <w:left w:val="nil"/>
              <w:bottom w:val="single" w:sz="4" w:space="0" w:color="auto"/>
              <w:right w:val="single" w:sz="4" w:space="0" w:color="auto"/>
            </w:tcBorders>
            <w:shd w:val="clear" w:color="auto" w:fill="auto"/>
            <w:noWrap/>
            <w:vAlign w:val="center"/>
            <w:hideMark/>
          </w:tcPr>
          <w:p w14:paraId="7C018E96" w14:textId="77777777" w:rsidR="0029639D" w:rsidRPr="00415876" w:rsidRDefault="0029639D" w:rsidP="0029639D">
            <w:pPr>
              <w:ind w:right="157"/>
              <w:jc w:val="right"/>
              <w:rPr>
                <w:kern w:val="22"/>
                <w:szCs w:val="22"/>
                <w:lang w:val="fr-CA" w:eastAsia="en-CA"/>
              </w:rPr>
            </w:pPr>
            <w:r w:rsidRPr="00415876">
              <w:rPr>
                <w:kern w:val="22"/>
                <w:szCs w:val="22"/>
                <w:lang w:val="fr-CA" w:eastAsia="en-CA"/>
              </w:rPr>
              <w:t>332</w:t>
            </w:r>
          </w:p>
        </w:tc>
      </w:tr>
      <w:tr w:rsidR="0029639D" w:rsidRPr="00415876" w14:paraId="49358798"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2FD9528D" w14:textId="0115DBB8" w:rsidR="0029639D" w:rsidRPr="00415876" w:rsidRDefault="0029639D" w:rsidP="00120F79">
            <w:pPr>
              <w:jc w:val="right"/>
              <w:rPr>
                <w:kern w:val="22"/>
                <w:szCs w:val="22"/>
                <w:lang w:val="fr-CA" w:eastAsia="en-CA"/>
              </w:rPr>
            </w:pPr>
            <w:r>
              <w:rPr>
                <w:kern w:val="22"/>
                <w:szCs w:val="22"/>
                <w:lang w:val="fr-CA" w:eastAsia="en-CA"/>
              </w:rPr>
              <w:t>73</w:t>
            </w:r>
          </w:p>
        </w:tc>
        <w:tc>
          <w:tcPr>
            <w:tcW w:w="3823" w:type="dxa"/>
            <w:tcBorders>
              <w:top w:val="nil"/>
              <w:left w:val="nil"/>
              <w:bottom w:val="single" w:sz="4" w:space="0" w:color="auto"/>
              <w:right w:val="single" w:sz="4" w:space="0" w:color="auto"/>
            </w:tcBorders>
            <w:shd w:val="clear" w:color="auto" w:fill="auto"/>
            <w:vAlign w:val="center"/>
            <w:hideMark/>
          </w:tcPr>
          <w:p w14:paraId="3F40B600" w14:textId="77777777" w:rsidR="0029639D" w:rsidRPr="00415876" w:rsidRDefault="0029639D" w:rsidP="00120F79">
            <w:pPr>
              <w:jc w:val="left"/>
              <w:rPr>
                <w:kern w:val="22"/>
                <w:szCs w:val="22"/>
                <w:lang w:val="fr-CA" w:eastAsia="en-CA"/>
              </w:rPr>
            </w:pPr>
            <w:r>
              <w:rPr>
                <w:kern w:val="22"/>
                <w:szCs w:val="22"/>
                <w:lang w:val="fr-CA" w:eastAsia="en-CA"/>
              </w:rPr>
              <w:t>Mauritanie</w:t>
            </w:r>
          </w:p>
        </w:tc>
        <w:tc>
          <w:tcPr>
            <w:tcW w:w="1472" w:type="dxa"/>
            <w:tcBorders>
              <w:top w:val="nil"/>
              <w:left w:val="nil"/>
              <w:bottom w:val="single" w:sz="4" w:space="0" w:color="auto"/>
              <w:right w:val="single" w:sz="4" w:space="0" w:color="auto"/>
            </w:tcBorders>
            <w:shd w:val="clear" w:color="auto" w:fill="auto"/>
            <w:vAlign w:val="center"/>
            <w:hideMark/>
          </w:tcPr>
          <w:p w14:paraId="3093027B"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002</w:t>
            </w:r>
          </w:p>
        </w:tc>
        <w:tc>
          <w:tcPr>
            <w:tcW w:w="1715" w:type="dxa"/>
            <w:tcBorders>
              <w:top w:val="nil"/>
              <w:left w:val="nil"/>
              <w:bottom w:val="single" w:sz="4" w:space="0" w:color="auto"/>
              <w:right w:val="single" w:sz="4" w:space="0" w:color="auto"/>
            </w:tcBorders>
            <w:shd w:val="clear" w:color="auto" w:fill="auto"/>
            <w:noWrap/>
            <w:vAlign w:val="center"/>
            <w:hideMark/>
          </w:tcPr>
          <w:p w14:paraId="12D2F26B" w14:textId="77777777" w:rsidR="0029639D" w:rsidRPr="00415876" w:rsidRDefault="0029639D" w:rsidP="0029639D">
            <w:pPr>
              <w:tabs>
                <w:tab w:val="left" w:pos="1257"/>
              </w:tabs>
              <w:ind w:right="152"/>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003</w:t>
            </w:r>
          </w:p>
        </w:tc>
        <w:tc>
          <w:tcPr>
            <w:tcW w:w="1715" w:type="dxa"/>
            <w:tcBorders>
              <w:top w:val="nil"/>
              <w:left w:val="nil"/>
              <w:bottom w:val="single" w:sz="4" w:space="0" w:color="auto"/>
              <w:right w:val="single" w:sz="4" w:space="0" w:color="auto"/>
            </w:tcBorders>
            <w:shd w:val="clear" w:color="auto" w:fill="auto"/>
            <w:noWrap/>
            <w:vAlign w:val="center"/>
            <w:hideMark/>
          </w:tcPr>
          <w:p w14:paraId="41AA9C28" w14:textId="77777777" w:rsidR="0029639D" w:rsidRPr="00415876" w:rsidRDefault="0029639D" w:rsidP="0029639D">
            <w:pPr>
              <w:ind w:right="157"/>
              <w:jc w:val="right"/>
              <w:rPr>
                <w:kern w:val="22"/>
                <w:szCs w:val="22"/>
                <w:lang w:val="fr-CA" w:eastAsia="en-CA"/>
              </w:rPr>
            </w:pPr>
            <w:r w:rsidRPr="00415876">
              <w:rPr>
                <w:kern w:val="22"/>
                <w:szCs w:val="22"/>
                <w:lang w:val="fr-CA" w:eastAsia="en-CA"/>
              </w:rPr>
              <w:t>60</w:t>
            </w:r>
          </w:p>
        </w:tc>
      </w:tr>
      <w:tr w:rsidR="0029639D" w:rsidRPr="00415876" w14:paraId="61B7D60E"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259F9CA0" w14:textId="52D734E7" w:rsidR="0029639D" w:rsidRPr="00415876" w:rsidRDefault="0029639D" w:rsidP="00120F79">
            <w:pPr>
              <w:jc w:val="right"/>
              <w:rPr>
                <w:kern w:val="22"/>
                <w:szCs w:val="22"/>
                <w:lang w:val="fr-CA" w:eastAsia="en-CA"/>
              </w:rPr>
            </w:pPr>
            <w:r>
              <w:rPr>
                <w:kern w:val="22"/>
                <w:szCs w:val="22"/>
                <w:lang w:val="fr-CA" w:eastAsia="en-CA"/>
              </w:rPr>
              <w:t>74</w:t>
            </w:r>
          </w:p>
        </w:tc>
        <w:tc>
          <w:tcPr>
            <w:tcW w:w="3823" w:type="dxa"/>
            <w:tcBorders>
              <w:top w:val="nil"/>
              <w:left w:val="nil"/>
              <w:bottom w:val="single" w:sz="4" w:space="0" w:color="auto"/>
              <w:right w:val="single" w:sz="4" w:space="0" w:color="auto"/>
            </w:tcBorders>
            <w:shd w:val="clear" w:color="auto" w:fill="auto"/>
            <w:vAlign w:val="center"/>
            <w:hideMark/>
          </w:tcPr>
          <w:p w14:paraId="774867C2" w14:textId="77777777" w:rsidR="0029639D" w:rsidRPr="00415876" w:rsidRDefault="0029639D" w:rsidP="00120F79">
            <w:pPr>
              <w:jc w:val="left"/>
              <w:rPr>
                <w:kern w:val="22"/>
                <w:szCs w:val="22"/>
                <w:lang w:val="fr-CA" w:eastAsia="en-CA"/>
              </w:rPr>
            </w:pPr>
            <w:r>
              <w:rPr>
                <w:kern w:val="22"/>
                <w:szCs w:val="22"/>
                <w:lang w:val="fr-CA" w:eastAsia="en-CA"/>
              </w:rPr>
              <w:t>Mexique</w:t>
            </w:r>
          </w:p>
        </w:tc>
        <w:tc>
          <w:tcPr>
            <w:tcW w:w="1472" w:type="dxa"/>
            <w:tcBorders>
              <w:top w:val="nil"/>
              <w:left w:val="nil"/>
              <w:bottom w:val="single" w:sz="4" w:space="0" w:color="auto"/>
              <w:right w:val="single" w:sz="4" w:space="0" w:color="auto"/>
            </w:tcBorders>
            <w:shd w:val="clear" w:color="auto" w:fill="auto"/>
            <w:vAlign w:val="center"/>
            <w:hideMark/>
          </w:tcPr>
          <w:p w14:paraId="2FC1822D" w14:textId="77777777" w:rsidR="0029639D" w:rsidRPr="00415876" w:rsidRDefault="0029639D" w:rsidP="0029639D">
            <w:pPr>
              <w:ind w:right="144"/>
              <w:jc w:val="right"/>
              <w:rPr>
                <w:kern w:val="22"/>
                <w:szCs w:val="22"/>
                <w:lang w:val="fr-CA" w:eastAsia="en-CA"/>
              </w:rPr>
            </w:pPr>
            <w:r w:rsidRPr="00415876">
              <w:rPr>
                <w:kern w:val="22"/>
                <w:szCs w:val="22"/>
                <w:lang w:val="fr-CA" w:eastAsia="en-CA"/>
              </w:rPr>
              <w:t>1</w:t>
            </w:r>
            <w:r>
              <w:rPr>
                <w:kern w:val="22"/>
                <w:szCs w:val="22"/>
                <w:lang w:val="fr-CA" w:eastAsia="en-CA"/>
              </w:rPr>
              <w:t>,</w:t>
            </w:r>
            <w:r w:rsidRPr="00415876">
              <w:rPr>
                <w:kern w:val="22"/>
                <w:szCs w:val="22"/>
                <w:lang w:val="fr-CA" w:eastAsia="en-CA"/>
              </w:rPr>
              <w:t>292</w:t>
            </w:r>
          </w:p>
        </w:tc>
        <w:tc>
          <w:tcPr>
            <w:tcW w:w="1715" w:type="dxa"/>
            <w:tcBorders>
              <w:top w:val="nil"/>
              <w:left w:val="nil"/>
              <w:bottom w:val="single" w:sz="4" w:space="0" w:color="auto"/>
              <w:right w:val="single" w:sz="4" w:space="0" w:color="auto"/>
            </w:tcBorders>
            <w:shd w:val="clear" w:color="auto" w:fill="auto"/>
            <w:noWrap/>
            <w:vAlign w:val="center"/>
            <w:hideMark/>
          </w:tcPr>
          <w:p w14:paraId="2DABC633" w14:textId="77777777" w:rsidR="0029639D" w:rsidRPr="00415876" w:rsidRDefault="0029639D" w:rsidP="0029639D">
            <w:pPr>
              <w:tabs>
                <w:tab w:val="left" w:pos="1257"/>
              </w:tabs>
              <w:ind w:right="152"/>
              <w:jc w:val="right"/>
              <w:rPr>
                <w:kern w:val="22"/>
                <w:szCs w:val="22"/>
                <w:lang w:val="fr-CA" w:eastAsia="en-CA"/>
              </w:rPr>
            </w:pPr>
            <w:r w:rsidRPr="00415876">
              <w:rPr>
                <w:kern w:val="22"/>
                <w:szCs w:val="22"/>
                <w:lang w:val="fr-CA" w:eastAsia="en-CA"/>
              </w:rPr>
              <w:t>2</w:t>
            </w:r>
            <w:r>
              <w:rPr>
                <w:kern w:val="22"/>
                <w:szCs w:val="22"/>
                <w:lang w:val="fr-CA" w:eastAsia="en-CA"/>
              </w:rPr>
              <w:t>,</w:t>
            </w:r>
            <w:r w:rsidRPr="00415876">
              <w:rPr>
                <w:kern w:val="22"/>
                <w:szCs w:val="22"/>
                <w:lang w:val="fr-CA" w:eastAsia="en-CA"/>
              </w:rPr>
              <w:t>076</w:t>
            </w:r>
          </w:p>
        </w:tc>
        <w:tc>
          <w:tcPr>
            <w:tcW w:w="1715" w:type="dxa"/>
            <w:tcBorders>
              <w:top w:val="nil"/>
              <w:left w:val="nil"/>
              <w:bottom w:val="single" w:sz="4" w:space="0" w:color="auto"/>
              <w:right w:val="single" w:sz="4" w:space="0" w:color="auto"/>
            </w:tcBorders>
            <w:shd w:val="clear" w:color="auto" w:fill="auto"/>
            <w:noWrap/>
            <w:vAlign w:val="center"/>
            <w:hideMark/>
          </w:tcPr>
          <w:p w14:paraId="31DF61CD" w14:textId="77777777" w:rsidR="0029639D" w:rsidRPr="00415876" w:rsidRDefault="0029639D" w:rsidP="0029639D">
            <w:pPr>
              <w:ind w:right="157"/>
              <w:jc w:val="right"/>
              <w:rPr>
                <w:kern w:val="22"/>
                <w:szCs w:val="22"/>
                <w:lang w:val="fr-CA" w:eastAsia="en-CA"/>
              </w:rPr>
            </w:pPr>
            <w:r w:rsidRPr="00415876">
              <w:rPr>
                <w:kern w:val="22"/>
                <w:szCs w:val="22"/>
                <w:lang w:val="fr-CA" w:eastAsia="en-CA"/>
              </w:rPr>
              <w:t>38 947</w:t>
            </w:r>
          </w:p>
        </w:tc>
      </w:tr>
      <w:tr w:rsidR="0029639D" w:rsidRPr="00415876" w14:paraId="4912D4F5"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649BB618" w14:textId="42D20C18" w:rsidR="0029639D" w:rsidRPr="00415876" w:rsidRDefault="0029639D" w:rsidP="00120F79">
            <w:pPr>
              <w:jc w:val="right"/>
              <w:rPr>
                <w:kern w:val="22"/>
                <w:szCs w:val="22"/>
                <w:lang w:val="fr-CA" w:eastAsia="en-CA"/>
              </w:rPr>
            </w:pPr>
            <w:r>
              <w:rPr>
                <w:kern w:val="22"/>
                <w:szCs w:val="22"/>
                <w:lang w:val="fr-CA" w:eastAsia="en-CA"/>
              </w:rPr>
              <w:t>75</w:t>
            </w:r>
          </w:p>
        </w:tc>
        <w:tc>
          <w:tcPr>
            <w:tcW w:w="3823" w:type="dxa"/>
            <w:tcBorders>
              <w:top w:val="nil"/>
              <w:left w:val="nil"/>
              <w:bottom w:val="single" w:sz="4" w:space="0" w:color="auto"/>
              <w:right w:val="single" w:sz="4" w:space="0" w:color="auto"/>
            </w:tcBorders>
            <w:shd w:val="clear" w:color="auto" w:fill="auto"/>
            <w:vAlign w:val="center"/>
            <w:hideMark/>
          </w:tcPr>
          <w:p w14:paraId="44A59CD9" w14:textId="77777777" w:rsidR="0029639D" w:rsidRPr="00415876" w:rsidRDefault="0029639D" w:rsidP="008D5864">
            <w:pPr>
              <w:jc w:val="left"/>
              <w:rPr>
                <w:kern w:val="22"/>
                <w:szCs w:val="22"/>
                <w:lang w:val="fr-CA" w:eastAsia="en-CA"/>
              </w:rPr>
            </w:pPr>
            <w:r>
              <w:rPr>
                <w:kern w:val="22"/>
                <w:szCs w:val="22"/>
                <w:lang w:val="fr-CA" w:eastAsia="en-CA"/>
              </w:rPr>
              <w:t>Microné</w:t>
            </w:r>
            <w:r w:rsidRPr="00415876">
              <w:rPr>
                <w:kern w:val="22"/>
                <w:szCs w:val="22"/>
                <w:lang w:val="fr-CA" w:eastAsia="en-CA"/>
              </w:rPr>
              <w:t>si</w:t>
            </w:r>
            <w:r>
              <w:rPr>
                <w:kern w:val="22"/>
                <w:szCs w:val="22"/>
                <w:lang w:val="fr-CA" w:eastAsia="en-CA"/>
              </w:rPr>
              <w:t>e (États fédérés de</w:t>
            </w:r>
            <w:r w:rsidRPr="00415876">
              <w:rPr>
                <w:kern w:val="22"/>
                <w:szCs w:val="22"/>
                <w:lang w:val="fr-CA" w:eastAsia="en-CA"/>
              </w:rPr>
              <w:t>)</w:t>
            </w:r>
          </w:p>
        </w:tc>
        <w:tc>
          <w:tcPr>
            <w:tcW w:w="1472" w:type="dxa"/>
            <w:tcBorders>
              <w:top w:val="nil"/>
              <w:left w:val="nil"/>
              <w:bottom w:val="single" w:sz="4" w:space="0" w:color="auto"/>
              <w:right w:val="single" w:sz="4" w:space="0" w:color="auto"/>
            </w:tcBorders>
            <w:shd w:val="clear" w:color="auto" w:fill="auto"/>
            <w:vAlign w:val="center"/>
            <w:hideMark/>
          </w:tcPr>
          <w:p w14:paraId="207EFA6A"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001</w:t>
            </w:r>
          </w:p>
        </w:tc>
        <w:tc>
          <w:tcPr>
            <w:tcW w:w="1715" w:type="dxa"/>
            <w:tcBorders>
              <w:top w:val="nil"/>
              <w:left w:val="nil"/>
              <w:bottom w:val="single" w:sz="4" w:space="0" w:color="auto"/>
              <w:right w:val="single" w:sz="4" w:space="0" w:color="auto"/>
            </w:tcBorders>
            <w:shd w:val="clear" w:color="auto" w:fill="auto"/>
            <w:noWrap/>
            <w:vAlign w:val="center"/>
            <w:hideMark/>
          </w:tcPr>
          <w:p w14:paraId="42597638" w14:textId="77777777" w:rsidR="0029639D" w:rsidRPr="00415876" w:rsidRDefault="0029639D" w:rsidP="0029639D">
            <w:pPr>
              <w:ind w:right="152"/>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002</w:t>
            </w:r>
          </w:p>
        </w:tc>
        <w:tc>
          <w:tcPr>
            <w:tcW w:w="1715" w:type="dxa"/>
            <w:tcBorders>
              <w:top w:val="nil"/>
              <w:left w:val="nil"/>
              <w:bottom w:val="single" w:sz="4" w:space="0" w:color="auto"/>
              <w:right w:val="single" w:sz="4" w:space="0" w:color="auto"/>
            </w:tcBorders>
            <w:shd w:val="clear" w:color="auto" w:fill="auto"/>
            <w:noWrap/>
            <w:vAlign w:val="center"/>
            <w:hideMark/>
          </w:tcPr>
          <w:p w14:paraId="7D1927A5" w14:textId="77777777" w:rsidR="0029639D" w:rsidRPr="00415876" w:rsidRDefault="0029639D" w:rsidP="0029639D">
            <w:pPr>
              <w:ind w:right="157"/>
              <w:jc w:val="right"/>
              <w:rPr>
                <w:kern w:val="22"/>
                <w:szCs w:val="22"/>
                <w:lang w:val="fr-CA" w:eastAsia="en-CA"/>
              </w:rPr>
            </w:pPr>
            <w:r w:rsidRPr="00415876">
              <w:rPr>
                <w:kern w:val="22"/>
                <w:szCs w:val="22"/>
                <w:lang w:val="fr-CA" w:eastAsia="en-CA"/>
              </w:rPr>
              <w:t>30</w:t>
            </w:r>
          </w:p>
        </w:tc>
      </w:tr>
      <w:tr w:rsidR="0029639D" w:rsidRPr="00415876" w14:paraId="268F3AE3"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7280AA1F" w14:textId="5C3433A0" w:rsidR="0029639D" w:rsidRPr="00415876" w:rsidRDefault="0029639D" w:rsidP="00120F79">
            <w:pPr>
              <w:jc w:val="right"/>
              <w:rPr>
                <w:kern w:val="22"/>
                <w:szCs w:val="22"/>
                <w:lang w:val="fr-CA" w:eastAsia="en-CA"/>
              </w:rPr>
            </w:pPr>
            <w:r>
              <w:rPr>
                <w:kern w:val="22"/>
                <w:szCs w:val="22"/>
                <w:lang w:val="fr-CA" w:eastAsia="en-CA"/>
              </w:rPr>
              <w:t>76</w:t>
            </w:r>
          </w:p>
        </w:tc>
        <w:tc>
          <w:tcPr>
            <w:tcW w:w="3823" w:type="dxa"/>
            <w:tcBorders>
              <w:top w:val="nil"/>
              <w:left w:val="nil"/>
              <w:bottom w:val="single" w:sz="4" w:space="0" w:color="auto"/>
              <w:right w:val="single" w:sz="4" w:space="0" w:color="auto"/>
            </w:tcBorders>
            <w:shd w:val="clear" w:color="auto" w:fill="auto"/>
            <w:vAlign w:val="center"/>
            <w:hideMark/>
          </w:tcPr>
          <w:p w14:paraId="4D0B4F69" w14:textId="77777777" w:rsidR="0029639D" w:rsidRPr="00415876" w:rsidRDefault="0029639D" w:rsidP="00120F79">
            <w:pPr>
              <w:jc w:val="left"/>
              <w:rPr>
                <w:kern w:val="22"/>
                <w:szCs w:val="22"/>
                <w:lang w:val="fr-CA" w:eastAsia="en-CA"/>
              </w:rPr>
            </w:pPr>
            <w:r>
              <w:rPr>
                <w:kern w:val="22"/>
                <w:szCs w:val="22"/>
                <w:lang w:val="fr-CA" w:eastAsia="en-CA"/>
              </w:rPr>
              <w:t>Mongolie</w:t>
            </w:r>
          </w:p>
        </w:tc>
        <w:tc>
          <w:tcPr>
            <w:tcW w:w="1472" w:type="dxa"/>
            <w:tcBorders>
              <w:top w:val="nil"/>
              <w:left w:val="nil"/>
              <w:bottom w:val="single" w:sz="4" w:space="0" w:color="auto"/>
              <w:right w:val="single" w:sz="4" w:space="0" w:color="auto"/>
            </w:tcBorders>
            <w:shd w:val="clear" w:color="auto" w:fill="auto"/>
            <w:vAlign w:val="center"/>
            <w:hideMark/>
          </w:tcPr>
          <w:p w14:paraId="45F25B91"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005</w:t>
            </w:r>
          </w:p>
        </w:tc>
        <w:tc>
          <w:tcPr>
            <w:tcW w:w="1715" w:type="dxa"/>
            <w:tcBorders>
              <w:top w:val="nil"/>
              <w:left w:val="nil"/>
              <w:bottom w:val="single" w:sz="4" w:space="0" w:color="auto"/>
              <w:right w:val="single" w:sz="4" w:space="0" w:color="auto"/>
            </w:tcBorders>
            <w:shd w:val="clear" w:color="auto" w:fill="auto"/>
            <w:noWrap/>
            <w:vAlign w:val="center"/>
            <w:hideMark/>
          </w:tcPr>
          <w:p w14:paraId="7DAF9D24" w14:textId="77777777" w:rsidR="0029639D" w:rsidRPr="00415876" w:rsidRDefault="0029639D" w:rsidP="0029639D">
            <w:pPr>
              <w:ind w:right="152"/>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008</w:t>
            </w:r>
          </w:p>
        </w:tc>
        <w:tc>
          <w:tcPr>
            <w:tcW w:w="1715" w:type="dxa"/>
            <w:tcBorders>
              <w:top w:val="nil"/>
              <w:left w:val="nil"/>
              <w:bottom w:val="single" w:sz="4" w:space="0" w:color="auto"/>
              <w:right w:val="single" w:sz="4" w:space="0" w:color="auto"/>
            </w:tcBorders>
            <w:shd w:val="clear" w:color="auto" w:fill="auto"/>
            <w:noWrap/>
            <w:vAlign w:val="center"/>
            <w:hideMark/>
          </w:tcPr>
          <w:p w14:paraId="552C7B9E" w14:textId="77777777" w:rsidR="0029639D" w:rsidRPr="00415876" w:rsidRDefault="0029639D" w:rsidP="0029639D">
            <w:pPr>
              <w:ind w:right="157"/>
              <w:jc w:val="right"/>
              <w:rPr>
                <w:kern w:val="22"/>
                <w:szCs w:val="22"/>
                <w:lang w:val="fr-CA" w:eastAsia="en-CA"/>
              </w:rPr>
            </w:pPr>
            <w:r w:rsidRPr="00415876">
              <w:rPr>
                <w:kern w:val="22"/>
                <w:szCs w:val="22"/>
                <w:lang w:val="fr-CA" w:eastAsia="en-CA"/>
              </w:rPr>
              <w:t>151</w:t>
            </w:r>
          </w:p>
        </w:tc>
      </w:tr>
      <w:tr w:rsidR="0029639D" w:rsidRPr="00415876" w14:paraId="64986DC7"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5FD2CBD0" w14:textId="6A034D59" w:rsidR="0029639D" w:rsidRPr="00415876" w:rsidRDefault="0029639D" w:rsidP="00120F79">
            <w:pPr>
              <w:jc w:val="right"/>
              <w:rPr>
                <w:kern w:val="22"/>
                <w:szCs w:val="22"/>
                <w:lang w:val="fr-CA" w:eastAsia="en-CA"/>
              </w:rPr>
            </w:pPr>
            <w:r>
              <w:rPr>
                <w:kern w:val="22"/>
                <w:szCs w:val="22"/>
                <w:lang w:val="fr-CA" w:eastAsia="en-CA"/>
              </w:rPr>
              <w:t>77</w:t>
            </w:r>
          </w:p>
        </w:tc>
        <w:tc>
          <w:tcPr>
            <w:tcW w:w="3823" w:type="dxa"/>
            <w:tcBorders>
              <w:top w:val="nil"/>
              <w:left w:val="nil"/>
              <w:bottom w:val="single" w:sz="4" w:space="0" w:color="auto"/>
              <w:right w:val="single" w:sz="4" w:space="0" w:color="auto"/>
            </w:tcBorders>
            <w:shd w:val="clear" w:color="auto" w:fill="auto"/>
            <w:vAlign w:val="center"/>
            <w:hideMark/>
          </w:tcPr>
          <w:p w14:paraId="34E1D0FE" w14:textId="77777777" w:rsidR="0029639D" w:rsidRPr="00415876" w:rsidRDefault="0029639D" w:rsidP="00120F79">
            <w:pPr>
              <w:jc w:val="left"/>
              <w:rPr>
                <w:kern w:val="22"/>
                <w:szCs w:val="22"/>
                <w:lang w:val="fr-CA" w:eastAsia="en-CA"/>
              </w:rPr>
            </w:pPr>
            <w:r>
              <w:rPr>
                <w:kern w:val="22"/>
                <w:szCs w:val="22"/>
                <w:lang w:val="fr-CA" w:eastAsia="en-CA"/>
              </w:rPr>
              <w:t>Monténé</w:t>
            </w:r>
            <w:r w:rsidRPr="00415876">
              <w:rPr>
                <w:kern w:val="22"/>
                <w:szCs w:val="22"/>
                <w:lang w:val="fr-CA" w:eastAsia="en-CA"/>
              </w:rPr>
              <w:t>gro</w:t>
            </w:r>
          </w:p>
        </w:tc>
        <w:tc>
          <w:tcPr>
            <w:tcW w:w="1472" w:type="dxa"/>
            <w:tcBorders>
              <w:top w:val="nil"/>
              <w:left w:val="nil"/>
              <w:bottom w:val="single" w:sz="4" w:space="0" w:color="auto"/>
              <w:right w:val="single" w:sz="4" w:space="0" w:color="auto"/>
            </w:tcBorders>
            <w:shd w:val="clear" w:color="auto" w:fill="auto"/>
            <w:vAlign w:val="center"/>
            <w:hideMark/>
          </w:tcPr>
          <w:p w14:paraId="561B5F5D"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004</w:t>
            </w:r>
          </w:p>
        </w:tc>
        <w:tc>
          <w:tcPr>
            <w:tcW w:w="1715" w:type="dxa"/>
            <w:tcBorders>
              <w:top w:val="nil"/>
              <w:left w:val="nil"/>
              <w:bottom w:val="single" w:sz="4" w:space="0" w:color="auto"/>
              <w:right w:val="single" w:sz="4" w:space="0" w:color="auto"/>
            </w:tcBorders>
            <w:shd w:val="clear" w:color="auto" w:fill="auto"/>
            <w:noWrap/>
            <w:vAlign w:val="center"/>
            <w:hideMark/>
          </w:tcPr>
          <w:p w14:paraId="73264A60" w14:textId="77777777" w:rsidR="0029639D" w:rsidRPr="00415876" w:rsidRDefault="0029639D" w:rsidP="0029639D">
            <w:pPr>
              <w:ind w:right="152"/>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006</w:t>
            </w:r>
          </w:p>
        </w:tc>
        <w:tc>
          <w:tcPr>
            <w:tcW w:w="1715" w:type="dxa"/>
            <w:tcBorders>
              <w:top w:val="nil"/>
              <w:left w:val="nil"/>
              <w:bottom w:val="single" w:sz="4" w:space="0" w:color="auto"/>
              <w:right w:val="single" w:sz="4" w:space="0" w:color="auto"/>
            </w:tcBorders>
            <w:shd w:val="clear" w:color="auto" w:fill="auto"/>
            <w:noWrap/>
            <w:vAlign w:val="center"/>
            <w:hideMark/>
          </w:tcPr>
          <w:p w14:paraId="1F002BAE" w14:textId="77777777" w:rsidR="0029639D" w:rsidRPr="00415876" w:rsidRDefault="0029639D" w:rsidP="0029639D">
            <w:pPr>
              <w:ind w:right="157"/>
              <w:jc w:val="right"/>
              <w:rPr>
                <w:kern w:val="22"/>
                <w:szCs w:val="22"/>
                <w:lang w:val="fr-CA" w:eastAsia="en-CA"/>
              </w:rPr>
            </w:pPr>
            <w:r w:rsidRPr="00415876">
              <w:rPr>
                <w:kern w:val="22"/>
                <w:szCs w:val="22"/>
                <w:lang w:val="fr-CA" w:eastAsia="en-CA"/>
              </w:rPr>
              <w:t>121</w:t>
            </w:r>
          </w:p>
        </w:tc>
      </w:tr>
      <w:tr w:rsidR="0029639D" w:rsidRPr="00415876" w14:paraId="52850743"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46B854A4" w14:textId="7B7F9118" w:rsidR="0029639D" w:rsidRPr="00415876" w:rsidRDefault="0029639D" w:rsidP="00120F79">
            <w:pPr>
              <w:jc w:val="right"/>
              <w:rPr>
                <w:kern w:val="22"/>
                <w:szCs w:val="22"/>
                <w:lang w:val="fr-CA" w:eastAsia="en-CA"/>
              </w:rPr>
            </w:pPr>
            <w:r>
              <w:rPr>
                <w:kern w:val="22"/>
                <w:szCs w:val="22"/>
                <w:lang w:val="fr-CA" w:eastAsia="en-CA"/>
              </w:rPr>
              <w:t>78</w:t>
            </w:r>
          </w:p>
        </w:tc>
        <w:tc>
          <w:tcPr>
            <w:tcW w:w="3823" w:type="dxa"/>
            <w:tcBorders>
              <w:top w:val="nil"/>
              <w:left w:val="nil"/>
              <w:bottom w:val="single" w:sz="4" w:space="0" w:color="auto"/>
              <w:right w:val="single" w:sz="4" w:space="0" w:color="auto"/>
            </w:tcBorders>
            <w:shd w:val="clear" w:color="auto" w:fill="auto"/>
            <w:vAlign w:val="center"/>
            <w:hideMark/>
          </w:tcPr>
          <w:p w14:paraId="28940041" w14:textId="77777777" w:rsidR="0029639D" w:rsidRPr="00415876" w:rsidRDefault="0029639D" w:rsidP="00120F79">
            <w:pPr>
              <w:jc w:val="left"/>
              <w:rPr>
                <w:kern w:val="22"/>
                <w:szCs w:val="22"/>
                <w:lang w:val="fr-CA" w:eastAsia="en-CA"/>
              </w:rPr>
            </w:pPr>
            <w:r w:rsidRPr="00415876">
              <w:rPr>
                <w:kern w:val="22"/>
                <w:szCs w:val="22"/>
                <w:lang w:val="fr-CA" w:eastAsia="en-CA"/>
              </w:rPr>
              <w:t>Mozambique</w:t>
            </w:r>
          </w:p>
        </w:tc>
        <w:tc>
          <w:tcPr>
            <w:tcW w:w="1472" w:type="dxa"/>
            <w:tcBorders>
              <w:top w:val="nil"/>
              <w:left w:val="nil"/>
              <w:bottom w:val="single" w:sz="4" w:space="0" w:color="auto"/>
              <w:right w:val="single" w:sz="4" w:space="0" w:color="auto"/>
            </w:tcBorders>
            <w:shd w:val="clear" w:color="auto" w:fill="auto"/>
            <w:vAlign w:val="center"/>
            <w:hideMark/>
          </w:tcPr>
          <w:p w14:paraId="50DA8DF0"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004</w:t>
            </w:r>
          </w:p>
        </w:tc>
        <w:tc>
          <w:tcPr>
            <w:tcW w:w="1715" w:type="dxa"/>
            <w:tcBorders>
              <w:top w:val="nil"/>
              <w:left w:val="nil"/>
              <w:bottom w:val="single" w:sz="4" w:space="0" w:color="auto"/>
              <w:right w:val="single" w:sz="4" w:space="0" w:color="auto"/>
            </w:tcBorders>
            <w:shd w:val="clear" w:color="auto" w:fill="auto"/>
            <w:noWrap/>
            <w:vAlign w:val="center"/>
            <w:hideMark/>
          </w:tcPr>
          <w:p w14:paraId="6B83FF3C" w14:textId="77777777" w:rsidR="0029639D" w:rsidRPr="00415876" w:rsidRDefault="0029639D" w:rsidP="0029639D">
            <w:pPr>
              <w:ind w:right="152"/>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006</w:t>
            </w:r>
          </w:p>
        </w:tc>
        <w:tc>
          <w:tcPr>
            <w:tcW w:w="1715" w:type="dxa"/>
            <w:tcBorders>
              <w:top w:val="nil"/>
              <w:left w:val="nil"/>
              <w:bottom w:val="single" w:sz="4" w:space="0" w:color="auto"/>
              <w:right w:val="single" w:sz="4" w:space="0" w:color="auto"/>
            </w:tcBorders>
            <w:shd w:val="clear" w:color="auto" w:fill="auto"/>
            <w:noWrap/>
            <w:vAlign w:val="center"/>
            <w:hideMark/>
          </w:tcPr>
          <w:p w14:paraId="41E392D7" w14:textId="77777777" w:rsidR="0029639D" w:rsidRPr="00415876" w:rsidRDefault="0029639D" w:rsidP="0029639D">
            <w:pPr>
              <w:ind w:right="157"/>
              <w:jc w:val="right"/>
              <w:rPr>
                <w:kern w:val="22"/>
                <w:szCs w:val="22"/>
                <w:lang w:val="fr-CA" w:eastAsia="en-CA"/>
              </w:rPr>
            </w:pPr>
            <w:r w:rsidRPr="00415876">
              <w:rPr>
                <w:kern w:val="22"/>
                <w:szCs w:val="22"/>
                <w:lang w:val="fr-CA" w:eastAsia="en-CA"/>
              </w:rPr>
              <w:t>121</w:t>
            </w:r>
          </w:p>
        </w:tc>
      </w:tr>
      <w:tr w:rsidR="0029639D" w:rsidRPr="00415876" w14:paraId="0BE23840"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54748847" w14:textId="3A288A0D" w:rsidR="0029639D" w:rsidRPr="00415876" w:rsidRDefault="0029639D" w:rsidP="00120F79">
            <w:pPr>
              <w:jc w:val="right"/>
              <w:rPr>
                <w:kern w:val="22"/>
                <w:szCs w:val="22"/>
                <w:lang w:val="fr-CA" w:eastAsia="en-CA"/>
              </w:rPr>
            </w:pPr>
            <w:r>
              <w:rPr>
                <w:kern w:val="22"/>
                <w:szCs w:val="22"/>
                <w:lang w:val="fr-CA" w:eastAsia="en-CA"/>
              </w:rPr>
              <w:t>79</w:t>
            </w:r>
          </w:p>
        </w:tc>
        <w:tc>
          <w:tcPr>
            <w:tcW w:w="3823" w:type="dxa"/>
            <w:tcBorders>
              <w:top w:val="nil"/>
              <w:left w:val="nil"/>
              <w:bottom w:val="single" w:sz="4" w:space="0" w:color="auto"/>
              <w:right w:val="single" w:sz="4" w:space="0" w:color="auto"/>
            </w:tcBorders>
            <w:shd w:val="clear" w:color="auto" w:fill="auto"/>
            <w:vAlign w:val="center"/>
            <w:hideMark/>
          </w:tcPr>
          <w:p w14:paraId="159CFE10" w14:textId="77777777" w:rsidR="0029639D" w:rsidRPr="00415876" w:rsidRDefault="0029639D" w:rsidP="00120F79">
            <w:pPr>
              <w:jc w:val="left"/>
              <w:rPr>
                <w:kern w:val="22"/>
                <w:szCs w:val="22"/>
                <w:lang w:val="fr-CA" w:eastAsia="en-CA"/>
              </w:rPr>
            </w:pPr>
            <w:r w:rsidRPr="00415876">
              <w:rPr>
                <w:kern w:val="22"/>
                <w:szCs w:val="22"/>
                <w:lang w:val="fr-CA" w:eastAsia="en-CA"/>
              </w:rPr>
              <w:t>Myanmar</w:t>
            </w:r>
          </w:p>
        </w:tc>
        <w:tc>
          <w:tcPr>
            <w:tcW w:w="1472" w:type="dxa"/>
            <w:tcBorders>
              <w:top w:val="nil"/>
              <w:left w:val="nil"/>
              <w:bottom w:val="single" w:sz="4" w:space="0" w:color="auto"/>
              <w:right w:val="single" w:sz="4" w:space="0" w:color="auto"/>
            </w:tcBorders>
            <w:shd w:val="clear" w:color="auto" w:fill="auto"/>
            <w:vAlign w:val="center"/>
            <w:hideMark/>
          </w:tcPr>
          <w:p w14:paraId="42CB5F5D"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010</w:t>
            </w:r>
          </w:p>
        </w:tc>
        <w:tc>
          <w:tcPr>
            <w:tcW w:w="1715" w:type="dxa"/>
            <w:tcBorders>
              <w:top w:val="nil"/>
              <w:left w:val="nil"/>
              <w:bottom w:val="single" w:sz="4" w:space="0" w:color="auto"/>
              <w:right w:val="single" w:sz="4" w:space="0" w:color="auto"/>
            </w:tcBorders>
            <w:shd w:val="clear" w:color="auto" w:fill="auto"/>
            <w:noWrap/>
            <w:vAlign w:val="center"/>
            <w:hideMark/>
          </w:tcPr>
          <w:p w14:paraId="0F164B6E" w14:textId="77777777" w:rsidR="0029639D" w:rsidRPr="00415876" w:rsidRDefault="0029639D" w:rsidP="0029639D">
            <w:pPr>
              <w:tabs>
                <w:tab w:val="left" w:pos="1257"/>
              </w:tabs>
              <w:ind w:right="288"/>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010</w:t>
            </w:r>
          </w:p>
        </w:tc>
        <w:tc>
          <w:tcPr>
            <w:tcW w:w="1715" w:type="dxa"/>
            <w:tcBorders>
              <w:top w:val="nil"/>
              <w:left w:val="nil"/>
              <w:bottom w:val="single" w:sz="4" w:space="0" w:color="auto"/>
              <w:right w:val="single" w:sz="4" w:space="0" w:color="auto"/>
            </w:tcBorders>
            <w:shd w:val="clear" w:color="auto" w:fill="auto"/>
            <w:noWrap/>
            <w:vAlign w:val="center"/>
            <w:hideMark/>
          </w:tcPr>
          <w:p w14:paraId="655869DD" w14:textId="77777777" w:rsidR="0029639D" w:rsidRPr="00415876" w:rsidRDefault="0029639D" w:rsidP="0029639D">
            <w:pPr>
              <w:tabs>
                <w:tab w:val="left" w:pos="1203"/>
              </w:tabs>
              <w:ind w:right="288"/>
              <w:jc w:val="right"/>
              <w:rPr>
                <w:kern w:val="22"/>
                <w:szCs w:val="22"/>
                <w:lang w:val="fr-CA" w:eastAsia="en-CA"/>
              </w:rPr>
            </w:pPr>
            <w:r w:rsidRPr="00415876">
              <w:rPr>
                <w:kern w:val="22"/>
                <w:szCs w:val="22"/>
                <w:lang w:val="fr-CA" w:eastAsia="en-CA"/>
              </w:rPr>
              <w:t>188</w:t>
            </w:r>
          </w:p>
        </w:tc>
      </w:tr>
      <w:tr w:rsidR="0029639D" w:rsidRPr="00415876" w14:paraId="219EE18F"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0094B77C" w14:textId="30303419" w:rsidR="0029639D" w:rsidRPr="00415876" w:rsidRDefault="0029639D" w:rsidP="00120F79">
            <w:pPr>
              <w:jc w:val="right"/>
              <w:rPr>
                <w:kern w:val="22"/>
                <w:szCs w:val="22"/>
                <w:lang w:val="fr-CA" w:eastAsia="en-CA"/>
              </w:rPr>
            </w:pPr>
            <w:r>
              <w:rPr>
                <w:kern w:val="22"/>
                <w:szCs w:val="22"/>
                <w:lang w:val="fr-CA" w:eastAsia="en-CA"/>
              </w:rPr>
              <w:t>80</w:t>
            </w:r>
          </w:p>
        </w:tc>
        <w:tc>
          <w:tcPr>
            <w:tcW w:w="3823" w:type="dxa"/>
            <w:tcBorders>
              <w:top w:val="nil"/>
              <w:left w:val="nil"/>
              <w:bottom w:val="single" w:sz="4" w:space="0" w:color="auto"/>
              <w:right w:val="single" w:sz="4" w:space="0" w:color="auto"/>
            </w:tcBorders>
            <w:shd w:val="clear" w:color="auto" w:fill="auto"/>
            <w:vAlign w:val="center"/>
            <w:hideMark/>
          </w:tcPr>
          <w:p w14:paraId="644FC76B" w14:textId="77777777" w:rsidR="0029639D" w:rsidRPr="00415876" w:rsidRDefault="0029639D" w:rsidP="008D5864">
            <w:pPr>
              <w:jc w:val="left"/>
              <w:rPr>
                <w:kern w:val="22"/>
                <w:szCs w:val="22"/>
                <w:lang w:val="fr-CA" w:eastAsia="en-CA"/>
              </w:rPr>
            </w:pPr>
            <w:r w:rsidRPr="00415876">
              <w:rPr>
                <w:kern w:val="22"/>
                <w:szCs w:val="22"/>
                <w:lang w:val="fr-CA" w:eastAsia="en-CA"/>
              </w:rPr>
              <w:t>Namibi</w:t>
            </w:r>
            <w:r>
              <w:rPr>
                <w:kern w:val="22"/>
                <w:szCs w:val="22"/>
                <w:lang w:val="fr-CA" w:eastAsia="en-CA"/>
              </w:rPr>
              <w:t>e</w:t>
            </w:r>
          </w:p>
        </w:tc>
        <w:tc>
          <w:tcPr>
            <w:tcW w:w="1472" w:type="dxa"/>
            <w:tcBorders>
              <w:top w:val="nil"/>
              <w:left w:val="nil"/>
              <w:bottom w:val="single" w:sz="4" w:space="0" w:color="auto"/>
              <w:right w:val="single" w:sz="4" w:space="0" w:color="auto"/>
            </w:tcBorders>
            <w:shd w:val="clear" w:color="auto" w:fill="auto"/>
            <w:vAlign w:val="center"/>
            <w:hideMark/>
          </w:tcPr>
          <w:p w14:paraId="63A236A0"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009</w:t>
            </w:r>
          </w:p>
        </w:tc>
        <w:tc>
          <w:tcPr>
            <w:tcW w:w="1715" w:type="dxa"/>
            <w:tcBorders>
              <w:top w:val="nil"/>
              <w:left w:val="nil"/>
              <w:bottom w:val="single" w:sz="4" w:space="0" w:color="auto"/>
              <w:right w:val="single" w:sz="4" w:space="0" w:color="auto"/>
            </w:tcBorders>
            <w:shd w:val="clear" w:color="auto" w:fill="auto"/>
            <w:noWrap/>
            <w:vAlign w:val="center"/>
            <w:hideMark/>
          </w:tcPr>
          <w:p w14:paraId="61168CDD" w14:textId="77777777" w:rsidR="0029639D" w:rsidRPr="00415876" w:rsidRDefault="0029639D" w:rsidP="0029639D">
            <w:pPr>
              <w:tabs>
                <w:tab w:val="left" w:pos="1257"/>
              </w:tabs>
              <w:ind w:right="288"/>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014</w:t>
            </w:r>
          </w:p>
        </w:tc>
        <w:tc>
          <w:tcPr>
            <w:tcW w:w="1715" w:type="dxa"/>
            <w:tcBorders>
              <w:top w:val="nil"/>
              <w:left w:val="nil"/>
              <w:bottom w:val="single" w:sz="4" w:space="0" w:color="auto"/>
              <w:right w:val="single" w:sz="4" w:space="0" w:color="auto"/>
            </w:tcBorders>
            <w:shd w:val="clear" w:color="auto" w:fill="auto"/>
            <w:noWrap/>
            <w:vAlign w:val="center"/>
            <w:hideMark/>
          </w:tcPr>
          <w:p w14:paraId="3926D3FA" w14:textId="77777777" w:rsidR="0029639D" w:rsidRPr="00415876" w:rsidRDefault="0029639D" w:rsidP="0029639D">
            <w:pPr>
              <w:tabs>
                <w:tab w:val="left" w:pos="1203"/>
              </w:tabs>
              <w:ind w:right="288"/>
              <w:jc w:val="right"/>
              <w:rPr>
                <w:kern w:val="22"/>
                <w:szCs w:val="22"/>
                <w:lang w:val="fr-CA" w:eastAsia="en-CA"/>
              </w:rPr>
            </w:pPr>
            <w:r w:rsidRPr="00415876">
              <w:rPr>
                <w:kern w:val="22"/>
                <w:szCs w:val="22"/>
                <w:lang w:val="fr-CA" w:eastAsia="en-CA"/>
              </w:rPr>
              <w:t>271</w:t>
            </w:r>
          </w:p>
        </w:tc>
      </w:tr>
      <w:tr w:rsidR="0029639D" w:rsidRPr="00415876" w14:paraId="1F761A30"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673FE637" w14:textId="1BC580C9" w:rsidR="0029639D" w:rsidRPr="00415876" w:rsidRDefault="0029639D" w:rsidP="00120F79">
            <w:pPr>
              <w:jc w:val="right"/>
              <w:rPr>
                <w:kern w:val="22"/>
                <w:szCs w:val="22"/>
                <w:lang w:val="fr-CA" w:eastAsia="en-CA"/>
              </w:rPr>
            </w:pPr>
            <w:r>
              <w:rPr>
                <w:kern w:val="22"/>
                <w:szCs w:val="22"/>
                <w:lang w:val="fr-CA" w:eastAsia="en-CA"/>
              </w:rPr>
              <w:t>81</w:t>
            </w:r>
          </w:p>
        </w:tc>
        <w:tc>
          <w:tcPr>
            <w:tcW w:w="3823" w:type="dxa"/>
            <w:tcBorders>
              <w:top w:val="nil"/>
              <w:left w:val="nil"/>
              <w:bottom w:val="single" w:sz="4" w:space="0" w:color="auto"/>
              <w:right w:val="single" w:sz="4" w:space="0" w:color="auto"/>
            </w:tcBorders>
            <w:shd w:val="clear" w:color="auto" w:fill="auto"/>
            <w:vAlign w:val="center"/>
            <w:hideMark/>
          </w:tcPr>
          <w:p w14:paraId="196FBFD3" w14:textId="77777777" w:rsidR="0029639D" w:rsidRPr="00415876" w:rsidRDefault="0029639D" w:rsidP="00120F79">
            <w:pPr>
              <w:jc w:val="left"/>
              <w:rPr>
                <w:kern w:val="22"/>
                <w:szCs w:val="22"/>
                <w:lang w:val="fr-CA" w:eastAsia="en-CA"/>
              </w:rPr>
            </w:pPr>
            <w:r>
              <w:rPr>
                <w:kern w:val="22"/>
                <w:szCs w:val="22"/>
                <w:lang w:val="fr-CA" w:eastAsia="en-CA"/>
              </w:rPr>
              <w:t>Né</w:t>
            </w:r>
            <w:r w:rsidRPr="00415876">
              <w:rPr>
                <w:kern w:val="22"/>
                <w:szCs w:val="22"/>
                <w:lang w:val="fr-CA" w:eastAsia="en-CA"/>
              </w:rPr>
              <w:t>pal</w:t>
            </w:r>
          </w:p>
        </w:tc>
        <w:tc>
          <w:tcPr>
            <w:tcW w:w="1472" w:type="dxa"/>
            <w:tcBorders>
              <w:top w:val="nil"/>
              <w:left w:val="nil"/>
              <w:bottom w:val="single" w:sz="4" w:space="0" w:color="auto"/>
              <w:right w:val="single" w:sz="4" w:space="0" w:color="auto"/>
            </w:tcBorders>
            <w:shd w:val="clear" w:color="auto" w:fill="auto"/>
            <w:vAlign w:val="center"/>
            <w:hideMark/>
          </w:tcPr>
          <w:p w14:paraId="6F1EAE15"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007</w:t>
            </w:r>
          </w:p>
        </w:tc>
        <w:tc>
          <w:tcPr>
            <w:tcW w:w="1715" w:type="dxa"/>
            <w:tcBorders>
              <w:top w:val="nil"/>
              <w:left w:val="nil"/>
              <w:bottom w:val="single" w:sz="4" w:space="0" w:color="auto"/>
              <w:right w:val="single" w:sz="4" w:space="0" w:color="auto"/>
            </w:tcBorders>
            <w:shd w:val="clear" w:color="auto" w:fill="auto"/>
            <w:noWrap/>
            <w:vAlign w:val="center"/>
            <w:hideMark/>
          </w:tcPr>
          <w:p w14:paraId="070950D2" w14:textId="77777777" w:rsidR="0029639D" w:rsidRPr="00415876" w:rsidRDefault="0029639D" w:rsidP="0029639D">
            <w:pPr>
              <w:tabs>
                <w:tab w:val="left" w:pos="1257"/>
              </w:tabs>
              <w:ind w:right="288"/>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010</w:t>
            </w:r>
          </w:p>
        </w:tc>
        <w:tc>
          <w:tcPr>
            <w:tcW w:w="1715" w:type="dxa"/>
            <w:tcBorders>
              <w:top w:val="nil"/>
              <w:left w:val="nil"/>
              <w:bottom w:val="single" w:sz="4" w:space="0" w:color="auto"/>
              <w:right w:val="single" w:sz="4" w:space="0" w:color="auto"/>
            </w:tcBorders>
            <w:shd w:val="clear" w:color="auto" w:fill="auto"/>
            <w:noWrap/>
            <w:vAlign w:val="center"/>
            <w:hideMark/>
          </w:tcPr>
          <w:p w14:paraId="0B6E3F11" w14:textId="77777777" w:rsidR="0029639D" w:rsidRPr="00415876" w:rsidRDefault="0029639D" w:rsidP="0029639D">
            <w:pPr>
              <w:tabs>
                <w:tab w:val="left" w:pos="1203"/>
              </w:tabs>
              <w:ind w:right="288"/>
              <w:jc w:val="right"/>
              <w:rPr>
                <w:kern w:val="22"/>
                <w:szCs w:val="22"/>
                <w:lang w:val="fr-CA" w:eastAsia="en-CA"/>
              </w:rPr>
            </w:pPr>
            <w:r w:rsidRPr="00415876">
              <w:rPr>
                <w:kern w:val="22"/>
                <w:szCs w:val="22"/>
                <w:lang w:val="fr-CA" w:eastAsia="en-CA"/>
              </w:rPr>
              <w:t>188</w:t>
            </w:r>
          </w:p>
        </w:tc>
      </w:tr>
      <w:tr w:rsidR="0029639D" w:rsidRPr="00415876" w14:paraId="7B1E4919"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10D760F5" w14:textId="729C819B" w:rsidR="0029639D" w:rsidRPr="00415876" w:rsidRDefault="0029639D" w:rsidP="00120F79">
            <w:pPr>
              <w:jc w:val="right"/>
              <w:rPr>
                <w:kern w:val="22"/>
                <w:szCs w:val="22"/>
                <w:lang w:val="fr-CA" w:eastAsia="en-CA"/>
              </w:rPr>
            </w:pPr>
            <w:r>
              <w:rPr>
                <w:kern w:val="22"/>
                <w:szCs w:val="22"/>
                <w:lang w:val="fr-CA" w:eastAsia="en-CA"/>
              </w:rPr>
              <w:t>82</w:t>
            </w:r>
          </w:p>
        </w:tc>
        <w:tc>
          <w:tcPr>
            <w:tcW w:w="3823" w:type="dxa"/>
            <w:tcBorders>
              <w:top w:val="nil"/>
              <w:left w:val="nil"/>
              <w:bottom w:val="single" w:sz="4" w:space="0" w:color="auto"/>
              <w:right w:val="single" w:sz="4" w:space="0" w:color="auto"/>
            </w:tcBorders>
            <w:shd w:val="clear" w:color="auto" w:fill="auto"/>
            <w:vAlign w:val="center"/>
            <w:hideMark/>
          </w:tcPr>
          <w:p w14:paraId="31AF4F5A" w14:textId="77777777" w:rsidR="0029639D" w:rsidRPr="00415876" w:rsidRDefault="0029639D" w:rsidP="00120F79">
            <w:pPr>
              <w:jc w:val="left"/>
              <w:rPr>
                <w:kern w:val="22"/>
                <w:szCs w:val="22"/>
                <w:lang w:val="fr-CA" w:eastAsia="en-CA"/>
              </w:rPr>
            </w:pPr>
            <w:r w:rsidRPr="00415876">
              <w:rPr>
                <w:kern w:val="22"/>
                <w:szCs w:val="22"/>
                <w:lang w:val="fr-CA" w:eastAsia="en-CA"/>
              </w:rPr>
              <w:t>Nicaragua</w:t>
            </w:r>
          </w:p>
        </w:tc>
        <w:tc>
          <w:tcPr>
            <w:tcW w:w="1472" w:type="dxa"/>
            <w:tcBorders>
              <w:top w:val="nil"/>
              <w:left w:val="nil"/>
              <w:bottom w:val="single" w:sz="4" w:space="0" w:color="auto"/>
              <w:right w:val="single" w:sz="4" w:space="0" w:color="auto"/>
            </w:tcBorders>
            <w:shd w:val="clear" w:color="auto" w:fill="auto"/>
            <w:vAlign w:val="center"/>
            <w:hideMark/>
          </w:tcPr>
          <w:p w14:paraId="2D83F9F3"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005</w:t>
            </w:r>
          </w:p>
        </w:tc>
        <w:tc>
          <w:tcPr>
            <w:tcW w:w="1715" w:type="dxa"/>
            <w:tcBorders>
              <w:top w:val="nil"/>
              <w:left w:val="nil"/>
              <w:bottom w:val="single" w:sz="4" w:space="0" w:color="auto"/>
              <w:right w:val="single" w:sz="4" w:space="0" w:color="auto"/>
            </w:tcBorders>
            <w:shd w:val="clear" w:color="auto" w:fill="auto"/>
            <w:noWrap/>
            <w:vAlign w:val="center"/>
            <w:hideMark/>
          </w:tcPr>
          <w:p w14:paraId="3B18B957" w14:textId="77777777" w:rsidR="0029639D" w:rsidRPr="00415876" w:rsidRDefault="0029639D" w:rsidP="0029639D">
            <w:pPr>
              <w:tabs>
                <w:tab w:val="left" w:pos="1257"/>
              </w:tabs>
              <w:ind w:right="288"/>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008</w:t>
            </w:r>
          </w:p>
        </w:tc>
        <w:tc>
          <w:tcPr>
            <w:tcW w:w="1715" w:type="dxa"/>
            <w:tcBorders>
              <w:top w:val="nil"/>
              <w:left w:val="nil"/>
              <w:bottom w:val="single" w:sz="4" w:space="0" w:color="auto"/>
              <w:right w:val="single" w:sz="4" w:space="0" w:color="auto"/>
            </w:tcBorders>
            <w:shd w:val="clear" w:color="auto" w:fill="auto"/>
            <w:noWrap/>
            <w:vAlign w:val="center"/>
            <w:hideMark/>
          </w:tcPr>
          <w:p w14:paraId="3E8B252F" w14:textId="77777777" w:rsidR="0029639D" w:rsidRPr="00415876" w:rsidRDefault="0029639D" w:rsidP="0029639D">
            <w:pPr>
              <w:tabs>
                <w:tab w:val="left" w:pos="1203"/>
              </w:tabs>
              <w:ind w:right="288"/>
              <w:jc w:val="right"/>
              <w:rPr>
                <w:kern w:val="22"/>
                <w:szCs w:val="22"/>
                <w:lang w:val="fr-CA" w:eastAsia="en-CA"/>
              </w:rPr>
            </w:pPr>
            <w:r w:rsidRPr="00415876">
              <w:rPr>
                <w:kern w:val="22"/>
                <w:szCs w:val="22"/>
                <w:lang w:val="fr-CA" w:eastAsia="en-CA"/>
              </w:rPr>
              <w:t>151</w:t>
            </w:r>
          </w:p>
        </w:tc>
      </w:tr>
      <w:tr w:rsidR="0029639D" w:rsidRPr="00415876" w14:paraId="41EE090E"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53E739CB" w14:textId="1FF27A9C" w:rsidR="0029639D" w:rsidRPr="00415876" w:rsidRDefault="0029639D" w:rsidP="00120F79">
            <w:pPr>
              <w:jc w:val="right"/>
              <w:rPr>
                <w:kern w:val="22"/>
                <w:szCs w:val="22"/>
                <w:lang w:val="fr-CA" w:eastAsia="en-CA"/>
              </w:rPr>
            </w:pPr>
            <w:r>
              <w:rPr>
                <w:kern w:val="22"/>
                <w:szCs w:val="22"/>
                <w:lang w:val="fr-CA" w:eastAsia="en-CA"/>
              </w:rPr>
              <w:t>83</w:t>
            </w:r>
          </w:p>
        </w:tc>
        <w:tc>
          <w:tcPr>
            <w:tcW w:w="3823" w:type="dxa"/>
            <w:tcBorders>
              <w:top w:val="nil"/>
              <w:left w:val="nil"/>
              <w:bottom w:val="single" w:sz="4" w:space="0" w:color="auto"/>
              <w:right w:val="single" w:sz="4" w:space="0" w:color="auto"/>
            </w:tcBorders>
            <w:shd w:val="clear" w:color="auto" w:fill="auto"/>
            <w:vAlign w:val="center"/>
            <w:hideMark/>
          </w:tcPr>
          <w:p w14:paraId="68A1085F" w14:textId="77777777" w:rsidR="0029639D" w:rsidRPr="00415876" w:rsidRDefault="0029639D" w:rsidP="00120F79">
            <w:pPr>
              <w:jc w:val="left"/>
              <w:rPr>
                <w:kern w:val="22"/>
                <w:szCs w:val="22"/>
                <w:lang w:val="fr-CA" w:eastAsia="en-CA"/>
              </w:rPr>
            </w:pPr>
            <w:r w:rsidRPr="00415876">
              <w:rPr>
                <w:kern w:val="22"/>
                <w:szCs w:val="22"/>
                <w:lang w:val="fr-CA" w:eastAsia="en-CA"/>
              </w:rPr>
              <w:t>Niger</w:t>
            </w:r>
          </w:p>
        </w:tc>
        <w:tc>
          <w:tcPr>
            <w:tcW w:w="1472" w:type="dxa"/>
            <w:tcBorders>
              <w:top w:val="nil"/>
              <w:left w:val="nil"/>
              <w:bottom w:val="single" w:sz="4" w:space="0" w:color="auto"/>
              <w:right w:val="single" w:sz="4" w:space="0" w:color="auto"/>
            </w:tcBorders>
            <w:shd w:val="clear" w:color="auto" w:fill="auto"/>
            <w:vAlign w:val="center"/>
            <w:hideMark/>
          </w:tcPr>
          <w:p w14:paraId="04CB065F"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002</w:t>
            </w:r>
          </w:p>
        </w:tc>
        <w:tc>
          <w:tcPr>
            <w:tcW w:w="1715" w:type="dxa"/>
            <w:tcBorders>
              <w:top w:val="nil"/>
              <w:left w:val="nil"/>
              <w:bottom w:val="single" w:sz="4" w:space="0" w:color="auto"/>
              <w:right w:val="single" w:sz="4" w:space="0" w:color="auto"/>
            </w:tcBorders>
            <w:shd w:val="clear" w:color="auto" w:fill="auto"/>
            <w:noWrap/>
            <w:vAlign w:val="center"/>
            <w:hideMark/>
          </w:tcPr>
          <w:p w14:paraId="7BC02687" w14:textId="77777777" w:rsidR="0029639D" w:rsidRPr="00415876" w:rsidRDefault="0029639D" w:rsidP="0029639D">
            <w:pPr>
              <w:tabs>
                <w:tab w:val="left" w:pos="1257"/>
              </w:tabs>
              <w:ind w:right="288"/>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003</w:t>
            </w:r>
          </w:p>
        </w:tc>
        <w:tc>
          <w:tcPr>
            <w:tcW w:w="1715" w:type="dxa"/>
            <w:tcBorders>
              <w:top w:val="nil"/>
              <w:left w:val="nil"/>
              <w:bottom w:val="single" w:sz="4" w:space="0" w:color="auto"/>
              <w:right w:val="single" w:sz="4" w:space="0" w:color="auto"/>
            </w:tcBorders>
            <w:shd w:val="clear" w:color="auto" w:fill="auto"/>
            <w:noWrap/>
            <w:vAlign w:val="center"/>
            <w:hideMark/>
          </w:tcPr>
          <w:p w14:paraId="1592F5D7" w14:textId="77777777" w:rsidR="0029639D" w:rsidRPr="00415876" w:rsidRDefault="0029639D" w:rsidP="0029639D">
            <w:pPr>
              <w:tabs>
                <w:tab w:val="left" w:pos="1203"/>
              </w:tabs>
              <w:ind w:right="288"/>
              <w:jc w:val="right"/>
              <w:rPr>
                <w:kern w:val="22"/>
                <w:szCs w:val="22"/>
                <w:lang w:val="fr-CA" w:eastAsia="en-CA"/>
              </w:rPr>
            </w:pPr>
            <w:r w:rsidRPr="00415876">
              <w:rPr>
                <w:kern w:val="22"/>
                <w:szCs w:val="22"/>
                <w:lang w:val="fr-CA" w:eastAsia="en-CA"/>
              </w:rPr>
              <w:t>60</w:t>
            </w:r>
          </w:p>
        </w:tc>
      </w:tr>
      <w:tr w:rsidR="0029639D" w:rsidRPr="00415876" w14:paraId="447E6D7D"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63DE30A8" w14:textId="71B6502E" w:rsidR="0029639D" w:rsidRPr="00415876" w:rsidRDefault="0029639D" w:rsidP="00120F79">
            <w:pPr>
              <w:jc w:val="right"/>
              <w:rPr>
                <w:kern w:val="22"/>
                <w:szCs w:val="22"/>
                <w:lang w:val="fr-CA" w:eastAsia="en-CA"/>
              </w:rPr>
            </w:pPr>
            <w:r>
              <w:rPr>
                <w:kern w:val="22"/>
                <w:szCs w:val="22"/>
                <w:lang w:val="fr-CA" w:eastAsia="en-CA"/>
              </w:rPr>
              <w:t>84</w:t>
            </w:r>
          </w:p>
        </w:tc>
        <w:tc>
          <w:tcPr>
            <w:tcW w:w="3823" w:type="dxa"/>
            <w:tcBorders>
              <w:top w:val="nil"/>
              <w:left w:val="nil"/>
              <w:bottom w:val="single" w:sz="4" w:space="0" w:color="auto"/>
              <w:right w:val="single" w:sz="4" w:space="0" w:color="auto"/>
            </w:tcBorders>
            <w:shd w:val="clear" w:color="auto" w:fill="auto"/>
            <w:vAlign w:val="center"/>
            <w:hideMark/>
          </w:tcPr>
          <w:p w14:paraId="5DFD7D50" w14:textId="77777777" w:rsidR="0029639D" w:rsidRPr="00415876" w:rsidRDefault="0029639D" w:rsidP="00120F79">
            <w:pPr>
              <w:jc w:val="left"/>
              <w:rPr>
                <w:kern w:val="22"/>
                <w:szCs w:val="22"/>
                <w:lang w:val="fr-CA" w:eastAsia="en-CA"/>
              </w:rPr>
            </w:pPr>
            <w:r>
              <w:rPr>
                <w:kern w:val="22"/>
                <w:szCs w:val="22"/>
                <w:lang w:val="fr-CA" w:eastAsia="en-CA"/>
              </w:rPr>
              <w:t>Norvège</w:t>
            </w:r>
          </w:p>
        </w:tc>
        <w:tc>
          <w:tcPr>
            <w:tcW w:w="1472" w:type="dxa"/>
            <w:tcBorders>
              <w:top w:val="nil"/>
              <w:left w:val="nil"/>
              <w:bottom w:val="single" w:sz="4" w:space="0" w:color="auto"/>
              <w:right w:val="single" w:sz="4" w:space="0" w:color="auto"/>
            </w:tcBorders>
            <w:shd w:val="clear" w:color="auto" w:fill="auto"/>
            <w:vAlign w:val="center"/>
            <w:hideMark/>
          </w:tcPr>
          <w:p w14:paraId="60BD4F8F"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754</w:t>
            </w:r>
          </w:p>
        </w:tc>
        <w:tc>
          <w:tcPr>
            <w:tcW w:w="1715" w:type="dxa"/>
            <w:tcBorders>
              <w:top w:val="nil"/>
              <w:left w:val="nil"/>
              <w:bottom w:val="single" w:sz="4" w:space="0" w:color="auto"/>
              <w:right w:val="single" w:sz="4" w:space="0" w:color="auto"/>
            </w:tcBorders>
            <w:shd w:val="clear" w:color="auto" w:fill="auto"/>
            <w:noWrap/>
            <w:vAlign w:val="center"/>
            <w:hideMark/>
          </w:tcPr>
          <w:p w14:paraId="59A2178F" w14:textId="77777777" w:rsidR="0029639D" w:rsidRPr="00415876" w:rsidRDefault="0029639D" w:rsidP="0029639D">
            <w:pPr>
              <w:tabs>
                <w:tab w:val="left" w:pos="1257"/>
              </w:tabs>
              <w:ind w:right="288"/>
              <w:jc w:val="right"/>
              <w:rPr>
                <w:kern w:val="22"/>
                <w:szCs w:val="22"/>
                <w:lang w:val="fr-CA" w:eastAsia="en-CA"/>
              </w:rPr>
            </w:pPr>
            <w:r w:rsidRPr="00415876">
              <w:rPr>
                <w:kern w:val="22"/>
                <w:szCs w:val="22"/>
                <w:lang w:val="fr-CA" w:eastAsia="en-CA"/>
              </w:rPr>
              <w:t>1</w:t>
            </w:r>
            <w:r>
              <w:rPr>
                <w:kern w:val="22"/>
                <w:szCs w:val="22"/>
                <w:lang w:val="fr-CA" w:eastAsia="en-CA"/>
              </w:rPr>
              <w:t>,</w:t>
            </w:r>
            <w:r w:rsidRPr="00415876">
              <w:rPr>
                <w:kern w:val="22"/>
                <w:szCs w:val="22"/>
                <w:lang w:val="fr-CA" w:eastAsia="en-CA"/>
              </w:rPr>
              <w:t>212</w:t>
            </w:r>
          </w:p>
        </w:tc>
        <w:tc>
          <w:tcPr>
            <w:tcW w:w="1715" w:type="dxa"/>
            <w:tcBorders>
              <w:top w:val="nil"/>
              <w:left w:val="nil"/>
              <w:bottom w:val="single" w:sz="4" w:space="0" w:color="auto"/>
              <w:right w:val="single" w:sz="4" w:space="0" w:color="auto"/>
            </w:tcBorders>
            <w:shd w:val="clear" w:color="auto" w:fill="auto"/>
            <w:noWrap/>
            <w:vAlign w:val="center"/>
            <w:hideMark/>
          </w:tcPr>
          <w:p w14:paraId="3A6EB765" w14:textId="77777777" w:rsidR="0029639D" w:rsidRPr="00415876" w:rsidRDefault="0029639D" w:rsidP="0029639D">
            <w:pPr>
              <w:tabs>
                <w:tab w:val="left" w:pos="1203"/>
              </w:tabs>
              <w:ind w:right="288"/>
              <w:jc w:val="right"/>
              <w:rPr>
                <w:kern w:val="22"/>
                <w:szCs w:val="22"/>
                <w:lang w:val="fr-CA" w:eastAsia="en-CA"/>
              </w:rPr>
            </w:pPr>
            <w:r w:rsidRPr="00415876">
              <w:rPr>
                <w:kern w:val="22"/>
                <w:szCs w:val="22"/>
                <w:lang w:val="fr-CA" w:eastAsia="en-CA"/>
              </w:rPr>
              <w:t>22 729</w:t>
            </w:r>
          </w:p>
        </w:tc>
      </w:tr>
      <w:tr w:rsidR="0029639D" w:rsidRPr="00415876" w14:paraId="2A169FD5"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413B3F68" w14:textId="75F80C71" w:rsidR="0029639D" w:rsidRPr="00415876" w:rsidRDefault="0029639D" w:rsidP="00120F79">
            <w:pPr>
              <w:jc w:val="right"/>
              <w:rPr>
                <w:kern w:val="22"/>
                <w:szCs w:val="22"/>
                <w:lang w:val="fr-CA" w:eastAsia="en-CA"/>
              </w:rPr>
            </w:pPr>
            <w:r>
              <w:rPr>
                <w:kern w:val="22"/>
                <w:szCs w:val="22"/>
                <w:lang w:val="fr-CA" w:eastAsia="en-CA"/>
              </w:rPr>
              <w:t>85</w:t>
            </w:r>
          </w:p>
        </w:tc>
        <w:tc>
          <w:tcPr>
            <w:tcW w:w="3823" w:type="dxa"/>
            <w:tcBorders>
              <w:top w:val="nil"/>
              <w:left w:val="nil"/>
              <w:bottom w:val="single" w:sz="4" w:space="0" w:color="auto"/>
              <w:right w:val="single" w:sz="4" w:space="0" w:color="auto"/>
            </w:tcBorders>
            <w:shd w:val="clear" w:color="auto" w:fill="auto"/>
            <w:vAlign w:val="center"/>
            <w:hideMark/>
          </w:tcPr>
          <w:p w14:paraId="18FC614F" w14:textId="77777777" w:rsidR="0029639D" w:rsidRPr="00415876" w:rsidRDefault="0029639D" w:rsidP="00120F79">
            <w:pPr>
              <w:jc w:val="left"/>
              <w:rPr>
                <w:kern w:val="22"/>
                <w:szCs w:val="22"/>
                <w:lang w:val="fr-CA" w:eastAsia="en-CA"/>
              </w:rPr>
            </w:pPr>
            <w:r w:rsidRPr="00415876">
              <w:rPr>
                <w:kern w:val="22"/>
                <w:szCs w:val="22"/>
                <w:lang w:val="fr-CA" w:eastAsia="en-CA"/>
              </w:rPr>
              <w:t>Oman</w:t>
            </w:r>
          </w:p>
        </w:tc>
        <w:tc>
          <w:tcPr>
            <w:tcW w:w="1472" w:type="dxa"/>
            <w:tcBorders>
              <w:top w:val="nil"/>
              <w:left w:val="nil"/>
              <w:bottom w:val="single" w:sz="4" w:space="0" w:color="auto"/>
              <w:right w:val="single" w:sz="4" w:space="0" w:color="auto"/>
            </w:tcBorders>
            <w:shd w:val="clear" w:color="auto" w:fill="auto"/>
            <w:vAlign w:val="center"/>
            <w:hideMark/>
          </w:tcPr>
          <w:p w14:paraId="252DD616"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115</w:t>
            </w:r>
          </w:p>
        </w:tc>
        <w:tc>
          <w:tcPr>
            <w:tcW w:w="1715" w:type="dxa"/>
            <w:tcBorders>
              <w:top w:val="nil"/>
              <w:left w:val="nil"/>
              <w:bottom w:val="single" w:sz="4" w:space="0" w:color="auto"/>
              <w:right w:val="single" w:sz="4" w:space="0" w:color="auto"/>
            </w:tcBorders>
            <w:shd w:val="clear" w:color="auto" w:fill="auto"/>
            <w:noWrap/>
            <w:vAlign w:val="center"/>
            <w:hideMark/>
          </w:tcPr>
          <w:p w14:paraId="6A7AE148" w14:textId="77777777" w:rsidR="0029639D" w:rsidRPr="00415876" w:rsidRDefault="0029639D" w:rsidP="0029639D">
            <w:pPr>
              <w:tabs>
                <w:tab w:val="left" w:pos="1257"/>
              </w:tabs>
              <w:ind w:right="288"/>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185</w:t>
            </w:r>
          </w:p>
        </w:tc>
        <w:tc>
          <w:tcPr>
            <w:tcW w:w="1715" w:type="dxa"/>
            <w:tcBorders>
              <w:top w:val="nil"/>
              <w:left w:val="nil"/>
              <w:bottom w:val="single" w:sz="4" w:space="0" w:color="auto"/>
              <w:right w:val="single" w:sz="4" w:space="0" w:color="auto"/>
            </w:tcBorders>
            <w:shd w:val="clear" w:color="auto" w:fill="auto"/>
            <w:noWrap/>
            <w:vAlign w:val="center"/>
            <w:hideMark/>
          </w:tcPr>
          <w:p w14:paraId="07217874" w14:textId="77777777" w:rsidR="0029639D" w:rsidRPr="00415876" w:rsidRDefault="0029639D" w:rsidP="0029639D">
            <w:pPr>
              <w:tabs>
                <w:tab w:val="left" w:pos="1203"/>
              </w:tabs>
              <w:ind w:right="288"/>
              <w:jc w:val="right"/>
              <w:rPr>
                <w:kern w:val="22"/>
                <w:szCs w:val="22"/>
                <w:lang w:val="fr-CA" w:eastAsia="en-CA"/>
              </w:rPr>
            </w:pPr>
            <w:r w:rsidRPr="00415876">
              <w:rPr>
                <w:kern w:val="22"/>
                <w:szCs w:val="22"/>
                <w:lang w:val="fr-CA" w:eastAsia="en-CA"/>
              </w:rPr>
              <w:t>3 467</w:t>
            </w:r>
          </w:p>
        </w:tc>
      </w:tr>
      <w:tr w:rsidR="0029639D" w:rsidRPr="00415876" w14:paraId="59465742"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40FE6FDE" w14:textId="1A785516" w:rsidR="0029639D" w:rsidRPr="00415876" w:rsidRDefault="0029639D" w:rsidP="00995EEF">
            <w:pPr>
              <w:jc w:val="right"/>
              <w:rPr>
                <w:kern w:val="22"/>
                <w:szCs w:val="22"/>
                <w:lang w:val="fr-CA" w:eastAsia="en-CA"/>
              </w:rPr>
            </w:pPr>
            <w:r>
              <w:rPr>
                <w:kern w:val="22"/>
                <w:szCs w:val="22"/>
                <w:lang w:val="fr-CA" w:eastAsia="en-CA"/>
              </w:rPr>
              <w:t>86</w:t>
            </w:r>
          </w:p>
        </w:tc>
        <w:tc>
          <w:tcPr>
            <w:tcW w:w="3823" w:type="dxa"/>
            <w:tcBorders>
              <w:top w:val="nil"/>
              <w:left w:val="nil"/>
              <w:bottom w:val="single" w:sz="4" w:space="0" w:color="auto"/>
              <w:right w:val="single" w:sz="4" w:space="0" w:color="auto"/>
            </w:tcBorders>
            <w:shd w:val="clear" w:color="auto" w:fill="auto"/>
            <w:vAlign w:val="center"/>
            <w:hideMark/>
          </w:tcPr>
          <w:p w14:paraId="7C16680B" w14:textId="77777777" w:rsidR="0029639D" w:rsidRPr="00415876" w:rsidRDefault="0029639D" w:rsidP="00995EEF">
            <w:pPr>
              <w:jc w:val="left"/>
              <w:rPr>
                <w:kern w:val="22"/>
                <w:szCs w:val="22"/>
                <w:lang w:val="fr-CA" w:eastAsia="en-CA"/>
              </w:rPr>
            </w:pPr>
            <w:r>
              <w:rPr>
                <w:kern w:val="22"/>
                <w:szCs w:val="22"/>
                <w:lang w:val="fr-CA" w:eastAsia="en-CA"/>
              </w:rPr>
              <w:t>Ou</w:t>
            </w:r>
            <w:r w:rsidRPr="00415876">
              <w:rPr>
                <w:kern w:val="22"/>
                <w:szCs w:val="22"/>
                <w:lang w:val="fr-CA" w:eastAsia="en-CA"/>
              </w:rPr>
              <w:t>ganda</w:t>
            </w:r>
          </w:p>
        </w:tc>
        <w:tc>
          <w:tcPr>
            <w:tcW w:w="1472" w:type="dxa"/>
            <w:tcBorders>
              <w:top w:val="nil"/>
              <w:left w:val="nil"/>
              <w:bottom w:val="single" w:sz="4" w:space="0" w:color="auto"/>
              <w:right w:val="single" w:sz="4" w:space="0" w:color="auto"/>
            </w:tcBorders>
            <w:shd w:val="clear" w:color="auto" w:fill="auto"/>
            <w:vAlign w:val="center"/>
            <w:hideMark/>
          </w:tcPr>
          <w:p w14:paraId="02A26A62"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008</w:t>
            </w:r>
          </w:p>
        </w:tc>
        <w:tc>
          <w:tcPr>
            <w:tcW w:w="1715" w:type="dxa"/>
            <w:tcBorders>
              <w:top w:val="nil"/>
              <w:left w:val="nil"/>
              <w:bottom w:val="single" w:sz="4" w:space="0" w:color="auto"/>
              <w:right w:val="single" w:sz="4" w:space="0" w:color="auto"/>
            </w:tcBorders>
            <w:shd w:val="clear" w:color="auto" w:fill="auto"/>
            <w:noWrap/>
            <w:vAlign w:val="center"/>
            <w:hideMark/>
          </w:tcPr>
          <w:p w14:paraId="2BD7D2CC" w14:textId="77777777" w:rsidR="0029639D" w:rsidRPr="00415876" w:rsidRDefault="0029639D" w:rsidP="0029639D">
            <w:pPr>
              <w:tabs>
                <w:tab w:val="left" w:pos="1257"/>
              </w:tabs>
              <w:ind w:right="288"/>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010</w:t>
            </w:r>
          </w:p>
        </w:tc>
        <w:tc>
          <w:tcPr>
            <w:tcW w:w="1715" w:type="dxa"/>
            <w:tcBorders>
              <w:top w:val="nil"/>
              <w:left w:val="nil"/>
              <w:bottom w:val="single" w:sz="4" w:space="0" w:color="auto"/>
              <w:right w:val="single" w:sz="4" w:space="0" w:color="auto"/>
            </w:tcBorders>
            <w:shd w:val="clear" w:color="auto" w:fill="auto"/>
            <w:noWrap/>
            <w:vAlign w:val="center"/>
            <w:hideMark/>
          </w:tcPr>
          <w:p w14:paraId="11BEA180" w14:textId="77777777" w:rsidR="0029639D" w:rsidRPr="00415876" w:rsidRDefault="0029639D" w:rsidP="0029639D">
            <w:pPr>
              <w:tabs>
                <w:tab w:val="left" w:pos="1203"/>
              </w:tabs>
              <w:ind w:right="288"/>
              <w:jc w:val="right"/>
              <w:rPr>
                <w:kern w:val="22"/>
                <w:szCs w:val="22"/>
                <w:lang w:val="fr-CA" w:eastAsia="en-CA"/>
              </w:rPr>
            </w:pPr>
            <w:r w:rsidRPr="00415876">
              <w:rPr>
                <w:kern w:val="22"/>
                <w:szCs w:val="22"/>
                <w:lang w:val="fr-CA" w:eastAsia="en-CA"/>
              </w:rPr>
              <w:t>188</w:t>
            </w:r>
          </w:p>
        </w:tc>
      </w:tr>
      <w:tr w:rsidR="0029639D" w:rsidRPr="00415876" w14:paraId="21FEBF3C"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7A8E5BCF" w14:textId="5E5C9B37" w:rsidR="0029639D" w:rsidRPr="00415876" w:rsidRDefault="0029639D" w:rsidP="00120F79">
            <w:pPr>
              <w:jc w:val="right"/>
              <w:rPr>
                <w:kern w:val="22"/>
                <w:szCs w:val="22"/>
                <w:lang w:val="fr-CA" w:eastAsia="en-CA"/>
              </w:rPr>
            </w:pPr>
            <w:r>
              <w:rPr>
                <w:kern w:val="22"/>
                <w:szCs w:val="22"/>
                <w:lang w:val="fr-CA" w:eastAsia="en-CA"/>
              </w:rPr>
              <w:t>87</w:t>
            </w:r>
          </w:p>
        </w:tc>
        <w:tc>
          <w:tcPr>
            <w:tcW w:w="3823" w:type="dxa"/>
            <w:tcBorders>
              <w:top w:val="nil"/>
              <w:left w:val="nil"/>
              <w:bottom w:val="single" w:sz="4" w:space="0" w:color="auto"/>
              <w:right w:val="single" w:sz="4" w:space="0" w:color="auto"/>
            </w:tcBorders>
            <w:shd w:val="clear" w:color="auto" w:fill="auto"/>
            <w:vAlign w:val="center"/>
            <w:hideMark/>
          </w:tcPr>
          <w:p w14:paraId="4265166D" w14:textId="77777777" w:rsidR="0029639D" w:rsidRPr="00415876" w:rsidRDefault="0029639D" w:rsidP="00120F79">
            <w:pPr>
              <w:jc w:val="left"/>
              <w:rPr>
                <w:kern w:val="22"/>
                <w:szCs w:val="22"/>
                <w:lang w:val="fr-CA" w:eastAsia="en-CA"/>
              </w:rPr>
            </w:pPr>
            <w:r w:rsidRPr="00415876">
              <w:rPr>
                <w:kern w:val="22"/>
                <w:szCs w:val="22"/>
                <w:lang w:val="fr-CA" w:eastAsia="en-CA"/>
              </w:rPr>
              <w:t>Pakistan</w:t>
            </w:r>
          </w:p>
        </w:tc>
        <w:tc>
          <w:tcPr>
            <w:tcW w:w="1472" w:type="dxa"/>
            <w:tcBorders>
              <w:top w:val="nil"/>
              <w:left w:val="nil"/>
              <w:bottom w:val="single" w:sz="4" w:space="0" w:color="auto"/>
              <w:right w:val="single" w:sz="4" w:space="0" w:color="auto"/>
            </w:tcBorders>
            <w:shd w:val="clear" w:color="auto" w:fill="auto"/>
            <w:vAlign w:val="center"/>
            <w:hideMark/>
          </w:tcPr>
          <w:p w14:paraId="3B1A21C0"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115</w:t>
            </w:r>
          </w:p>
        </w:tc>
        <w:tc>
          <w:tcPr>
            <w:tcW w:w="1715" w:type="dxa"/>
            <w:tcBorders>
              <w:top w:val="nil"/>
              <w:left w:val="nil"/>
              <w:bottom w:val="single" w:sz="4" w:space="0" w:color="auto"/>
              <w:right w:val="single" w:sz="4" w:space="0" w:color="auto"/>
            </w:tcBorders>
            <w:shd w:val="clear" w:color="auto" w:fill="auto"/>
            <w:noWrap/>
            <w:vAlign w:val="center"/>
            <w:hideMark/>
          </w:tcPr>
          <w:p w14:paraId="748D8788" w14:textId="77777777" w:rsidR="0029639D" w:rsidRPr="00415876" w:rsidRDefault="0029639D" w:rsidP="0029639D">
            <w:pPr>
              <w:tabs>
                <w:tab w:val="left" w:pos="1257"/>
              </w:tabs>
              <w:ind w:right="288"/>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185</w:t>
            </w:r>
          </w:p>
        </w:tc>
        <w:tc>
          <w:tcPr>
            <w:tcW w:w="1715" w:type="dxa"/>
            <w:tcBorders>
              <w:top w:val="nil"/>
              <w:left w:val="nil"/>
              <w:bottom w:val="single" w:sz="4" w:space="0" w:color="auto"/>
              <w:right w:val="single" w:sz="4" w:space="0" w:color="auto"/>
            </w:tcBorders>
            <w:shd w:val="clear" w:color="auto" w:fill="auto"/>
            <w:noWrap/>
            <w:vAlign w:val="center"/>
            <w:hideMark/>
          </w:tcPr>
          <w:p w14:paraId="749562DD" w14:textId="77777777" w:rsidR="0029639D" w:rsidRPr="00415876" w:rsidRDefault="0029639D" w:rsidP="0029639D">
            <w:pPr>
              <w:tabs>
                <w:tab w:val="left" w:pos="1203"/>
              </w:tabs>
              <w:ind w:right="288"/>
              <w:jc w:val="right"/>
              <w:rPr>
                <w:kern w:val="22"/>
                <w:szCs w:val="22"/>
                <w:lang w:val="fr-CA" w:eastAsia="en-CA"/>
              </w:rPr>
            </w:pPr>
            <w:r w:rsidRPr="00415876">
              <w:rPr>
                <w:kern w:val="22"/>
                <w:szCs w:val="22"/>
                <w:lang w:val="fr-CA" w:eastAsia="en-CA"/>
              </w:rPr>
              <w:t>3 467</w:t>
            </w:r>
          </w:p>
        </w:tc>
      </w:tr>
      <w:tr w:rsidR="0029639D" w:rsidRPr="00415876" w14:paraId="6481EE27"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44FB1985" w14:textId="2FC89C6A" w:rsidR="0029639D" w:rsidRPr="00415876" w:rsidRDefault="0029639D" w:rsidP="00120F79">
            <w:pPr>
              <w:jc w:val="right"/>
              <w:rPr>
                <w:kern w:val="22"/>
                <w:szCs w:val="22"/>
                <w:lang w:val="fr-CA" w:eastAsia="en-CA"/>
              </w:rPr>
            </w:pPr>
            <w:r>
              <w:rPr>
                <w:kern w:val="22"/>
                <w:szCs w:val="22"/>
                <w:lang w:val="fr-CA" w:eastAsia="en-CA"/>
              </w:rPr>
              <w:t>88</w:t>
            </w:r>
          </w:p>
        </w:tc>
        <w:tc>
          <w:tcPr>
            <w:tcW w:w="3823" w:type="dxa"/>
            <w:tcBorders>
              <w:top w:val="nil"/>
              <w:left w:val="nil"/>
              <w:bottom w:val="single" w:sz="4" w:space="0" w:color="auto"/>
              <w:right w:val="single" w:sz="4" w:space="0" w:color="auto"/>
            </w:tcBorders>
            <w:shd w:val="clear" w:color="auto" w:fill="auto"/>
            <w:vAlign w:val="center"/>
            <w:hideMark/>
          </w:tcPr>
          <w:p w14:paraId="700ECA0C" w14:textId="77777777" w:rsidR="0029639D" w:rsidRPr="00415876" w:rsidRDefault="0029639D" w:rsidP="00120F79">
            <w:pPr>
              <w:jc w:val="left"/>
              <w:rPr>
                <w:kern w:val="22"/>
                <w:szCs w:val="22"/>
                <w:lang w:val="fr-CA" w:eastAsia="en-CA"/>
              </w:rPr>
            </w:pPr>
            <w:r w:rsidRPr="00415876">
              <w:rPr>
                <w:kern w:val="22"/>
                <w:szCs w:val="22"/>
                <w:lang w:val="fr-CA" w:eastAsia="en-CA"/>
              </w:rPr>
              <w:t>Palau</w:t>
            </w:r>
          </w:p>
        </w:tc>
        <w:tc>
          <w:tcPr>
            <w:tcW w:w="1472" w:type="dxa"/>
            <w:tcBorders>
              <w:top w:val="nil"/>
              <w:left w:val="nil"/>
              <w:bottom w:val="single" w:sz="4" w:space="0" w:color="auto"/>
              <w:right w:val="single" w:sz="4" w:space="0" w:color="auto"/>
            </w:tcBorders>
            <w:shd w:val="clear" w:color="auto" w:fill="auto"/>
            <w:vAlign w:val="center"/>
            <w:hideMark/>
          </w:tcPr>
          <w:p w14:paraId="026A1A2F"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001</w:t>
            </w:r>
          </w:p>
        </w:tc>
        <w:tc>
          <w:tcPr>
            <w:tcW w:w="1715" w:type="dxa"/>
            <w:tcBorders>
              <w:top w:val="nil"/>
              <w:left w:val="nil"/>
              <w:bottom w:val="single" w:sz="4" w:space="0" w:color="auto"/>
              <w:right w:val="single" w:sz="4" w:space="0" w:color="auto"/>
            </w:tcBorders>
            <w:shd w:val="clear" w:color="auto" w:fill="auto"/>
            <w:noWrap/>
            <w:vAlign w:val="center"/>
            <w:hideMark/>
          </w:tcPr>
          <w:p w14:paraId="3B7B3F3D" w14:textId="77777777" w:rsidR="0029639D" w:rsidRPr="00415876" w:rsidRDefault="0029639D" w:rsidP="0029639D">
            <w:pPr>
              <w:tabs>
                <w:tab w:val="left" w:pos="1257"/>
              </w:tabs>
              <w:ind w:right="288"/>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002</w:t>
            </w:r>
          </w:p>
        </w:tc>
        <w:tc>
          <w:tcPr>
            <w:tcW w:w="1715" w:type="dxa"/>
            <w:tcBorders>
              <w:top w:val="nil"/>
              <w:left w:val="nil"/>
              <w:bottom w:val="single" w:sz="4" w:space="0" w:color="auto"/>
              <w:right w:val="single" w:sz="4" w:space="0" w:color="auto"/>
            </w:tcBorders>
            <w:shd w:val="clear" w:color="auto" w:fill="auto"/>
            <w:noWrap/>
            <w:vAlign w:val="center"/>
            <w:hideMark/>
          </w:tcPr>
          <w:p w14:paraId="0235C98E" w14:textId="77777777" w:rsidR="0029639D" w:rsidRPr="00415876" w:rsidRDefault="0029639D" w:rsidP="0029639D">
            <w:pPr>
              <w:tabs>
                <w:tab w:val="left" w:pos="1203"/>
              </w:tabs>
              <w:ind w:right="288"/>
              <w:jc w:val="right"/>
              <w:rPr>
                <w:kern w:val="22"/>
                <w:szCs w:val="22"/>
                <w:lang w:val="fr-CA" w:eastAsia="en-CA"/>
              </w:rPr>
            </w:pPr>
            <w:r w:rsidRPr="00415876">
              <w:rPr>
                <w:kern w:val="22"/>
                <w:szCs w:val="22"/>
                <w:lang w:val="fr-CA" w:eastAsia="en-CA"/>
              </w:rPr>
              <w:t>30</w:t>
            </w:r>
          </w:p>
        </w:tc>
      </w:tr>
      <w:tr w:rsidR="0029639D" w:rsidRPr="00415876" w14:paraId="6F64EB2C"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679A3665" w14:textId="3CBF08E4" w:rsidR="0029639D" w:rsidRPr="00415876" w:rsidRDefault="0029639D" w:rsidP="00120F79">
            <w:pPr>
              <w:jc w:val="right"/>
              <w:rPr>
                <w:kern w:val="22"/>
                <w:szCs w:val="22"/>
                <w:lang w:val="fr-CA" w:eastAsia="en-CA"/>
              </w:rPr>
            </w:pPr>
            <w:r>
              <w:rPr>
                <w:kern w:val="22"/>
                <w:szCs w:val="22"/>
                <w:lang w:val="fr-CA" w:eastAsia="en-CA"/>
              </w:rPr>
              <w:t>89</w:t>
            </w:r>
          </w:p>
        </w:tc>
        <w:tc>
          <w:tcPr>
            <w:tcW w:w="3823" w:type="dxa"/>
            <w:tcBorders>
              <w:top w:val="nil"/>
              <w:left w:val="nil"/>
              <w:bottom w:val="single" w:sz="4" w:space="0" w:color="auto"/>
              <w:right w:val="single" w:sz="4" w:space="0" w:color="auto"/>
            </w:tcBorders>
            <w:shd w:val="clear" w:color="auto" w:fill="auto"/>
            <w:vAlign w:val="center"/>
            <w:hideMark/>
          </w:tcPr>
          <w:p w14:paraId="2225A493" w14:textId="77777777" w:rsidR="0029639D" w:rsidRPr="00415876" w:rsidRDefault="0029639D" w:rsidP="00120F79">
            <w:pPr>
              <w:jc w:val="left"/>
              <w:rPr>
                <w:kern w:val="22"/>
                <w:szCs w:val="22"/>
                <w:lang w:val="fr-CA" w:eastAsia="en-CA"/>
              </w:rPr>
            </w:pPr>
            <w:r w:rsidRPr="00415876">
              <w:rPr>
                <w:kern w:val="22"/>
                <w:szCs w:val="22"/>
                <w:lang w:val="fr-CA" w:eastAsia="en-CA"/>
              </w:rPr>
              <w:t>Panama</w:t>
            </w:r>
          </w:p>
        </w:tc>
        <w:tc>
          <w:tcPr>
            <w:tcW w:w="1472" w:type="dxa"/>
            <w:tcBorders>
              <w:top w:val="nil"/>
              <w:left w:val="nil"/>
              <w:bottom w:val="single" w:sz="4" w:space="0" w:color="auto"/>
              <w:right w:val="single" w:sz="4" w:space="0" w:color="auto"/>
            </w:tcBorders>
            <w:shd w:val="clear" w:color="auto" w:fill="auto"/>
            <w:vAlign w:val="center"/>
            <w:hideMark/>
          </w:tcPr>
          <w:p w14:paraId="192753C0"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045</w:t>
            </w:r>
          </w:p>
        </w:tc>
        <w:tc>
          <w:tcPr>
            <w:tcW w:w="1715" w:type="dxa"/>
            <w:tcBorders>
              <w:top w:val="nil"/>
              <w:left w:val="nil"/>
              <w:bottom w:val="single" w:sz="4" w:space="0" w:color="auto"/>
              <w:right w:val="single" w:sz="4" w:space="0" w:color="auto"/>
            </w:tcBorders>
            <w:shd w:val="clear" w:color="auto" w:fill="auto"/>
            <w:noWrap/>
            <w:vAlign w:val="center"/>
            <w:hideMark/>
          </w:tcPr>
          <w:p w14:paraId="14C4B702" w14:textId="77777777" w:rsidR="0029639D" w:rsidRPr="00415876" w:rsidRDefault="0029639D" w:rsidP="0029639D">
            <w:pPr>
              <w:tabs>
                <w:tab w:val="left" w:pos="1257"/>
              </w:tabs>
              <w:ind w:right="288"/>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072</w:t>
            </w:r>
          </w:p>
        </w:tc>
        <w:tc>
          <w:tcPr>
            <w:tcW w:w="1715" w:type="dxa"/>
            <w:tcBorders>
              <w:top w:val="nil"/>
              <w:left w:val="nil"/>
              <w:bottom w:val="single" w:sz="4" w:space="0" w:color="auto"/>
              <w:right w:val="single" w:sz="4" w:space="0" w:color="auto"/>
            </w:tcBorders>
            <w:shd w:val="clear" w:color="auto" w:fill="auto"/>
            <w:noWrap/>
            <w:vAlign w:val="center"/>
            <w:hideMark/>
          </w:tcPr>
          <w:p w14:paraId="59AD7B6D" w14:textId="77777777" w:rsidR="0029639D" w:rsidRPr="00415876" w:rsidRDefault="0029639D" w:rsidP="0029639D">
            <w:pPr>
              <w:tabs>
                <w:tab w:val="left" w:pos="1203"/>
              </w:tabs>
              <w:ind w:right="288"/>
              <w:jc w:val="right"/>
              <w:rPr>
                <w:kern w:val="22"/>
                <w:szCs w:val="22"/>
                <w:lang w:val="fr-CA" w:eastAsia="en-CA"/>
              </w:rPr>
            </w:pPr>
            <w:r w:rsidRPr="00415876">
              <w:rPr>
                <w:kern w:val="22"/>
                <w:szCs w:val="22"/>
                <w:lang w:val="fr-CA" w:eastAsia="en-CA"/>
              </w:rPr>
              <w:t>1 357</w:t>
            </w:r>
          </w:p>
        </w:tc>
      </w:tr>
      <w:tr w:rsidR="0029639D" w:rsidRPr="00415876" w14:paraId="0D5F5B72"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0D9EEA61" w14:textId="292E087E" w:rsidR="0029639D" w:rsidRPr="00415876" w:rsidRDefault="0029639D" w:rsidP="00120F79">
            <w:pPr>
              <w:jc w:val="right"/>
              <w:rPr>
                <w:kern w:val="22"/>
                <w:szCs w:val="22"/>
                <w:lang w:val="fr-CA" w:eastAsia="en-CA"/>
              </w:rPr>
            </w:pPr>
            <w:r>
              <w:rPr>
                <w:kern w:val="22"/>
                <w:szCs w:val="22"/>
                <w:lang w:val="fr-CA" w:eastAsia="en-CA"/>
              </w:rPr>
              <w:t>90</w:t>
            </w:r>
          </w:p>
        </w:tc>
        <w:tc>
          <w:tcPr>
            <w:tcW w:w="3823" w:type="dxa"/>
            <w:tcBorders>
              <w:top w:val="nil"/>
              <w:left w:val="nil"/>
              <w:bottom w:val="single" w:sz="4" w:space="0" w:color="auto"/>
              <w:right w:val="single" w:sz="4" w:space="0" w:color="auto"/>
            </w:tcBorders>
            <w:shd w:val="clear" w:color="auto" w:fill="auto"/>
            <w:vAlign w:val="center"/>
            <w:hideMark/>
          </w:tcPr>
          <w:p w14:paraId="2492343A" w14:textId="77777777" w:rsidR="0029639D" w:rsidRPr="00415876" w:rsidRDefault="0029639D" w:rsidP="00B41981">
            <w:pPr>
              <w:jc w:val="left"/>
              <w:rPr>
                <w:kern w:val="22"/>
                <w:szCs w:val="22"/>
                <w:lang w:val="fr-CA" w:eastAsia="en-CA"/>
              </w:rPr>
            </w:pPr>
            <w:r>
              <w:rPr>
                <w:kern w:val="22"/>
                <w:szCs w:val="22"/>
                <w:lang w:val="fr-CA" w:eastAsia="en-CA"/>
              </w:rPr>
              <w:t>Pays-Bas</w:t>
            </w:r>
          </w:p>
        </w:tc>
        <w:tc>
          <w:tcPr>
            <w:tcW w:w="1472" w:type="dxa"/>
            <w:tcBorders>
              <w:top w:val="nil"/>
              <w:left w:val="nil"/>
              <w:bottom w:val="single" w:sz="4" w:space="0" w:color="auto"/>
              <w:right w:val="single" w:sz="4" w:space="0" w:color="auto"/>
            </w:tcBorders>
            <w:shd w:val="clear" w:color="auto" w:fill="auto"/>
            <w:vAlign w:val="center"/>
            <w:hideMark/>
          </w:tcPr>
          <w:p w14:paraId="17EA5643" w14:textId="77777777" w:rsidR="0029639D" w:rsidRPr="00415876" w:rsidRDefault="0029639D" w:rsidP="0029639D">
            <w:pPr>
              <w:ind w:right="144"/>
              <w:jc w:val="right"/>
              <w:rPr>
                <w:kern w:val="22"/>
                <w:szCs w:val="22"/>
                <w:lang w:val="fr-CA" w:eastAsia="en-CA"/>
              </w:rPr>
            </w:pPr>
            <w:r w:rsidRPr="00415876">
              <w:rPr>
                <w:kern w:val="22"/>
                <w:szCs w:val="22"/>
                <w:lang w:val="fr-CA" w:eastAsia="en-CA"/>
              </w:rPr>
              <w:t>1</w:t>
            </w:r>
            <w:r>
              <w:rPr>
                <w:kern w:val="22"/>
                <w:szCs w:val="22"/>
                <w:lang w:val="fr-CA" w:eastAsia="en-CA"/>
              </w:rPr>
              <w:t>,</w:t>
            </w:r>
            <w:r w:rsidRPr="00415876">
              <w:rPr>
                <w:kern w:val="22"/>
                <w:szCs w:val="22"/>
                <w:lang w:val="fr-CA" w:eastAsia="en-CA"/>
              </w:rPr>
              <w:t>356</w:t>
            </w:r>
          </w:p>
        </w:tc>
        <w:tc>
          <w:tcPr>
            <w:tcW w:w="1715" w:type="dxa"/>
            <w:tcBorders>
              <w:top w:val="nil"/>
              <w:left w:val="nil"/>
              <w:bottom w:val="single" w:sz="4" w:space="0" w:color="auto"/>
              <w:right w:val="single" w:sz="4" w:space="0" w:color="auto"/>
            </w:tcBorders>
            <w:shd w:val="clear" w:color="auto" w:fill="auto"/>
            <w:noWrap/>
            <w:vAlign w:val="center"/>
            <w:hideMark/>
          </w:tcPr>
          <w:p w14:paraId="13FBFCDE" w14:textId="77777777" w:rsidR="0029639D" w:rsidRPr="00415876" w:rsidRDefault="0029639D" w:rsidP="0029639D">
            <w:pPr>
              <w:tabs>
                <w:tab w:val="left" w:pos="1257"/>
              </w:tabs>
              <w:ind w:right="288"/>
              <w:jc w:val="right"/>
              <w:rPr>
                <w:kern w:val="22"/>
                <w:szCs w:val="22"/>
                <w:lang w:val="fr-CA" w:eastAsia="en-CA"/>
              </w:rPr>
            </w:pPr>
            <w:r w:rsidRPr="00415876">
              <w:rPr>
                <w:kern w:val="22"/>
                <w:szCs w:val="22"/>
                <w:lang w:val="fr-CA" w:eastAsia="en-CA"/>
              </w:rPr>
              <w:t>2</w:t>
            </w:r>
            <w:r>
              <w:rPr>
                <w:kern w:val="22"/>
                <w:szCs w:val="22"/>
                <w:lang w:val="fr-CA" w:eastAsia="en-CA"/>
              </w:rPr>
              <w:t>,</w:t>
            </w:r>
            <w:r w:rsidRPr="00415876">
              <w:rPr>
                <w:kern w:val="22"/>
                <w:szCs w:val="22"/>
                <w:lang w:val="fr-CA" w:eastAsia="en-CA"/>
              </w:rPr>
              <w:t>179</w:t>
            </w:r>
          </w:p>
        </w:tc>
        <w:tc>
          <w:tcPr>
            <w:tcW w:w="1715" w:type="dxa"/>
            <w:tcBorders>
              <w:top w:val="nil"/>
              <w:left w:val="nil"/>
              <w:bottom w:val="single" w:sz="4" w:space="0" w:color="auto"/>
              <w:right w:val="single" w:sz="4" w:space="0" w:color="auto"/>
            </w:tcBorders>
            <w:shd w:val="clear" w:color="auto" w:fill="auto"/>
            <w:noWrap/>
            <w:vAlign w:val="center"/>
            <w:hideMark/>
          </w:tcPr>
          <w:p w14:paraId="452090C9" w14:textId="77777777" w:rsidR="0029639D" w:rsidRPr="00415876" w:rsidRDefault="0029639D" w:rsidP="0029639D">
            <w:pPr>
              <w:tabs>
                <w:tab w:val="left" w:pos="1203"/>
              </w:tabs>
              <w:ind w:right="288"/>
              <w:jc w:val="right"/>
              <w:rPr>
                <w:kern w:val="22"/>
                <w:szCs w:val="22"/>
                <w:lang w:val="fr-CA" w:eastAsia="en-CA"/>
              </w:rPr>
            </w:pPr>
            <w:r w:rsidRPr="00415876">
              <w:rPr>
                <w:kern w:val="22"/>
                <w:szCs w:val="22"/>
                <w:lang w:val="fr-CA" w:eastAsia="en-CA"/>
              </w:rPr>
              <w:t>40 877</w:t>
            </w:r>
          </w:p>
        </w:tc>
      </w:tr>
      <w:tr w:rsidR="0029639D" w:rsidRPr="00415876" w14:paraId="4BBA0C2F"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1E43D186" w14:textId="72154B40" w:rsidR="0029639D" w:rsidRPr="00415876" w:rsidRDefault="0029639D" w:rsidP="00120F79">
            <w:pPr>
              <w:jc w:val="right"/>
              <w:rPr>
                <w:kern w:val="22"/>
                <w:szCs w:val="22"/>
                <w:lang w:val="fr-CA" w:eastAsia="en-CA"/>
              </w:rPr>
            </w:pPr>
            <w:r>
              <w:rPr>
                <w:kern w:val="22"/>
                <w:szCs w:val="22"/>
                <w:lang w:val="fr-CA" w:eastAsia="en-CA"/>
              </w:rPr>
              <w:t>91</w:t>
            </w:r>
          </w:p>
        </w:tc>
        <w:tc>
          <w:tcPr>
            <w:tcW w:w="3823" w:type="dxa"/>
            <w:tcBorders>
              <w:top w:val="nil"/>
              <w:left w:val="nil"/>
              <w:bottom w:val="single" w:sz="4" w:space="0" w:color="auto"/>
              <w:right w:val="single" w:sz="4" w:space="0" w:color="auto"/>
            </w:tcBorders>
            <w:shd w:val="clear" w:color="auto" w:fill="auto"/>
            <w:vAlign w:val="center"/>
            <w:hideMark/>
          </w:tcPr>
          <w:p w14:paraId="2AC9C27F" w14:textId="77777777" w:rsidR="0029639D" w:rsidRPr="00415876" w:rsidRDefault="0029639D" w:rsidP="00120F79">
            <w:pPr>
              <w:jc w:val="left"/>
              <w:rPr>
                <w:kern w:val="22"/>
                <w:szCs w:val="22"/>
                <w:lang w:val="fr-CA" w:eastAsia="en-CA"/>
              </w:rPr>
            </w:pPr>
            <w:r>
              <w:rPr>
                <w:kern w:val="22"/>
                <w:szCs w:val="22"/>
                <w:lang w:val="fr-CA" w:eastAsia="en-CA"/>
              </w:rPr>
              <w:t>Pérou</w:t>
            </w:r>
          </w:p>
        </w:tc>
        <w:tc>
          <w:tcPr>
            <w:tcW w:w="1472" w:type="dxa"/>
            <w:tcBorders>
              <w:top w:val="nil"/>
              <w:left w:val="nil"/>
              <w:bottom w:val="single" w:sz="4" w:space="0" w:color="auto"/>
              <w:right w:val="single" w:sz="4" w:space="0" w:color="auto"/>
            </w:tcBorders>
            <w:shd w:val="clear" w:color="auto" w:fill="auto"/>
            <w:vAlign w:val="center"/>
            <w:hideMark/>
          </w:tcPr>
          <w:p w14:paraId="19373A30"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152</w:t>
            </w:r>
          </w:p>
        </w:tc>
        <w:tc>
          <w:tcPr>
            <w:tcW w:w="1715" w:type="dxa"/>
            <w:tcBorders>
              <w:top w:val="nil"/>
              <w:left w:val="nil"/>
              <w:bottom w:val="single" w:sz="4" w:space="0" w:color="auto"/>
              <w:right w:val="single" w:sz="4" w:space="0" w:color="auto"/>
            </w:tcBorders>
            <w:shd w:val="clear" w:color="auto" w:fill="auto"/>
            <w:noWrap/>
            <w:vAlign w:val="center"/>
            <w:hideMark/>
          </w:tcPr>
          <w:p w14:paraId="76BFF1D1" w14:textId="77777777" w:rsidR="0029639D" w:rsidRPr="00415876" w:rsidRDefault="0029639D" w:rsidP="0029639D">
            <w:pPr>
              <w:tabs>
                <w:tab w:val="left" w:pos="1257"/>
              </w:tabs>
              <w:ind w:right="288"/>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244</w:t>
            </w:r>
          </w:p>
        </w:tc>
        <w:tc>
          <w:tcPr>
            <w:tcW w:w="1715" w:type="dxa"/>
            <w:tcBorders>
              <w:top w:val="nil"/>
              <w:left w:val="nil"/>
              <w:bottom w:val="single" w:sz="4" w:space="0" w:color="auto"/>
              <w:right w:val="single" w:sz="4" w:space="0" w:color="auto"/>
            </w:tcBorders>
            <w:shd w:val="clear" w:color="auto" w:fill="auto"/>
            <w:noWrap/>
            <w:vAlign w:val="center"/>
            <w:hideMark/>
          </w:tcPr>
          <w:p w14:paraId="3CACC979" w14:textId="77777777" w:rsidR="0029639D" w:rsidRPr="00415876" w:rsidRDefault="0029639D" w:rsidP="0029639D">
            <w:pPr>
              <w:tabs>
                <w:tab w:val="left" w:pos="1203"/>
              </w:tabs>
              <w:ind w:right="288"/>
              <w:jc w:val="right"/>
              <w:rPr>
                <w:kern w:val="22"/>
                <w:szCs w:val="22"/>
                <w:lang w:val="fr-CA" w:eastAsia="en-CA"/>
              </w:rPr>
            </w:pPr>
            <w:r w:rsidRPr="00415876">
              <w:rPr>
                <w:kern w:val="22"/>
                <w:szCs w:val="22"/>
                <w:lang w:val="fr-CA" w:eastAsia="en-CA"/>
              </w:rPr>
              <w:t>4 582</w:t>
            </w:r>
          </w:p>
        </w:tc>
      </w:tr>
      <w:tr w:rsidR="0029639D" w:rsidRPr="00415876" w14:paraId="3FF0F3A5"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3B725020" w14:textId="0C135A7B" w:rsidR="0029639D" w:rsidRPr="00415876" w:rsidRDefault="0029639D" w:rsidP="00120F79">
            <w:pPr>
              <w:jc w:val="right"/>
              <w:rPr>
                <w:kern w:val="22"/>
                <w:szCs w:val="22"/>
                <w:lang w:val="fr-CA" w:eastAsia="en-CA"/>
              </w:rPr>
            </w:pPr>
            <w:r>
              <w:rPr>
                <w:kern w:val="22"/>
                <w:szCs w:val="22"/>
                <w:lang w:val="fr-CA" w:eastAsia="en-CA"/>
              </w:rPr>
              <w:t>92</w:t>
            </w:r>
          </w:p>
        </w:tc>
        <w:tc>
          <w:tcPr>
            <w:tcW w:w="3823" w:type="dxa"/>
            <w:tcBorders>
              <w:top w:val="nil"/>
              <w:left w:val="nil"/>
              <w:bottom w:val="single" w:sz="4" w:space="0" w:color="auto"/>
              <w:right w:val="single" w:sz="4" w:space="0" w:color="auto"/>
            </w:tcBorders>
            <w:shd w:val="clear" w:color="auto" w:fill="auto"/>
            <w:vAlign w:val="center"/>
            <w:hideMark/>
          </w:tcPr>
          <w:p w14:paraId="2B78A86E" w14:textId="77777777" w:rsidR="0029639D" w:rsidRPr="00415876" w:rsidRDefault="0029639D" w:rsidP="00120F79">
            <w:pPr>
              <w:jc w:val="left"/>
              <w:rPr>
                <w:kern w:val="22"/>
                <w:szCs w:val="22"/>
                <w:lang w:val="fr-CA" w:eastAsia="en-CA"/>
              </w:rPr>
            </w:pPr>
            <w:r w:rsidRPr="00415876">
              <w:rPr>
                <w:kern w:val="22"/>
                <w:szCs w:val="22"/>
                <w:lang w:val="fr-CA" w:eastAsia="en-CA"/>
              </w:rPr>
              <w:t>Philippines</w:t>
            </w:r>
          </w:p>
        </w:tc>
        <w:tc>
          <w:tcPr>
            <w:tcW w:w="1472" w:type="dxa"/>
            <w:tcBorders>
              <w:top w:val="nil"/>
              <w:left w:val="nil"/>
              <w:bottom w:val="single" w:sz="4" w:space="0" w:color="auto"/>
              <w:right w:val="single" w:sz="4" w:space="0" w:color="auto"/>
            </w:tcBorders>
            <w:shd w:val="clear" w:color="auto" w:fill="auto"/>
            <w:vAlign w:val="center"/>
            <w:hideMark/>
          </w:tcPr>
          <w:p w14:paraId="4EE23E68"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205</w:t>
            </w:r>
          </w:p>
        </w:tc>
        <w:tc>
          <w:tcPr>
            <w:tcW w:w="1715" w:type="dxa"/>
            <w:tcBorders>
              <w:top w:val="nil"/>
              <w:left w:val="nil"/>
              <w:bottom w:val="single" w:sz="4" w:space="0" w:color="auto"/>
              <w:right w:val="single" w:sz="4" w:space="0" w:color="auto"/>
            </w:tcBorders>
            <w:shd w:val="clear" w:color="auto" w:fill="auto"/>
            <w:noWrap/>
            <w:vAlign w:val="center"/>
            <w:hideMark/>
          </w:tcPr>
          <w:p w14:paraId="5880E955" w14:textId="77777777" w:rsidR="0029639D" w:rsidRPr="00415876" w:rsidRDefault="0029639D" w:rsidP="0029639D">
            <w:pPr>
              <w:tabs>
                <w:tab w:val="left" w:pos="1257"/>
              </w:tabs>
              <w:ind w:right="288"/>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329</w:t>
            </w:r>
          </w:p>
        </w:tc>
        <w:tc>
          <w:tcPr>
            <w:tcW w:w="1715" w:type="dxa"/>
            <w:tcBorders>
              <w:top w:val="nil"/>
              <w:left w:val="nil"/>
              <w:bottom w:val="single" w:sz="4" w:space="0" w:color="auto"/>
              <w:right w:val="single" w:sz="4" w:space="0" w:color="auto"/>
            </w:tcBorders>
            <w:shd w:val="clear" w:color="auto" w:fill="auto"/>
            <w:noWrap/>
            <w:vAlign w:val="center"/>
            <w:hideMark/>
          </w:tcPr>
          <w:p w14:paraId="64843BA4" w14:textId="77777777" w:rsidR="0029639D" w:rsidRPr="00415876" w:rsidRDefault="0029639D" w:rsidP="0029639D">
            <w:pPr>
              <w:tabs>
                <w:tab w:val="left" w:pos="1203"/>
              </w:tabs>
              <w:ind w:right="288"/>
              <w:jc w:val="right"/>
              <w:rPr>
                <w:kern w:val="22"/>
                <w:szCs w:val="22"/>
                <w:lang w:val="fr-CA" w:eastAsia="en-CA"/>
              </w:rPr>
            </w:pPr>
            <w:r w:rsidRPr="00415876">
              <w:rPr>
                <w:kern w:val="22"/>
                <w:szCs w:val="22"/>
                <w:lang w:val="fr-CA" w:eastAsia="en-CA"/>
              </w:rPr>
              <w:t>6 180</w:t>
            </w:r>
          </w:p>
        </w:tc>
      </w:tr>
      <w:tr w:rsidR="0029639D" w:rsidRPr="00415876" w14:paraId="4CB6E23A"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19BFDE74" w14:textId="00230E49" w:rsidR="0029639D" w:rsidRPr="00415876" w:rsidRDefault="0029639D" w:rsidP="00120F79">
            <w:pPr>
              <w:jc w:val="right"/>
              <w:rPr>
                <w:kern w:val="22"/>
                <w:szCs w:val="22"/>
                <w:lang w:val="fr-CA" w:eastAsia="en-CA"/>
              </w:rPr>
            </w:pPr>
            <w:r>
              <w:rPr>
                <w:kern w:val="22"/>
                <w:szCs w:val="22"/>
                <w:lang w:val="fr-CA" w:eastAsia="en-CA"/>
              </w:rPr>
              <w:t>93</w:t>
            </w:r>
          </w:p>
        </w:tc>
        <w:tc>
          <w:tcPr>
            <w:tcW w:w="3823" w:type="dxa"/>
            <w:tcBorders>
              <w:top w:val="nil"/>
              <w:left w:val="nil"/>
              <w:bottom w:val="single" w:sz="4" w:space="0" w:color="auto"/>
              <w:right w:val="single" w:sz="4" w:space="0" w:color="auto"/>
            </w:tcBorders>
            <w:shd w:val="clear" w:color="auto" w:fill="auto"/>
            <w:vAlign w:val="center"/>
            <w:hideMark/>
          </w:tcPr>
          <w:p w14:paraId="70C5D5FD" w14:textId="77777777" w:rsidR="0029639D" w:rsidRPr="00415876" w:rsidRDefault="0029639D" w:rsidP="00120F79">
            <w:pPr>
              <w:jc w:val="left"/>
              <w:rPr>
                <w:kern w:val="22"/>
                <w:szCs w:val="22"/>
                <w:lang w:val="fr-CA" w:eastAsia="en-CA"/>
              </w:rPr>
            </w:pPr>
            <w:r w:rsidRPr="00415876">
              <w:rPr>
                <w:kern w:val="22"/>
                <w:szCs w:val="22"/>
                <w:lang w:val="fr-CA" w:eastAsia="en-CA"/>
              </w:rPr>
              <w:t>Portugal</w:t>
            </w:r>
          </w:p>
        </w:tc>
        <w:tc>
          <w:tcPr>
            <w:tcW w:w="1472" w:type="dxa"/>
            <w:tcBorders>
              <w:top w:val="nil"/>
              <w:left w:val="nil"/>
              <w:bottom w:val="single" w:sz="4" w:space="0" w:color="auto"/>
              <w:right w:val="single" w:sz="4" w:space="0" w:color="auto"/>
            </w:tcBorders>
            <w:shd w:val="clear" w:color="auto" w:fill="auto"/>
            <w:vAlign w:val="center"/>
            <w:hideMark/>
          </w:tcPr>
          <w:p w14:paraId="70AF408C"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350</w:t>
            </w:r>
          </w:p>
        </w:tc>
        <w:tc>
          <w:tcPr>
            <w:tcW w:w="1715" w:type="dxa"/>
            <w:tcBorders>
              <w:top w:val="nil"/>
              <w:left w:val="nil"/>
              <w:bottom w:val="single" w:sz="4" w:space="0" w:color="auto"/>
              <w:right w:val="single" w:sz="4" w:space="0" w:color="auto"/>
            </w:tcBorders>
            <w:shd w:val="clear" w:color="auto" w:fill="auto"/>
            <w:noWrap/>
            <w:vAlign w:val="center"/>
            <w:hideMark/>
          </w:tcPr>
          <w:p w14:paraId="0E4C1B98" w14:textId="77777777" w:rsidR="0029639D" w:rsidRPr="00415876" w:rsidRDefault="0029639D" w:rsidP="0029639D">
            <w:pPr>
              <w:tabs>
                <w:tab w:val="left" w:pos="1257"/>
              </w:tabs>
              <w:ind w:right="288"/>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562</w:t>
            </w:r>
          </w:p>
        </w:tc>
        <w:tc>
          <w:tcPr>
            <w:tcW w:w="1715" w:type="dxa"/>
            <w:tcBorders>
              <w:top w:val="nil"/>
              <w:left w:val="nil"/>
              <w:bottom w:val="single" w:sz="4" w:space="0" w:color="auto"/>
              <w:right w:val="single" w:sz="4" w:space="0" w:color="auto"/>
            </w:tcBorders>
            <w:shd w:val="clear" w:color="auto" w:fill="auto"/>
            <w:noWrap/>
            <w:vAlign w:val="center"/>
            <w:hideMark/>
          </w:tcPr>
          <w:p w14:paraId="18CB5CE1" w14:textId="77777777" w:rsidR="0029639D" w:rsidRPr="00415876" w:rsidRDefault="0029639D" w:rsidP="0029639D">
            <w:pPr>
              <w:tabs>
                <w:tab w:val="left" w:pos="1203"/>
              </w:tabs>
              <w:ind w:right="288"/>
              <w:jc w:val="right"/>
              <w:rPr>
                <w:kern w:val="22"/>
                <w:szCs w:val="22"/>
                <w:lang w:val="fr-CA" w:eastAsia="en-CA"/>
              </w:rPr>
            </w:pPr>
            <w:r w:rsidRPr="00415876">
              <w:rPr>
                <w:kern w:val="22"/>
                <w:szCs w:val="22"/>
                <w:lang w:val="fr-CA" w:eastAsia="en-CA"/>
              </w:rPr>
              <w:t>10 551</w:t>
            </w:r>
          </w:p>
        </w:tc>
      </w:tr>
      <w:tr w:rsidR="0029639D" w:rsidRPr="00415876" w14:paraId="09081353"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1F11B7A5" w14:textId="62982BAA" w:rsidR="0029639D" w:rsidRPr="00415876" w:rsidRDefault="0029639D" w:rsidP="00120F79">
            <w:pPr>
              <w:jc w:val="right"/>
              <w:rPr>
                <w:kern w:val="22"/>
                <w:szCs w:val="22"/>
                <w:lang w:val="fr-CA" w:eastAsia="en-CA"/>
              </w:rPr>
            </w:pPr>
            <w:r>
              <w:rPr>
                <w:kern w:val="22"/>
                <w:szCs w:val="22"/>
                <w:lang w:val="fr-CA" w:eastAsia="en-CA"/>
              </w:rPr>
              <w:t>94</w:t>
            </w:r>
          </w:p>
        </w:tc>
        <w:tc>
          <w:tcPr>
            <w:tcW w:w="3823" w:type="dxa"/>
            <w:tcBorders>
              <w:top w:val="nil"/>
              <w:left w:val="nil"/>
              <w:bottom w:val="single" w:sz="4" w:space="0" w:color="auto"/>
              <w:right w:val="single" w:sz="4" w:space="0" w:color="auto"/>
            </w:tcBorders>
            <w:shd w:val="clear" w:color="auto" w:fill="auto"/>
            <w:vAlign w:val="center"/>
            <w:hideMark/>
          </w:tcPr>
          <w:p w14:paraId="05BEEFFD" w14:textId="77777777" w:rsidR="0029639D" w:rsidRPr="00415876" w:rsidRDefault="0029639D" w:rsidP="00120F79">
            <w:pPr>
              <w:jc w:val="left"/>
              <w:rPr>
                <w:kern w:val="22"/>
                <w:szCs w:val="22"/>
                <w:lang w:val="fr-CA" w:eastAsia="en-CA"/>
              </w:rPr>
            </w:pPr>
            <w:r w:rsidRPr="00415876">
              <w:rPr>
                <w:kern w:val="22"/>
                <w:szCs w:val="22"/>
                <w:lang w:val="fr-CA" w:eastAsia="en-CA"/>
              </w:rPr>
              <w:t>Qatar</w:t>
            </w:r>
          </w:p>
        </w:tc>
        <w:tc>
          <w:tcPr>
            <w:tcW w:w="1472" w:type="dxa"/>
            <w:tcBorders>
              <w:top w:val="nil"/>
              <w:left w:val="nil"/>
              <w:bottom w:val="single" w:sz="4" w:space="0" w:color="auto"/>
              <w:right w:val="single" w:sz="4" w:space="0" w:color="auto"/>
            </w:tcBorders>
            <w:shd w:val="clear" w:color="auto" w:fill="auto"/>
            <w:vAlign w:val="center"/>
            <w:hideMark/>
          </w:tcPr>
          <w:p w14:paraId="0909757C"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282</w:t>
            </w:r>
          </w:p>
        </w:tc>
        <w:tc>
          <w:tcPr>
            <w:tcW w:w="1715" w:type="dxa"/>
            <w:tcBorders>
              <w:top w:val="nil"/>
              <w:left w:val="nil"/>
              <w:bottom w:val="single" w:sz="4" w:space="0" w:color="auto"/>
              <w:right w:val="single" w:sz="4" w:space="0" w:color="auto"/>
            </w:tcBorders>
            <w:shd w:val="clear" w:color="auto" w:fill="auto"/>
            <w:noWrap/>
            <w:vAlign w:val="center"/>
            <w:hideMark/>
          </w:tcPr>
          <w:p w14:paraId="4AECCED8" w14:textId="77777777" w:rsidR="0029639D" w:rsidRPr="00415876" w:rsidRDefault="0029639D" w:rsidP="0029639D">
            <w:pPr>
              <w:tabs>
                <w:tab w:val="left" w:pos="1257"/>
              </w:tabs>
              <w:ind w:right="288"/>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453</w:t>
            </w:r>
          </w:p>
        </w:tc>
        <w:tc>
          <w:tcPr>
            <w:tcW w:w="1715" w:type="dxa"/>
            <w:tcBorders>
              <w:top w:val="nil"/>
              <w:left w:val="nil"/>
              <w:bottom w:val="single" w:sz="4" w:space="0" w:color="auto"/>
              <w:right w:val="single" w:sz="4" w:space="0" w:color="auto"/>
            </w:tcBorders>
            <w:shd w:val="clear" w:color="auto" w:fill="auto"/>
            <w:noWrap/>
            <w:vAlign w:val="center"/>
            <w:hideMark/>
          </w:tcPr>
          <w:p w14:paraId="79C8022B" w14:textId="77777777" w:rsidR="0029639D" w:rsidRPr="00415876" w:rsidRDefault="0029639D" w:rsidP="0029639D">
            <w:pPr>
              <w:tabs>
                <w:tab w:val="left" w:pos="1203"/>
              </w:tabs>
              <w:ind w:right="288"/>
              <w:jc w:val="right"/>
              <w:rPr>
                <w:kern w:val="22"/>
                <w:szCs w:val="22"/>
                <w:lang w:val="fr-CA" w:eastAsia="en-CA"/>
              </w:rPr>
            </w:pPr>
            <w:r w:rsidRPr="00415876">
              <w:rPr>
                <w:kern w:val="22"/>
                <w:szCs w:val="22"/>
                <w:lang w:val="fr-CA" w:eastAsia="en-CA"/>
              </w:rPr>
              <w:t>8 501</w:t>
            </w:r>
          </w:p>
        </w:tc>
      </w:tr>
      <w:tr w:rsidR="0029639D" w:rsidRPr="00415876" w14:paraId="509EB73C"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15DA199E" w14:textId="0041363F" w:rsidR="0029639D" w:rsidRPr="00415876" w:rsidRDefault="0029639D" w:rsidP="00995EEF">
            <w:pPr>
              <w:jc w:val="right"/>
              <w:rPr>
                <w:kern w:val="22"/>
                <w:szCs w:val="22"/>
                <w:lang w:val="fr-CA" w:eastAsia="en-CA"/>
              </w:rPr>
            </w:pPr>
            <w:r>
              <w:rPr>
                <w:kern w:val="22"/>
                <w:szCs w:val="22"/>
                <w:lang w:val="fr-CA" w:eastAsia="en-CA"/>
              </w:rPr>
              <w:t>95</w:t>
            </w:r>
          </w:p>
        </w:tc>
        <w:tc>
          <w:tcPr>
            <w:tcW w:w="3823" w:type="dxa"/>
            <w:tcBorders>
              <w:top w:val="nil"/>
              <w:left w:val="nil"/>
              <w:bottom w:val="single" w:sz="4" w:space="0" w:color="auto"/>
              <w:right w:val="single" w:sz="4" w:space="0" w:color="auto"/>
            </w:tcBorders>
            <w:shd w:val="clear" w:color="auto" w:fill="auto"/>
            <w:vAlign w:val="center"/>
            <w:hideMark/>
          </w:tcPr>
          <w:p w14:paraId="6B157A4B" w14:textId="77777777" w:rsidR="0029639D" w:rsidRPr="00415876" w:rsidRDefault="0029639D" w:rsidP="00995EEF">
            <w:pPr>
              <w:jc w:val="left"/>
              <w:rPr>
                <w:kern w:val="22"/>
                <w:szCs w:val="22"/>
                <w:lang w:val="fr-CA" w:eastAsia="en-CA"/>
              </w:rPr>
            </w:pPr>
            <w:r>
              <w:rPr>
                <w:kern w:val="22"/>
                <w:szCs w:val="22"/>
                <w:lang w:val="fr-CA" w:eastAsia="en-CA"/>
              </w:rPr>
              <w:t>République arabe syrienne</w:t>
            </w:r>
          </w:p>
        </w:tc>
        <w:tc>
          <w:tcPr>
            <w:tcW w:w="1472" w:type="dxa"/>
            <w:tcBorders>
              <w:top w:val="nil"/>
              <w:left w:val="nil"/>
              <w:bottom w:val="single" w:sz="4" w:space="0" w:color="auto"/>
              <w:right w:val="single" w:sz="4" w:space="0" w:color="auto"/>
            </w:tcBorders>
            <w:shd w:val="clear" w:color="auto" w:fill="auto"/>
            <w:vAlign w:val="center"/>
            <w:hideMark/>
          </w:tcPr>
          <w:p w14:paraId="32017C6B"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011</w:t>
            </w:r>
          </w:p>
        </w:tc>
        <w:tc>
          <w:tcPr>
            <w:tcW w:w="1715" w:type="dxa"/>
            <w:tcBorders>
              <w:top w:val="nil"/>
              <w:left w:val="nil"/>
              <w:bottom w:val="single" w:sz="4" w:space="0" w:color="auto"/>
              <w:right w:val="single" w:sz="4" w:space="0" w:color="auto"/>
            </w:tcBorders>
            <w:shd w:val="clear" w:color="auto" w:fill="auto"/>
            <w:noWrap/>
            <w:vAlign w:val="center"/>
            <w:hideMark/>
          </w:tcPr>
          <w:p w14:paraId="7E0EE15F" w14:textId="77777777" w:rsidR="0029639D" w:rsidRPr="00415876" w:rsidRDefault="0029639D" w:rsidP="0029639D">
            <w:pPr>
              <w:tabs>
                <w:tab w:val="left" w:pos="1257"/>
              </w:tabs>
              <w:ind w:right="288"/>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018</w:t>
            </w:r>
          </w:p>
        </w:tc>
        <w:tc>
          <w:tcPr>
            <w:tcW w:w="1715" w:type="dxa"/>
            <w:tcBorders>
              <w:top w:val="nil"/>
              <w:left w:val="nil"/>
              <w:bottom w:val="single" w:sz="4" w:space="0" w:color="auto"/>
              <w:right w:val="single" w:sz="4" w:space="0" w:color="auto"/>
            </w:tcBorders>
            <w:shd w:val="clear" w:color="auto" w:fill="auto"/>
            <w:noWrap/>
            <w:vAlign w:val="center"/>
            <w:hideMark/>
          </w:tcPr>
          <w:p w14:paraId="1BE8E4D0" w14:textId="77777777" w:rsidR="0029639D" w:rsidRPr="00415876" w:rsidRDefault="0029639D" w:rsidP="0029639D">
            <w:pPr>
              <w:tabs>
                <w:tab w:val="left" w:pos="1203"/>
              </w:tabs>
              <w:ind w:right="288"/>
              <w:jc w:val="right"/>
              <w:rPr>
                <w:kern w:val="22"/>
                <w:szCs w:val="22"/>
                <w:lang w:val="fr-CA" w:eastAsia="en-CA"/>
              </w:rPr>
            </w:pPr>
            <w:r w:rsidRPr="00415876">
              <w:rPr>
                <w:kern w:val="22"/>
                <w:szCs w:val="22"/>
                <w:lang w:val="fr-CA" w:eastAsia="en-CA"/>
              </w:rPr>
              <w:t>332</w:t>
            </w:r>
          </w:p>
        </w:tc>
      </w:tr>
      <w:tr w:rsidR="0029639D" w:rsidRPr="00415876" w14:paraId="68D2FD13"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73E8510F" w14:textId="5EB1A564" w:rsidR="0029639D" w:rsidRPr="00415876" w:rsidRDefault="0029639D" w:rsidP="00120F79">
            <w:pPr>
              <w:jc w:val="right"/>
              <w:rPr>
                <w:kern w:val="22"/>
                <w:szCs w:val="22"/>
                <w:lang w:val="fr-CA" w:eastAsia="en-CA"/>
              </w:rPr>
            </w:pPr>
            <w:r>
              <w:rPr>
                <w:kern w:val="22"/>
                <w:szCs w:val="22"/>
                <w:lang w:val="fr-CA" w:eastAsia="en-CA"/>
              </w:rPr>
              <w:t>96</w:t>
            </w:r>
          </w:p>
        </w:tc>
        <w:tc>
          <w:tcPr>
            <w:tcW w:w="3823" w:type="dxa"/>
            <w:tcBorders>
              <w:top w:val="nil"/>
              <w:left w:val="nil"/>
              <w:bottom w:val="single" w:sz="4" w:space="0" w:color="auto"/>
              <w:right w:val="single" w:sz="4" w:space="0" w:color="auto"/>
            </w:tcBorders>
            <w:shd w:val="clear" w:color="auto" w:fill="auto"/>
            <w:vAlign w:val="center"/>
            <w:hideMark/>
          </w:tcPr>
          <w:p w14:paraId="327AAB9B" w14:textId="77777777" w:rsidR="0029639D" w:rsidRPr="00415876" w:rsidRDefault="0029639D" w:rsidP="00120F79">
            <w:pPr>
              <w:jc w:val="left"/>
              <w:rPr>
                <w:kern w:val="22"/>
                <w:szCs w:val="22"/>
                <w:lang w:val="fr-CA" w:eastAsia="en-CA"/>
              </w:rPr>
            </w:pPr>
            <w:r>
              <w:rPr>
                <w:kern w:val="22"/>
                <w:szCs w:val="22"/>
                <w:lang w:val="fr-CA" w:eastAsia="en-CA"/>
              </w:rPr>
              <w:t>République centrafricaine</w:t>
            </w:r>
          </w:p>
        </w:tc>
        <w:tc>
          <w:tcPr>
            <w:tcW w:w="1472" w:type="dxa"/>
            <w:tcBorders>
              <w:top w:val="nil"/>
              <w:left w:val="nil"/>
              <w:bottom w:val="single" w:sz="4" w:space="0" w:color="auto"/>
              <w:right w:val="single" w:sz="4" w:space="0" w:color="auto"/>
            </w:tcBorders>
            <w:shd w:val="clear" w:color="auto" w:fill="auto"/>
            <w:vAlign w:val="center"/>
            <w:hideMark/>
          </w:tcPr>
          <w:p w14:paraId="2716163A"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001</w:t>
            </w:r>
          </w:p>
        </w:tc>
        <w:tc>
          <w:tcPr>
            <w:tcW w:w="1715" w:type="dxa"/>
            <w:tcBorders>
              <w:top w:val="nil"/>
              <w:left w:val="nil"/>
              <w:bottom w:val="single" w:sz="4" w:space="0" w:color="auto"/>
              <w:right w:val="single" w:sz="4" w:space="0" w:color="auto"/>
            </w:tcBorders>
            <w:shd w:val="clear" w:color="auto" w:fill="auto"/>
            <w:noWrap/>
            <w:vAlign w:val="center"/>
            <w:hideMark/>
          </w:tcPr>
          <w:p w14:paraId="155F7C66" w14:textId="77777777" w:rsidR="0029639D" w:rsidRPr="00415876" w:rsidRDefault="0029639D" w:rsidP="0029639D">
            <w:pPr>
              <w:ind w:right="242"/>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002</w:t>
            </w:r>
          </w:p>
        </w:tc>
        <w:tc>
          <w:tcPr>
            <w:tcW w:w="1715" w:type="dxa"/>
            <w:tcBorders>
              <w:top w:val="nil"/>
              <w:left w:val="nil"/>
              <w:bottom w:val="single" w:sz="4" w:space="0" w:color="auto"/>
              <w:right w:val="single" w:sz="4" w:space="0" w:color="auto"/>
            </w:tcBorders>
            <w:shd w:val="clear" w:color="auto" w:fill="auto"/>
            <w:noWrap/>
            <w:vAlign w:val="center"/>
            <w:hideMark/>
          </w:tcPr>
          <w:p w14:paraId="0B3419EB" w14:textId="77777777" w:rsidR="0029639D" w:rsidRPr="00415876" w:rsidRDefault="0029639D" w:rsidP="0029639D">
            <w:pPr>
              <w:tabs>
                <w:tab w:val="left" w:pos="1203"/>
              </w:tabs>
              <w:ind w:right="144"/>
              <w:jc w:val="right"/>
              <w:rPr>
                <w:kern w:val="22"/>
                <w:szCs w:val="22"/>
                <w:lang w:val="fr-CA" w:eastAsia="en-CA"/>
              </w:rPr>
            </w:pPr>
            <w:r w:rsidRPr="00415876">
              <w:rPr>
                <w:kern w:val="22"/>
                <w:szCs w:val="22"/>
                <w:lang w:val="fr-CA" w:eastAsia="en-CA"/>
              </w:rPr>
              <w:t>30</w:t>
            </w:r>
          </w:p>
        </w:tc>
      </w:tr>
      <w:tr w:rsidR="0029639D" w:rsidRPr="00415876" w14:paraId="05429D02"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01439E4B" w14:textId="33FFCE9C" w:rsidR="0029639D" w:rsidRPr="00415876" w:rsidRDefault="0029639D" w:rsidP="00120F79">
            <w:pPr>
              <w:jc w:val="right"/>
              <w:rPr>
                <w:kern w:val="22"/>
                <w:szCs w:val="22"/>
                <w:lang w:val="fr-CA" w:eastAsia="en-CA"/>
              </w:rPr>
            </w:pPr>
            <w:r>
              <w:rPr>
                <w:kern w:val="22"/>
                <w:szCs w:val="22"/>
                <w:lang w:val="fr-CA" w:eastAsia="en-CA"/>
              </w:rPr>
              <w:t>97</w:t>
            </w:r>
          </w:p>
        </w:tc>
        <w:tc>
          <w:tcPr>
            <w:tcW w:w="3823" w:type="dxa"/>
            <w:tcBorders>
              <w:top w:val="nil"/>
              <w:left w:val="nil"/>
              <w:bottom w:val="single" w:sz="4" w:space="0" w:color="auto"/>
              <w:right w:val="single" w:sz="4" w:space="0" w:color="auto"/>
            </w:tcBorders>
            <w:shd w:val="clear" w:color="auto" w:fill="auto"/>
            <w:vAlign w:val="center"/>
            <w:hideMark/>
          </w:tcPr>
          <w:p w14:paraId="1A1C554D" w14:textId="77777777" w:rsidR="0029639D" w:rsidRPr="00415876" w:rsidRDefault="0029639D" w:rsidP="00120F79">
            <w:pPr>
              <w:jc w:val="left"/>
              <w:rPr>
                <w:kern w:val="22"/>
                <w:szCs w:val="22"/>
                <w:lang w:val="fr-CA" w:eastAsia="en-CA"/>
              </w:rPr>
            </w:pPr>
            <w:r>
              <w:rPr>
                <w:kern w:val="22"/>
                <w:szCs w:val="22"/>
                <w:lang w:val="fr-CA" w:eastAsia="en-CA"/>
              </w:rPr>
              <w:t>République de Corée</w:t>
            </w:r>
          </w:p>
        </w:tc>
        <w:tc>
          <w:tcPr>
            <w:tcW w:w="1472" w:type="dxa"/>
            <w:tcBorders>
              <w:top w:val="nil"/>
              <w:left w:val="nil"/>
              <w:bottom w:val="single" w:sz="4" w:space="0" w:color="auto"/>
              <w:right w:val="single" w:sz="4" w:space="0" w:color="auto"/>
            </w:tcBorders>
            <w:shd w:val="clear" w:color="auto" w:fill="auto"/>
            <w:vAlign w:val="center"/>
            <w:hideMark/>
          </w:tcPr>
          <w:p w14:paraId="4C012B56" w14:textId="77777777" w:rsidR="0029639D" w:rsidRPr="00415876" w:rsidRDefault="0029639D" w:rsidP="0029639D">
            <w:pPr>
              <w:ind w:right="144"/>
              <w:jc w:val="right"/>
              <w:rPr>
                <w:kern w:val="22"/>
                <w:szCs w:val="22"/>
                <w:lang w:val="fr-CA" w:eastAsia="en-CA"/>
              </w:rPr>
            </w:pPr>
            <w:r w:rsidRPr="00415876">
              <w:rPr>
                <w:kern w:val="22"/>
                <w:szCs w:val="22"/>
                <w:lang w:val="fr-CA" w:eastAsia="en-CA"/>
              </w:rPr>
              <w:t>2</w:t>
            </w:r>
            <w:r>
              <w:rPr>
                <w:kern w:val="22"/>
                <w:szCs w:val="22"/>
                <w:lang w:val="fr-CA" w:eastAsia="en-CA"/>
              </w:rPr>
              <w:t>,</w:t>
            </w:r>
            <w:r w:rsidRPr="00415876">
              <w:rPr>
                <w:kern w:val="22"/>
                <w:szCs w:val="22"/>
                <w:lang w:val="fr-CA" w:eastAsia="en-CA"/>
              </w:rPr>
              <w:t>267</w:t>
            </w:r>
          </w:p>
        </w:tc>
        <w:tc>
          <w:tcPr>
            <w:tcW w:w="1715" w:type="dxa"/>
            <w:tcBorders>
              <w:top w:val="nil"/>
              <w:left w:val="nil"/>
              <w:bottom w:val="single" w:sz="4" w:space="0" w:color="auto"/>
              <w:right w:val="single" w:sz="4" w:space="0" w:color="auto"/>
            </w:tcBorders>
            <w:shd w:val="clear" w:color="auto" w:fill="auto"/>
            <w:noWrap/>
            <w:vAlign w:val="center"/>
            <w:hideMark/>
          </w:tcPr>
          <w:p w14:paraId="63E868B4" w14:textId="77777777" w:rsidR="0029639D" w:rsidRPr="00415876" w:rsidRDefault="0029639D" w:rsidP="0029639D">
            <w:pPr>
              <w:ind w:right="242"/>
              <w:jc w:val="right"/>
              <w:rPr>
                <w:kern w:val="22"/>
                <w:szCs w:val="22"/>
                <w:lang w:val="fr-CA" w:eastAsia="en-CA"/>
              </w:rPr>
            </w:pPr>
            <w:r w:rsidRPr="00415876">
              <w:rPr>
                <w:kern w:val="22"/>
                <w:szCs w:val="22"/>
                <w:lang w:val="fr-CA" w:eastAsia="en-CA"/>
              </w:rPr>
              <w:t>3</w:t>
            </w:r>
            <w:r>
              <w:rPr>
                <w:kern w:val="22"/>
                <w:szCs w:val="22"/>
                <w:lang w:val="fr-CA" w:eastAsia="en-CA"/>
              </w:rPr>
              <w:t>,</w:t>
            </w:r>
            <w:r w:rsidRPr="00415876">
              <w:rPr>
                <w:kern w:val="22"/>
                <w:szCs w:val="22"/>
                <w:lang w:val="fr-CA" w:eastAsia="en-CA"/>
              </w:rPr>
              <w:t>643</w:t>
            </w:r>
          </w:p>
        </w:tc>
        <w:tc>
          <w:tcPr>
            <w:tcW w:w="1715" w:type="dxa"/>
            <w:tcBorders>
              <w:top w:val="nil"/>
              <w:left w:val="nil"/>
              <w:bottom w:val="single" w:sz="4" w:space="0" w:color="auto"/>
              <w:right w:val="single" w:sz="4" w:space="0" w:color="auto"/>
            </w:tcBorders>
            <w:shd w:val="clear" w:color="auto" w:fill="auto"/>
            <w:noWrap/>
            <w:vAlign w:val="center"/>
            <w:hideMark/>
          </w:tcPr>
          <w:p w14:paraId="6605BD78" w14:textId="77777777" w:rsidR="0029639D" w:rsidRPr="00415876" w:rsidRDefault="0029639D" w:rsidP="0029639D">
            <w:pPr>
              <w:tabs>
                <w:tab w:val="left" w:pos="1203"/>
              </w:tabs>
              <w:ind w:right="288"/>
              <w:jc w:val="right"/>
              <w:rPr>
                <w:kern w:val="22"/>
                <w:szCs w:val="22"/>
                <w:lang w:val="fr-CA" w:eastAsia="en-CA"/>
              </w:rPr>
            </w:pPr>
            <w:r w:rsidRPr="00415876">
              <w:rPr>
                <w:kern w:val="22"/>
                <w:szCs w:val="22"/>
                <w:lang w:val="fr-CA" w:eastAsia="en-CA"/>
              </w:rPr>
              <w:t>68 339</w:t>
            </w:r>
          </w:p>
        </w:tc>
      </w:tr>
      <w:tr w:rsidR="0029639D" w:rsidRPr="00415876" w14:paraId="02C8D01C"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678E053B" w14:textId="77777777" w:rsidR="0029639D" w:rsidRPr="00415876" w:rsidRDefault="0029639D" w:rsidP="00120F79">
            <w:pPr>
              <w:jc w:val="right"/>
              <w:rPr>
                <w:kern w:val="22"/>
                <w:szCs w:val="22"/>
                <w:lang w:val="fr-CA" w:eastAsia="en-CA"/>
              </w:rPr>
            </w:pPr>
            <w:r w:rsidRPr="00415876">
              <w:rPr>
                <w:kern w:val="22"/>
                <w:szCs w:val="22"/>
                <w:lang w:val="fr-CA" w:eastAsia="en-CA"/>
              </w:rPr>
              <w:t>98</w:t>
            </w:r>
          </w:p>
        </w:tc>
        <w:tc>
          <w:tcPr>
            <w:tcW w:w="3823" w:type="dxa"/>
            <w:tcBorders>
              <w:top w:val="nil"/>
              <w:left w:val="nil"/>
              <w:bottom w:val="single" w:sz="4" w:space="0" w:color="auto"/>
              <w:right w:val="single" w:sz="4" w:space="0" w:color="auto"/>
            </w:tcBorders>
            <w:shd w:val="clear" w:color="auto" w:fill="auto"/>
            <w:vAlign w:val="center"/>
            <w:hideMark/>
          </w:tcPr>
          <w:p w14:paraId="4E6B886B" w14:textId="77777777" w:rsidR="0029639D" w:rsidRPr="00415876" w:rsidRDefault="0029639D" w:rsidP="00120F79">
            <w:pPr>
              <w:jc w:val="left"/>
              <w:rPr>
                <w:kern w:val="22"/>
                <w:szCs w:val="22"/>
                <w:lang w:val="fr-CA" w:eastAsia="en-CA"/>
              </w:rPr>
            </w:pPr>
            <w:r>
              <w:rPr>
                <w:kern w:val="22"/>
                <w:szCs w:val="22"/>
                <w:lang w:val="fr-CA" w:eastAsia="en-CA"/>
              </w:rPr>
              <w:t>République de Moldavie</w:t>
            </w:r>
          </w:p>
        </w:tc>
        <w:tc>
          <w:tcPr>
            <w:tcW w:w="1472" w:type="dxa"/>
            <w:tcBorders>
              <w:top w:val="nil"/>
              <w:left w:val="nil"/>
              <w:bottom w:val="single" w:sz="4" w:space="0" w:color="auto"/>
              <w:right w:val="single" w:sz="4" w:space="0" w:color="auto"/>
            </w:tcBorders>
            <w:shd w:val="clear" w:color="auto" w:fill="auto"/>
            <w:vAlign w:val="center"/>
            <w:hideMark/>
          </w:tcPr>
          <w:p w14:paraId="0E5D3E80"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003</w:t>
            </w:r>
          </w:p>
        </w:tc>
        <w:tc>
          <w:tcPr>
            <w:tcW w:w="1715" w:type="dxa"/>
            <w:tcBorders>
              <w:top w:val="nil"/>
              <w:left w:val="nil"/>
              <w:bottom w:val="single" w:sz="4" w:space="0" w:color="auto"/>
              <w:right w:val="single" w:sz="4" w:space="0" w:color="auto"/>
            </w:tcBorders>
            <w:shd w:val="clear" w:color="auto" w:fill="auto"/>
            <w:noWrap/>
            <w:vAlign w:val="center"/>
            <w:hideMark/>
          </w:tcPr>
          <w:p w14:paraId="2A336EDF" w14:textId="77777777" w:rsidR="0029639D" w:rsidRPr="00415876" w:rsidRDefault="0029639D" w:rsidP="0029639D">
            <w:pPr>
              <w:ind w:right="242"/>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005</w:t>
            </w:r>
          </w:p>
        </w:tc>
        <w:tc>
          <w:tcPr>
            <w:tcW w:w="1715" w:type="dxa"/>
            <w:tcBorders>
              <w:top w:val="nil"/>
              <w:left w:val="nil"/>
              <w:bottom w:val="single" w:sz="4" w:space="0" w:color="auto"/>
              <w:right w:val="single" w:sz="4" w:space="0" w:color="auto"/>
            </w:tcBorders>
            <w:shd w:val="clear" w:color="auto" w:fill="auto"/>
            <w:noWrap/>
            <w:vAlign w:val="center"/>
            <w:hideMark/>
          </w:tcPr>
          <w:p w14:paraId="12312799" w14:textId="77777777" w:rsidR="0029639D" w:rsidRPr="00415876" w:rsidRDefault="0029639D" w:rsidP="0029639D">
            <w:pPr>
              <w:tabs>
                <w:tab w:val="left" w:pos="1203"/>
              </w:tabs>
              <w:ind w:right="288"/>
              <w:jc w:val="right"/>
              <w:rPr>
                <w:kern w:val="22"/>
                <w:szCs w:val="22"/>
                <w:lang w:val="fr-CA" w:eastAsia="en-CA"/>
              </w:rPr>
            </w:pPr>
            <w:r w:rsidRPr="00415876">
              <w:rPr>
                <w:kern w:val="22"/>
                <w:szCs w:val="22"/>
                <w:lang w:val="fr-CA" w:eastAsia="en-CA"/>
              </w:rPr>
              <w:t>90</w:t>
            </w:r>
          </w:p>
        </w:tc>
      </w:tr>
      <w:tr w:rsidR="0029639D" w:rsidRPr="00415876" w14:paraId="79EADC4C"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6CE46623" w14:textId="36EE791E" w:rsidR="0029639D" w:rsidRPr="00415876" w:rsidRDefault="0029639D" w:rsidP="00120F79">
            <w:pPr>
              <w:jc w:val="right"/>
              <w:rPr>
                <w:kern w:val="22"/>
                <w:szCs w:val="22"/>
                <w:lang w:val="fr-CA" w:eastAsia="en-CA"/>
              </w:rPr>
            </w:pPr>
            <w:r>
              <w:rPr>
                <w:kern w:val="22"/>
                <w:szCs w:val="22"/>
                <w:lang w:val="fr-CA" w:eastAsia="en-CA"/>
              </w:rPr>
              <w:t>99</w:t>
            </w:r>
          </w:p>
        </w:tc>
        <w:tc>
          <w:tcPr>
            <w:tcW w:w="3823" w:type="dxa"/>
            <w:tcBorders>
              <w:top w:val="nil"/>
              <w:left w:val="nil"/>
              <w:bottom w:val="single" w:sz="4" w:space="0" w:color="auto"/>
              <w:right w:val="single" w:sz="4" w:space="0" w:color="auto"/>
            </w:tcBorders>
            <w:shd w:val="clear" w:color="auto" w:fill="auto"/>
            <w:vAlign w:val="center"/>
            <w:hideMark/>
          </w:tcPr>
          <w:p w14:paraId="112F2DC1" w14:textId="77777777" w:rsidR="0029639D" w:rsidRPr="00415876" w:rsidRDefault="0029639D" w:rsidP="00120F79">
            <w:pPr>
              <w:jc w:val="left"/>
              <w:rPr>
                <w:kern w:val="22"/>
                <w:szCs w:val="22"/>
                <w:lang w:val="fr-CA" w:eastAsia="en-CA"/>
              </w:rPr>
            </w:pPr>
            <w:r>
              <w:rPr>
                <w:kern w:val="22"/>
                <w:szCs w:val="22"/>
                <w:lang w:val="fr-CA" w:eastAsia="en-CA"/>
              </w:rPr>
              <w:t>République démocratique du Congo</w:t>
            </w:r>
          </w:p>
        </w:tc>
        <w:tc>
          <w:tcPr>
            <w:tcW w:w="1472" w:type="dxa"/>
            <w:tcBorders>
              <w:top w:val="nil"/>
              <w:left w:val="nil"/>
              <w:bottom w:val="single" w:sz="4" w:space="0" w:color="auto"/>
              <w:right w:val="single" w:sz="4" w:space="0" w:color="auto"/>
            </w:tcBorders>
            <w:shd w:val="clear" w:color="auto" w:fill="auto"/>
            <w:vAlign w:val="center"/>
            <w:hideMark/>
          </w:tcPr>
          <w:p w14:paraId="59FAF1D8"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010</w:t>
            </w:r>
          </w:p>
        </w:tc>
        <w:tc>
          <w:tcPr>
            <w:tcW w:w="1715" w:type="dxa"/>
            <w:tcBorders>
              <w:top w:val="nil"/>
              <w:left w:val="nil"/>
              <w:bottom w:val="single" w:sz="4" w:space="0" w:color="auto"/>
              <w:right w:val="single" w:sz="4" w:space="0" w:color="auto"/>
            </w:tcBorders>
            <w:shd w:val="clear" w:color="auto" w:fill="auto"/>
            <w:noWrap/>
            <w:vAlign w:val="center"/>
            <w:hideMark/>
          </w:tcPr>
          <w:p w14:paraId="0B1CD62C" w14:textId="77777777" w:rsidR="0029639D" w:rsidRPr="00415876" w:rsidRDefault="0029639D" w:rsidP="0029639D">
            <w:pPr>
              <w:ind w:right="242"/>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010</w:t>
            </w:r>
          </w:p>
        </w:tc>
        <w:tc>
          <w:tcPr>
            <w:tcW w:w="1715" w:type="dxa"/>
            <w:tcBorders>
              <w:top w:val="nil"/>
              <w:left w:val="nil"/>
              <w:bottom w:val="single" w:sz="4" w:space="0" w:color="auto"/>
              <w:right w:val="single" w:sz="4" w:space="0" w:color="auto"/>
            </w:tcBorders>
            <w:shd w:val="clear" w:color="auto" w:fill="auto"/>
            <w:noWrap/>
            <w:vAlign w:val="center"/>
            <w:hideMark/>
          </w:tcPr>
          <w:p w14:paraId="6C50FC45" w14:textId="77777777" w:rsidR="0029639D" w:rsidRPr="00415876" w:rsidRDefault="0029639D" w:rsidP="0029639D">
            <w:pPr>
              <w:tabs>
                <w:tab w:val="left" w:pos="1203"/>
              </w:tabs>
              <w:ind w:right="144"/>
              <w:jc w:val="right"/>
              <w:rPr>
                <w:kern w:val="22"/>
                <w:szCs w:val="22"/>
                <w:lang w:val="fr-CA" w:eastAsia="en-CA"/>
              </w:rPr>
            </w:pPr>
            <w:r w:rsidRPr="00415876">
              <w:rPr>
                <w:kern w:val="22"/>
                <w:szCs w:val="22"/>
                <w:lang w:val="fr-CA" w:eastAsia="en-CA"/>
              </w:rPr>
              <w:t>188</w:t>
            </w:r>
          </w:p>
        </w:tc>
      </w:tr>
      <w:tr w:rsidR="0029639D" w:rsidRPr="00415876" w14:paraId="5C2AB8AC"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42124BEA" w14:textId="7BECD3C2" w:rsidR="0029639D" w:rsidRPr="00415876" w:rsidRDefault="0029639D" w:rsidP="00120F79">
            <w:pPr>
              <w:jc w:val="right"/>
              <w:rPr>
                <w:kern w:val="22"/>
                <w:szCs w:val="22"/>
                <w:lang w:val="fr-CA" w:eastAsia="en-CA"/>
              </w:rPr>
            </w:pPr>
            <w:r>
              <w:rPr>
                <w:kern w:val="22"/>
                <w:szCs w:val="22"/>
                <w:lang w:val="fr-CA" w:eastAsia="en-CA"/>
              </w:rPr>
              <w:t>100</w:t>
            </w:r>
          </w:p>
        </w:tc>
        <w:tc>
          <w:tcPr>
            <w:tcW w:w="3823" w:type="dxa"/>
            <w:tcBorders>
              <w:top w:val="nil"/>
              <w:left w:val="nil"/>
              <w:bottom w:val="single" w:sz="4" w:space="0" w:color="auto"/>
              <w:right w:val="single" w:sz="4" w:space="0" w:color="auto"/>
            </w:tcBorders>
            <w:shd w:val="clear" w:color="auto" w:fill="auto"/>
            <w:vAlign w:val="center"/>
            <w:hideMark/>
          </w:tcPr>
          <w:p w14:paraId="52F73709" w14:textId="77777777" w:rsidR="0029639D" w:rsidRPr="00415876" w:rsidRDefault="0029639D" w:rsidP="00120F79">
            <w:pPr>
              <w:jc w:val="left"/>
              <w:rPr>
                <w:kern w:val="22"/>
                <w:szCs w:val="22"/>
                <w:lang w:val="fr-CA" w:eastAsia="en-CA"/>
              </w:rPr>
            </w:pPr>
            <w:r>
              <w:rPr>
                <w:kern w:val="22"/>
                <w:szCs w:val="22"/>
                <w:lang w:val="fr-CA" w:eastAsia="en-CA"/>
              </w:rPr>
              <w:t>République démocratique populaire lao</w:t>
            </w:r>
          </w:p>
        </w:tc>
        <w:tc>
          <w:tcPr>
            <w:tcW w:w="1472" w:type="dxa"/>
            <w:tcBorders>
              <w:top w:val="nil"/>
              <w:left w:val="nil"/>
              <w:bottom w:val="single" w:sz="4" w:space="0" w:color="auto"/>
              <w:right w:val="single" w:sz="4" w:space="0" w:color="auto"/>
            </w:tcBorders>
            <w:shd w:val="clear" w:color="auto" w:fill="auto"/>
            <w:vAlign w:val="center"/>
            <w:hideMark/>
          </w:tcPr>
          <w:p w14:paraId="710724BD" w14:textId="77777777" w:rsidR="0029639D" w:rsidRPr="00415876" w:rsidRDefault="0029639D" w:rsidP="0029639D">
            <w:pPr>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005</w:t>
            </w:r>
          </w:p>
        </w:tc>
        <w:tc>
          <w:tcPr>
            <w:tcW w:w="1715" w:type="dxa"/>
            <w:tcBorders>
              <w:top w:val="nil"/>
              <w:left w:val="nil"/>
              <w:bottom w:val="single" w:sz="4" w:space="0" w:color="auto"/>
              <w:right w:val="single" w:sz="4" w:space="0" w:color="auto"/>
            </w:tcBorders>
            <w:shd w:val="clear" w:color="auto" w:fill="auto"/>
            <w:noWrap/>
            <w:vAlign w:val="center"/>
            <w:hideMark/>
          </w:tcPr>
          <w:p w14:paraId="3A196A03" w14:textId="77777777" w:rsidR="0029639D" w:rsidRPr="00415876" w:rsidRDefault="0029639D" w:rsidP="0029639D">
            <w:pPr>
              <w:adjustRightInd w:val="0"/>
              <w:snapToGrid w:val="0"/>
              <w:ind w:right="242"/>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008</w:t>
            </w:r>
          </w:p>
        </w:tc>
        <w:tc>
          <w:tcPr>
            <w:tcW w:w="1715" w:type="dxa"/>
            <w:tcBorders>
              <w:top w:val="nil"/>
              <w:left w:val="nil"/>
              <w:bottom w:val="single" w:sz="4" w:space="0" w:color="auto"/>
              <w:right w:val="single" w:sz="4" w:space="0" w:color="auto"/>
            </w:tcBorders>
            <w:shd w:val="clear" w:color="auto" w:fill="auto"/>
            <w:noWrap/>
            <w:vAlign w:val="center"/>
            <w:hideMark/>
          </w:tcPr>
          <w:p w14:paraId="7C04B899" w14:textId="77777777" w:rsidR="0029639D" w:rsidRPr="00415876" w:rsidRDefault="0029639D" w:rsidP="0029639D">
            <w:pPr>
              <w:tabs>
                <w:tab w:val="left" w:pos="1203"/>
              </w:tabs>
              <w:adjustRightInd w:val="0"/>
              <w:snapToGrid w:val="0"/>
              <w:ind w:right="144"/>
              <w:jc w:val="right"/>
              <w:rPr>
                <w:kern w:val="22"/>
                <w:szCs w:val="22"/>
                <w:lang w:val="fr-CA" w:eastAsia="en-CA"/>
              </w:rPr>
            </w:pPr>
            <w:r w:rsidRPr="00415876">
              <w:rPr>
                <w:kern w:val="22"/>
                <w:szCs w:val="22"/>
                <w:lang w:val="fr-CA" w:eastAsia="en-CA"/>
              </w:rPr>
              <w:t>151</w:t>
            </w:r>
          </w:p>
        </w:tc>
      </w:tr>
      <w:tr w:rsidR="0029639D" w:rsidRPr="00415876" w14:paraId="3D89EE41"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6DFB7852" w14:textId="4A0D975F" w:rsidR="0029639D" w:rsidRPr="00415876" w:rsidRDefault="0029639D" w:rsidP="00120F79">
            <w:pPr>
              <w:jc w:val="right"/>
              <w:rPr>
                <w:kern w:val="22"/>
                <w:szCs w:val="22"/>
                <w:lang w:val="fr-CA" w:eastAsia="en-CA"/>
              </w:rPr>
            </w:pPr>
            <w:r>
              <w:rPr>
                <w:kern w:val="22"/>
                <w:szCs w:val="22"/>
                <w:lang w:val="fr-CA" w:eastAsia="en-CA"/>
              </w:rPr>
              <w:t>101</w:t>
            </w:r>
          </w:p>
        </w:tc>
        <w:tc>
          <w:tcPr>
            <w:tcW w:w="3823" w:type="dxa"/>
            <w:tcBorders>
              <w:top w:val="nil"/>
              <w:left w:val="nil"/>
              <w:bottom w:val="single" w:sz="4" w:space="0" w:color="auto"/>
              <w:right w:val="single" w:sz="4" w:space="0" w:color="auto"/>
            </w:tcBorders>
            <w:shd w:val="clear" w:color="auto" w:fill="auto"/>
            <w:vAlign w:val="center"/>
            <w:hideMark/>
          </w:tcPr>
          <w:p w14:paraId="6343D9D3" w14:textId="77777777" w:rsidR="0029639D" w:rsidRPr="00415876" w:rsidRDefault="0029639D" w:rsidP="00120F79">
            <w:pPr>
              <w:jc w:val="left"/>
              <w:rPr>
                <w:kern w:val="22"/>
                <w:szCs w:val="22"/>
                <w:lang w:val="fr-CA" w:eastAsia="en-CA"/>
              </w:rPr>
            </w:pPr>
            <w:r>
              <w:rPr>
                <w:kern w:val="22"/>
                <w:szCs w:val="22"/>
                <w:lang w:val="fr-CA" w:eastAsia="en-CA"/>
              </w:rPr>
              <w:t>République dominicaine</w:t>
            </w:r>
          </w:p>
        </w:tc>
        <w:tc>
          <w:tcPr>
            <w:tcW w:w="1472" w:type="dxa"/>
            <w:tcBorders>
              <w:top w:val="nil"/>
              <w:left w:val="nil"/>
              <w:bottom w:val="single" w:sz="4" w:space="0" w:color="auto"/>
              <w:right w:val="single" w:sz="4" w:space="0" w:color="auto"/>
            </w:tcBorders>
            <w:shd w:val="clear" w:color="auto" w:fill="auto"/>
            <w:vAlign w:val="center"/>
            <w:hideMark/>
          </w:tcPr>
          <w:p w14:paraId="3D084D31"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053</w:t>
            </w:r>
          </w:p>
        </w:tc>
        <w:tc>
          <w:tcPr>
            <w:tcW w:w="1715" w:type="dxa"/>
            <w:tcBorders>
              <w:top w:val="nil"/>
              <w:left w:val="nil"/>
              <w:bottom w:val="single" w:sz="4" w:space="0" w:color="auto"/>
              <w:right w:val="single" w:sz="4" w:space="0" w:color="auto"/>
            </w:tcBorders>
            <w:shd w:val="clear" w:color="auto" w:fill="auto"/>
            <w:noWrap/>
            <w:vAlign w:val="center"/>
            <w:hideMark/>
          </w:tcPr>
          <w:p w14:paraId="02862CF7" w14:textId="77777777" w:rsidR="0029639D" w:rsidRPr="00415876" w:rsidRDefault="0029639D" w:rsidP="0029639D">
            <w:pPr>
              <w:ind w:right="242"/>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085</w:t>
            </w:r>
          </w:p>
        </w:tc>
        <w:tc>
          <w:tcPr>
            <w:tcW w:w="1715" w:type="dxa"/>
            <w:tcBorders>
              <w:top w:val="nil"/>
              <w:left w:val="nil"/>
              <w:bottom w:val="single" w:sz="4" w:space="0" w:color="auto"/>
              <w:right w:val="single" w:sz="4" w:space="0" w:color="auto"/>
            </w:tcBorders>
            <w:shd w:val="clear" w:color="auto" w:fill="auto"/>
            <w:noWrap/>
            <w:vAlign w:val="center"/>
            <w:hideMark/>
          </w:tcPr>
          <w:p w14:paraId="7077C33D" w14:textId="77777777" w:rsidR="0029639D" w:rsidRPr="00415876" w:rsidRDefault="0029639D" w:rsidP="0029639D">
            <w:pPr>
              <w:tabs>
                <w:tab w:val="left" w:pos="1203"/>
              </w:tabs>
              <w:ind w:right="144"/>
              <w:jc w:val="right"/>
              <w:rPr>
                <w:kern w:val="22"/>
                <w:szCs w:val="22"/>
                <w:lang w:val="fr-CA" w:eastAsia="en-CA"/>
              </w:rPr>
            </w:pPr>
            <w:r w:rsidRPr="00415876">
              <w:rPr>
                <w:kern w:val="22"/>
                <w:szCs w:val="22"/>
                <w:lang w:val="fr-CA" w:eastAsia="en-CA"/>
              </w:rPr>
              <w:t>1 598</w:t>
            </w:r>
          </w:p>
        </w:tc>
      </w:tr>
      <w:tr w:rsidR="0029639D" w:rsidRPr="00415876" w14:paraId="7FBD612E"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6F85FE2A" w14:textId="4F7B79F2" w:rsidR="0029639D" w:rsidRPr="00415876" w:rsidRDefault="0029639D" w:rsidP="00120F79">
            <w:pPr>
              <w:jc w:val="right"/>
              <w:rPr>
                <w:kern w:val="22"/>
                <w:szCs w:val="22"/>
                <w:lang w:val="fr-CA" w:eastAsia="en-CA"/>
              </w:rPr>
            </w:pPr>
            <w:r>
              <w:rPr>
                <w:kern w:val="22"/>
                <w:szCs w:val="22"/>
                <w:lang w:val="fr-CA" w:eastAsia="en-CA"/>
              </w:rPr>
              <w:t>102</w:t>
            </w:r>
          </w:p>
        </w:tc>
        <w:tc>
          <w:tcPr>
            <w:tcW w:w="3823" w:type="dxa"/>
            <w:tcBorders>
              <w:top w:val="nil"/>
              <w:left w:val="nil"/>
              <w:bottom w:val="single" w:sz="4" w:space="0" w:color="auto"/>
              <w:right w:val="single" w:sz="4" w:space="0" w:color="auto"/>
            </w:tcBorders>
            <w:shd w:val="clear" w:color="auto" w:fill="auto"/>
            <w:vAlign w:val="center"/>
            <w:hideMark/>
          </w:tcPr>
          <w:p w14:paraId="02748733" w14:textId="77777777" w:rsidR="0029639D" w:rsidRPr="00415876" w:rsidRDefault="0029639D" w:rsidP="00120F79">
            <w:pPr>
              <w:jc w:val="left"/>
              <w:rPr>
                <w:kern w:val="22"/>
                <w:szCs w:val="22"/>
                <w:lang w:val="fr-CA" w:eastAsia="en-CA"/>
              </w:rPr>
            </w:pPr>
            <w:r>
              <w:rPr>
                <w:kern w:val="22"/>
                <w:szCs w:val="22"/>
                <w:lang w:val="fr-CA" w:eastAsia="en-CA"/>
              </w:rPr>
              <w:t>République populaire démocratique de Corée</w:t>
            </w:r>
          </w:p>
        </w:tc>
        <w:tc>
          <w:tcPr>
            <w:tcW w:w="1472" w:type="dxa"/>
            <w:tcBorders>
              <w:top w:val="nil"/>
              <w:left w:val="nil"/>
              <w:bottom w:val="single" w:sz="4" w:space="0" w:color="auto"/>
              <w:right w:val="single" w:sz="4" w:space="0" w:color="auto"/>
            </w:tcBorders>
            <w:shd w:val="clear" w:color="auto" w:fill="auto"/>
            <w:vAlign w:val="center"/>
            <w:hideMark/>
          </w:tcPr>
          <w:p w14:paraId="4B735F68"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006</w:t>
            </w:r>
          </w:p>
        </w:tc>
        <w:tc>
          <w:tcPr>
            <w:tcW w:w="1715" w:type="dxa"/>
            <w:tcBorders>
              <w:top w:val="nil"/>
              <w:left w:val="nil"/>
              <w:bottom w:val="single" w:sz="4" w:space="0" w:color="auto"/>
              <w:right w:val="single" w:sz="4" w:space="0" w:color="auto"/>
            </w:tcBorders>
            <w:shd w:val="clear" w:color="auto" w:fill="auto"/>
            <w:noWrap/>
            <w:vAlign w:val="center"/>
            <w:hideMark/>
          </w:tcPr>
          <w:p w14:paraId="241FF53F" w14:textId="77777777" w:rsidR="0029639D" w:rsidRPr="00415876" w:rsidRDefault="0029639D" w:rsidP="0029639D">
            <w:pPr>
              <w:ind w:right="242"/>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010</w:t>
            </w:r>
          </w:p>
        </w:tc>
        <w:tc>
          <w:tcPr>
            <w:tcW w:w="1715" w:type="dxa"/>
            <w:tcBorders>
              <w:top w:val="nil"/>
              <w:left w:val="nil"/>
              <w:bottom w:val="single" w:sz="4" w:space="0" w:color="auto"/>
              <w:right w:val="single" w:sz="4" w:space="0" w:color="auto"/>
            </w:tcBorders>
            <w:shd w:val="clear" w:color="auto" w:fill="auto"/>
            <w:noWrap/>
            <w:vAlign w:val="center"/>
            <w:hideMark/>
          </w:tcPr>
          <w:p w14:paraId="791041E8" w14:textId="77777777" w:rsidR="0029639D" w:rsidRPr="00415876" w:rsidRDefault="0029639D" w:rsidP="0029639D">
            <w:pPr>
              <w:tabs>
                <w:tab w:val="left" w:pos="1203"/>
              </w:tabs>
              <w:ind w:right="144"/>
              <w:jc w:val="right"/>
              <w:rPr>
                <w:kern w:val="22"/>
                <w:szCs w:val="22"/>
                <w:lang w:val="fr-CA" w:eastAsia="en-CA"/>
              </w:rPr>
            </w:pPr>
            <w:r w:rsidRPr="00415876">
              <w:rPr>
                <w:kern w:val="22"/>
                <w:szCs w:val="22"/>
                <w:lang w:val="fr-CA" w:eastAsia="en-CA"/>
              </w:rPr>
              <w:t>181</w:t>
            </w:r>
          </w:p>
        </w:tc>
      </w:tr>
      <w:tr w:rsidR="0029639D" w:rsidRPr="00415876" w14:paraId="5CA66703"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1F462450" w14:textId="1C79B497" w:rsidR="0029639D" w:rsidRPr="00415876" w:rsidRDefault="0029639D" w:rsidP="00995EEF">
            <w:pPr>
              <w:jc w:val="right"/>
              <w:rPr>
                <w:kern w:val="22"/>
                <w:szCs w:val="22"/>
                <w:lang w:val="fr-CA" w:eastAsia="en-CA"/>
              </w:rPr>
            </w:pPr>
            <w:r>
              <w:rPr>
                <w:kern w:val="22"/>
                <w:szCs w:val="22"/>
                <w:lang w:val="fr-CA" w:eastAsia="en-CA"/>
              </w:rPr>
              <w:t>103</w:t>
            </w:r>
          </w:p>
        </w:tc>
        <w:tc>
          <w:tcPr>
            <w:tcW w:w="3823" w:type="dxa"/>
            <w:tcBorders>
              <w:top w:val="nil"/>
              <w:left w:val="nil"/>
              <w:bottom w:val="single" w:sz="4" w:space="0" w:color="auto"/>
              <w:right w:val="single" w:sz="4" w:space="0" w:color="auto"/>
            </w:tcBorders>
            <w:shd w:val="clear" w:color="auto" w:fill="auto"/>
            <w:vAlign w:val="center"/>
            <w:hideMark/>
          </w:tcPr>
          <w:p w14:paraId="60EBDB9D" w14:textId="77777777" w:rsidR="0029639D" w:rsidRPr="00415876" w:rsidRDefault="0029639D" w:rsidP="00995EEF">
            <w:pPr>
              <w:jc w:val="left"/>
              <w:rPr>
                <w:kern w:val="22"/>
                <w:szCs w:val="22"/>
                <w:lang w:val="fr-CA" w:eastAsia="en-CA"/>
              </w:rPr>
            </w:pPr>
            <w:r>
              <w:rPr>
                <w:kern w:val="22"/>
                <w:szCs w:val="22"/>
                <w:lang w:val="fr-CA" w:eastAsia="en-CA"/>
              </w:rPr>
              <w:t>République unie de Tanzanie</w:t>
            </w:r>
          </w:p>
        </w:tc>
        <w:tc>
          <w:tcPr>
            <w:tcW w:w="1472" w:type="dxa"/>
            <w:tcBorders>
              <w:top w:val="nil"/>
              <w:left w:val="nil"/>
              <w:bottom w:val="single" w:sz="4" w:space="0" w:color="auto"/>
              <w:right w:val="single" w:sz="4" w:space="0" w:color="auto"/>
            </w:tcBorders>
            <w:shd w:val="clear" w:color="auto" w:fill="auto"/>
            <w:vAlign w:val="center"/>
            <w:hideMark/>
          </w:tcPr>
          <w:p w14:paraId="53550BF9"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010</w:t>
            </w:r>
          </w:p>
        </w:tc>
        <w:tc>
          <w:tcPr>
            <w:tcW w:w="1715" w:type="dxa"/>
            <w:tcBorders>
              <w:top w:val="nil"/>
              <w:left w:val="nil"/>
              <w:bottom w:val="single" w:sz="4" w:space="0" w:color="auto"/>
              <w:right w:val="single" w:sz="4" w:space="0" w:color="auto"/>
            </w:tcBorders>
            <w:shd w:val="clear" w:color="auto" w:fill="auto"/>
            <w:noWrap/>
            <w:vAlign w:val="center"/>
            <w:hideMark/>
          </w:tcPr>
          <w:p w14:paraId="00B9258E" w14:textId="77777777" w:rsidR="0029639D" w:rsidRPr="00415876" w:rsidRDefault="0029639D" w:rsidP="0029639D">
            <w:pPr>
              <w:ind w:right="242"/>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010</w:t>
            </w:r>
          </w:p>
        </w:tc>
        <w:tc>
          <w:tcPr>
            <w:tcW w:w="1715" w:type="dxa"/>
            <w:tcBorders>
              <w:top w:val="nil"/>
              <w:left w:val="nil"/>
              <w:bottom w:val="single" w:sz="4" w:space="0" w:color="auto"/>
              <w:right w:val="single" w:sz="4" w:space="0" w:color="auto"/>
            </w:tcBorders>
            <w:shd w:val="clear" w:color="auto" w:fill="auto"/>
            <w:noWrap/>
            <w:vAlign w:val="center"/>
            <w:hideMark/>
          </w:tcPr>
          <w:p w14:paraId="59E260BF" w14:textId="77777777" w:rsidR="0029639D" w:rsidRPr="00415876" w:rsidRDefault="0029639D" w:rsidP="0029639D">
            <w:pPr>
              <w:tabs>
                <w:tab w:val="left" w:pos="1203"/>
              </w:tabs>
              <w:ind w:right="288"/>
              <w:jc w:val="right"/>
              <w:rPr>
                <w:kern w:val="22"/>
                <w:szCs w:val="22"/>
                <w:lang w:val="fr-CA" w:eastAsia="en-CA"/>
              </w:rPr>
            </w:pPr>
            <w:r w:rsidRPr="00415876">
              <w:rPr>
                <w:kern w:val="22"/>
                <w:szCs w:val="22"/>
                <w:lang w:val="fr-CA" w:eastAsia="en-CA"/>
              </w:rPr>
              <w:t>188</w:t>
            </w:r>
          </w:p>
        </w:tc>
      </w:tr>
      <w:tr w:rsidR="0029639D" w:rsidRPr="00415876" w14:paraId="3653986C"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76CACB68" w14:textId="36FDFBBC" w:rsidR="0029639D" w:rsidRPr="00415876" w:rsidRDefault="0029639D" w:rsidP="00120F79">
            <w:pPr>
              <w:jc w:val="right"/>
              <w:rPr>
                <w:kern w:val="22"/>
                <w:szCs w:val="22"/>
                <w:lang w:val="fr-CA" w:eastAsia="en-CA"/>
              </w:rPr>
            </w:pPr>
            <w:r>
              <w:rPr>
                <w:kern w:val="22"/>
                <w:szCs w:val="22"/>
                <w:lang w:val="fr-CA" w:eastAsia="en-CA"/>
              </w:rPr>
              <w:t>104</w:t>
            </w:r>
          </w:p>
        </w:tc>
        <w:tc>
          <w:tcPr>
            <w:tcW w:w="3823" w:type="dxa"/>
            <w:tcBorders>
              <w:top w:val="nil"/>
              <w:left w:val="nil"/>
              <w:bottom w:val="single" w:sz="4" w:space="0" w:color="auto"/>
              <w:right w:val="single" w:sz="4" w:space="0" w:color="auto"/>
            </w:tcBorders>
            <w:shd w:val="clear" w:color="auto" w:fill="auto"/>
            <w:vAlign w:val="center"/>
            <w:hideMark/>
          </w:tcPr>
          <w:p w14:paraId="5CEA5582" w14:textId="77777777" w:rsidR="0029639D" w:rsidRPr="00415876" w:rsidRDefault="0029639D" w:rsidP="00120F79">
            <w:pPr>
              <w:jc w:val="left"/>
              <w:rPr>
                <w:kern w:val="22"/>
                <w:szCs w:val="22"/>
                <w:lang w:val="fr-CA" w:eastAsia="en-CA"/>
              </w:rPr>
            </w:pPr>
            <w:r>
              <w:rPr>
                <w:kern w:val="22"/>
                <w:szCs w:val="22"/>
                <w:lang w:val="fr-CA" w:eastAsia="en-CA"/>
              </w:rPr>
              <w:t>Roumanie</w:t>
            </w:r>
          </w:p>
        </w:tc>
        <w:tc>
          <w:tcPr>
            <w:tcW w:w="1472" w:type="dxa"/>
            <w:tcBorders>
              <w:top w:val="nil"/>
              <w:left w:val="nil"/>
              <w:bottom w:val="single" w:sz="4" w:space="0" w:color="auto"/>
              <w:right w:val="single" w:sz="4" w:space="0" w:color="auto"/>
            </w:tcBorders>
            <w:shd w:val="clear" w:color="auto" w:fill="auto"/>
            <w:vAlign w:val="center"/>
            <w:hideMark/>
          </w:tcPr>
          <w:p w14:paraId="24DF3877"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198</w:t>
            </w:r>
          </w:p>
        </w:tc>
        <w:tc>
          <w:tcPr>
            <w:tcW w:w="1715" w:type="dxa"/>
            <w:tcBorders>
              <w:top w:val="nil"/>
              <w:left w:val="nil"/>
              <w:bottom w:val="single" w:sz="4" w:space="0" w:color="auto"/>
              <w:right w:val="single" w:sz="4" w:space="0" w:color="auto"/>
            </w:tcBorders>
            <w:shd w:val="clear" w:color="auto" w:fill="auto"/>
            <w:noWrap/>
            <w:vAlign w:val="center"/>
            <w:hideMark/>
          </w:tcPr>
          <w:p w14:paraId="2285F7B6" w14:textId="77777777" w:rsidR="0029639D" w:rsidRPr="00415876" w:rsidRDefault="0029639D" w:rsidP="0029639D">
            <w:pPr>
              <w:ind w:right="242"/>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318</w:t>
            </w:r>
          </w:p>
        </w:tc>
        <w:tc>
          <w:tcPr>
            <w:tcW w:w="1715" w:type="dxa"/>
            <w:tcBorders>
              <w:top w:val="nil"/>
              <w:left w:val="nil"/>
              <w:bottom w:val="single" w:sz="4" w:space="0" w:color="auto"/>
              <w:right w:val="single" w:sz="4" w:space="0" w:color="auto"/>
            </w:tcBorders>
            <w:shd w:val="clear" w:color="auto" w:fill="auto"/>
            <w:noWrap/>
            <w:vAlign w:val="center"/>
            <w:hideMark/>
          </w:tcPr>
          <w:p w14:paraId="087CC9BA" w14:textId="77777777" w:rsidR="0029639D" w:rsidRPr="00415876" w:rsidRDefault="0029639D" w:rsidP="0029639D">
            <w:pPr>
              <w:tabs>
                <w:tab w:val="left" w:pos="1203"/>
              </w:tabs>
              <w:ind w:right="288"/>
              <w:jc w:val="right"/>
              <w:rPr>
                <w:kern w:val="22"/>
                <w:szCs w:val="22"/>
                <w:lang w:val="fr-CA" w:eastAsia="en-CA"/>
              </w:rPr>
            </w:pPr>
            <w:r w:rsidRPr="00415876">
              <w:rPr>
                <w:kern w:val="22"/>
                <w:szCs w:val="22"/>
                <w:lang w:val="fr-CA" w:eastAsia="en-CA"/>
              </w:rPr>
              <w:t>5 969</w:t>
            </w:r>
          </w:p>
        </w:tc>
      </w:tr>
      <w:tr w:rsidR="0029639D" w:rsidRPr="00415876" w14:paraId="5B2A6230" w14:textId="77777777" w:rsidTr="0029639D">
        <w:trPr>
          <w:trHeight w:val="52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400B3563" w14:textId="3B5566DA" w:rsidR="0029639D" w:rsidRPr="00415876" w:rsidRDefault="0029639D" w:rsidP="0029639D">
            <w:pPr>
              <w:jc w:val="right"/>
              <w:rPr>
                <w:kern w:val="22"/>
                <w:szCs w:val="22"/>
                <w:lang w:val="fr-CA" w:eastAsia="en-CA"/>
              </w:rPr>
            </w:pPr>
            <w:r w:rsidRPr="00415876">
              <w:rPr>
                <w:kern w:val="22"/>
                <w:szCs w:val="22"/>
                <w:lang w:val="fr-CA" w:eastAsia="en-CA"/>
              </w:rPr>
              <w:t>1</w:t>
            </w:r>
            <w:r>
              <w:rPr>
                <w:kern w:val="22"/>
                <w:szCs w:val="22"/>
                <w:lang w:val="fr-CA" w:eastAsia="en-CA"/>
              </w:rPr>
              <w:t>05</w:t>
            </w:r>
          </w:p>
        </w:tc>
        <w:tc>
          <w:tcPr>
            <w:tcW w:w="3823" w:type="dxa"/>
            <w:tcBorders>
              <w:top w:val="nil"/>
              <w:left w:val="nil"/>
              <w:bottom w:val="single" w:sz="4" w:space="0" w:color="auto"/>
              <w:right w:val="single" w:sz="4" w:space="0" w:color="auto"/>
            </w:tcBorders>
            <w:shd w:val="clear" w:color="auto" w:fill="auto"/>
            <w:vAlign w:val="center"/>
            <w:hideMark/>
          </w:tcPr>
          <w:p w14:paraId="090BDBC1" w14:textId="77777777" w:rsidR="0029639D" w:rsidRPr="00415876" w:rsidRDefault="0029639D" w:rsidP="00995EEF">
            <w:pPr>
              <w:jc w:val="left"/>
              <w:rPr>
                <w:kern w:val="22"/>
                <w:szCs w:val="22"/>
                <w:lang w:val="fr-CA" w:eastAsia="en-CA"/>
              </w:rPr>
            </w:pPr>
            <w:r>
              <w:rPr>
                <w:kern w:val="22"/>
                <w:szCs w:val="22"/>
                <w:lang w:val="fr-CA" w:eastAsia="en-CA"/>
              </w:rPr>
              <w:t>Royaume-Uni de Grande-Bretagne et d’Irlande du Nord</w:t>
            </w:r>
          </w:p>
        </w:tc>
        <w:tc>
          <w:tcPr>
            <w:tcW w:w="1472" w:type="dxa"/>
            <w:tcBorders>
              <w:top w:val="nil"/>
              <w:left w:val="nil"/>
              <w:bottom w:val="single" w:sz="4" w:space="0" w:color="auto"/>
              <w:right w:val="single" w:sz="4" w:space="0" w:color="auto"/>
            </w:tcBorders>
            <w:shd w:val="clear" w:color="auto" w:fill="auto"/>
            <w:vAlign w:val="center"/>
            <w:hideMark/>
          </w:tcPr>
          <w:p w14:paraId="26FA24DA" w14:textId="77777777" w:rsidR="0029639D" w:rsidRPr="00415876" w:rsidRDefault="0029639D" w:rsidP="0029639D">
            <w:pPr>
              <w:ind w:right="144"/>
              <w:jc w:val="right"/>
              <w:rPr>
                <w:kern w:val="22"/>
                <w:szCs w:val="22"/>
                <w:lang w:val="fr-CA" w:eastAsia="en-CA"/>
              </w:rPr>
            </w:pPr>
            <w:r w:rsidRPr="00415876">
              <w:rPr>
                <w:kern w:val="22"/>
                <w:szCs w:val="22"/>
                <w:lang w:val="fr-CA" w:eastAsia="en-CA"/>
              </w:rPr>
              <w:t>4</w:t>
            </w:r>
            <w:r>
              <w:rPr>
                <w:kern w:val="22"/>
                <w:szCs w:val="22"/>
                <w:lang w:val="fr-CA" w:eastAsia="en-CA"/>
              </w:rPr>
              <w:t>,</w:t>
            </w:r>
            <w:r w:rsidRPr="00415876">
              <w:rPr>
                <w:kern w:val="22"/>
                <w:szCs w:val="22"/>
                <w:lang w:val="fr-CA" w:eastAsia="en-CA"/>
              </w:rPr>
              <w:t>567</w:t>
            </w:r>
          </w:p>
        </w:tc>
        <w:tc>
          <w:tcPr>
            <w:tcW w:w="1715" w:type="dxa"/>
            <w:tcBorders>
              <w:top w:val="nil"/>
              <w:left w:val="nil"/>
              <w:bottom w:val="single" w:sz="4" w:space="0" w:color="auto"/>
              <w:right w:val="single" w:sz="4" w:space="0" w:color="auto"/>
            </w:tcBorders>
            <w:shd w:val="clear" w:color="auto" w:fill="auto"/>
            <w:noWrap/>
            <w:vAlign w:val="center"/>
            <w:hideMark/>
          </w:tcPr>
          <w:p w14:paraId="65647956" w14:textId="77777777" w:rsidR="0029639D" w:rsidRPr="00415876" w:rsidRDefault="0029639D" w:rsidP="0029639D">
            <w:pPr>
              <w:ind w:right="242"/>
              <w:jc w:val="right"/>
              <w:rPr>
                <w:kern w:val="22"/>
                <w:szCs w:val="22"/>
                <w:lang w:val="fr-CA" w:eastAsia="en-CA"/>
              </w:rPr>
            </w:pPr>
            <w:r w:rsidRPr="00415876">
              <w:rPr>
                <w:kern w:val="22"/>
                <w:szCs w:val="22"/>
                <w:lang w:val="fr-CA" w:eastAsia="en-CA"/>
              </w:rPr>
              <w:t>7</w:t>
            </w:r>
            <w:r>
              <w:rPr>
                <w:kern w:val="22"/>
                <w:szCs w:val="22"/>
                <w:lang w:val="fr-CA" w:eastAsia="en-CA"/>
              </w:rPr>
              <w:t>,</w:t>
            </w:r>
            <w:r w:rsidRPr="00415876">
              <w:rPr>
                <w:kern w:val="22"/>
                <w:szCs w:val="22"/>
                <w:lang w:val="fr-CA" w:eastAsia="en-CA"/>
              </w:rPr>
              <w:t>339</w:t>
            </w:r>
          </w:p>
        </w:tc>
        <w:tc>
          <w:tcPr>
            <w:tcW w:w="1715" w:type="dxa"/>
            <w:tcBorders>
              <w:top w:val="nil"/>
              <w:left w:val="nil"/>
              <w:bottom w:val="single" w:sz="4" w:space="0" w:color="auto"/>
              <w:right w:val="single" w:sz="4" w:space="0" w:color="auto"/>
            </w:tcBorders>
            <w:shd w:val="clear" w:color="auto" w:fill="auto"/>
            <w:noWrap/>
            <w:vAlign w:val="center"/>
            <w:hideMark/>
          </w:tcPr>
          <w:p w14:paraId="5A8FD6A5" w14:textId="77777777" w:rsidR="0029639D" w:rsidRPr="00415876" w:rsidRDefault="0029639D" w:rsidP="0029639D">
            <w:pPr>
              <w:tabs>
                <w:tab w:val="left" w:pos="1203"/>
              </w:tabs>
              <w:ind w:right="288"/>
              <w:jc w:val="right"/>
              <w:rPr>
                <w:kern w:val="22"/>
                <w:szCs w:val="22"/>
                <w:lang w:val="fr-CA" w:eastAsia="en-CA"/>
              </w:rPr>
            </w:pPr>
            <w:r w:rsidRPr="00415876">
              <w:rPr>
                <w:kern w:val="22"/>
                <w:szCs w:val="22"/>
                <w:lang w:val="fr-CA" w:eastAsia="en-CA"/>
              </w:rPr>
              <w:t>137 672</w:t>
            </w:r>
          </w:p>
        </w:tc>
      </w:tr>
      <w:tr w:rsidR="0029639D" w:rsidRPr="00415876" w14:paraId="0B56507F"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0405BB02" w14:textId="774F01D8" w:rsidR="0029639D" w:rsidRPr="00415876" w:rsidRDefault="0029639D" w:rsidP="00120F79">
            <w:pPr>
              <w:jc w:val="right"/>
              <w:rPr>
                <w:kern w:val="22"/>
                <w:szCs w:val="22"/>
                <w:lang w:val="fr-CA" w:eastAsia="en-CA"/>
              </w:rPr>
            </w:pPr>
            <w:r>
              <w:rPr>
                <w:kern w:val="22"/>
                <w:szCs w:val="22"/>
                <w:lang w:val="fr-CA" w:eastAsia="en-CA"/>
              </w:rPr>
              <w:t>106</w:t>
            </w:r>
          </w:p>
        </w:tc>
        <w:tc>
          <w:tcPr>
            <w:tcW w:w="3823" w:type="dxa"/>
            <w:tcBorders>
              <w:top w:val="nil"/>
              <w:left w:val="nil"/>
              <w:bottom w:val="single" w:sz="4" w:space="0" w:color="auto"/>
              <w:right w:val="single" w:sz="4" w:space="0" w:color="auto"/>
            </w:tcBorders>
            <w:shd w:val="clear" w:color="auto" w:fill="auto"/>
            <w:vAlign w:val="center"/>
            <w:hideMark/>
          </w:tcPr>
          <w:p w14:paraId="6AE400F5" w14:textId="77777777" w:rsidR="0029639D" w:rsidRPr="00415876" w:rsidRDefault="0029639D" w:rsidP="00120F79">
            <w:pPr>
              <w:jc w:val="left"/>
              <w:rPr>
                <w:kern w:val="22"/>
                <w:szCs w:val="22"/>
                <w:lang w:val="fr-CA" w:eastAsia="en-CA"/>
              </w:rPr>
            </w:pPr>
            <w:r w:rsidRPr="00415876">
              <w:rPr>
                <w:kern w:val="22"/>
                <w:szCs w:val="22"/>
                <w:lang w:val="fr-CA" w:eastAsia="en-CA"/>
              </w:rPr>
              <w:t>Rwanda</w:t>
            </w:r>
          </w:p>
        </w:tc>
        <w:tc>
          <w:tcPr>
            <w:tcW w:w="1472" w:type="dxa"/>
            <w:tcBorders>
              <w:top w:val="nil"/>
              <w:left w:val="nil"/>
              <w:bottom w:val="single" w:sz="4" w:space="0" w:color="auto"/>
              <w:right w:val="single" w:sz="4" w:space="0" w:color="auto"/>
            </w:tcBorders>
            <w:shd w:val="clear" w:color="auto" w:fill="auto"/>
            <w:vAlign w:val="center"/>
            <w:hideMark/>
          </w:tcPr>
          <w:p w14:paraId="4805B0E9"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003</w:t>
            </w:r>
          </w:p>
        </w:tc>
        <w:tc>
          <w:tcPr>
            <w:tcW w:w="1715" w:type="dxa"/>
            <w:tcBorders>
              <w:top w:val="nil"/>
              <w:left w:val="nil"/>
              <w:bottom w:val="single" w:sz="4" w:space="0" w:color="auto"/>
              <w:right w:val="single" w:sz="4" w:space="0" w:color="auto"/>
            </w:tcBorders>
            <w:shd w:val="clear" w:color="auto" w:fill="auto"/>
            <w:noWrap/>
            <w:vAlign w:val="center"/>
            <w:hideMark/>
          </w:tcPr>
          <w:p w14:paraId="1D60C8DE" w14:textId="77777777" w:rsidR="0029639D" w:rsidRPr="00415876" w:rsidRDefault="0029639D" w:rsidP="0029639D">
            <w:pPr>
              <w:ind w:right="242"/>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005</w:t>
            </w:r>
          </w:p>
        </w:tc>
        <w:tc>
          <w:tcPr>
            <w:tcW w:w="1715" w:type="dxa"/>
            <w:tcBorders>
              <w:top w:val="nil"/>
              <w:left w:val="nil"/>
              <w:bottom w:val="single" w:sz="4" w:space="0" w:color="auto"/>
              <w:right w:val="single" w:sz="4" w:space="0" w:color="auto"/>
            </w:tcBorders>
            <w:shd w:val="clear" w:color="auto" w:fill="auto"/>
            <w:noWrap/>
            <w:vAlign w:val="center"/>
            <w:hideMark/>
          </w:tcPr>
          <w:p w14:paraId="2506A78B" w14:textId="77777777" w:rsidR="0029639D" w:rsidRPr="00415876" w:rsidRDefault="0029639D" w:rsidP="0029639D">
            <w:pPr>
              <w:tabs>
                <w:tab w:val="left" w:pos="1203"/>
              </w:tabs>
              <w:ind w:right="288"/>
              <w:jc w:val="right"/>
              <w:rPr>
                <w:kern w:val="22"/>
                <w:szCs w:val="22"/>
                <w:lang w:val="fr-CA" w:eastAsia="en-CA"/>
              </w:rPr>
            </w:pPr>
            <w:r w:rsidRPr="00415876">
              <w:rPr>
                <w:kern w:val="22"/>
                <w:szCs w:val="22"/>
                <w:lang w:val="fr-CA" w:eastAsia="en-CA"/>
              </w:rPr>
              <w:t>90</w:t>
            </w:r>
          </w:p>
        </w:tc>
      </w:tr>
      <w:tr w:rsidR="0029639D" w:rsidRPr="00415876" w14:paraId="0281E35A"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095AD92E" w14:textId="778299FC" w:rsidR="0029639D" w:rsidRPr="00415876" w:rsidRDefault="0029639D" w:rsidP="00120F79">
            <w:pPr>
              <w:jc w:val="right"/>
              <w:rPr>
                <w:kern w:val="22"/>
                <w:szCs w:val="22"/>
                <w:lang w:val="fr-CA" w:eastAsia="en-CA"/>
              </w:rPr>
            </w:pPr>
            <w:r>
              <w:rPr>
                <w:kern w:val="22"/>
                <w:szCs w:val="22"/>
                <w:lang w:val="fr-CA" w:eastAsia="en-CA"/>
              </w:rPr>
              <w:t>107</w:t>
            </w:r>
          </w:p>
        </w:tc>
        <w:tc>
          <w:tcPr>
            <w:tcW w:w="3823" w:type="dxa"/>
            <w:tcBorders>
              <w:top w:val="nil"/>
              <w:left w:val="nil"/>
              <w:bottom w:val="single" w:sz="4" w:space="0" w:color="auto"/>
              <w:right w:val="single" w:sz="4" w:space="0" w:color="auto"/>
            </w:tcBorders>
            <w:shd w:val="clear" w:color="auto" w:fill="auto"/>
            <w:vAlign w:val="center"/>
            <w:hideMark/>
          </w:tcPr>
          <w:p w14:paraId="7D4A604C" w14:textId="77777777" w:rsidR="0029639D" w:rsidRPr="00415876" w:rsidRDefault="0029639D" w:rsidP="00B41981">
            <w:pPr>
              <w:jc w:val="left"/>
              <w:rPr>
                <w:kern w:val="22"/>
                <w:szCs w:val="22"/>
                <w:lang w:val="fr-CA" w:eastAsia="en-CA"/>
              </w:rPr>
            </w:pPr>
            <w:r>
              <w:rPr>
                <w:kern w:val="22"/>
                <w:szCs w:val="22"/>
                <w:lang w:val="fr-CA" w:eastAsia="en-CA"/>
              </w:rPr>
              <w:t>Saint-</w:t>
            </w:r>
            <w:r w:rsidRPr="00415876">
              <w:rPr>
                <w:kern w:val="22"/>
                <w:szCs w:val="22"/>
                <w:lang w:val="fr-CA" w:eastAsia="en-CA"/>
              </w:rPr>
              <w:t>Kitts</w:t>
            </w:r>
            <w:r>
              <w:rPr>
                <w:kern w:val="22"/>
                <w:szCs w:val="22"/>
                <w:lang w:val="fr-CA" w:eastAsia="en-CA"/>
              </w:rPr>
              <w:t>-et-</w:t>
            </w:r>
            <w:r w:rsidRPr="00415876">
              <w:rPr>
                <w:kern w:val="22"/>
                <w:szCs w:val="22"/>
                <w:lang w:val="fr-CA" w:eastAsia="en-CA"/>
              </w:rPr>
              <w:t>Nevis</w:t>
            </w:r>
          </w:p>
        </w:tc>
        <w:tc>
          <w:tcPr>
            <w:tcW w:w="1472" w:type="dxa"/>
            <w:tcBorders>
              <w:top w:val="nil"/>
              <w:left w:val="nil"/>
              <w:bottom w:val="single" w:sz="4" w:space="0" w:color="auto"/>
              <w:right w:val="single" w:sz="4" w:space="0" w:color="auto"/>
            </w:tcBorders>
            <w:shd w:val="clear" w:color="auto" w:fill="auto"/>
            <w:vAlign w:val="center"/>
            <w:hideMark/>
          </w:tcPr>
          <w:p w14:paraId="295D325B"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001</w:t>
            </w:r>
          </w:p>
        </w:tc>
        <w:tc>
          <w:tcPr>
            <w:tcW w:w="1715" w:type="dxa"/>
            <w:tcBorders>
              <w:top w:val="nil"/>
              <w:left w:val="nil"/>
              <w:bottom w:val="single" w:sz="4" w:space="0" w:color="auto"/>
              <w:right w:val="single" w:sz="4" w:space="0" w:color="auto"/>
            </w:tcBorders>
            <w:shd w:val="clear" w:color="auto" w:fill="auto"/>
            <w:noWrap/>
            <w:vAlign w:val="center"/>
            <w:hideMark/>
          </w:tcPr>
          <w:p w14:paraId="77619284" w14:textId="77777777" w:rsidR="0029639D" w:rsidRPr="00415876" w:rsidRDefault="0029639D" w:rsidP="0029639D">
            <w:pPr>
              <w:ind w:right="242"/>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002</w:t>
            </w:r>
          </w:p>
        </w:tc>
        <w:tc>
          <w:tcPr>
            <w:tcW w:w="1715" w:type="dxa"/>
            <w:tcBorders>
              <w:top w:val="nil"/>
              <w:left w:val="nil"/>
              <w:bottom w:val="single" w:sz="4" w:space="0" w:color="auto"/>
              <w:right w:val="single" w:sz="4" w:space="0" w:color="auto"/>
            </w:tcBorders>
            <w:shd w:val="clear" w:color="auto" w:fill="auto"/>
            <w:noWrap/>
            <w:vAlign w:val="center"/>
            <w:hideMark/>
          </w:tcPr>
          <w:p w14:paraId="753EBA66" w14:textId="77777777" w:rsidR="0029639D" w:rsidRPr="00415876" w:rsidRDefault="0029639D" w:rsidP="0029639D">
            <w:pPr>
              <w:tabs>
                <w:tab w:val="left" w:pos="1203"/>
              </w:tabs>
              <w:ind w:right="288"/>
              <w:jc w:val="right"/>
              <w:rPr>
                <w:kern w:val="22"/>
                <w:szCs w:val="22"/>
                <w:lang w:val="fr-CA" w:eastAsia="en-CA"/>
              </w:rPr>
            </w:pPr>
            <w:r w:rsidRPr="00415876">
              <w:rPr>
                <w:kern w:val="22"/>
                <w:szCs w:val="22"/>
                <w:lang w:val="fr-CA" w:eastAsia="en-CA"/>
              </w:rPr>
              <w:t>30</w:t>
            </w:r>
          </w:p>
        </w:tc>
      </w:tr>
      <w:tr w:rsidR="0029639D" w:rsidRPr="00415876" w14:paraId="179F737A"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4BFBB6C1" w14:textId="68F25EC6" w:rsidR="0029639D" w:rsidRPr="00415876" w:rsidRDefault="0029639D" w:rsidP="00120F79">
            <w:pPr>
              <w:jc w:val="right"/>
              <w:rPr>
                <w:kern w:val="22"/>
                <w:szCs w:val="22"/>
                <w:lang w:val="fr-CA" w:eastAsia="en-CA"/>
              </w:rPr>
            </w:pPr>
            <w:r>
              <w:rPr>
                <w:kern w:val="22"/>
                <w:szCs w:val="22"/>
                <w:lang w:val="fr-CA" w:eastAsia="en-CA"/>
              </w:rPr>
              <w:t>108</w:t>
            </w:r>
          </w:p>
        </w:tc>
        <w:tc>
          <w:tcPr>
            <w:tcW w:w="3823" w:type="dxa"/>
            <w:tcBorders>
              <w:top w:val="nil"/>
              <w:left w:val="nil"/>
              <w:bottom w:val="single" w:sz="4" w:space="0" w:color="auto"/>
              <w:right w:val="single" w:sz="4" w:space="0" w:color="auto"/>
            </w:tcBorders>
            <w:shd w:val="clear" w:color="auto" w:fill="auto"/>
            <w:vAlign w:val="center"/>
            <w:hideMark/>
          </w:tcPr>
          <w:p w14:paraId="129EF9C3" w14:textId="77777777" w:rsidR="0029639D" w:rsidRPr="00415876" w:rsidRDefault="0029639D" w:rsidP="00120F79">
            <w:pPr>
              <w:jc w:val="left"/>
              <w:rPr>
                <w:kern w:val="22"/>
                <w:szCs w:val="22"/>
                <w:lang w:val="fr-CA" w:eastAsia="en-CA"/>
              </w:rPr>
            </w:pPr>
            <w:r w:rsidRPr="00415876">
              <w:rPr>
                <w:kern w:val="22"/>
                <w:szCs w:val="22"/>
                <w:lang w:val="fr-CA" w:eastAsia="en-CA"/>
              </w:rPr>
              <w:t>Samoa</w:t>
            </w:r>
          </w:p>
        </w:tc>
        <w:tc>
          <w:tcPr>
            <w:tcW w:w="1472" w:type="dxa"/>
            <w:tcBorders>
              <w:top w:val="nil"/>
              <w:left w:val="nil"/>
              <w:bottom w:val="single" w:sz="4" w:space="0" w:color="auto"/>
              <w:right w:val="single" w:sz="4" w:space="0" w:color="auto"/>
            </w:tcBorders>
            <w:shd w:val="clear" w:color="auto" w:fill="auto"/>
            <w:vAlign w:val="center"/>
            <w:hideMark/>
          </w:tcPr>
          <w:p w14:paraId="77E06AAE"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001</w:t>
            </w:r>
          </w:p>
        </w:tc>
        <w:tc>
          <w:tcPr>
            <w:tcW w:w="1715" w:type="dxa"/>
            <w:tcBorders>
              <w:top w:val="nil"/>
              <w:left w:val="nil"/>
              <w:bottom w:val="single" w:sz="4" w:space="0" w:color="auto"/>
              <w:right w:val="single" w:sz="4" w:space="0" w:color="auto"/>
            </w:tcBorders>
            <w:shd w:val="clear" w:color="auto" w:fill="auto"/>
            <w:noWrap/>
            <w:vAlign w:val="center"/>
            <w:hideMark/>
          </w:tcPr>
          <w:p w14:paraId="776981EE" w14:textId="77777777" w:rsidR="0029639D" w:rsidRPr="00415876" w:rsidRDefault="0029639D" w:rsidP="0029639D">
            <w:pPr>
              <w:ind w:right="242"/>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002</w:t>
            </w:r>
          </w:p>
        </w:tc>
        <w:tc>
          <w:tcPr>
            <w:tcW w:w="1715" w:type="dxa"/>
            <w:tcBorders>
              <w:top w:val="nil"/>
              <w:left w:val="nil"/>
              <w:bottom w:val="single" w:sz="4" w:space="0" w:color="auto"/>
              <w:right w:val="single" w:sz="4" w:space="0" w:color="auto"/>
            </w:tcBorders>
            <w:shd w:val="clear" w:color="auto" w:fill="auto"/>
            <w:noWrap/>
            <w:vAlign w:val="center"/>
            <w:hideMark/>
          </w:tcPr>
          <w:p w14:paraId="25AA76E2" w14:textId="77777777" w:rsidR="0029639D" w:rsidRPr="00415876" w:rsidRDefault="0029639D" w:rsidP="0029639D">
            <w:pPr>
              <w:tabs>
                <w:tab w:val="left" w:pos="1203"/>
              </w:tabs>
              <w:ind w:right="288"/>
              <w:jc w:val="right"/>
              <w:rPr>
                <w:kern w:val="22"/>
                <w:szCs w:val="22"/>
                <w:lang w:val="fr-CA" w:eastAsia="en-CA"/>
              </w:rPr>
            </w:pPr>
            <w:r w:rsidRPr="00415876">
              <w:rPr>
                <w:kern w:val="22"/>
                <w:szCs w:val="22"/>
                <w:lang w:val="fr-CA" w:eastAsia="en-CA"/>
              </w:rPr>
              <w:t>30</w:t>
            </w:r>
          </w:p>
        </w:tc>
      </w:tr>
      <w:tr w:rsidR="0029639D" w:rsidRPr="00415876" w14:paraId="6D2B1599"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5B1DCBB6" w14:textId="4445711F" w:rsidR="0029639D" w:rsidRPr="00415876" w:rsidRDefault="0029639D" w:rsidP="00120F79">
            <w:pPr>
              <w:jc w:val="right"/>
              <w:rPr>
                <w:kern w:val="22"/>
                <w:szCs w:val="22"/>
                <w:lang w:val="fr-CA" w:eastAsia="en-CA"/>
              </w:rPr>
            </w:pPr>
            <w:r>
              <w:rPr>
                <w:kern w:val="22"/>
                <w:szCs w:val="22"/>
                <w:lang w:val="fr-CA" w:eastAsia="en-CA"/>
              </w:rPr>
              <w:t>109</w:t>
            </w:r>
          </w:p>
        </w:tc>
        <w:tc>
          <w:tcPr>
            <w:tcW w:w="3823" w:type="dxa"/>
            <w:tcBorders>
              <w:top w:val="nil"/>
              <w:left w:val="nil"/>
              <w:bottom w:val="single" w:sz="4" w:space="0" w:color="auto"/>
              <w:right w:val="single" w:sz="4" w:space="0" w:color="auto"/>
            </w:tcBorders>
            <w:shd w:val="clear" w:color="auto" w:fill="auto"/>
            <w:vAlign w:val="center"/>
            <w:hideMark/>
          </w:tcPr>
          <w:p w14:paraId="211CEE65" w14:textId="77777777" w:rsidR="0029639D" w:rsidRPr="00415876" w:rsidRDefault="0029639D" w:rsidP="00B41981">
            <w:pPr>
              <w:jc w:val="left"/>
              <w:rPr>
                <w:kern w:val="22"/>
                <w:szCs w:val="22"/>
                <w:lang w:val="fr-CA" w:eastAsia="en-CA"/>
              </w:rPr>
            </w:pPr>
            <w:r w:rsidRPr="00415876">
              <w:rPr>
                <w:kern w:val="22"/>
                <w:szCs w:val="22"/>
                <w:lang w:val="fr-CA" w:eastAsia="en-CA"/>
              </w:rPr>
              <w:t>Sao Tom</w:t>
            </w:r>
            <w:r>
              <w:rPr>
                <w:kern w:val="22"/>
                <w:szCs w:val="22"/>
                <w:lang w:val="fr-CA" w:eastAsia="en-CA"/>
              </w:rPr>
              <w:t>é-et-</w:t>
            </w:r>
            <w:r w:rsidRPr="00415876">
              <w:rPr>
                <w:kern w:val="22"/>
                <w:szCs w:val="22"/>
                <w:lang w:val="fr-CA" w:eastAsia="en-CA"/>
              </w:rPr>
              <w:t xml:space="preserve"> Principe</w:t>
            </w:r>
          </w:p>
        </w:tc>
        <w:tc>
          <w:tcPr>
            <w:tcW w:w="1472" w:type="dxa"/>
            <w:tcBorders>
              <w:top w:val="nil"/>
              <w:left w:val="nil"/>
              <w:bottom w:val="single" w:sz="4" w:space="0" w:color="auto"/>
              <w:right w:val="single" w:sz="4" w:space="0" w:color="auto"/>
            </w:tcBorders>
            <w:shd w:val="clear" w:color="auto" w:fill="auto"/>
            <w:vAlign w:val="center"/>
            <w:hideMark/>
          </w:tcPr>
          <w:p w14:paraId="6DF25408"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001</w:t>
            </w:r>
          </w:p>
        </w:tc>
        <w:tc>
          <w:tcPr>
            <w:tcW w:w="1715" w:type="dxa"/>
            <w:tcBorders>
              <w:top w:val="nil"/>
              <w:left w:val="nil"/>
              <w:bottom w:val="single" w:sz="4" w:space="0" w:color="auto"/>
              <w:right w:val="single" w:sz="4" w:space="0" w:color="auto"/>
            </w:tcBorders>
            <w:shd w:val="clear" w:color="auto" w:fill="auto"/>
            <w:noWrap/>
            <w:vAlign w:val="center"/>
            <w:hideMark/>
          </w:tcPr>
          <w:p w14:paraId="048EB1B8" w14:textId="77777777" w:rsidR="0029639D" w:rsidRPr="00415876" w:rsidRDefault="0029639D" w:rsidP="0029639D">
            <w:pPr>
              <w:ind w:right="242"/>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002</w:t>
            </w:r>
          </w:p>
        </w:tc>
        <w:tc>
          <w:tcPr>
            <w:tcW w:w="1715" w:type="dxa"/>
            <w:tcBorders>
              <w:top w:val="nil"/>
              <w:left w:val="nil"/>
              <w:bottom w:val="single" w:sz="4" w:space="0" w:color="auto"/>
              <w:right w:val="single" w:sz="4" w:space="0" w:color="auto"/>
            </w:tcBorders>
            <w:shd w:val="clear" w:color="auto" w:fill="auto"/>
            <w:noWrap/>
            <w:vAlign w:val="center"/>
            <w:hideMark/>
          </w:tcPr>
          <w:p w14:paraId="7144883A" w14:textId="77777777" w:rsidR="0029639D" w:rsidRPr="00415876" w:rsidRDefault="0029639D" w:rsidP="0029639D">
            <w:pPr>
              <w:tabs>
                <w:tab w:val="left" w:pos="1203"/>
              </w:tabs>
              <w:ind w:right="288"/>
              <w:jc w:val="right"/>
              <w:rPr>
                <w:kern w:val="22"/>
                <w:szCs w:val="22"/>
                <w:lang w:val="fr-CA" w:eastAsia="en-CA"/>
              </w:rPr>
            </w:pPr>
            <w:r w:rsidRPr="00415876">
              <w:rPr>
                <w:kern w:val="22"/>
                <w:szCs w:val="22"/>
                <w:lang w:val="fr-CA" w:eastAsia="en-CA"/>
              </w:rPr>
              <w:t>30</w:t>
            </w:r>
          </w:p>
        </w:tc>
      </w:tr>
      <w:tr w:rsidR="0029639D" w:rsidRPr="00415876" w14:paraId="27F3A959"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28E88A97" w14:textId="382168A4" w:rsidR="0029639D" w:rsidRPr="00415876" w:rsidRDefault="0029639D" w:rsidP="00120F79">
            <w:pPr>
              <w:jc w:val="right"/>
              <w:rPr>
                <w:kern w:val="22"/>
                <w:szCs w:val="22"/>
                <w:lang w:val="fr-CA" w:eastAsia="en-CA"/>
              </w:rPr>
            </w:pPr>
            <w:r>
              <w:rPr>
                <w:kern w:val="22"/>
                <w:szCs w:val="22"/>
                <w:lang w:val="fr-CA" w:eastAsia="en-CA"/>
              </w:rPr>
              <w:t>110</w:t>
            </w:r>
          </w:p>
        </w:tc>
        <w:tc>
          <w:tcPr>
            <w:tcW w:w="3823" w:type="dxa"/>
            <w:tcBorders>
              <w:top w:val="nil"/>
              <w:left w:val="nil"/>
              <w:bottom w:val="single" w:sz="4" w:space="0" w:color="auto"/>
              <w:right w:val="single" w:sz="4" w:space="0" w:color="auto"/>
            </w:tcBorders>
            <w:shd w:val="clear" w:color="auto" w:fill="auto"/>
            <w:vAlign w:val="center"/>
            <w:hideMark/>
          </w:tcPr>
          <w:p w14:paraId="7C198E01" w14:textId="77777777" w:rsidR="0029639D" w:rsidRPr="00415876" w:rsidRDefault="0029639D" w:rsidP="00120F79">
            <w:pPr>
              <w:jc w:val="left"/>
              <w:rPr>
                <w:kern w:val="22"/>
                <w:szCs w:val="22"/>
                <w:lang w:val="fr-CA" w:eastAsia="en-CA"/>
              </w:rPr>
            </w:pPr>
            <w:r>
              <w:rPr>
                <w:kern w:val="22"/>
                <w:szCs w:val="22"/>
                <w:lang w:val="fr-CA" w:eastAsia="en-CA"/>
              </w:rPr>
              <w:t>Séné</w:t>
            </w:r>
            <w:r w:rsidRPr="00415876">
              <w:rPr>
                <w:kern w:val="22"/>
                <w:szCs w:val="22"/>
                <w:lang w:val="fr-CA" w:eastAsia="en-CA"/>
              </w:rPr>
              <w:t>gal</w:t>
            </w:r>
          </w:p>
        </w:tc>
        <w:tc>
          <w:tcPr>
            <w:tcW w:w="1472" w:type="dxa"/>
            <w:tcBorders>
              <w:top w:val="nil"/>
              <w:left w:val="nil"/>
              <w:bottom w:val="single" w:sz="4" w:space="0" w:color="auto"/>
              <w:right w:val="single" w:sz="4" w:space="0" w:color="auto"/>
            </w:tcBorders>
            <w:shd w:val="clear" w:color="auto" w:fill="auto"/>
            <w:vAlign w:val="center"/>
            <w:hideMark/>
          </w:tcPr>
          <w:p w14:paraId="7B69C3AE"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007</w:t>
            </w:r>
          </w:p>
        </w:tc>
        <w:tc>
          <w:tcPr>
            <w:tcW w:w="1715" w:type="dxa"/>
            <w:tcBorders>
              <w:top w:val="nil"/>
              <w:left w:val="nil"/>
              <w:bottom w:val="single" w:sz="4" w:space="0" w:color="auto"/>
              <w:right w:val="single" w:sz="4" w:space="0" w:color="auto"/>
            </w:tcBorders>
            <w:shd w:val="clear" w:color="auto" w:fill="auto"/>
            <w:noWrap/>
            <w:vAlign w:val="center"/>
            <w:hideMark/>
          </w:tcPr>
          <w:p w14:paraId="2384EC37" w14:textId="77777777" w:rsidR="0029639D" w:rsidRPr="00415876" w:rsidRDefault="0029639D" w:rsidP="0029639D">
            <w:pPr>
              <w:ind w:right="242"/>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010</w:t>
            </w:r>
          </w:p>
        </w:tc>
        <w:tc>
          <w:tcPr>
            <w:tcW w:w="1715" w:type="dxa"/>
            <w:tcBorders>
              <w:top w:val="nil"/>
              <w:left w:val="nil"/>
              <w:bottom w:val="single" w:sz="4" w:space="0" w:color="auto"/>
              <w:right w:val="single" w:sz="4" w:space="0" w:color="auto"/>
            </w:tcBorders>
            <w:shd w:val="clear" w:color="auto" w:fill="auto"/>
            <w:noWrap/>
            <w:vAlign w:val="center"/>
            <w:hideMark/>
          </w:tcPr>
          <w:p w14:paraId="3D66B327" w14:textId="77777777" w:rsidR="0029639D" w:rsidRPr="00415876" w:rsidRDefault="0029639D" w:rsidP="0029639D">
            <w:pPr>
              <w:tabs>
                <w:tab w:val="left" w:pos="1203"/>
              </w:tabs>
              <w:ind w:right="288"/>
              <w:jc w:val="right"/>
              <w:rPr>
                <w:kern w:val="22"/>
                <w:szCs w:val="22"/>
                <w:lang w:val="fr-CA" w:eastAsia="en-CA"/>
              </w:rPr>
            </w:pPr>
            <w:r w:rsidRPr="00415876">
              <w:rPr>
                <w:kern w:val="22"/>
                <w:szCs w:val="22"/>
                <w:lang w:val="fr-CA" w:eastAsia="en-CA"/>
              </w:rPr>
              <w:t>188</w:t>
            </w:r>
          </w:p>
        </w:tc>
      </w:tr>
      <w:tr w:rsidR="0029639D" w:rsidRPr="00415876" w14:paraId="530AD929"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49B48E6D" w14:textId="5B8CA888" w:rsidR="0029639D" w:rsidRPr="00415876" w:rsidRDefault="0029639D" w:rsidP="00995EEF">
            <w:pPr>
              <w:jc w:val="right"/>
              <w:rPr>
                <w:kern w:val="22"/>
                <w:szCs w:val="22"/>
                <w:lang w:val="fr-CA" w:eastAsia="en-CA"/>
              </w:rPr>
            </w:pPr>
            <w:r>
              <w:rPr>
                <w:kern w:val="22"/>
                <w:szCs w:val="22"/>
                <w:lang w:val="fr-CA" w:eastAsia="en-CA"/>
              </w:rPr>
              <w:t>111</w:t>
            </w:r>
          </w:p>
        </w:tc>
        <w:tc>
          <w:tcPr>
            <w:tcW w:w="3823" w:type="dxa"/>
            <w:tcBorders>
              <w:top w:val="nil"/>
              <w:left w:val="nil"/>
              <w:bottom w:val="single" w:sz="4" w:space="0" w:color="auto"/>
              <w:right w:val="single" w:sz="4" w:space="0" w:color="auto"/>
            </w:tcBorders>
            <w:shd w:val="clear" w:color="auto" w:fill="auto"/>
            <w:vAlign w:val="center"/>
            <w:hideMark/>
          </w:tcPr>
          <w:p w14:paraId="2EC8D64C" w14:textId="77777777" w:rsidR="0029639D" w:rsidRPr="00415876" w:rsidRDefault="0029639D" w:rsidP="00995EEF">
            <w:pPr>
              <w:jc w:val="left"/>
              <w:rPr>
                <w:kern w:val="22"/>
                <w:szCs w:val="22"/>
                <w:lang w:val="fr-CA" w:eastAsia="en-CA"/>
              </w:rPr>
            </w:pPr>
            <w:r>
              <w:rPr>
                <w:kern w:val="22"/>
                <w:szCs w:val="22"/>
                <w:lang w:val="fr-CA" w:eastAsia="en-CA"/>
              </w:rPr>
              <w:t>Serbie</w:t>
            </w:r>
          </w:p>
        </w:tc>
        <w:tc>
          <w:tcPr>
            <w:tcW w:w="1472" w:type="dxa"/>
            <w:tcBorders>
              <w:top w:val="nil"/>
              <w:left w:val="nil"/>
              <w:bottom w:val="single" w:sz="4" w:space="0" w:color="auto"/>
              <w:right w:val="single" w:sz="4" w:space="0" w:color="auto"/>
            </w:tcBorders>
            <w:shd w:val="clear" w:color="auto" w:fill="auto"/>
            <w:vAlign w:val="center"/>
            <w:hideMark/>
          </w:tcPr>
          <w:p w14:paraId="69D1EE42"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028</w:t>
            </w:r>
          </w:p>
        </w:tc>
        <w:tc>
          <w:tcPr>
            <w:tcW w:w="1715" w:type="dxa"/>
            <w:tcBorders>
              <w:top w:val="nil"/>
              <w:left w:val="nil"/>
              <w:bottom w:val="single" w:sz="4" w:space="0" w:color="auto"/>
              <w:right w:val="single" w:sz="4" w:space="0" w:color="auto"/>
            </w:tcBorders>
            <w:shd w:val="clear" w:color="auto" w:fill="auto"/>
            <w:noWrap/>
            <w:vAlign w:val="center"/>
            <w:hideMark/>
          </w:tcPr>
          <w:p w14:paraId="35AE5336" w14:textId="77777777" w:rsidR="0029639D" w:rsidRPr="00415876" w:rsidRDefault="0029639D" w:rsidP="0029639D">
            <w:pPr>
              <w:ind w:right="242"/>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045</w:t>
            </w:r>
          </w:p>
        </w:tc>
        <w:tc>
          <w:tcPr>
            <w:tcW w:w="1715" w:type="dxa"/>
            <w:tcBorders>
              <w:top w:val="nil"/>
              <w:left w:val="nil"/>
              <w:bottom w:val="single" w:sz="4" w:space="0" w:color="auto"/>
              <w:right w:val="single" w:sz="4" w:space="0" w:color="auto"/>
            </w:tcBorders>
            <w:shd w:val="clear" w:color="auto" w:fill="auto"/>
            <w:noWrap/>
            <w:vAlign w:val="center"/>
            <w:hideMark/>
          </w:tcPr>
          <w:p w14:paraId="7BBB1468" w14:textId="77777777" w:rsidR="0029639D" w:rsidRPr="00415876" w:rsidRDefault="0029639D" w:rsidP="0029639D">
            <w:pPr>
              <w:tabs>
                <w:tab w:val="left" w:pos="1203"/>
              </w:tabs>
              <w:ind w:right="288"/>
              <w:jc w:val="right"/>
              <w:rPr>
                <w:kern w:val="22"/>
                <w:szCs w:val="22"/>
                <w:lang w:val="fr-CA" w:eastAsia="en-CA"/>
              </w:rPr>
            </w:pPr>
            <w:r w:rsidRPr="00415876">
              <w:rPr>
                <w:kern w:val="22"/>
                <w:szCs w:val="22"/>
                <w:lang w:val="fr-CA" w:eastAsia="en-CA"/>
              </w:rPr>
              <w:t>844</w:t>
            </w:r>
          </w:p>
        </w:tc>
      </w:tr>
      <w:tr w:rsidR="0029639D" w:rsidRPr="00415876" w14:paraId="5F06D028"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6239CBA4" w14:textId="7787CC5D" w:rsidR="0029639D" w:rsidRPr="00415876" w:rsidRDefault="0029639D" w:rsidP="00995EEF">
            <w:pPr>
              <w:jc w:val="right"/>
              <w:rPr>
                <w:kern w:val="22"/>
                <w:szCs w:val="22"/>
                <w:lang w:val="fr-CA" w:eastAsia="en-CA"/>
              </w:rPr>
            </w:pPr>
            <w:r>
              <w:rPr>
                <w:kern w:val="22"/>
                <w:szCs w:val="22"/>
                <w:lang w:val="fr-CA" w:eastAsia="en-CA"/>
              </w:rPr>
              <w:t>112</w:t>
            </w:r>
          </w:p>
        </w:tc>
        <w:tc>
          <w:tcPr>
            <w:tcW w:w="3823" w:type="dxa"/>
            <w:tcBorders>
              <w:top w:val="nil"/>
              <w:left w:val="nil"/>
              <w:bottom w:val="single" w:sz="4" w:space="0" w:color="auto"/>
              <w:right w:val="single" w:sz="4" w:space="0" w:color="auto"/>
            </w:tcBorders>
            <w:shd w:val="clear" w:color="auto" w:fill="auto"/>
            <w:vAlign w:val="center"/>
            <w:hideMark/>
          </w:tcPr>
          <w:p w14:paraId="5E4632EF" w14:textId="77777777" w:rsidR="0029639D" w:rsidRPr="00415876" w:rsidRDefault="0029639D" w:rsidP="00995EEF">
            <w:pPr>
              <w:jc w:val="left"/>
              <w:rPr>
                <w:kern w:val="22"/>
                <w:szCs w:val="22"/>
                <w:lang w:val="fr-CA" w:eastAsia="en-CA"/>
              </w:rPr>
            </w:pPr>
            <w:r w:rsidRPr="00415876">
              <w:rPr>
                <w:kern w:val="22"/>
                <w:szCs w:val="22"/>
                <w:lang w:val="fr-CA" w:eastAsia="en-CA"/>
              </w:rPr>
              <w:t>Seychelles</w:t>
            </w:r>
          </w:p>
        </w:tc>
        <w:tc>
          <w:tcPr>
            <w:tcW w:w="1472" w:type="dxa"/>
            <w:tcBorders>
              <w:top w:val="nil"/>
              <w:left w:val="nil"/>
              <w:bottom w:val="single" w:sz="4" w:space="0" w:color="auto"/>
              <w:right w:val="single" w:sz="4" w:space="0" w:color="auto"/>
            </w:tcBorders>
            <w:shd w:val="clear" w:color="auto" w:fill="auto"/>
            <w:vAlign w:val="center"/>
            <w:hideMark/>
          </w:tcPr>
          <w:p w14:paraId="461CEB4B"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002</w:t>
            </w:r>
          </w:p>
        </w:tc>
        <w:tc>
          <w:tcPr>
            <w:tcW w:w="1715" w:type="dxa"/>
            <w:tcBorders>
              <w:top w:val="nil"/>
              <w:left w:val="nil"/>
              <w:bottom w:val="single" w:sz="4" w:space="0" w:color="auto"/>
              <w:right w:val="single" w:sz="4" w:space="0" w:color="auto"/>
            </w:tcBorders>
            <w:shd w:val="clear" w:color="auto" w:fill="auto"/>
            <w:noWrap/>
            <w:vAlign w:val="center"/>
            <w:hideMark/>
          </w:tcPr>
          <w:p w14:paraId="5E7B685F" w14:textId="77777777" w:rsidR="0029639D" w:rsidRPr="00415876" w:rsidRDefault="0029639D" w:rsidP="0029639D">
            <w:pPr>
              <w:ind w:right="242"/>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003</w:t>
            </w:r>
          </w:p>
        </w:tc>
        <w:tc>
          <w:tcPr>
            <w:tcW w:w="1715" w:type="dxa"/>
            <w:tcBorders>
              <w:top w:val="nil"/>
              <w:left w:val="nil"/>
              <w:bottom w:val="single" w:sz="4" w:space="0" w:color="auto"/>
              <w:right w:val="single" w:sz="4" w:space="0" w:color="auto"/>
            </w:tcBorders>
            <w:shd w:val="clear" w:color="auto" w:fill="auto"/>
            <w:noWrap/>
            <w:vAlign w:val="center"/>
            <w:hideMark/>
          </w:tcPr>
          <w:p w14:paraId="3F5FF355" w14:textId="77777777" w:rsidR="0029639D" w:rsidRPr="00415876" w:rsidRDefault="0029639D" w:rsidP="0029639D">
            <w:pPr>
              <w:tabs>
                <w:tab w:val="left" w:pos="1203"/>
              </w:tabs>
              <w:ind w:right="288"/>
              <w:jc w:val="right"/>
              <w:rPr>
                <w:kern w:val="22"/>
                <w:szCs w:val="22"/>
                <w:lang w:val="fr-CA" w:eastAsia="en-CA"/>
              </w:rPr>
            </w:pPr>
            <w:r w:rsidRPr="00415876">
              <w:rPr>
                <w:kern w:val="22"/>
                <w:szCs w:val="22"/>
                <w:lang w:val="fr-CA" w:eastAsia="en-CA"/>
              </w:rPr>
              <w:t>60</w:t>
            </w:r>
          </w:p>
        </w:tc>
      </w:tr>
      <w:tr w:rsidR="0029639D" w:rsidRPr="00415876" w14:paraId="52905342"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236C64ED" w14:textId="42DEB896" w:rsidR="0029639D" w:rsidRPr="00415876" w:rsidRDefault="0029639D" w:rsidP="00995EEF">
            <w:pPr>
              <w:jc w:val="right"/>
              <w:rPr>
                <w:kern w:val="22"/>
                <w:szCs w:val="22"/>
                <w:lang w:val="fr-CA" w:eastAsia="en-CA"/>
              </w:rPr>
            </w:pPr>
            <w:r>
              <w:rPr>
                <w:kern w:val="22"/>
                <w:szCs w:val="22"/>
                <w:lang w:val="fr-CA" w:eastAsia="en-CA"/>
              </w:rPr>
              <w:t>113</w:t>
            </w:r>
          </w:p>
        </w:tc>
        <w:tc>
          <w:tcPr>
            <w:tcW w:w="3823" w:type="dxa"/>
            <w:tcBorders>
              <w:top w:val="nil"/>
              <w:left w:val="nil"/>
              <w:bottom w:val="single" w:sz="4" w:space="0" w:color="auto"/>
              <w:right w:val="single" w:sz="4" w:space="0" w:color="auto"/>
            </w:tcBorders>
            <w:shd w:val="clear" w:color="auto" w:fill="auto"/>
            <w:vAlign w:val="center"/>
            <w:hideMark/>
          </w:tcPr>
          <w:p w14:paraId="10689C23" w14:textId="77777777" w:rsidR="0029639D" w:rsidRPr="00415876" w:rsidRDefault="0029639D" w:rsidP="00995EEF">
            <w:pPr>
              <w:jc w:val="left"/>
              <w:rPr>
                <w:kern w:val="22"/>
                <w:szCs w:val="22"/>
                <w:lang w:val="fr-CA" w:eastAsia="en-CA"/>
              </w:rPr>
            </w:pPr>
            <w:r w:rsidRPr="00415876">
              <w:rPr>
                <w:kern w:val="22"/>
                <w:szCs w:val="22"/>
                <w:lang w:val="fr-CA" w:eastAsia="en-CA"/>
              </w:rPr>
              <w:t>Sierra Leone</w:t>
            </w:r>
          </w:p>
        </w:tc>
        <w:tc>
          <w:tcPr>
            <w:tcW w:w="1472" w:type="dxa"/>
            <w:tcBorders>
              <w:top w:val="nil"/>
              <w:left w:val="nil"/>
              <w:bottom w:val="single" w:sz="4" w:space="0" w:color="auto"/>
              <w:right w:val="single" w:sz="4" w:space="0" w:color="auto"/>
            </w:tcBorders>
            <w:shd w:val="clear" w:color="auto" w:fill="auto"/>
            <w:vAlign w:val="center"/>
            <w:hideMark/>
          </w:tcPr>
          <w:p w14:paraId="183A9B7F"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001</w:t>
            </w:r>
          </w:p>
        </w:tc>
        <w:tc>
          <w:tcPr>
            <w:tcW w:w="1715" w:type="dxa"/>
            <w:tcBorders>
              <w:top w:val="nil"/>
              <w:left w:val="nil"/>
              <w:bottom w:val="single" w:sz="4" w:space="0" w:color="auto"/>
              <w:right w:val="single" w:sz="4" w:space="0" w:color="auto"/>
            </w:tcBorders>
            <w:shd w:val="clear" w:color="auto" w:fill="auto"/>
            <w:noWrap/>
            <w:vAlign w:val="center"/>
            <w:hideMark/>
          </w:tcPr>
          <w:p w14:paraId="1B6C1422" w14:textId="77777777" w:rsidR="0029639D" w:rsidRPr="00415876" w:rsidRDefault="0029639D" w:rsidP="0029639D">
            <w:pPr>
              <w:ind w:right="242"/>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002</w:t>
            </w:r>
          </w:p>
        </w:tc>
        <w:tc>
          <w:tcPr>
            <w:tcW w:w="1715" w:type="dxa"/>
            <w:tcBorders>
              <w:top w:val="nil"/>
              <w:left w:val="nil"/>
              <w:bottom w:val="single" w:sz="4" w:space="0" w:color="auto"/>
              <w:right w:val="single" w:sz="4" w:space="0" w:color="auto"/>
            </w:tcBorders>
            <w:shd w:val="clear" w:color="auto" w:fill="auto"/>
            <w:noWrap/>
            <w:vAlign w:val="center"/>
            <w:hideMark/>
          </w:tcPr>
          <w:p w14:paraId="1C4D0A49" w14:textId="77777777" w:rsidR="0029639D" w:rsidRPr="00415876" w:rsidRDefault="0029639D" w:rsidP="0029639D">
            <w:pPr>
              <w:tabs>
                <w:tab w:val="left" w:pos="1203"/>
              </w:tabs>
              <w:ind w:right="288"/>
              <w:jc w:val="right"/>
              <w:rPr>
                <w:kern w:val="22"/>
                <w:szCs w:val="22"/>
                <w:lang w:val="fr-CA" w:eastAsia="en-CA"/>
              </w:rPr>
            </w:pPr>
            <w:r w:rsidRPr="00415876">
              <w:rPr>
                <w:kern w:val="22"/>
                <w:szCs w:val="22"/>
                <w:lang w:val="fr-CA" w:eastAsia="en-CA"/>
              </w:rPr>
              <w:t>30</w:t>
            </w:r>
          </w:p>
        </w:tc>
      </w:tr>
      <w:tr w:rsidR="0029639D" w:rsidRPr="00415876" w14:paraId="1F9CE97D"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05D6E26C" w14:textId="6EB58CAD" w:rsidR="0029639D" w:rsidRPr="00415876" w:rsidRDefault="0029639D" w:rsidP="00995EEF">
            <w:pPr>
              <w:jc w:val="right"/>
              <w:rPr>
                <w:kern w:val="22"/>
                <w:szCs w:val="22"/>
                <w:lang w:val="fr-CA" w:eastAsia="en-CA"/>
              </w:rPr>
            </w:pPr>
            <w:r>
              <w:rPr>
                <w:kern w:val="22"/>
                <w:szCs w:val="22"/>
                <w:lang w:val="fr-CA" w:eastAsia="en-CA"/>
              </w:rPr>
              <w:t>114</w:t>
            </w:r>
          </w:p>
        </w:tc>
        <w:tc>
          <w:tcPr>
            <w:tcW w:w="3823" w:type="dxa"/>
            <w:tcBorders>
              <w:top w:val="nil"/>
              <w:left w:val="nil"/>
              <w:bottom w:val="single" w:sz="4" w:space="0" w:color="auto"/>
              <w:right w:val="single" w:sz="4" w:space="0" w:color="auto"/>
            </w:tcBorders>
            <w:shd w:val="clear" w:color="auto" w:fill="auto"/>
            <w:vAlign w:val="center"/>
            <w:hideMark/>
          </w:tcPr>
          <w:p w14:paraId="1FB8FBBD" w14:textId="77777777" w:rsidR="0029639D" w:rsidRPr="00415876" w:rsidRDefault="0029639D" w:rsidP="00995EEF">
            <w:pPr>
              <w:jc w:val="left"/>
              <w:rPr>
                <w:kern w:val="22"/>
                <w:szCs w:val="22"/>
                <w:lang w:val="fr-CA" w:eastAsia="en-CA"/>
              </w:rPr>
            </w:pPr>
            <w:r>
              <w:rPr>
                <w:kern w:val="22"/>
                <w:szCs w:val="22"/>
                <w:lang w:val="fr-CA" w:eastAsia="en-CA"/>
              </w:rPr>
              <w:t>Slovaquie</w:t>
            </w:r>
          </w:p>
        </w:tc>
        <w:tc>
          <w:tcPr>
            <w:tcW w:w="1472" w:type="dxa"/>
            <w:tcBorders>
              <w:top w:val="nil"/>
              <w:left w:val="nil"/>
              <w:bottom w:val="single" w:sz="4" w:space="0" w:color="auto"/>
              <w:right w:val="single" w:sz="4" w:space="0" w:color="auto"/>
            </w:tcBorders>
            <w:shd w:val="clear" w:color="auto" w:fill="auto"/>
            <w:vAlign w:val="center"/>
            <w:hideMark/>
          </w:tcPr>
          <w:p w14:paraId="169E4579"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153</w:t>
            </w:r>
          </w:p>
        </w:tc>
        <w:tc>
          <w:tcPr>
            <w:tcW w:w="1715" w:type="dxa"/>
            <w:tcBorders>
              <w:top w:val="nil"/>
              <w:left w:val="nil"/>
              <w:bottom w:val="single" w:sz="4" w:space="0" w:color="auto"/>
              <w:right w:val="single" w:sz="4" w:space="0" w:color="auto"/>
            </w:tcBorders>
            <w:shd w:val="clear" w:color="auto" w:fill="auto"/>
            <w:noWrap/>
            <w:vAlign w:val="center"/>
            <w:hideMark/>
          </w:tcPr>
          <w:p w14:paraId="50DBF531" w14:textId="77777777" w:rsidR="0029639D" w:rsidRPr="00415876" w:rsidRDefault="0029639D" w:rsidP="0029639D">
            <w:pPr>
              <w:ind w:right="242"/>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246</w:t>
            </w:r>
          </w:p>
        </w:tc>
        <w:tc>
          <w:tcPr>
            <w:tcW w:w="1715" w:type="dxa"/>
            <w:tcBorders>
              <w:top w:val="nil"/>
              <w:left w:val="nil"/>
              <w:bottom w:val="single" w:sz="4" w:space="0" w:color="auto"/>
              <w:right w:val="single" w:sz="4" w:space="0" w:color="auto"/>
            </w:tcBorders>
            <w:shd w:val="clear" w:color="auto" w:fill="auto"/>
            <w:noWrap/>
            <w:vAlign w:val="center"/>
            <w:hideMark/>
          </w:tcPr>
          <w:p w14:paraId="215A4885" w14:textId="77777777" w:rsidR="0029639D" w:rsidRPr="00415876" w:rsidRDefault="0029639D" w:rsidP="0029639D">
            <w:pPr>
              <w:tabs>
                <w:tab w:val="left" w:pos="1203"/>
              </w:tabs>
              <w:ind w:right="288"/>
              <w:jc w:val="right"/>
              <w:rPr>
                <w:kern w:val="22"/>
                <w:szCs w:val="22"/>
                <w:lang w:val="fr-CA" w:eastAsia="en-CA"/>
              </w:rPr>
            </w:pPr>
            <w:r w:rsidRPr="00415876">
              <w:rPr>
                <w:kern w:val="22"/>
                <w:szCs w:val="22"/>
                <w:lang w:val="fr-CA" w:eastAsia="en-CA"/>
              </w:rPr>
              <w:t>4 612</w:t>
            </w:r>
          </w:p>
        </w:tc>
      </w:tr>
      <w:tr w:rsidR="0029639D" w:rsidRPr="00415876" w14:paraId="1FD82E68"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61B62BB6" w14:textId="238AC00C" w:rsidR="0029639D" w:rsidRPr="00415876" w:rsidRDefault="0029639D" w:rsidP="00995EEF">
            <w:pPr>
              <w:jc w:val="right"/>
              <w:rPr>
                <w:kern w:val="22"/>
                <w:szCs w:val="22"/>
                <w:lang w:val="fr-CA" w:eastAsia="en-CA"/>
              </w:rPr>
            </w:pPr>
            <w:r>
              <w:rPr>
                <w:kern w:val="22"/>
                <w:szCs w:val="22"/>
                <w:lang w:val="fr-CA" w:eastAsia="en-CA"/>
              </w:rPr>
              <w:t>115</w:t>
            </w:r>
          </w:p>
        </w:tc>
        <w:tc>
          <w:tcPr>
            <w:tcW w:w="3823" w:type="dxa"/>
            <w:tcBorders>
              <w:top w:val="nil"/>
              <w:left w:val="nil"/>
              <w:bottom w:val="single" w:sz="4" w:space="0" w:color="auto"/>
              <w:right w:val="single" w:sz="4" w:space="0" w:color="auto"/>
            </w:tcBorders>
            <w:shd w:val="clear" w:color="auto" w:fill="auto"/>
            <w:vAlign w:val="center"/>
            <w:hideMark/>
          </w:tcPr>
          <w:p w14:paraId="24B7D403" w14:textId="77777777" w:rsidR="0029639D" w:rsidRPr="00415876" w:rsidRDefault="0029639D" w:rsidP="00995EEF">
            <w:pPr>
              <w:jc w:val="left"/>
              <w:rPr>
                <w:kern w:val="22"/>
                <w:szCs w:val="22"/>
                <w:lang w:val="fr-CA" w:eastAsia="en-CA"/>
              </w:rPr>
            </w:pPr>
            <w:r w:rsidRPr="00415876">
              <w:rPr>
                <w:kern w:val="22"/>
                <w:szCs w:val="22"/>
                <w:lang w:val="fr-CA" w:eastAsia="en-CA"/>
              </w:rPr>
              <w:t>S</w:t>
            </w:r>
            <w:r>
              <w:rPr>
                <w:kern w:val="22"/>
                <w:szCs w:val="22"/>
                <w:lang w:val="fr-CA" w:eastAsia="en-CA"/>
              </w:rPr>
              <w:t>o</w:t>
            </w:r>
            <w:r w:rsidRPr="00415876">
              <w:rPr>
                <w:kern w:val="22"/>
                <w:szCs w:val="22"/>
                <w:lang w:val="fr-CA" w:eastAsia="en-CA"/>
              </w:rPr>
              <w:t>udan</w:t>
            </w:r>
          </w:p>
        </w:tc>
        <w:tc>
          <w:tcPr>
            <w:tcW w:w="1472" w:type="dxa"/>
            <w:tcBorders>
              <w:top w:val="nil"/>
              <w:left w:val="nil"/>
              <w:bottom w:val="single" w:sz="4" w:space="0" w:color="auto"/>
              <w:right w:val="single" w:sz="4" w:space="0" w:color="auto"/>
            </w:tcBorders>
            <w:shd w:val="clear" w:color="auto" w:fill="auto"/>
            <w:vAlign w:val="center"/>
            <w:hideMark/>
          </w:tcPr>
          <w:p w14:paraId="3B4D4A56"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010</w:t>
            </w:r>
          </w:p>
        </w:tc>
        <w:tc>
          <w:tcPr>
            <w:tcW w:w="1715" w:type="dxa"/>
            <w:tcBorders>
              <w:top w:val="nil"/>
              <w:left w:val="nil"/>
              <w:bottom w:val="single" w:sz="4" w:space="0" w:color="auto"/>
              <w:right w:val="single" w:sz="4" w:space="0" w:color="auto"/>
            </w:tcBorders>
            <w:shd w:val="clear" w:color="auto" w:fill="auto"/>
            <w:noWrap/>
            <w:vAlign w:val="center"/>
            <w:hideMark/>
          </w:tcPr>
          <w:p w14:paraId="1F299784" w14:textId="77777777" w:rsidR="0029639D" w:rsidRPr="00415876" w:rsidRDefault="0029639D" w:rsidP="0029639D">
            <w:pPr>
              <w:ind w:right="242"/>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010</w:t>
            </w:r>
          </w:p>
        </w:tc>
        <w:tc>
          <w:tcPr>
            <w:tcW w:w="1715" w:type="dxa"/>
            <w:tcBorders>
              <w:top w:val="nil"/>
              <w:left w:val="nil"/>
              <w:bottom w:val="single" w:sz="4" w:space="0" w:color="auto"/>
              <w:right w:val="single" w:sz="4" w:space="0" w:color="auto"/>
            </w:tcBorders>
            <w:shd w:val="clear" w:color="auto" w:fill="auto"/>
            <w:noWrap/>
            <w:vAlign w:val="center"/>
            <w:hideMark/>
          </w:tcPr>
          <w:p w14:paraId="19A6675E" w14:textId="77777777" w:rsidR="0029639D" w:rsidRPr="00415876" w:rsidRDefault="0029639D" w:rsidP="0029639D">
            <w:pPr>
              <w:tabs>
                <w:tab w:val="left" w:pos="1203"/>
              </w:tabs>
              <w:ind w:right="288"/>
              <w:jc w:val="right"/>
              <w:rPr>
                <w:kern w:val="22"/>
                <w:szCs w:val="22"/>
                <w:lang w:val="fr-CA" w:eastAsia="en-CA"/>
              </w:rPr>
            </w:pPr>
            <w:r w:rsidRPr="00415876">
              <w:rPr>
                <w:kern w:val="22"/>
                <w:szCs w:val="22"/>
                <w:lang w:val="fr-CA" w:eastAsia="en-CA"/>
              </w:rPr>
              <w:t>188</w:t>
            </w:r>
          </w:p>
        </w:tc>
      </w:tr>
      <w:tr w:rsidR="0029639D" w:rsidRPr="00415876" w14:paraId="6217DF0D"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43791A88" w14:textId="30DE852E" w:rsidR="0029639D" w:rsidRPr="00415876" w:rsidRDefault="0029639D" w:rsidP="00995EEF">
            <w:pPr>
              <w:jc w:val="right"/>
              <w:rPr>
                <w:kern w:val="22"/>
                <w:szCs w:val="22"/>
                <w:lang w:val="fr-CA" w:eastAsia="en-CA"/>
              </w:rPr>
            </w:pPr>
            <w:r>
              <w:rPr>
                <w:kern w:val="22"/>
                <w:szCs w:val="22"/>
                <w:lang w:val="fr-CA" w:eastAsia="en-CA"/>
              </w:rPr>
              <w:t>116</w:t>
            </w:r>
          </w:p>
        </w:tc>
        <w:tc>
          <w:tcPr>
            <w:tcW w:w="3823" w:type="dxa"/>
            <w:tcBorders>
              <w:top w:val="nil"/>
              <w:left w:val="nil"/>
              <w:bottom w:val="single" w:sz="4" w:space="0" w:color="auto"/>
              <w:right w:val="single" w:sz="4" w:space="0" w:color="auto"/>
            </w:tcBorders>
            <w:shd w:val="clear" w:color="auto" w:fill="auto"/>
            <w:vAlign w:val="center"/>
            <w:hideMark/>
          </w:tcPr>
          <w:p w14:paraId="17FBA994" w14:textId="77777777" w:rsidR="0029639D" w:rsidRPr="00415876" w:rsidRDefault="0029639D" w:rsidP="00995EEF">
            <w:pPr>
              <w:jc w:val="left"/>
              <w:rPr>
                <w:kern w:val="22"/>
                <w:szCs w:val="22"/>
                <w:lang w:val="fr-CA" w:eastAsia="en-CA"/>
              </w:rPr>
            </w:pPr>
            <w:r>
              <w:rPr>
                <w:kern w:val="22"/>
                <w:szCs w:val="22"/>
                <w:lang w:val="fr-CA" w:eastAsia="en-CA"/>
              </w:rPr>
              <w:t>Suède</w:t>
            </w:r>
          </w:p>
        </w:tc>
        <w:tc>
          <w:tcPr>
            <w:tcW w:w="1472" w:type="dxa"/>
            <w:tcBorders>
              <w:top w:val="nil"/>
              <w:left w:val="nil"/>
              <w:bottom w:val="single" w:sz="4" w:space="0" w:color="auto"/>
              <w:right w:val="single" w:sz="4" w:space="0" w:color="auto"/>
            </w:tcBorders>
            <w:shd w:val="clear" w:color="auto" w:fill="auto"/>
            <w:vAlign w:val="center"/>
            <w:hideMark/>
          </w:tcPr>
          <w:p w14:paraId="2CA541E6"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906</w:t>
            </w:r>
          </w:p>
        </w:tc>
        <w:tc>
          <w:tcPr>
            <w:tcW w:w="1715" w:type="dxa"/>
            <w:tcBorders>
              <w:top w:val="nil"/>
              <w:left w:val="nil"/>
              <w:bottom w:val="single" w:sz="4" w:space="0" w:color="auto"/>
              <w:right w:val="single" w:sz="4" w:space="0" w:color="auto"/>
            </w:tcBorders>
            <w:shd w:val="clear" w:color="auto" w:fill="auto"/>
            <w:noWrap/>
            <w:vAlign w:val="center"/>
            <w:hideMark/>
          </w:tcPr>
          <w:p w14:paraId="5ADDD1B2" w14:textId="77777777" w:rsidR="0029639D" w:rsidRPr="00415876" w:rsidRDefault="0029639D" w:rsidP="0029639D">
            <w:pPr>
              <w:ind w:right="242"/>
              <w:jc w:val="right"/>
              <w:rPr>
                <w:kern w:val="22"/>
                <w:szCs w:val="22"/>
                <w:lang w:val="fr-CA" w:eastAsia="en-CA"/>
              </w:rPr>
            </w:pPr>
            <w:r w:rsidRPr="00415876">
              <w:rPr>
                <w:kern w:val="22"/>
                <w:szCs w:val="22"/>
                <w:lang w:val="fr-CA" w:eastAsia="en-CA"/>
              </w:rPr>
              <w:t>1</w:t>
            </w:r>
            <w:r>
              <w:rPr>
                <w:kern w:val="22"/>
                <w:szCs w:val="22"/>
                <w:lang w:val="fr-CA" w:eastAsia="en-CA"/>
              </w:rPr>
              <w:t>,</w:t>
            </w:r>
            <w:r w:rsidRPr="00415876">
              <w:rPr>
                <w:kern w:val="22"/>
                <w:szCs w:val="22"/>
                <w:lang w:val="fr-CA" w:eastAsia="en-CA"/>
              </w:rPr>
              <w:t>456</w:t>
            </w:r>
          </w:p>
        </w:tc>
        <w:tc>
          <w:tcPr>
            <w:tcW w:w="1715" w:type="dxa"/>
            <w:tcBorders>
              <w:top w:val="nil"/>
              <w:left w:val="nil"/>
              <w:bottom w:val="single" w:sz="4" w:space="0" w:color="auto"/>
              <w:right w:val="single" w:sz="4" w:space="0" w:color="auto"/>
            </w:tcBorders>
            <w:shd w:val="clear" w:color="auto" w:fill="auto"/>
            <w:noWrap/>
            <w:vAlign w:val="center"/>
            <w:hideMark/>
          </w:tcPr>
          <w:p w14:paraId="0AC27BE6" w14:textId="77777777" w:rsidR="0029639D" w:rsidRPr="00415876" w:rsidRDefault="0029639D" w:rsidP="0029639D">
            <w:pPr>
              <w:tabs>
                <w:tab w:val="left" w:pos="1203"/>
              </w:tabs>
              <w:ind w:right="288"/>
              <w:jc w:val="right"/>
              <w:rPr>
                <w:kern w:val="22"/>
                <w:szCs w:val="22"/>
                <w:lang w:val="fr-CA" w:eastAsia="en-CA"/>
              </w:rPr>
            </w:pPr>
            <w:r w:rsidRPr="00415876">
              <w:rPr>
                <w:kern w:val="22"/>
                <w:szCs w:val="22"/>
                <w:lang w:val="fr-CA" w:eastAsia="en-CA"/>
              </w:rPr>
              <w:t>27 311</w:t>
            </w:r>
          </w:p>
        </w:tc>
      </w:tr>
      <w:tr w:rsidR="0029639D" w:rsidRPr="00415876" w14:paraId="7DE41D5F"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48D4CDEA" w14:textId="3DDA2EE4" w:rsidR="0029639D" w:rsidRPr="00415876" w:rsidRDefault="0029639D" w:rsidP="00995EEF">
            <w:pPr>
              <w:jc w:val="right"/>
              <w:rPr>
                <w:kern w:val="22"/>
                <w:szCs w:val="22"/>
                <w:lang w:val="fr-CA" w:eastAsia="en-CA"/>
              </w:rPr>
            </w:pPr>
            <w:r>
              <w:rPr>
                <w:kern w:val="22"/>
                <w:szCs w:val="22"/>
                <w:lang w:val="fr-CA" w:eastAsia="en-CA"/>
              </w:rPr>
              <w:t>117</w:t>
            </w:r>
          </w:p>
        </w:tc>
        <w:tc>
          <w:tcPr>
            <w:tcW w:w="3823" w:type="dxa"/>
            <w:tcBorders>
              <w:top w:val="nil"/>
              <w:left w:val="nil"/>
              <w:bottom w:val="single" w:sz="4" w:space="0" w:color="auto"/>
              <w:right w:val="single" w:sz="4" w:space="0" w:color="auto"/>
            </w:tcBorders>
            <w:shd w:val="clear" w:color="auto" w:fill="auto"/>
            <w:vAlign w:val="center"/>
            <w:hideMark/>
          </w:tcPr>
          <w:p w14:paraId="26EC5BD5" w14:textId="77777777" w:rsidR="0029639D" w:rsidRPr="00415876" w:rsidRDefault="0029639D" w:rsidP="00995EEF">
            <w:pPr>
              <w:jc w:val="left"/>
              <w:rPr>
                <w:kern w:val="22"/>
                <w:szCs w:val="22"/>
                <w:lang w:val="fr-CA" w:eastAsia="en-CA"/>
              </w:rPr>
            </w:pPr>
            <w:r>
              <w:rPr>
                <w:kern w:val="22"/>
                <w:szCs w:val="22"/>
                <w:lang w:val="fr-CA" w:eastAsia="en-CA"/>
              </w:rPr>
              <w:t>Suisse</w:t>
            </w:r>
          </w:p>
        </w:tc>
        <w:tc>
          <w:tcPr>
            <w:tcW w:w="1472" w:type="dxa"/>
            <w:tcBorders>
              <w:top w:val="nil"/>
              <w:left w:val="nil"/>
              <w:bottom w:val="single" w:sz="4" w:space="0" w:color="auto"/>
              <w:right w:val="single" w:sz="4" w:space="0" w:color="auto"/>
            </w:tcBorders>
            <w:shd w:val="clear" w:color="auto" w:fill="auto"/>
            <w:vAlign w:val="center"/>
            <w:hideMark/>
          </w:tcPr>
          <w:p w14:paraId="548BBB57" w14:textId="77777777" w:rsidR="0029639D" w:rsidRPr="00415876" w:rsidRDefault="0029639D" w:rsidP="0029639D">
            <w:pPr>
              <w:ind w:right="144"/>
              <w:jc w:val="right"/>
              <w:rPr>
                <w:kern w:val="22"/>
                <w:szCs w:val="22"/>
                <w:lang w:val="fr-CA" w:eastAsia="en-CA"/>
              </w:rPr>
            </w:pPr>
            <w:r w:rsidRPr="00415876">
              <w:rPr>
                <w:kern w:val="22"/>
                <w:szCs w:val="22"/>
                <w:lang w:val="fr-CA" w:eastAsia="en-CA"/>
              </w:rPr>
              <w:t>1</w:t>
            </w:r>
            <w:r>
              <w:rPr>
                <w:kern w:val="22"/>
                <w:szCs w:val="22"/>
                <w:lang w:val="fr-CA" w:eastAsia="en-CA"/>
              </w:rPr>
              <w:t>,</w:t>
            </w:r>
            <w:r w:rsidRPr="00415876">
              <w:rPr>
                <w:kern w:val="22"/>
                <w:szCs w:val="22"/>
                <w:lang w:val="fr-CA" w:eastAsia="en-CA"/>
              </w:rPr>
              <w:t>151</w:t>
            </w:r>
          </w:p>
        </w:tc>
        <w:tc>
          <w:tcPr>
            <w:tcW w:w="1715" w:type="dxa"/>
            <w:tcBorders>
              <w:top w:val="nil"/>
              <w:left w:val="nil"/>
              <w:bottom w:val="single" w:sz="4" w:space="0" w:color="auto"/>
              <w:right w:val="single" w:sz="4" w:space="0" w:color="auto"/>
            </w:tcBorders>
            <w:shd w:val="clear" w:color="auto" w:fill="auto"/>
            <w:noWrap/>
            <w:vAlign w:val="center"/>
            <w:hideMark/>
          </w:tcPr>
          <w:p w14:paraId="0F9EE4F4" w14:textId="77777777" w:rsidR="0029639D" w:rsidRPr="00415876" w:rsidRDefault="0029639D" w:rsidP="0029639D">
            <w:pPr>
              <w:ind w:right="242"/>
              <w:jc w:val="right"/>
              <w:rPr>
                <w:kern w:val="22"/>
                <w:szCs w:val="22"/>
                <w:lang w:val="fr-CA" w:eastAsia="en-CA"/>
              </w:rPr>
            </w:pPr>
            <w:r w:rsidRPr="00415876">
              <w:rPr>
                <w:kern w:val="22"/>
                <w:szCs w:val="22"/>
                <w:lang w:val="fr-CA" w:eastAsia="en-CA"/>
              </w:rPr>
              <w:t>1</w:t>
            </w:r>
            <w:r>
              <w:rPr>
                <w:kern w:val="22"/>
                <w:szCs w:val="22"/>
                <w:lang w:val="fr-CA" w:eastAsia="en-CA"/>
              </w:rPr>
              <w:t>,</w:t>
            </w:r>
            <w:r w:rsidRPr="00415876">
              <w:rPr>
                <w:kern w:val="22"/>
                <w:szCs w:val="22"/>
                <w:lang w:val="fr-CA" w:eastAsia="en-CA"/>
              </w:rPr>
              <w:t>850</w:t>
            </w:r>
          </w:p>
        </w:tc>
        <w:tc>
          <w:tcPr>
            <w:tcW w:w="1715" w:type="dxa"/>
            <w:tcBorders>
              <w:top w:val="nil"/>
              <w:left w:val="nil"/>
              <w:bottom w:val="single" w:sz="4" w:space="0" w:color="auto"/>
              <w:right w:val="single" w:sz="4" w:space="0" w:color="auto"/>
            </w:tcBorders>
            <w:shd w:val="clear" w:color="auto" w:fill="auto"/>
            <w:noWrap/>
            <w:vAlign w:val="center"/>
            <w:hideMark/>
          </w:tcPr>
          <w:p w14:paraId="5DC23124" w14:textId="77777777" w:rsidR="0029639D" w:rsidRPr="00415876" w:rsidRDefault="0029639D" w:rsidP="0029639D">
            <w:pPr>
              <w:tabs>
                <w:tab w:val="left" w:pos="1203"/>
              </w:tabs>
              <w:ind w:right="288"/>
              <w:jc w:val="right"/>
              <w:rPr>
                <w:kern w:val="22"/>
                <w:szCs w:val="22"/>
                <w:lang w:val="fr-CA" w:eastAsia="en-CA"/>
              </w:rPr>
            </w:pPr>
            <w:r w:rsidRPr="00415876">
              <w:rPr>
                <w:kern w:val="22"/>
                <w:szCs w:val="22"/>
                <w:lang w:val="fr-CA" w:eastAsia="en-CA"/>
              </w:rPr>
              <w:t>34 697</w:t>
            </w:r>
          </w:p>
        </w:tc>
      </w:tr>
      <w:tr w:rsidR="0029639D" w:rsidRPr="00415876" w14:paraId="4261DD8D"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3347C9E9" w14:textId="6C536113" w:rsidR="0029639D" w:rsidRPr="00415876" w:rsidRDefault="0029639D" w:rsidP="00995EEF">
            <w:pPr>
              <w:jc w:val="right"/>
              <w:rPr>
                <w:kern w:val="22"/>
                <w:szCs w:val="22"/>
                <w:lang w:val="fr-CA" w:eastAsia="en-CA"/>
              </w:rPr>
            </w:pPr>
            <w:r>
              <w:rPr>
                <w:kern w:val="22"/>
                <w:szCs w:val="22"/>
                <w:lang w:val="fr-CA" w:eastAsia="en-CA"/>
              </w:rPr>
              <w:t>118</w:t>
            </w:r>
          </w:p>
        </w:tc>
        <w:tc>
          <w:tcPr>
            <w:tcW w:w="3823" w:type="dxa"/>
            <w:tcBorders>
              <w:top w:val="nil"/>
              <w:left w:val="nil"/>
              <w:bottom w:val="single" w:sz="4" w:space="0" w:color="auto"/>
              <w:right w:val="single" w:sz="4" w:space="0" w:color="auto"/>
            </w:tcBorders>
            <w:shd w:val="clear" w:color="auto" w:fill="auto"/>
            <w:vAlign w:val="center"/>
            <w:hideMark/>
          </w:tcPr>
          <w:p w14:paraId="6419C7FC" w14:textId="77777777" w:rsidR="0029639D" w:rsidRPr="00415876" w:rsidRDefault="0029639D" w:rsidP="00995EEF">
            <w:pPr>
              <w:jc w:val="left"/>
              <w:rPr>
                <w:kern w:val="22"/>
                <w:szCs w:val="22"/>
                <w:lang w:val="fr-CA" w:eastAsia="en-CA"/>
              </w:rPr>
            </w:pPr>
            <w:r w:rsidRPr="00415876">
              <w:rPr>
                <w:kern w:val="22"/>
                <w:szCs w:val="22"/>
                <w:lang w:val="fr-CA" w:eastAsia="en-CA"/>
              </w:rPr>
              <w:t>Ta</w:t>
            </w:r>
            <w:r>
              <w:rPr>
                <w:kern w:val="22"/>
                <w:szCs w:val="22"/>
                <w:lang w:val="fr-CA" w:eastAsia="en-CA"/>
              </w:rPr>
              <w:t>d</w:t>
            </w:r>
            <w:r w:rsidRPr="00415876">
              <w:rPr>
                <w:kern w:val="22"/>
                <w:szCs w:val="22"/>
                <w:lang w:val="fr-CA" w:eastAsia="en-CA"/>
              </w:rPr>
              <w:t>jikistan</w:t>
            </w:r>
          </w:p>
        </w:tc>
        <w:tc>
          <w:tcPr>
            <w:tcW w:w="1472" w:type="dxa"/>
            <w:tcBorders>
              <w:top w:val="nil"/>
              <w:left w:val="nil"/>
              <w:bottom w:val="single" w:sz="4" w:space="0" w:color="auto"/>
              <w:right w:val="single" w:sz="4" w:space="0" w:color="auto"/>
            </w:tcBorders>
            <w:shd w:val="clear" w:color="auto" w:fill="auto"/>
            <w:vAlign w:val="center"/>
            <w:hideMark/>
          </w:tcPr>
          <w:p w14:paraId="4C19EE4E"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004</w:t>
            </w:r>
          </w:p>
        </w:tc>
        <w:tc>
          <w:tcPr>
            <w:tcW w:w="1715" w:type="dxa"/>
            <w:tcBorders>
              <w:top w:val="nil"/>
              <w:left w:val="nil"/>
              <w:bottom w:val="single" w:sz="4" w:space="0" w:color="auto"/>
              <w:right w:val="single" w:sz="4" w:space="0" w:color="auto"/>
            </w:tcBorders>
            <w:shd w:val="clear" w:color="auto" w:fill="auto"/>
            <w:noWrap/>
            <w:vAlign w:val="center"/>
            <w:hideMark/>
          </w:tcPr>
          <w:p w14:paraId="19D8056C" w14:textId="77777777" w:rsidR="0029639D" w:rsidRPr="00415876" w:rsidRDefault="0029639D" w:rsidP="0029639D">
            <w:pPr>
              <w:ind w:right="288"/>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006</w:t>
            </w:r>
          </w:p>
        </w:tc>
        <w:tc>
          <w:tcPr>
            <w:tcW w:w="1715" w:type="dxa"/>
            <w:tcBorders>
              <w:top w:val="nil"/>
              <w:left w:val="nil"/>
              <w:bottom w:val="single" w:sz="4" w:space="0" w:color="auto"/>
              <w:right w:val="single" w:sz="4" w:space="0" w:color="auto"/>
            </w:tcBorders>
            <w:shd w:val="clear" w:color="auto" w:fill="auto"/>
            <w:noWrap/>
            <w:vAlign w:val="center"/>
            <w:hideMark/>
          </w:tcPr>
          <w:p w14:paraId="0F54C6F8" w14:textId="77777777" w:rsidR="0029639D" w:rsidRPr="00415876" w:rsidRDefault="0029639D" w:rsidP="0029639D">
            <w:pPr>
              <w:ind w:right="288"/>
              <w:jc w:val="right"/>
              <w:rPr>
                <w:kern w:val="22"/>
                <w:szCs w:val="22"/>
                <w:lang w:val="fr-CA" w:eastAsia="en-CA"/>
              </w:rPr>
            </w:pPr>
            <w:r w:rsidRPr="00415876">
              <w:rPr>
                <w:kern w:val="22"/>
                <w:szCs w:val="22"/>
                <w:lang w:val="fr-CA" w:eastAsia="en-CA"/>
              </w:rPr>
              <w:t>121</w:t>
            </w:r>
          </w:p>
        </w:tc>
      </w:tr>
      <w:tr w:rsidR="0029639D" w:rsidRPr="00415876" w14:paraId="1B14AE93"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3F7D52AC" w14:textId="4395ED25" w:rsidR="0029639D" w:rsidRPr="00415876" w:rsidRDefault="0029639D" w:rsidP="00120F79">
            <w:pPr>
              <w:jc w:val="right"/>
              <w:rPr>
                <w:kern w:val="22"/>
                <w:szCs w:val="22"/>
                <w:lang w:val="fr-CA" w:eastAsia="en-CA"/>
              </w:rPr>
            </w:pPr>
            <w:r>
              <w:rPr>
                <w:kern w:val="22"/>
                <w:szCs w:val="22"/>
                <w:lang w:val="fr-CA" w:eastAsia="en-CA"/>
              </w:rPr>
              <w:t>119</w:t>
            </w:r>
          </w:p>
        </w:tc>
        <w:tc>
          <w:tcPr>
            <w:tcW w:w="3823" w:type="dxa"/>
            <w:tcBorders>
              <w:top w:val="nil"/>
              <w:left w:val="nil"/>
              <w:bottom w:val="single" w:sz="4" w:space="0" w:color="auto"/>
              <w:right w:val="single" w:sz="4" w:space="0" w:color="auto"/>
            </w:tcBorders>
            <w:shd w:val="clear" w:color="auto" w:fill="auto"/>
            <w:vAlign w:val="center"/>
            <w:hideMark/>
          </w:tcPr>
          <w:p w14:paraId="45D97244" w14:textId="77777777" w:rsidR="0029639D" w:rsidRPr="00415876" w:rsidRDefault="0029639D" w:rsidP="00120F79">
            <w:pPr>
              <w:jc w:val="left"/>
              <w:rPr>
                <w:kern w:val="22"/>
                <w:szCs w:val="22"/>
                <w:lang w:val="fr-CA" w:eastAsia="en-CA"/>
              </w:rPr>
            </w:pPr>
            <w:r>
              <w:rPr>
                <w:kern w:val="22"/>
                <w:szCs w:val="22"/>
                <w:lang w:val="fr-CA" w:eastAsia="en-CA"/>
              </w:rPr>
              <w:t>Tc</w:t>
            </w:r>
            <w:r w:rsidRPr="00415876">
              <w:rPr>
                <w:kern w:val="22"/>
                <w:szCs w:val="22"/>
                <w:lang w:val="fr-CA" w:eastAsia="en-CA"/>
              </w:rPr>
              <w:t>had</w:t>
            </w:r>
          </w:p>
        </w:tc>
        <w:tc>
          <w:tcPr>
            <w:tcW w:w="1472" w:type="dxa"/>
            <w:tcBorders>
              <w:top w:val="nil"/>
              <w:left w:val="nil"/>
              <w:bottom w:val="single" w:sz="4" w:space="0" w:color="auto"/>
              <w:right w:val="single" w:sz="4" w:space="0" w:color="auto"/>
            </w:tcBorders>
            <w:shd w:val="clear" w:color="auto" w:fill="auto"/>
            <w:vAlign w:val="center"/>
            <w:hideMark/>
          </w:tcPr>
          <w:p w14:paraId="4201761E"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004</w:t>
            </w:r>
          </w:p>
        </w:tc>
        <w:tc>
          <w:tcPr>
            <w:tcW w:w="1715" w:type="dxa"/>
            <w:tcBorders>
              <w:top w:val="nil"/>
              <w:left w:val="nil"/>
              <w:bottom w:val="single" w:sz="4" w:space="0" w:color="auto"/>
              <w:right w:val="single" w:sz="4" w:space="0" w:color="auto"/>
            </w:tcBorders>
            <w:shd w:val="clear" w:color="auto" w:fill="auto"/>
            <w:noWrap/>
            <w:vAlign w:val="center"/>
            <w:hideMark/>
          </w:tcPr>
          <w:p w14:paraId="4D1D2774" w14:textId="77777777" w:rsidR="0029639D" w:rsidRPr="00415876" w:rsidRDefault="0029639D" w:rsidP="0029639D">
            <w:pPr>
              <w:ind w:right="288"/>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006</w:t>
            </w:r>
          </w:p>
        </w:tc>
        <w:tc>
          <w:tcPr>
            <w:tcW w:w="1715" w:type="dxa"/>
            <w:tcBorders>
              <w:top w:val="nil"/>
              <w:left w:val="nil"/>
              <w:bottom w:val="single" w:sz="4" w:space="0" w:color="auto"/>
              <w:right w:val="single" w:sz="4" w:space="0" w:color="auto"/>
            </w:tcBorders>
            <w:shd w:val="clear" w:color="auto" w:fill="auto"/>
            <w:noWrap/>
            <w:vAlign w:val="center"/>
            <w:hideMark/>
          </w:tcPr>
          <w:p w14:paraId="727F5CB6" w14:textId="77777777" w:rsidR="0029639D" w:rsidRPr="00415876" w:rsidRDefault="0029639D" w:rsidP="0029639D">
            <w:pPr>
              <w:ind w:right="288"/>
              <w:jc w:val="right"/>
              <w:rPr>
                <w:kern w:val="22"/>
                <w:szCs w:val="22"/>
                <w:lang w:val="fr-CA" w:eastAsia="en-CA"/>
              </w:rPr>
            </w:pPr>
            <w:r w:rsidRPr="00415876">
              <w:rPr>
                <w:kern w:val="22"/>
                <w:szCs w:val="22"/>
                <w:lang w:val="fr-CA" w:eastAsia="en-CA"/>
              </w:rPr>
              <w:t>121</w:t>
            </w:r>
          </w:p>
        </w:tc>
      </w:tr>
      <w:tr w:rsidR="0029639D" w:rsidRPr="00415876" w14:paraId="4AF4377A"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037A0C02" w14:textId="3E2F9071" w:rsidR="0029639D" w:rsidRPr="00415876" w:rsidRDefault="0029639D" w:rsidP="00120F79">
            <w:pPr>
              <w:jc w:val="right"/>
              <w:rPr>
                <w:kern w:val="22"/>
                <w:szCs w:val="22"/>
                <w:lang w:val="fr-CA" w:eastAsia="en-CA"/>
              </w:rPr>
            </w:pPr>
            <w:r>
              <w:rPr>
                <w:kern w:val="22"/>
                <w:szCs w:val="22"/>
                <w:lang w:val="fr-CA" w:eastAsia="en-CA"/>
              </w:rPr>
              <w:t>120</w:t>
            </w:r>
          </w:p>
        </w:tc>
        <w:tc>
          <w:tcPr>
            <w:tcW w:w="3823" w:type="dxa"/>
            <w:tcBorders>
              <w:top w:val="nil"/>
              <w:left w:val="nil"/>
              <w:bottom w:val="single" w:sz="4" w:space="0" w:color="auto"/>
              <w:right w:val="single" w:sz="4" w:space="0" w:color="auto"/>
            </w:tcBorders>
            <w:shd w:val="clear" w:color="auto" w:fill="auto"/>
            <w:vAlign w:val="center"/>
            <w:hideMark/>
          </w:tcPr>
          <w:p w14:paraId="7C2B4A97" w14:textId="77777777" w:rsidR="0029639D" w:rsidRPr="00415876" w:rsidRDefault="0029639D" w:rsidP="00120F79">
            <w:pPr>
              <w:jc w:val="left"/>
              <w:rPr>
                <w:kern w:val="22"/>
                <w:szCs w:val="22"/>
                <w:lang w:val="fr-CA" w:eastAsia="en-CA"/>
              </w:rPr>
            </w:pPr>
            <w:r>
              <w:rPr>
                <w:kern w:val="22"/>
                <w:szCs w:val="22"/>
                <w:lang w:val="fr-CA" w:eastAsia="en-CA"/>
              </w:rPr>
              <w:t>Tchéquie</w:t>
            </w:r>
          </w:p>
        </w:tc>
        <w:tc>
          <w:tcPr>
            <w:tcW w:w="1472" w:type="dxa"/>
            <w:tcBorders>
              <w:top w:val="nil"/>
              <w:left w:val="nil"/>
              <w:bottom w:val="single" w:sz="4" w:space="0" w:color="auto"/>
              <w:right w:val="single" w:sz="4" w:space="0" w:color="auto"/>
            </w:tcBorders>
            <w:shd w:val="clear" w:color="auto" w:fill="auto"/>
            <w:vAlign w:val="center"/>
            <w:hideMark/>
          </w:tcPr>
          <w:p w14:paraId="23D986F5"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311</w:t>
            </w:r>
          </w:p>
        </w:tc>
        <w:tc>
          <w:tcPr>
            <w:tcW w:w="1715" w:type="dxa"/>
            <w:tcBorders>
              <w:top w:val="nil"/>
              <w:left w:val="nil"/>
              <w:bottom w:val="single" w:sz="4" w:space="0" w:color="auto"/>
              <w:right w:val="single" w:sz="4" w:space="0" w:color="auto"/>
            </w:tcBorders>
            <w:shd w:val="clear" w:color="auto" w:fill="auto"/>
            <w:noWrap/>
            <w:vAlign w:val="center"/>
            <w:hideMark/>
          </w:tcPr>
          <w:p w14:paraId="6B1B2178" w14:textId="77777777" w:rsidR="0029639D" w:rsidRPr="00415876" w:rsidRDefault="0029639D" w:rsidP="0029639D">
            <w:pPr>
              <w:ind w:right="288"/>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500</w:t>
            </w:r>
          </w:p>
        </w:tc>
        <w:tc>
          <w:tcPr>
            <w:tcW w:w="1715" w:type="dxa"/>
            <w:tcBorders>
              <w:top w:val="nil"/>
              <w:left w:val="nil"/>
              <w:bottom w:val="single" w:sz="4" w:space="0" w:color="auto"/>
              <w:right w:val="single" w:sz="4" w:space="0" w:color="auto"/>
            </w:tcBorders>
            <w:shd w:val="clear" w:color="auto" w:fill="auto"/>
            <w:noWrap/>
            <w:vAlign w:val="center"/>
            <w:hideMark/>
          </w:tcPr>
          <w:p w14:paraId="0ADFE8D7" w14:textId="77777777" w:rsidR="0029639D" w:rsidRPr="00415876" w:rsidRDefault="0029639D" w:rsidP="0029639D">
            <w:pPr>
              <w:ind w:right="288"/>
              <w:jc w:val="right"/>
              <w:rPr>
                <w:kern w:val="22"/>
                <w:szCs w:val="22"/>
                <w:lang w:val="fr-CA" w:eastAsia="en-CA"/>
              </w:rPr>
            </w:pPr>
            <w:r w:rsidRPr="00415876">
              <w:rPr>
                <w:kern w:val="22"/>
                <w:szCs w:val="22"/>
                <w:lang w:val="fr-CA" w:eastAsia="en-CA"/>
              </w:rPr>
              <w:t>9 375</w:t>
            </w:r>
          </w:p>
        </w:tc>
      </w:tr>
      <w:tr w:rsidR="0029639D" w:rsidRPr="00415876" w14:paraId="703529D3"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16012614" w14:textId="42138C18" w:rsidR="0029639D" w:rsidRPr="00415876" w:rsidRDefault="0029639D" w:rsidP="00995EEF">
            <w:pPr>
              <w:jc w:val="right"/>
              <w:rPr>
                <w:kern w:val="22"/>
                <w:szCs w:val="22"/>
                <w:lang w:val="fr-CA" w:eastAsia="en-CA"/>
              </w:rPr>
            </w:pPr>
            <w:r>
              <w:rPr>
                <w:kern w:val="22"/>
                <w:szCs w:val="22"/>
                <w:lang w:val="fr-CA" w:eastAsia="en-CA"/>
              </w:rPr>
              <w:t>121</w:t>
            </w:r>
          </w:p>
        </w:tc>
        <w:tc>
          <w:tcPr>
            <w:tcW w:w="3823" w:type="dxa"/>
            <w:tcBorders>
              <w:top w:val="nil"/>
              <w:left w:val="nil"/>
              <w:bottom w:val="single" w:sz="4" w:space="0" w:color="auto"/>
              <w:right w:val="single" w:sz="4" w:space="0" w:color="auto"/>
            </w:tcBorders>
            <w:shd w:val="clear" w:color="auto" w:fill="auto"/>
            <w:vAlign w:val="center"/>
            <w:hideMark/>
          </w:tcPr>
          <w:p w14:paraId="451E902D" w14:textId="77777777" w:rsidR="0029639D" w:rsidRPr="00415876" w:rsidRDefault="0029639D" w:rsidP="00995EEF">
            <w:pPr>
              <w:jc w:val="left"/>
              <w:rPr>
                <w:kern w:val="22"/>
                <w:szCs w:val="22"/>
                <w:lang w:val="fr-CA" w:eastAsia="en-CA"/>
              </w:rPr>
            </w:pPr>
            <w:r w:rsidRPr="00415876">
              <w:rPr>
                <w:kern w:val="22"/>
                <w:szCs w:val="22"/>
                <w:lang w:val="fr-CA" w:eastAsia="en-CA"/>
              </w:rPr>
              <w:t>Togo</w:t>
            </w:r>
          </w:p>
        </w:tc>
        <w:tc>
          <w:tcPr>
            <w:tcW w:w="1472" w:type="dxa"/>
            <w:tcBorders>
              <w:top w:val="nil"/>
              <w:left w:val="nil"/>
              <w:bottom w:val="single" w:sz="4" w:space="0" w:color="auto"/>
              <w:right w:val="single" w:sz="4" w:space="0" w:color="auto"/>
            </w:tcBorders>
            <w:shd w:val="clear" w:color="auto" w:fill="auto"/>
            <w:vAlign w:val="center"/>
            <w:hideMark/>
          </w:tcPr>
          <w:p w14:paraId="408DF00E"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002</w:t>
            </w:r>
          </w:p>
        </w:tc>
        <w:tc>
          <w:tcPr>
            <w:tcW w:w="1715" w:type="dxa"/>
            <w:tcBorders>
              <w:top w:val="nil"/>
              <w:left w:val="nil"/>
              <w:bottom w:val="single" w:sz="4" w:space="0" w:color="auto"/>
              <w:right w:val="single" w:sz="4" w:space="0" w:color="auto"/>
            </w:tcBorders>
            <w:shd w:val="clear" w:color="auto" w:fill="auto"/>
            <w:noWrap/>
            <w:vAlign w:val="center"/>
            <w:hideMark/>
          </w:tcPr>
          <w:p w14:paraId="203F1D88" w14:textId="77777777" w:rsidR="0029639D" w:rsidRPr="00415876" w:rsidRDefault="0029639D" w:rsidP="0029639D">
            <w:pPr>
              <w:ind w:right="288"/>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003</w:t>
            </w:r>
          </w:p>
        </w:tc>
        <w:tc>
          <w:tcPr>
            <w:tcW w:w="1715" w:type="dxa"/>
            <w:tcBorders>
              <w:top w:val="nil"/>
              <w:left w:val="nil"/>
              <w:bottom w:val="single" w:sz="4" w:space="0" w:color="auto"/>
              <w:right w:val="single" w:sz="4" w:space="0" w:color="auto"/>
            </w:tcBorders>
            <w:shd w:val="clear" w:color="auto" w:fill="auto"/>
            <w:noWrap/>
            <w:vAlign w:val="center"/>
            <w:hideMark/>
          </w:tcPr>
          <w:p w14:paraId="305CB915" w14:textId="77777777" w:rsidR="0029639D" w:rsidRPr="00415876" w:rsidRDefault="0029639D" w:rsidP="0029639D">
            <w:pPr>
              <w:ind w:right="288"/>
              <w:jc w:val="right"/>
              <w:rPr>
                <w:kern w:val="22"/>
                <w:szCs w:val="22"/>
                <w:lang w:val="fr-CA" w:eastAsia="en-CA"/>
              </w:rPr>
            </w:pPr>
            <w:r w:rsidRPr="00415876">
              <w:rPr>
                <w:kern w:val="22"/>
                <w:szCs w:val="22"/>
                <w:lang w:val="fr-CA" w:eastAsia="en-CA"/>
              </w:rPr>
              <w:t>60</w:t>
            </w:r>
          </w:p>
        </w:tc>
      </w:tr>
      <w:tr w:rsidR="0029639D" w:rsidRPr="00415876" w14:paraId="787C1208"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429283A1" w14:textId="24C5353C" w:rsidR="0029639D" w:rsidRPr="00415876" w:rsidRDefault="0029639D" w:rsidP="00995EEF">
            <w:pPr>
              <w:jc w:val="right"/>
              <w:rPr>
                <w:kern w:val="22"/>
                <w:szCs w:val="22"/>
                <w:lang w:val="fr-CA" w:eastAsia="en-CA"/>
              </w:rPr>
            </w:pPr>
            <w:r>
              <w:rPr>
                <w:kern w:val="22"/>
                <w:szCs w:val="22"/>
                <w:lang w:val="fr-CA" w:eastAsia="en-CA"/>
              </w:rPr>
              <w:t>122</w:t>
            </w:r>
          </w:p>
        </w:tc>
        <w:tc>
          <w:tcPr>
            <w:tcW w:w="3823" w:type="dxa"/>
            <w:tcBorders>
              <w:top w:val="nil"/>
              <w:left w:val="nil"/>
              <w:bottom w:val="single" w:sz="4" w:space="0" w:color="auto"/>
              <w:right w:val="single" w:sz="4" w:space="0" w:color="auto"/>
            </w:tcBorders>
            <w:shd w:val="clear" w:color="auto" w:fill="auto"/>
            <w:vAlign w:val="center"/>
            <w:hideMark/>
          </w:tcPr>
          <w:p w14:paraId="09D09A9F" w14:textId="77777777" w:rsidR="0029639D" w:rsidRPr="00415876" w:rsidRDefault="0029639D" w:rsidP="00995EEF">
            <w:pPr>
              <w:jc w:val="left"/>
              <w:rPr>
                <w:kern w:val="22"/>
                <w:szCs w:val="22"/>
                <w:lang w:val="fr-CA" w:eastAsia="en-CA"/>
              </w:rPr>
            </w:pPr>
            <w:r w:rsidRPr="00415876">
              <w:rPr>
                <w:kern w:val="22"/>
                <w:szCs w:val="22"/>
                <w:lang w:val="fr-CA" w:eastAsia="en-CA"/>
              </w:rPr>
              <w:t>Tonga</w:t>
            </w:r>
          </w:p>
        </w:tc>
        <w:tc>
          <w:tcPr>
            <w:tcW w:w="1472" w:type="dxa"/>
            <w:tcBorders>
              <w:top w:val="nil"/>
              <w:left w:val="nil"/>
              <w:bottom w:val="single" w:sz="4" w:space="0" w:color="auto"/>
              <w:right w:val="single" w:sz="4" w:space="0" w:color="auto"/>
            </w:tcBorders>
            <w:shd w:val="clear" w:color="auto" w:fill="auto"/>
            <w:vAlign w:val="center"/>
            <w:hideMark/>
          </w:tcPr>
          <w:p w14:paraId="22C88527"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001</w:t>
            </w:r>
          </w:p>
        </w:tc>
        <w:tc>
          <w:tcPr>
            <w:tcW w:w="1715" w:type="dxa"/>
            <w:tcBorders>
              <w:top w:val="nil"/>
              <w:left w:val="nil"/>
              <w:bottom w:val="single" w:sz="4" w:space="0" w:color="auto"/>
              <w:right w:val="single" w:sz="4" w:space="0" w:color="auto"/>
            </w:tcBorders>
            <w:shd w:val="clear" w:color="auto" w:fill="auto"/>
            <w:noWrap/>
            <w:vAlign w:val="center"/>
            <w:hideMark/>
          </w:tcPr>
          <w:p w14:paraId="01A8F646" w14:textId="77777777" w:rsidR="0029639D" w:rsidRPr="00415876" w:rsidRDefault="0029639D" w:rsidP="0029639D">
            <w:pPr>
              <w:ind w:right="288"/>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002</w:t>
            </w:r>
          </w:p>
        </w:tc>
        <w:tc>
          <w:tcPr>
            <w:tcW w:w="1715" w:type="dxa"/>
            <w:tcBorders>
              <w:top w:val="nil"/>
              <w:left w:val="nil"/>
              <w:bottom w:val="single" w:sz="4" w:space="0" w:color="auto"/>
              <w:right w:val="single" w:sz="4" w:space="0" w:color="auto"/>
            </w:tcBorders>
            <w:shd w:val="clear" w:color="auto" w:fill="auto"/>
            <w:noWrap/>
            <w:vAlign w:val="center"/>
            <w:hideMark/>
          </w:tcPr>
          <w:p w14:paraId="49FC8B62" w14:textId="77777777" w:rsidR="0029639D" w:rsidRPr="00415876" w:rsidRDefault="0029639D" w:rsidP="0029639D">
            <w:pPr>
              <w:ind w:right="288"/>
              <w:jc w:val="right"/>
              <w:rPr>
                <w:kern w:val="22"/>
                <w:szCs w:val="22"/>
                <w:lang w:val="fr-CA" w:eastAsia="en-CA"/>
              </w:rPr>
            </w:pPr>
            <w:r w:rsidRPr="00415876">
              <w:rPr>
                <w:kern w:val="22"/>
                <w:szCs w:val="22"/>
                <w:lang w:val="fr-CA" w:eastAsia="en-CA"/>
              </w:rPr>
              <w:t>30</w:t>
            </w:r>
          </w:p>
        </w:tc>
      </w:tr>
      <w:tr w:rsidR="0029639D" w:rsidRPr="00415876" w14:paraId="157E580E"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33DB4E5F" w14:textId="42C00AE1" w:rsidR="0029639D" w:rsidRPr="00415876" w:rsidRDefault="0029639D" w:rsidP="00995EEF">
            <w:pPr>
              <w:jc w:val="right"/>
              <w:rPr>
                <w:kern w:val="22"/>
                <w:szCs w:val="22"/>
                <w:lang w:val="fr-CA" w:eastAsia="en-CA"/>
              </w:rPr>
            </w:pPr>
            <w:r>
              <w:rPr>
                <w:kern w:val="22"/>
                <w:szCs w:val="22"/>
                <w:lang w:val="fr-CA" w:eastAsia="en-CA"/>
              </w:rPr>
              <w:t>123</w:t>
            </w:r>
          </w:p>
        </w:tc>
        <w:tc>
          <w:tcPr>
            <w:tcW w:w="3823" w:type="dxa"/>
            <w:tcBorders>
              <w:top w:val="nil"/>
              <w:left w:val="nil"/>
              <w:bottom w:val="single" w:sz="4" w:space="0" w:color="auto"/>
              <w:right w:val="single" w:sz="4" w:space="0" w:color="auto"/>
            </w:tcBorders>
            <w:shd w:val="clear" w:color="auto" w:fill="auto"/>
            <w:vAlign w:val="center"/>
            <w:hideMark/>
          </w:tcPr>
          <w:p w14:paraId="7F5A6B26" w14:textId="77777777" w:rsidR="0029639D" w:rsidRPr="00415876" w:rsidRDefault="0029639D" w:rsidP="00B41981">
            <w:pPr>
              <w:jc w:val="left"/>
              <w:rPr>
                <w:kern w:val="22"/>
                <w:szCs w:val="22"/>
                <w:lang w:val="fr-CA" w:eastAsia="en-CA"/>
              </w:rPr>
            </w:pPr>
            <w:r w:rsidRPr="00415876">
              <w:rPr>
                <w:kern w:val="22"/>
                <w:szCs w:val="22"/>
                <w:lang w:val="fr-CA" w:eastAsia="en-CA"/>
              </w:rPr>
              <w:t>Turkm</w:t>
            </w:r>
            <w:r>
              <w:rPr>
                <w:kern w:val="22"/>
                <w:szCs w:val="22"/>
                <w:lang w:val="fr-CA" w:eastAsia="en-CA"/>
              </w:rPr>
              <w:t>é</w:t>
            </w:r>
            <w:r w:rsidRPr="00415876">
              <w:rPr>
                <w:kern w:val="22"/>
                <w:szCs w:val="22"/>
                <w:lang w:val="fr-CA" w:eastAsia="en-CA"/>
              </w:rPr>
              <w:t>nistan</w:t>
            </w:r>
          </w:p>
        </w:tc>
        <w:tc>
          <w:tcPr>
            <w:tcW w:w="1472" w:type="dxa"/>
            <w:tcBorders>
              <w:top w:val="nil"/>
              <w:left w:val="nil"/>
              <w:bottom w:val="single" w:sz="4" w:space="0" w:color="auto"/>
              <w:right w:val="single" w:sz="4" w:space="0" w:color="auto"/>
            </w:tcBorders>
            <w:shd w:val="clear" w:color="auto" w:fill="auto"/>
            <w:vAlign w:val="center"/>
            <w:hideMark/>
          </w:tcPr>
          <w:p w14:paraId="4ACD8C70"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033</w:t>
            </w:r>
          </w:p>
        </w:tc>
        <w:tc>
          <w:tcPr>
            <w:tcW w:w="1715" w:type="dxa"/>
            <w:tcBorders>
              <w:top w:val="nil"/>
              <w:left w:val="nil"/>
              <w:bottom w:val="single" w:sz="4" w:space="0" w:color="auto"/>
              <w:right w:val="single" w:sz="4" w:space="0" w:color="auto"/>
            </w:tcBorders>
            <w:shd w:val="clear" w:color="auto" w:fill="auto"/>
            <w:noWrap/>
            <w:vAlign w:val="center"/>
            <w:hideMark/>
          </w:tcPr>
          <w:p w14:paraId="4A917370" w14:textId="77777777" w:rsidR="0029639D" w:rsidRPr="00415876" w:rsidRDefault="0029639D" w:rsidP="0029639D">
            <w:pPr>
              <w:ind w:right="288"/>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053</w:t>
            </w:r>
          </w:p>
        </w:tc>
        <w:tc>
          <w:tcPr>
            <w:tcW w:w="1715" w:type="dxa"/>
            <w:tcBorders>
              <w:top w:val="nil"/>
              <w:left w:val="nil"/>
              <w:bottom w:val="single" w:sz="4" w:space="0" w:color="auto"/>
              <w:right w:val="single" w:sz="4" w:space="0" w:color="auto"/>
            </w:tcBorders>
            <w:shd w:val="clear" w:color="auto" w:fill="auto"/>
            <w:noWrap/>
            <w:vAlign w:val="center"/>
            <w:hideMark/>
          </w:tcPr>
          <w:p w14:paraId="490665DB" w14:textId="77777777" w:rsidR="0029639D" w:rsidRPr="00415876" w:rsidRDefault="0029639D" w:rsidP="0029639D">
            <w:pPr>
              <w:ind w:right="288"/>
              <w:jc w:val="right"/>
              <w:rPr>
                <w:kern w:val="22"/>
                <w:szCs w:val="22"/>
                <w:lang w:val="fr-CA" w:eastAsia="en-CA"/>
              </w:rPr>
            </w:pPr>
            <w:r w:rsidRPr="00415876">
              <w:rPr>
                <w:kern w:val="22"/>
                <w:szCs w:val="22"/>
                <w:lang w:val="fr-CA" w:eastAsia="en-CA"/>
              </w:rPr>
              <w:t>995</w:t>
            </w:r>
          </w:p>
        </w:tc>
      </w:tr>
      <w:tr w:rsidR="0029639D" w:rsidRPr="00415876" w14:paraId="33143908"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2B04CE3B" w14:textId="0AF423FC" w:rsidR="0029639D" w:rsidRPr="00415876" w:rsidRDefault="0029639D" w:rsidP="00995EEF">
            <w:pPr>
              <w:jc w:val="right"/>
              <w:rPr>
                <w:kern w:val="22"/>
                <w:szCs w:val="22"/>
                <w:lang w:val="fr-CA" w:eastAsia="en-CA"/>
              </w:rPr>
            </w:pPr>
            <w:r>
              <w:rPr>
                <w:kern w:val="22"/>
                <w:szCs w:val="22"/>
                <w:lang w:val="fr-CA" w:eastAsia="en-CA"/>
              </w:rPr>
              <w:t>124</w:t>
            </w:r>
          </w:p>
        </w:tc>
        <w:tc>
          <w:tcPr>
            <w:tcW w:w="3823" w:type="dxa"/>
            <w:tcBorders>
              <w:top w:val="nil"/>
              <w:left w:val="nil"/>
              <w:bottom w:val="single" w:sz="4" w:space="0" w:color="auto"/>
              <w:right w:val="single" w:sz="4" w:space="0" w:color="auto"/>
            </w:tcBorders>
            <w:shd w:val="clear" w:color="auto" w:fill="auto"/>
            <w:vAlign w:val="center"/>
            <w:hideMark/>
          </w:tcPr>
          <w:p w14:paraId="7268694C" w14:textId="77777777" w:rsidR="0029639D" w:rsidRPr="00415876" w:rsidRDefault="0029639D" w:rsidP="00995EEF">
            <w:pPr>
              <w:jc w:val="left"/>
              <w:rPr>
                <w:kern w:val="22"/>
                <w:szCs w:val="22"/>
                <w:lang w:val="fr-CA" w:eastAsia="en-CA"/>
              </w:rPr>
            </w:pPr>
            <w:r w:rsidRPr="00415876">
              <w:rPr>
                <w:kern w:val="22"/>
                <w:szCs w:val="22"/>
                <w:lang w:val="fr-CA" w:eastAsia="en-CA"/>
              </w:rPr>
              <w:t>Tuvalu</w:t>
            </w:r>
          </w:p>
        </w:tc>
        <w:tc>
          <w:tcPr>
            <w:tcW w:w="1472" w:type="dxa"/>
            <w:tcBorders>
              <w:top w:val="nil"/>
              <w:left w:val="nil"/>
              <w:bottom w:val="single" w:sz="4" w:space="0" w:color="auto"/>
              <w:right w:val="single" w:sz="4" w:space="0" w:color="auto"/>
            </w:tcBorders>
            <w:shd w:val="clear" w:color="auto" w:fill="auto"/>
            <w:vAlign w:val="center"/>
            <w:hideMark/>
          </w:tcPr>
          <w:p w14:paraId="2A9C8DD5"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001</w:t>
            </w:r>
          </w:p>
        </w:tc>
        <w:tc>
          <w:tcPr>
            <w:tcW w:w="1715" w:type="dxa"/>
            <w:tcBorders>
              <w:top w:val="nil"/>
              <w:left w:val="nil"/>
              <w:bottom w:val="single" w:sz="4" w:space="0" w:color="auto"/>
              <w:right w:val="single" w:sz="4" w:space="0" w:color="auto"/>
            </w:tcBorders>
            <w:shd w:val="clear" w:color="auto" w:fill="auto"/>
            <w:noWrap/>
            <w:vAlign w:val="center"/>
            <w:hideMark/>
          </w:tcPr>
          <w:p w14:paraId="52F9FCB8" w14:textId="77777777" w:rsidR="0029639D" w:rsidRPr="00415876" w:rsidRDefault="0029639D" w:rsidP="0029639D">
            <w:pPr>
              <w:ind w:right="288"/>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002</w:t>
            </w:r>
          </w:p>
        </w:tc>
        <w:tc>
          <w:tcPr>
            <w:tcW w:w="1715" w:type="dxa"/>
            <w:tcBorders>
              <w:top w:val="nil"/>
              <w:left w:val="nil"/>
              <w:bottom w:val="single" w:sz="4" w:space="0" w:color="auto"/>
              <w:right w:val="single" w:sz="4" w:space="0" w:color="auto"/>
            </w:tcBorders>
            <w:shd w:val="clear" w:color="auto" w:fill="auto"/>
            <w:noWrap/>
            <w:vAlign w:val="center"/>
            <w:hideMark/>
          </w:tcPr>
          <w:p w14:paraId="5B60FE9A" w14:textId="77777777" w:rsidR="0029639D" w:rsidRPr="00415876" w:rsidRDefault="0029639D" w:rsidP="0029639D">
            <w:pPr>
              <w:ind w:right="288"/>
              <w:jc w:val="right"/>
              <w:rPr>
                <w:kern w:val="22"/>
                <w:szCs w:val="22"/>
                <w:lang w:val="fr-CA" w:eastAsia="en-CA"/>
              </w:rPr>
            </w:pPr>
            <w:r w:rsidRPr="00415876">
              <w:rPr>
                <w:kern w:val="22"/>
                <w:szCs w:val="22"/>
                <w:lang w:val="fr-CA" w:eastAsia="en-CA"/>
              </w:rPr>
              <w:t>30</w:t>
            </w:r>
          </w:p>
        </w:tc>
      </w:tr>
      <w:tr w:rsidR="0029639D" w:rsidRPr="00415876" w14:paraId="4DF8F1B0"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29DCAEA4" w14:textId="6E45D157" w:rsidR="0029639D" w:rsidRPr="00415876" w:rsidRDefault="0029639D" w:rsidP="00120F79">
            <w:pPr>
              <w:jc w:val="right"/>
              <w:rPr>
                <w:kern w:val="22"/>
                <w:szCs w:val="22"/>
                <w:lang w:val="fr-CA" w:eastAsia="en-CA"/>
              </w:rPr>
            </w:pPr>
            <w:r>
              <w:rPr>
                <w:kern w:val="22"/>
                <w:szCs w:val="22"/>
                <w:lang w:val="fr-CA" w:eastAsia="en-CA"/>
              </w:rPr>
              <w:t>125</w:t>
            </w:r>
          </w:p>
        </w:tc>
        <w:tc>
          <w:tcPr>
            <w:tcW w:w="3823" w:type="dxa"/>
            <w:tcBorders>
              <w:top w:val="nil"/>
              <w:left w:val="nil"/>
              <w:bottom w:val="single" w:sz="4" w:space="0" w:color="auto"/>
              <w:right w:val="single" w:sz="4" w:space="0" w:color="auto"/>
            </w:tcBorders>
            <w:shd w:val="clear" w:color="auto" w:fill="auto"/>
            <w:vAlign w:val="center"/>
            <w:hideMark/>
          </w:tcPr>
          <w:p w14:paraId="12248F0A" w14:textId="77777777" w:rsidR="0029639D" w:rsidRPr="00415876" w:rsidRDefault="0029639D" w:rsidP="00120F79">
            <w:pPr>
              <w:jc w:val="left"/>
              <w:rPr>
                <w:kern w:val="22"/>
                <w:szCs w:val="22"/>
                <w:lang w:val="fr-CA" w:eastAsia="en-CA"/>
              </w:rPr>
            </w:pPr>
            <w:r>
              <w:rPr>
                <w:kern w:val="22"/>
                <w:szCs w:val="22"/>
                <w:lang w:val="fr-CA" w:eastAsia="en-CA"/>
              </w:rPr>
              <w:t>Union européenne</w:t>
            </w:r>
          </w:p>
        </w:tc>
        <w:tc>
          <w:tcPr>
            <w:tcW w:w="1472" w:type="dxa"/>
            <w:tcBorders>
              <w:top w:val="nil"/>
              <w:left w:val="nil"/>
              <w:bottom w:val="single" w:sz="4" w:space="0" w:color="auto"/>
              <w:right w:val="single" w:sz="4" w:space="0" w:color="auto"/>
            </w:tcBorders>
            <w:shd w:val="clear" w:color="auto" w:fill="auto"/>
            <w:vAlign w:val="center"/>
            <w:hideMark/>
          </w:tcPr>
          <w:p w14:paraId="1F9034B9" w14:textId="77777777" w:rsidR="0029639D" w:rsidRPr="00415876" w:rsidRDefault="0029639D" w:rsidP="0029639D">
            <w:pPr>
              <w:adjustRightInd w:val="0"/>
              <w:snapToGrid w:val="0"/>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000</w:t>
            </w:r>
          </w:p>
        </w:tc>
        <w:tc>
          <w:tcPr>
            <w:tcW w:w="1715" w:type="dxa"/>
            <w:tcBorders>
              <w:top w:val="nil"/>
              <w:left w:val="nil"/>
              <w:bottom w:val="single" w:sz="4" w:space="0" w:color="auto"/>
              <w:right w:val="single" w:sz="4" w:space="0" w:color="auto"/>
            </w:tcBorders>
            <w:shd w:val="clear" w:color="auto" w:fill="auto"/>
            <w:noWrap/>
            <w:vAlign w:val="center"/>
            <w:hideMark/>
          </w:tcPr>
          <w:p w14:paraId="7A43589F" w14:textId="77777777" w:rsidR="0029639D" w:rsidRPr="00415876" w:rsidRDefault="0029639D" w:rsidP="0029639D">
            <w:pPr>
              <w:adjustRightInd w:val="0"/>
              <w:snapToGrid w:val="0"/>
              <w:ind w:right="288"/>
              <w:jc w:val="right"/>
              <w:rPr>
                <w:kern w:val="22"/>
                <w:szCs w:val="22"/>
                <w:lang w:val="fr-CA" w:eastAsia="en-CA"/>
              </w:rPr>
            </w:pPr>
            <w:r w:rsidRPr="00415876">
              <w:rPr>
                <w:kern w:val="22"/>
                <w:szCs w:val="22"/>
                <w:lang w:val="fr-CA" w:eastAsia="en-CA"/>
              </w:rPr>
              <w:t>2</w:t>
            </w:r>
            <w:r>
              <w:rPr>
                <w:kern w:val="22"/>
                <w:szCs w:val="22"/>
                <w:lang w:val="fr-CA" w:eastAsia="en-CA"/>
              </w:rPr>
              <w:t>,</w:t>
            </w:r>
            <w:r w:rsidRPr="00415876">
              <w:rPr>
                <w:kern w:val="22"/>
                <w:szCs w:val="22"/>
                <w:lang w:val="fr-CA" w:eastAsia="en-CA"/>
              </w:rPr>
              <w:t>500</w:t>
            </w:r>
          </w:p>
        </w:tc>
        <w:tc>
          <w:tcPr>
            <w:tcW w:w="1715" w:type="dxa"/>
            <w:tcBorders>
              <w:top w:val="nil"/>
              <w:left w:val="nil"/>
              <w:bottom w:val="single" w:sz="4" w:space="0" w:color="auto"/>
              <w:right w:val="single" w:sz="4" w:space="0" w:color="auto"/>
            </w:tcBorders>
            <w:shd w:val="clear" w:color="auto" w:fill="auto"/>
            <w:noWrap/>
            <w:vAlign w:val="center"/>
            <w:hideMark/>
          </w:tcPr>
          <w:p w14:paraId="04ABCD8B" w14:textId="77777777" w:rsidR="0029639D" w:rsidRPr="00415876" w:rsidRDefault="0029639D" w:rsidP="0029639D">
            <w:pPr>
              <w:adjustRightInd w:val="0"/>
              <w:snapToGrid w:val="0"/>
              <w:ind w:right="288"/>
              <w:jc w:val="right"/>
              <w:rPr>
                <w:kern w:val="22"/>
                <w:szCs w:val="22"/>
                <w:lang w:val="fr-CA" w:eastAsia="en-CA"/>
              </w:rPr>
            </w:pPr>
            <w:r w:rsidRPr="00415876">
              <w:rPr>
                <w:kern w:val="22"/>
                <w:szCs w:val="22"/>
                <w:lang w:val="fr-CA" w:eastAsia="en-CA"/>
              </w:rPr>
              <w:t>46 896</w:t>
            </w:r>
          </w:p>
        </w:tc>
      </w:tr>
      <w:tr w:rsidR="0029639D" w:rsidRPr="00415876" w14:paraId="72C2510D"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625CBC82" w14:textId="77777777" w:rsidR="0029639D" w:rsidRPr="00415876" w:rsidRDefault="0029639D" w:rsidP="00995EEF">
            <w:pPr>
              <w:jc w:val="right"/>
              <w:rPr>
                <w:kern w:val="22"/>
                <w:szCs w:val="22"/>
                <w:lang w:val="fr-CA" w:eastAsia="en-CA"/>
              </w:rPr>
            </w:pPr>
            <w:r w:rsidRPr="00415876">
              <w:rPr>
                <w:kern w:val="22"/>
                <w:szCs w:val="22"/>
                <w:lang w:val="fr-CA" w:eastAsia="en-CA"/>
              </w:rPr>
              <w:t>126</w:t>
            </w:r>
          </w:p>
        </w:tc>
        <w:tc>
          <w:tcPr>
            <w:tcW w:w="3823" w:type="dxa"/>
            <w:tcBorders>
              <w:top w:val="nil"/>
              <w:left w:val="nil"/>
              <w:bottom w:val="single" w:sz="4" w:space="0" w:color="auto"/>
              <w:right w:val="single" w:sz="4" w:space="0" w:color="auto"/>
            </w:tcBorders>
            <w:shd w:val="clear" w:color="auto" w:fill="auto"/>
            <w:vAlign w:val="center"/>
            <w:hideMark/>
          </w:tcPr>
          <w:p w14:paraId="1AB8C3AF" w14:textId="77777777" w:rsidR="0029639D" w:rsidRPr="00415876" w:rsidRDefault="0029639D" w:rsidP="00995EEF">
            <w:pPr>
              <w:jc w:val="left"/>
              <w:rPr>
                <w:kern w:val="22"/>
                <w:szCs w:val="22"/>
                <w:lang w:val="fr-CA" w:eastAsia="en-CA"/>
              </w:rPr>
            </w:pPr>
            <w:r w:rsidRPr="00415876">
              <w:rPr>
                <w:kern w:val="22"/>
                <w:szCs w:val="22"/>
                <w:lang w:val="fr-CA" w:eastAsia="en-CA"/>
              </w:rPr>
              <w:t>Uruguay</w:t>
            </w:r>
          </w:p>
        </w:tc>
        <w:tc>
          <w:tcPr>
            <w:tcW w:w="1472" w:type="dxa"/>
            <w:tcBorders>
              <w:top w:val="nil"/>
              <w:left w:val="nil"/>
              <w:bottom w:val="single" w:sz="4" w:space="0" w:color="auto"/>
              <w:right w:val="single" w:sz="4" w:space="0" w:color="auto"/>
            </w:tcBorders>
            <w:shd w:val="clear" w:color="auto" w:fill="auto"/>
            <w:vAlign w:val="center"/>
            <w:hideMark/>
          </w:tcPr>
          <w:p w14:paraId="3D37DF19"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087</w:t>
            </w:r>
          </w:p>
        </w:tc>
        <w:tc>
          <w:tcPr>
            <w:tcW w:w="1715" w:type="dxa"/>
            <w:tcBorders>
              <w:top w:val="nil"/>
              <w:left w:val="nil"/>
              <w:bottom w:val="single" w:sz="4" w:space="0" w:color="auto"/>
              <w:right w:val="single" w:sz="4" w:space="0" w:color="auto"/>
            </w:tcBorders>
            <w:shd w:val="clear" w:color="auto" w:fill="auto"/>
            <w:noWrap/>
            <w:vAlign w:val="center"/>
            <w:hideMark/>
          </w:tcPr>
          <w:p w14:paraId="2376A9B6" w14:textId="77777777" w:rsidR="0029639D" w:rsidRPr="00415876" w:rsidRDefault="0029639D" w:rsidP="0029639D">
            <w:pPr>
              <w:tabs>
                <w:tab w:val="left" w:pos="1257"/>
              </w:tabs>
              <w:ind w:right="288"/>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140</w:t>
            </w:r>
          </w:p>
        </w:tc>
        <w:tc>
          <w:tcPr>
            <w:tcW w:w="1715" w:type="dxa"/>
            <w:tcBorders>
              <w:top w:val="nil"/>
              <w:left w:val="nil"/>
              <w:bottom w:val="single" w:sz="4" w:space="0" w:color="auto"/>
              <w:right w:val="single" w:sz="4" w:space="0" w:color="auto"/>
            </w:tcBorders>
            <w:shd w:val="clear" w:color="auto" w:fill="auto"/>
            <w:noWrap/>
            <w:vAlign w:val="center"/>
            <w:hideMark/>
          </w:tcPr>
          <w:p w14:paraId="1A59669D" w14:textId="77777777" w:rsidR="0029639D" w:rsidRPr="00415876" w:rsidRDefault="0029639D" w:rsidP="0029639D">
            <w:pPr>
              <w:ind w:right="288"/>
              <w:jc w:val="right"/>
              <w:rPr>
                <w:kern w:val="22"/>
                <w:szCs w:val="22"/>
                <w:lang w:val="fr-CA" w:eastAsia="en-CA"/>
              </w:rPr>
            </w:pPr>
            <w:r w:rsidRPr="00415876">
              <w:rPr>
                <w:kern w:val="22"/>
                <w:szCs w:val="22"/>
                <w:lang w:val="fr-CA" w:eastAsia="en-CA"/>
              </w:rPr>
              <w:t>2 623</w:t>
            </w:r>
          </w:p>
        </w:tc>
      </w:tr>
      <w:tr w:rsidR="0029639D" w:rsidRPr="00415876" w14:paraId="1B031EA6"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23AC4C85" w14:textId="77777777" w:rsidR="0029639D" w:rsidRPr="00415876" w:rsidRDefault="0029639D" w:rsidP="00995EEF">
            <w:pPr>
              <w:jc w:val="right"/>
              <w:rPr>
                <w:kern w:val="22"/>
                <w:szCs w:val="22"/>
                <w:lang w:val="fr-CA" w:eastAsia="en-CA"/>
              </w:rPr>
            </w:pPr>
            <w:r w:rsidRPr="00415876">
              <w:rPr>
                <w:kern w:val="22"/>
                <w:szCs w:val="22"/>
                <w:lang w:val="fr-CA" w:eastAsia="en-CA"/>
              </w:rPr>
              <w:t>127</w:t>
            </w:r>
          </w:p>
        </w:tc>
        <w:tc>
          <w:tcPr>
            <w:tcW w:w="3823" w:type="dxa"/>
            <w:tcBorders>
              <w:top w:val="nil"/>
              <w:left w:val="nil"/>
              <w:bottom w:val="single" w:sz="4" w:space="0" w:color="auto"/>
              <w:right w:val="single" w:sz="4" w:space="0" w:color="auto"/>
            </w:tcBorders>
            <w:shd w:val="clear" w:color="auto" w:fill="auto"/>
            <w:vAlign w:val="center"/>
            <w:hideMark/>
          </w:tcPr>
          <w:p w14:paraId="24005A44" w14:textId="77777777" w:rsidR="0029639D" w:rsidRPr="00415876" w:rsidRDefault="0029639D" w:rsidP="00995EEF">
            <w:pPr>
              <w:jc w:val="left"/>
              <w:rPr>
                <w:kern w:val="22"/>
                <w:szCs w:val="22"/>
                <w:lang w:val="fr-CA" w:eastAsia="en-CA"/>
              </w:rPr>
            </w:pPr>
            <w:r w:rsidRPr="00415876">
              <w:rPr>
                <w:kern w:val="22"/>
                <w:szCs w:val="22"/>
                <w:lang w:val="fr-CA" w:eastAsia="en-CA"/>
              </w:rPr>
              <w:t>Vanuatu</w:t>
            </w:r>
          </w:p>
        </w:tc>
        <w:tc>
          <w:tcPr>
            <w:tcW w:w="1472" w:type="dxa"/>
            <w:tcBorders>
              <w:top w:val="nil"/>
              <w:left w:val="nil"/>
              <w:bottom w:val="single" w:sz="4" w:space="0" w:color="auto"/>
              <w:right w:val="single" w:sz="4" w:space="0" w:color="auto"/>
            </w:tcBorders>
            <w:shd w:val="clear" w:color="auto" w:fill="auto"/>
            <w:vAlign w:val="center"/>
            <w:hideMark/>
          </w:tcPr>
          <w:p w14:paraId="3C93B546"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001</w:t>
            </w:r>
          </w:p>
        </w:tc>
        <w:tc>
          <w:tcPr>
            <w:tcW w:w="1715" w:type="dxa"/>
            <w:tcBorders>
              <w:top w:val="nil"/>
              <w:left w:val="nil"/>
              <w:bottom w:val="single" w:sz="4" w:space="0" w:color="auto"/>
              <w:right w:val="single" w:sz="4" w:space="0" w:color="auto"/>
            </w:tcBorders>
            <w:shd w:val="clear" w:color="auto" w:fill="auto"/>
            <w:noWrap/>
            <w:vAlign w:val="center"/>
            <w:hideMark/>
          </w:tcPr>
          <w:p w14:paraId="099E1EB7" w14:textId="77777777" w:rsidR="0029639D" w:rsidRPr="00415876" w:rsidRDefault="0029639D" w:rsidP="0029639D">
            <w:pPr>
              <w:tabs>
                <w:tab w:val="left" w:pos="1257"/>
              </w:tabs>
              <w:ind w:right="288"/>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002</w:t>
            </w:r>
          </w:p>
        </w:tc>
        <w:tc>
          <w:tcPr>
            <w:tcW w:w="1715" w:type="dxa"/>
            <w:tcBorders>
              <w:top w:val="nil"/>
              <w:left w:val="nil"/>
              <w:bottom w:val="single" w:sz="4" w:space="0" w:color="auto"/>
              <w:right w:val="single" w:sz="4" w:space="0" w:color="auto"/>
            </w:tcBorders>
            <w:shd w:val="clear" w:color="auto" w:fill="auto"/>
            <w:noWrap/>
            <w:vAlign w:val="center"/>
            <w:hideMark/>
          </w:tcPr>
          <w:p w14:paraId="120D159F" w14:textId="77777777" w:rsidR="0029639D" w:rsidRPr="00415876" w:rsidRDefault="0029639D" w:rsidP="0029639D">
            <w:pPr>
              <w:ind w:right="288"/>
              <w:jc w:val="right"/>
              <w:rPr>
                <w:kern w:val="22"/>
                <w:szCs w:val="22"/>
                <w:lang w:val="fr-CA" w:eastAsia="en-CA"/>
              </w:rPr>
            </w:pPr>
            <w:r w:rsidRPr="00415876">
              <w:rPr>
                <w:kern w:val="22"/>
                <w:szCs w:val="22"/>
                <w:lang w:val="fr-CA" w:eastAsia="en-CA"/>
              </w:rPr>
              <w:t>30</w:t>
            </w:r>
          </w:p>
        </w:tc>
      </w:tr>
      <w:tr w:rsidR="0029639D" w:rsidRPr="00415876" w14:paraId="5924726F"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61BB8E62" w14:textId="77777777" w:rsidR="0029639D" w:rsidRPr="00415876" w:rsidRDefault="0029639D" w:rsidP="00995EEF">
            <w:pPr>
              <w:jc w:val="right"/>
              <w:rPr>
                <w:kern w:val="22"/>
                <w:szCs w:val="22"/>
                <w:lang w:val="fr-CA" w:eastAsia="en-CA"/>
              </w:rPr>
            </w:pPr>
            <w:r w:rsidRPr="00415876">
              <w:rPr>
                <w:kern w:val="22"/>
                <w:szCs w:val="22"/>
                <w:lang w:val="fr-CA" w:eastAsia="en-CA"/>
              </w:rPr>
              <w:t>128</w:t>
            </w:r>
          </w:p>
        </w:tc>
        <w:tc>
          <w:tcPr>
            <w:tcW w:w="3823" w:type="dxa"/>
            <w:tcBorders>
              <w:top w:val="nil"/>
              <w:left w:val="nil"/>
              <w:bottom w:val="single" w:sz="4" w:space="0" w:color="auto"/>
              <w:right w:val="single" w:sz="4" w:space="0" w:color="auto"/>
            </w:tcBorders>
            <w:shd w:val="clear" w:color="auto" w:fill="auto"/>
            <w:vAlign w:val="center"/>
            <w:hideMark/>
          </w:tcPr>
          <w:p w14:paraId="73523BC3" w14:textId="77777777" w:rsidR="0029639D" w:rsidRPr="00415876" w:rsidRDefault="0029639D" w:rsidP="00995EEF">
            <w:pPr>
              <w:jc w:val="left"/>
              <w:rPr>
                <w:kern w:val="22"/>
                <w:szCs w:val="22"/>
                <w:lang w:val="fr-CA" w:eastAsia="en-CA"/>
              </w:rPr>
            </w:pPr>
            <w:r>
              <w:rPr>
                <w:kern w:val="22"/>
                <w:szCs w:val="22"/>
                <w:lang w:val="fr-CA" w:eastAsia="en-CA"/>
              </w:rPr>
              <w:t>Vene</w:t>
            </w:r>
            <w:r w:rsidRPr="00415876">
              <w:rPr>
                <w:kern w:val="22"/>
                <w:szCs w:val="22"/>
                <w:lang w:val="fr-CA" w:eastAsia="en-CA"/>
              </w:rPr>
              <w:t>zuela</w:t>
            </w:r>
          </w:p>
        </w:tc>
        <w:tc>
          <w:tcPr>
            <w:tcW w:w="1472" w:type="dxa"/>
            <w:tcBorders>
              <w:top w:val="nil"/>
              <w:left w:val="nil"/>
              <w:bottom w:val="single" w:sz="4" w:space="0" w:color="auto"/>
              <w:right w:val="single" w:sz="4" w:space="0" w:color="auto"/>
            </w:tcBorders>
            <w:shd w:val="clear" w:color="auto" w:fill="auto"/>
            <w:vAlign w:val="center"/>
            <w:hideMark/>
          </w:tcPr>
          <w:p w14:paraId="34CB92D7"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728</w:t>
            </w:r>
          </w:p>
        </w:tc>
        <w:tc>
          <w:tcPr>
            <w:tcW w:w="1715" w:type="dxa"/>
            <w:tcBorders>
              <w:top w:val="nil"/>
              <w:left w:val="nil"/>
              <w:bottom w:val="single" w:sz="4" w:space="0" w:color="auto"/>
              <w:right w:val="single" w:sz="4" w:space="0" w:color="auto"/>
            </w:tcBorders>
            <w:shd w:val="clear" w:color="auto" w:fill="auto"/>
            <w:noWrap/>
            <w:vAlign w:val="center"/>
            <w:hideMark/>
          </w:tcPr>
          <w:p w14:paraId="00CD0445" w14:textId="77777777" w:rsidR="0029639D" w:rsidRPr="00415876" w:rsidRDefault="0029639D" w:rsidP="0029639D">
            <w:pPr>
              <w:tabs>
                <w:tab w:val="left" w:pos="1257"/>
              </w:tabs>
              <w:ind w:right="288"/>
              <w:jc w:val="right"/>
              <w:rPr>
                <w:kern w:val="22"/>
                <w:szCs w:val="22"/>
                <w:lang w:val="fr-CA" w:eastAsia="en-CA"/>
              </w:rPr>
            </w:pPr>
            <w:r w:rsidRPr="00415876">
              <w:rPr>
                <w:kern w:val="22"/>
                <w:szCs w:val="22"/>
                <w:lang w:val="fr-CA" w:eastAsia="en-CA"/>
              </w:rPr>
              <w:t>1</w:t>
            </w:r>
            <w:r>
              <w:rPr>
                <w:kern w:val="22"/>
                <w:szCs w:val="22"/>
                <w:lang w:val="fr-CA" w:eastAsia="en-CA"/>
              </w:rPr>
              <w:t>,</w:t>
            </w:r>
            <w:r w:rsidRPr="00415876">
              <w:rPr>
                <w:kern w:val="22"/>
                <w:szCs w:val="22"/>
                <w:lang w:val="fr-CA" w:eastAsia="en-CA"/>
              </w:rPr>
              <w:t>170</w:t>
            </w:r>
          </w:p>
        </w:tc>
        <w:tc>
          <w:tcPr>
            <w:tcW w:w="1715" w:type="dxa"/>
            <w:tcBorders>
              <w:top w:val="nil"/>
              <w:left w:val="nil"/>
              <w:bottom w:val="single" w:sz="4" w:space="0" w:color="auto"/>
              <w:right w:val="single" w:sz="4" w:space="0" w:color="auto"/>
            </w:tcBorders>
            <w:shd w:val="clear" w:color="auto" w:fill="auto"/>
            <w:noWrap/>
            <w:vAlign w:val="center"/>
            <w:hideMark/>
          </w:tcPr>
          <w:p w14:paraId="54298D74" w14:textId="77777777" w:rsidR="0029639D" w:rsidRPr="00415876" w:rsidRDefault="0029639D" w:rsidP="0029639D">
            <w:pPr>
              <w:ind w:right="288"/>
              <w:jc w:val="right"/>
              <w:rPr>
                <w:kern w:val="22"/>
                <w:szCs w:val="22"/>
                <w:lang w:val="fr-CA" w:eastAsia="en-CA"/>
              </w:rPr>
            </w:pPr>
            <w:r w:rsidRPr="00415876">
              <w:rPr>
                <w:kern w:val="22"/>
                <w:szCs w:val="22"/>
                <w:lang w:val="fr-CA" w:eastAsia="en-CA"/>
              </w:rPr>
              <w:t>21 946</w:t>
            </w:r>
          </w:p>
        </w:tc>
      </w:tr>
      <w:tr w:rsidR="0029639D" w:rsidRPr="00415876" w14:paraId="3631DC31"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6646E2B7" w14:textId="77777777" w:rsidR="0029639D" w:rsidRPr="00415876" w:rsidRDefault="0029639D" w:rsidP="00995EEF">
            <w:pPr>
              <w:jc w:val="right"/>
              <w:rPr>
                <w:kern w:val="22"/>
                <w:szCs w:val="22"/>
                <w:lang w:val="fr-CA" w:eastAsia="en-CA"/>
              </w:rPr>
            </w:pPr>
            <w:r w:rsidRPr="00415876">
              <w:rPr>
                <w:kern w:val="22"/>
                <w:szCs w:val="22"/>
                <w:lang w:val="fr-CA" w:eastAsia="en-CA"/>
              </w:rPr>
              <w:t>129</w:t>
            </w:r>
          </w:p>
        </w:tc>
        <w:tc>
          <w:tcPr>
            <w:tcW w:w="3823" w:type="dxa"/>
            <w:tcBorders>
              <w:top w:val="nil"/>
              <w:left w:val="nil"/>
              <w:bottom w:val="single" w:sz="4" w:space="0" w:color="auto"/>
              <w:right w:val="single" w:sz="4" w:space="0" w:color="auto"/>
            </w:tcBorders>
            <w:shd w:val="clear" w:color="auto" w:fill="auto"/>
            <w:vAlign w:val="center"/>
            <w:hideMark/>
          </w:tcPr>
          <w:p w14:paraId="487470E1" w14:textId="77777777" w:rsidR="0029639D" w:rsidRPr="00415876" w:rsidRDefault="0029639D" w:rsidP="00995EEF">
            <w:pPr>
              <w:jc w:val="left"/>
              <w:rPr>
                <w:kern w:val="22"/>
                <w:szCs w:val="22"/>
                <w:lang w:val="fr-CA" w:eastAsia="en-CA"/>
              </w:rPr>
            </w:pPr>
            <w:r w:rsidRPr="00415876">
              <w:rPr>
                <w:kern w:val="22"/>
                <w:szCs w:val="22"/>
                <w:lang w:val="fr-CA" w:eastAsia="en-CA"/>
              </w:rPr>
              <w:t>Viet Nam</w:t>
            </w:r>
          </w:p>
        </w:tc>
        <w:tc>
          <w:tcPr>
            <w:tcW w:w="1472" w:type="dxa"/>
            <w:tcBorders>
              <w:top w:val="nil"/>
              <w:left w:val="nil"/>
              <w:bottom w:val="single" w:sz="4" w:space="0" w:color="auto"/>
              <w:right w:val="single" w:sz="4" w:space="0" w:color="auto"/>
            </w:tcBorders>
            <w:shd w:val="clear" w:color="auto" w:fill="auto"/>
            <w:vAlign w:val="center"/>
            <w:hideMark/>
          </w:tcPr>
          <w:p w14:paraId="361B3EE1"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077</w:t>
            </w:r>
          </w:p>
        </w:tc>
        <w:tc>
          <w:tcPr>
            <w:tcW w:w="1715" w:type="dxa"/>
            <w:tcBorders>
              <w:top w:val="nil"/>
              <w:left w:val="nil"/>
              <w:bottom w:val="single" w:sz="4" w:space="0" w:color="auto"/>
              <w:right w:val="single" w:sz="4" w:space="0" w:color="auto"/>
            </w:tcBorders>
            <w:shd w:val="clear" w:color="auto" w:fill="auto"/>
            <w:noWrap/>
            <w:vAlign w:val="center"/>
            <w:hideMark/>
          </w:tcPr>
          <w:p w14:paraId="4E482118" w14:textId="77777777" w:rsidR="0029639D" w:rsidRPr="00415876" w:rsidRDefault="0029639D" w:rsidP="0029639D">
            <w:pPr>
              <w:tabs>
                <w:tab w:val="left" w:pos="1257"/>
              </w:tabs>
              <w:ind w:right="288"/>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124</w:t>
            </w:r>
          </w:p>
        </w:tc>
        <w:tc>
          <w:tcPr>
            <w:tcW w:w="1715" w:type="dxa"/>
            <w:tcBorders>
              <w:top w:val="nil"/>
              <w:left w:val="nil"/>
              <w:bottom w:val="single" w:sz="4" w:space="0" w:color="auto"/>
              <w:right w:val="single" w:sz="4" w:space="0" w:color="auto"/>
            </w:tcBorders>
            <w:shd w:val="clear" w:color="auto" w:fill="auto"/>
            <w:noWrap/>
            <w:vAlign w:val="center"/>
            <w:hideMark/>
          </w:tcPr>
          <w:p w14:paraId="402A6A03" w14:textId="77777777" w:rsidR="0029639D" w:rsidRPr="00415876" w:rsidRDefault="0029639D" w:rsidP="0029639D">
            <w:pPr>
              <w:ind w:right="288"/>
              <w:jc w:val="right"/>
              <w:rPr>
                <w:kern w:val="22"/>
                <w:szCs w:val="22"/>
                <w:lang w:val="fr-CA" w:eastAsia="en-CA"/>
              </w:rPr>
            </w:pPr>
            <w:r w:rsidRPr="00415876">
              <w:rPr>
                <w:kern w:val="22"/>
                <w:szCs w:val="22"/>
                <w:lang w:val="fr-CA" w:eastAsia="en-CA"/>
              </w:rPr>
              <w:t>2 321</w:t>
            </w:r>
          </w:p>
        </w:tc>
      </w:tr>
      <w:tr w:rsidR="0029639D" w:rsidRPr="00415876" w14:paraId="2016E2B8" w14:textId="77777777" w:rsidTr="0029639D">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31D91B3E" w14:textId="77777777" w:rsidR="0029639D" w:rsidRPr="00415876" w:rsidRDefault="0029639D" w:rsidP="00995EEF">
            <w:pPr>
              <w:jc w:val="right"/>
              <w:rPr>
                <w:kern w:val="22"/>
                <w:szCs w:val="22"/>
                <w:lang w:val="fr-CA" w:eastAsia="en-CA"/>
              </w:rPr>
            </w:pPr>
            <w:r w:rsidRPr="00415876">
              <w:rPr>
                <w:kern w:val="22"/>
                <w:szCs w:val="22"/>
                <w:lang w:val="fr-CA" w:eastAsia="en-CA"/>
              </w:rPr>
              <w:t>130</w:t>
            </w:r>
          </w:p>
        </w:tc>
        <w:tc>
          <w:tcPr>
            <w:tcW w:w="3823" w:type="dxa"/>
            <w:tcBorders>
              <w:top w:val="nil"/>
              <w:left w:val="nil"/>
              <w:bottom w:val="single" w:sz="4" w:space="0" w:color="auto"/>
              <w:right w:val="single" w:sz="4" w:space="0" w:color="auto"/>
            </w:tcBorders>
            <w:shd w:val="clear" w:color="auto" w:fill="auto"/>
            <w:vAlign w:val="center"/>
            <w:hideMark/>
          </w:tcPr>
          <w:p w14:paraId="70F6F263" w14:textId="77777777" w:rsidR="0029639D" w:rsidRPr="00415876" w:rsidRDefault="0029639D" w:rsidP="00995EEF">
            <w:pPr>
              <w:jc w:val="left"/>
              <w:rPr>
                <w:kern w:val="22"/>
                <w:szCs w:val="22"/>
                <w:lang w:val="fr-CA" w:eastAsia="en-CA"/>
              </w:rPr>
            </w:pPr>
            <w:r>
              <w:rPr>
                <w:kern w:val="22"/>
                <w:szCs w:val="22"/>
                <w:lang w:val="fr-CA" w:eastAsia="en-CA"/>
              </w:rPr>
              <w:t>Zambie</w:t>
            </w:r>
          </w:p>
        </w:tc>
        <w:tc>
          <w:tcPr>
            <w:tcW w:w="1472" w:type="dxa"/>
            <w:tcBorders>
              <w:top w:val="nil"/>
              <w:left w:val="nil"/>
              <w:bottom w:val="single" w:sz="4" w:space="0" w:color="auto"/>
              <w:right w:val="single" w:sz="4" w:space="0" w:color="auto"/>
            </w:tcBorders>
            <w:shd w:val="clear" w:color="auto" w:fill="auto"/>
            <w:vAlign w:val="center"/>
            <w:hideMark/>
          </w:tcPr>
          <w:p w14:paraId="4CBDAA23"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009</w:t>
            </w:r>
          </w:p>
        </w:tc>
        <w:tc>
          <w:tcPr>
            <w:tcW w:w="1715" w:type="dxa"/>
            <w:tcBorders>
              <w:top w:val="nil"/>
              <w:left w:val="nil"/>
              <w:bottom w:val="single" w:sz="4" w:space="0" w:color="auto"/>
              <w:right w:val="single" w:sz="4" w:space="0" w:color="auto"/>
            </w:tcBorders>
            <w:shd w:val="clear" w:color="auto" w:fill="auto"/>
            <w:noWrap/>
            <w:vAlign w:val="center"/>
            <w:hideMark/>
          </w:tcPr>
          <w:p w14:paraId="2334E964" w14:textId="77777777" w:rsidR="0029639D" w:rsidRPr="00415876" w:rsidRDefault="0029639D" w:rsidP="0029639D">
            <w:pPr>
              <w:tabs>
                <w:tab w:val="left" w:pos="1257"/>
              </w:tabs>
              <w:ind w:right="288"/>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014</w:t>
            </w:r>
          </w:p>
        </w:tc>
        <w:tc>
          <w:tcPr>
            <w:tcW w:w="1715" w:type="dxa"/>
            <w:tcBorders>
              <w:top w:val="nil"/>
              <w:left w:val="nil"/>
              <w:bottom w:val="single" w:sz="4" w:space="0" w:color="auto"/>
              <w:right w:val="single" w:sz="4" w:space="0" w:color="auto"/>
            </w:tcBorders>
            <w:shd w:val="clear" w:color="auto" w:fill="auto"/>
            <w:noWrap/>
            <w:vAlign w:val="center"/>
            <w:hideMark/>
          </w:tcPr>
          <w:p w14:paraId="3FEA71A7" w14:textId="77777777" w:rsidR="0029639D" w:rsidRPr="00415876" w:rsidRDefault="0029639D" w:rsidP="0029639D">
            <w:pPr>
              <w:ind w:right="288"/>
              <w:jc w:val="right"/>
              <w:rPr>
                <w:kern w:val="22"/>
                <w:szCs w:val="22"/>
                <w:lang w:val="fr-CA" w:eastAsia="en-CA"/>
              </w:rPr>
            </w:pPr>
            <w:r w:rsidRPr="00415876">
              <w:rPr>
                <w:kern w:val="22"/>
                <w:szCs w:val="22"/>
                <w:lang w:val="fr-CA" w:eastAsia="en-CA"/>
              </w:rPr>
              <w:t>271</w:t>
            </w:r>
          </w:p>
        </w:tc>
      </w:tr>
      <w:tr w:rsidR="0029639D" w:rsidRPr="00415876" w14:paraId="2FE7C3DA" w14:textId="77777777" w:rsidTr="009A63E6">
        <w:trPr>
          <w:trHeight w:val="260"/>
          <w:jc w:val="center"/>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29047886" w14:textId="77777777" w:rsidR="0029639D" w:rsidRPr="00415876" w:rsidRDefault="0029639D" w:rsidP="00995EEF">
            <w:pPr>
              <w:jc w:val="right"/>
              <w:rPr>
                <w:kern w:val="22"/>
                <w:szCs w:val="22"/>
                <w:lang w:val="fr-CA" w:eastAsia="en-CA"/>
              </w:rPr>
            </w:pPr>
            <w:r w:rsidRPr="00415876">
              <w:rPr>
                <w:kern w:val="22"/>
                <w:szCs w:val="22"/>
                <w:lang w:val="fr-CA" w:eastAsia="en-CA"/>
              </w:rPr>
              <w:t>131</w:t>
            </w:r>
          </w:p>
        </w:tc>
        <w:tc>
          <w:tcPr>
            <w:tcW w:w="3823" w:type="dxa"/>
            <w:tcBorders>
              <w:top w:val="nil"/>
              <w:left w:val="nil"/>
              <w:bottom w:val="single" w:sz="4" w:space="0" w:color="auto"/>
              <w:right w:val="single" w:sz="4" w:space="0" w:color="auto"/>
            </w:tcBorders>
            <w:shd w:val="clear" w:color="auto" w:fill="auto"/>
            <w:vAlign w:val="center"/>
            <w:hideMark/>
          </w:tcPr>
          <w:p w14:paraId="2B9071B1" w14:textId="77777777" w:rsidR="0029639D" w:rsidRPr="00415876" w:rsidRDefault="0029639D" w:rsidP="00995EEF">
            <w:pPr>
              <w:jc w:val="left"/>
              <w:rPr>
                <w:kern w:val="22"/>
                <w:szCs w:val="22"/>
                <w:lang w:val="fr-CA" w:eastAsia="en-CA"/>
              </w:rPr>
            </w:pPr>
            <w:r w:rsidRPr="00415876">
              <w:rPr>
                <w:kern w:val="22"/>
                <w:szCs w:val="22"/>
                <w:lang w:val="fr-CA" w:eastAsia="en-CA"/>
              </w:rPr>
              <w:t>Zimbabwe</w:t>
            </w:r>
          </w:p>
        </w:tc>
        <w:tc>
          <w:tcPr>
            <w:tcW w:w="1472" w:type="dxa"/>
            <w:tcBorders>
              <w:top w:val="nil"/>
              <w:left w:val="nil"/>
              <w:bottom w:val="single" w:sz="4" w:space="0" w:color="auto"/>
              <w:right w:val="single" w:sz="4" w:space="0" w:color="auto"/>
            </w:tcBorders>
            <w:shd w:val="clear" w:color="auto" w:fill="auto"/>
            <w:vAlign w:val="center"/>
            <w:hideMark/>
          </w:tcPr>
          <w:p w14:paraId="5F6651F0" w14:textId="77777777" w:rsidR="0029639D" w:rsidRPr="00415876" w:rsidRDefault="0029639D" w:rsidP="0029639D">
            <w:pPr>
              <w:ind w:right="144"/>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005</w:t>
            </w:r>
          </w:p>
        </w:tc>
        <w:tc>
          <w:tcPr>
            <w:tcW w:w="1715" w:type="dxa"/>
            <w:tcBorders>
              <w:top w:val="nil"/>
              <w:left w:val="nil"/>
              <w:bottom w:val="single" w:sz="4" w:space="0" w:color="auto"/>
              <w:right w:val="nil"/>
            </w:tcBorders>
            <w:shd w:val="clear" w:color="auto" w:fill="auto"/>
            <w:noWrap/>
            <w:vAlign w:val="center"/>
            <w:hideMark/>
          </w:tcPr>
          <w:p w14:paraId="73625EB1" w14:textId="77777777" w:rsidR="0029639D" w:rsidRPr="00415876" w:rsidRDefault="0029639D" w:rsidP="0029639D">
            <w:pPr>
              <w:tabs>
                <w:tab w:val="left" w:pos="1257"/>
              </w:tabs>
              <w:ind w:right="288"/>
              <w:jc w:val="right"/>
              <w:rPr>
                <w:kern w:val="22"/>
                <w:szCs w:val="22"/>
                <w:lang w:val="fr-CA" w:eastAsia="en-CA"/>
              </w:rPr>
            </w:pPr>
            <w:r w:rsidRPr="00415876">
              <w:rPr>
                <w:kern w:val="22"/>
                <w:szCs w:val="22"/>
                <w:lang w:val="fr-CA" w:eastAsia="en-CA"/>
              </w:rPr>
              <w:t>0</w:t>
            </w:r>
            <w:r>
              <w:rPr>
                <w:kern w:val="22"/>
                <w:szCs w:val="22"/>
                <w:lang w:val="fr-CA" w:eastAsia="en-CA"/>
              </w:rPr>
              <w:t>,</w:t>
            </w:r>
            <w:r w:rsidRPr="00415876">
              <w:rPr>
                <w:kern w:val="22"/>
                <w:szCs w:val="22"/>
                <w:lang w:val="fr-CA" w:eastAsia="en-CA"/>
              </w:rPr>
              <w:t>008</w:t>
            </w:r>
          </w:p>
        </w:tc>
        <w:tc>
          <w:tcPr>
            <w:tcW w:w="1715" w:type="dxa"/>
            <w:tcBorders>
              <w:top w:val="nil"/>
              <w:left w:val="single" w:sz="4" w:space="0" w:color="auto"/>
              <w:bottom w:val="single" w:sz="4" w:space="0" w:color="auto"/>
              <w:right w:val="single" w:sz="4" w:space="0" w:color="auto"/>
            </w:tcBorders>
            <w:shd w:val="clear" w:color="auto" w:fill="auto"/>
            <w:noWrap/>
            <w:vAlign w:val="center"/>
            <w:hideMark/>
          </w:tcPr>
          <w:p w14:paraId="1FD7ABD5" w14:textId="77777777" w:rsidR="0029639D" w:rsidRPr="00415876" w:rsidRDefault="0029639D" w:rsidP="0029639D">
            <w:pPr>
              <w:ind w:right="288"/>
              <w:jc w:val="right"/>
              <w:rPr>
                <w:kern w:val="22"/>
                <w:szCs w:val="22"/>
                <w:lang w:val="fr-CA" w:eastAsia="en-CA"/>
              </w:rPr>
            </w:pPr>
            <w:r w:rsidRPr="00415876">
              <w:rPr>
                <w:kern w:val="22"/>
                <w:szCs w:val="22"/>
                <w:lang w:val="fr-CA" w:eastAsia="en-CA"/>
              </w:rPr>
              <w:t>151</w:t>
            </w:r>
          </w:p>
        </w:tc>
      </w:tr>
      <w:tr w:rsidR="0029639D" w:rsidRPr="00415876" w14:paraId="7748631C" w14:textId="77777777" w:rsidTr="009A63E6">
        <w:trPr>
          <w:trHeight w:val="26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00D30" w14:textId="77777777" w:rsidR="0029639D" w:rsidRPr="00415876" w:rsidRDefault="0029639D" w:rsidP="0029639D">
            <w:pPr>
              <w:jc w:val="right"/>
              <w:rPr>
                <w:kern w:val="22"/>
                <w:szCs w:val="22"/>
                <w:lang w:val="fr-CA" w:eastAsia="en-CA"/>
              </w:rPr>
            </w:pPr>
          </w:p>
        </w:tc>
        <w:tc>
          <w:tcPr>
            <w:tcW w:w="3823" w:type="dxa"/>
            <w:tcBorders>
              <w:top w:val="single" w:sz="4" w:space="0" w:color="auto"/>
              <w:left w:val="nil"/>
              <w:bottom w:val="single" w:sz="4" w:space="0" w:color="auto"/>
              <w:right w:val="single" w:sz="4" w:space="0" w:color="auto"/>
            </w:tcBorders>
            <w:shd w:val="clear" w:color="auto" w:fill="auto"/>
            <w:vAlign w:val="center"/>
          </w:tcPr>
          <w:p w14:paraId="7726C22D" w14:textId="7E103D8D" w:rsidR="0029639D" w:rsidRPr="00415876" w:rsidRDefault="0029639D" w:rsidP="0029639D">
            <w:pPr>
              <w:jc w:val="left"/>
              <w:rPr>
                <w:kern w:val="22"/>
                <w:szCs w:val="22"/>
                <w:lang w:val="fr-CA" w:eastAsia="en-CA"/>
              </w:rPr>
            </w:pPr>
            <w:r w:rsidRPr="00415876">
              <w:rPr>
                <w:b/>
                <w:bCs/>
                <w:kern w:val="22"/>
                <w:szCs w:val="22"/>
                <w:lang w:val="fr-CA" w:eastAsia="en-CA"/>
              </w:rPr>
              <w:t>Total</w:t>
            </w:r>
          </w:p>
        </w:tc>
        <w:tc>
          <w:tcPr>
            <w:tcW w:w="1472" w:type="dxa"/>
            <w:tcBorders>
              <w:top w:val="single" w:sz="4" w:space="0" w:color="auto"/>
              <w:left w:val="nil"/>
              <w:bottom w:val="single" w:sz="4" w:space="0" w:color="auto"/>
              <w:right w:val="single" w:sz="4" w:space="0" w:color="auto"/>
            </w:tcBorders>
            <w:shd w:val="clear" w:color="auto" w:fill="auto"/>
            <w:vAlign w:val="center"/>
          </w:tcPr>
          <w:p w14:paraId="24F42D17" w14:textId="50164B40" w:rsidR="0029639D" w:rsidRPr="00415876" w:rsidRDefault="0029639D" w:rsidP="0029639D">
            <w:pPr>
              <w:ind w:right="144"/>
              <w:jc w:val="right"/>
              <w:rPr>
                <w:kern w:val="22"/>
                <w:szCs w:val="22"/>
                <w:lang w:val="fr-CA" w:eastAsia="en-CA"/>
              </w:rPr>
            </w:pPr>
            <w:r w:rsidRPr="00415876">
              <w:rPr>
                <w:b/>
                <w:bCs/>
                <w:kern w:val="22"/>
                <w:szCs w:val="22"/>
                <w:lang w:val="fr-CA" w:eastAsia="en-CA"/>
              </w:rPr>
              <w:t>60</w:t>
            </w:r>
            <w:r>
              <w:rPr>
                <w:b/>
                <w:bCs/>
                <w:kern w:val="22"/>
                <w:szCs w:val="22"/>
                <w:lang w:val="fr-CA" w:eastAsia="en-CA"/>
              </w:rPr>
              <w:t>,</w:t>
            </w:r>
            <w:r w:rsidRPr="00415876">
              <w:rPr>
                <w:b/>
                <w:bCs/>
                <w:kern w:val="22"/>
                <w:szCs w:val="22"/>
                <w:lang w:val="fr-CA" w:eastAsia="en-CA"/>
              </w:rPr>
              <w:t>698</w:t>
            </w:r>
          </w:p>
        </w:tc>
        <w:tc>
          <w:tcPr>
            <w:tcW w:w="1715" w:type="dxa"/>
            <w:tcBorders>
              <w:top w:val="single" w:sz="4" w:space="0" w:color="auto"/>
              <w:left w:val="nil"/>
              <w:bottom w:val="single" w:sz="4" w:space="0" w:color="auto"/>
              <w:right w:val="nil"/>
            </w:tcBorders>
            <w:shd w:val="clear" w:color="auto" w:fill="auto"/>
            <w:noWrap/>
            <w:vAlign w:val="center"/>
          </w:tcPr>
          <w:p w14:paraId="46727ED5" w14:textId="0251A800" w:rsidR="0029639D" w:rsidRPr="00415876" w:rsidRDefault="0029639D" w:rsidP="0029639D">
            <w:pPr>
              <w:tabs>
                <w:tab w:val="left" w:pos="1257"/>
              </w:tabs>
              <w:ind w:right="288"/>
              <w:jc w:val="right"/>
              <w:rPr>
                <w:kern w:val="22"/>
                <w:szCs w:val="22"/>
                <w:lang w:val="fr-CA" w:eastAsia="en-CA"/>
              </w:rPr>
            </w:pPr>
            <w:r w:rsidRPr="00415876">
              <w:rPr>
                <w:b/>
                <w:bCs/>
                <w:kern w:val="22"/>
                <w:szCs w:val="22"/>
                <w:lang w:val="fr-CA" w:eastAsia="en-CA"/>
              </w:rPr>
              <w:t>100</w:t>
            </w:r>
            <w:r>
              <w:rPr>
                <w:b/>
                <w:bCs/>
                <w:kern w:val="22"/>
                <w:szCs w:val="22"/>
                <w:lang w:val="fr-CA" w:eastAsia="en-CA"/>
              </w:rPr>
              <w:t>,</w:t>
            </w:r>
            <w:r w:rsidRPr="00415876">
              <w:rPr>
                <w:b/>
                <w:bCs/>
                <w:kern w:val="22"/>
                <w:szCs w:val="22"/>
                <w:lang w:val="fr-CA" w:eastAsia="en-CA"/>
              </w:rPr>
              <w:t>000</w:t>
            </w:r>
          </w:p>
        </w:tc>
        <w:tc>
          <w:tcPr>
            <w:tcW w:w="17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8830D" w14:textId="11A6C1FF" w:rsidR="0029639D" w:rsidRPr="00415876" w:rsidRDefault="0029639D" w:rsidP="0029639D">
            <w:pPr>
              <w:ind w:right="288"/>
              <w:jc w:val="right"/>
              <w:rPr>
                <w:kern w:val="22"/>
                <w:szCs w:val="22"/>
                <w:lang w:val="fr-CA" w:eastAsia="en-CA"/>
              </w:rPr>
            </w:pPr>
            <w:r w:rsidRPr="00415876">
              <w:rPr>
                <w:b/>
                <w:bCs/>
                <w:kern w:val="22"/>
                <w:szCs w:val="22"/>
                <w:lang w:val="fr-CA" w:eastAsia="en-CA"/>
              </w:rPr>
              <w:t>1 875 825</w:t>
            </w:r>
          </w:p>
        </w:tc>
      </w:tr>
    </w:tbl>
    <w:p w14:paraId="6D0EA040" w14:textId="060D4478" w:rsidR="025C64B4" w:rsidRPr="00415876" w:rsidRDefault="025C64B4">
      <w:pPr>
        <w:rPr>
          <w:kern w:val="22"/>
          <w:lang w:val="fr-CA"/>
        </w:rPr>
      </w:pPr>
    </w:p>
    <w:p w14:paraId="67E33E1B" w14:textId="3C936746" w:rsidR="00FE1779" w:rsidRPr="00415876" w:rsidRDefault="00FE1779" w:rsidP="00282AF6">
      <w:pPr>
        <w:suppressLineNumbers/>
        <w:suppressAutoHyphens/>
        <w:rPr>
          <w:snapToGrid w:val="0"/>
          <w:kern w:val="22"/>
          <w:lang w:val="fr-CA"/>
        </w:rPr>
      </w:pPr>
    </w:p>
    <w:p w14:paraId="4C1E8DD6" w14:textId="2E615AC0" w:rsidR="000311B5" w:rsidRPr="0071490F" w:rsidRDefault="00BE58BB" w:rsidP="006914CE">
      <w:pPr>
        <w:suppressLineNumbers/>
        <w:suppressAutoHyphens/>
        <w:jc w:val="center"/>
        <w:rPr>
          <w:snapToGrid w:val="0"/>
          <w:kern w:val="22"/>
          <w:szCs w:val="22"/>
        </w:rPr>
      </w:pPr>
      <w:r w:rsidRPr="00415876">
        <w:rPr>
          <w:snapToGrid w:val="0"/>
          <w:kern w:val="22"/>
          <w:szCs w:val="22"/>
          <w:lang w:val="fr-CA"/>
        </w:rPr>
        <w:t>_____</w:t>
      </w:r>
      <w:r w:rsidRPr="0071490F">
        <w:rPr>
          <w:snapToGrid w:val="0"/>
          <w:kern w:val="22"/>
          <w:szCs w:val="22"/>
        </w:rPr>
        <w:t>_____</w:t>
      </w:r>
    </w:p>
    <w:sectPr w:rsidR="000311B5" w:rsidRPr="0071490F" w:rsidSect="00282AF6">
      <w:headerReference w:type="even" r:id="rId16"/>
      <w:headerReference w:type="default" r:id="rId17"/>
      <w:type w:val="continuous"/>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A40BE" w14:textId="77777777" w:rsidR="00475585" w:rsidRDefault="00475585" w:rsidP="00451B9F">
      <w:r>
        <w:separator/>
      </w:r>
    </w:p>
  </w:endnote>
  <w:endnote w:type="continuationSeparator" w:id="0">
    <w:p w14:paraId="01F2206E" w14:textId="77777777" w:rsidR="00475585" w:rsidRDefault="00475585" w:rsidP="00451B9F">
      <w:r>
        <w:continuationSeparator/>
      </w:r>
    </w:p>
  </w:endnote>
  <w:endnote w:type="continuationNotice" w:id="1">
    <w:p w14:paraId="71DA33F4" w14:textId="77777777" w:rsidR="00475585" w:rsidRDefault="004755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Lucida Grande"/>
    <w:charset w:val="00"/>
    <w:family w:val="auto"/>
    <w:pitch w:val="variable"/>
    <w:sig w:usb0="E1000AEF" w:usb1="5000A1FF" w:usb2="00000000" w:usb3="00000000" w:csb0="000001BF" w:csb1="00000000"/>
  </w:font>
  <w:font w:name="Angsana New">
    <w:panose1 w:val="02020603050405020304"/>
    <w:charset w:val="00"/>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7D3FB" w14:textId="77777777" w:rsidR="00475585" w:rsidRDefault="00475585" w:rsidP="00451B9F">
      <w:r>
        <w:separator/>
      </w:r>
    </w:p>
  </w:footnote>
  <w:footnote w:type="continuationSeparator" w:id="0">
    <w:p w14:paraId="1E5BCA58" w14:textId="77777777" w:rsidR="00475585" w:rsidRDefault="00475585" w:rsidP="00451B9F">
      <w:r>
        <w:continuationSeparator/>
      </w:r>
    </w:p>
  </w:footnote>
  <w:footnote w:type="continuationNotice" w:id="1">
    <w:p w14:paraId="1B14BBF8" w14:textId="77777777" w:rsidR="00475585" w:rsidRDefault="00475585"/>
  </w:footnote>
  <w:footnote w:id="2">
    <w:p w14:paraId="4E35E9E6" w14:textId="77777777" w:rsidR="0029639D" w:rsidRPr="00776C04" w:rsidRDefault="0029639D" w:rsidP="0046205C">
      <w:pPr>
        <w:pStyle w:val="FootnoteText"/>
        <w:suppressLineNumbers/>
        <w:suppressAutoHyphens/>
        <w:kinsoku w:val="0"/>
        <w:overflowPunct w:val="0"/>
        <w:autoSpaceDE w:val="0"/>
        <w:autoSpaceDN w:val="0"/>
        <w:ind w:firstLine="0"/>
        <w:jc w:val="left"/>
        <w:rPr>
          <w:kern w:val="18"/>
          <w:szCs w:val="18"/>
        </w:rPr>
      </w:pPr>
      <w:r w:rsidRPr="00DC33DC">
        <w:rPr>
          <w:rStyle w:val="FootnoteReference"/>
          <w:kern w:val="18"/>
          <w:szCs w:val="18"/>
          <w:lang w:val="en-GB"/>
        </w:rPr>
        <w:t>*</w:t>
      </w:r>
      <w:r w:rsidRPr="00776C04">
        <w:rPr>
          <w:kern w:val="18"/>
          <w:szCs w:val="18"/>
        </w:rPr>
        <w:t xml:space="preserve"> </w:t>
      </w:r>
      <w:r w:rsidRPr="00776C04">
        <w:rPr>
          <w:szCs w:val="18"/>
        </w:rPr>
        <w:t>CBD/COP/15/1</w:t>
      </w:r>
      <w:r w:rsidRPr="00776C04">
        <w:rPr>
          <w:rStyle w:val="Hyperlink"/>
          <w:kern w:val="18"/>
          <w:szCs w:val="18"/>
        </w:rPr>
        <w:t>/Rev.1</w:t>
      </w:r>
      <w:r w:rsidRPr="00776C04">
        <w:rPr>
          <w:kern w:val="18"/>
          <w:szCs w:val="18"/>
        </w:rPr>
        <w:t>.</w:t>
      </w:r>
    </w:p>
  </w:footnote>
  <w:footnote w:id="3">
    <w:p w14:paraId="055AEE4E" w14:textId="77777777" w:rsidR="0029639D" w:rsidRPr="00776C04" w:rsidRDefault="0029639D" w:rsidP="0046205C">
      <w:pPr>
        <w:pStyle w:val="FootnoteText"/>
        <w:suppressLineNumbers/>
        <w:suppressAutoHyphens/>
        <w:kinsoku w:val="0"/>
        <w:overflowPunct w:val="0"/>
        <w:autoSpaceDE w:val="0"/>
        <w:autoSpaceDN w:val="0"/>
        <w:ind w:firstLine="0"/>
        <w:jc w:val="left"/>
        <w:rPr>
          <w:kern w:val="18"/>
          <w:szCs w:val="18"/>
        </w:rPr>
      </w:pPr>
      <w:r w:rsidRPr="00776C04">
        <w:rPr>
          <w:rStyle w:val="FootnoteReference"/>
          <w:kern w:val="18"/>
          <w:szCs w:val="18"/>
          <w:lang w:val="en-GB"/>
        </w:rPr>
        <w:t>**</w:t>
      </w:r>
      <w:r w:rsidRPr="00776C04">
        <w:rPr>
          <w:kern w:val="18"/>
          <w:szCs w:val="18"/>
        </w:rPr>
        <w:t xml:space="preserve"> CBD/CP/MOP/10</w:t>
      </w:r>
      <w:r w:rsidRPr="00776C04">
        <w:rPr>
          <w:rStyle w:val="Hyperlink"/>
          <w:kern w:val="18"/>
          <w:szCs w:val="18"/>
        </w:rPr>
        <w:t>/1/Rev.1</w:t>
      </w:r>
      <w:r w:rsidRPr="00776C04">
        <w:rPr>
          <w:kern w:val="18"/>
          <w:szCs w:val="18"/>
        </w:rPr>
        <w:t>.</w:t>
      </w:r>
    </w:p>
  </w:footnote>
  <w:footnote w:id="4">
    <w:p w14:paraId="0C74E055" w14:textId="77777777" w:rsidR="0029639D" w:rsidRPr="00EB5A3F" w:rsidRDefault="0029639D" w:rsidP="0046205C">
      <w:pPr>
        <w:pStyle w:val="FootnoteText"/>
        <w:suppressLineNumbers/>
        <w:suppressAutoHyphens/>
        <w:kinsoku w:val="0"/>
        <w:overflowPunct w:val="0"/>
        <w:autoSpaceDE w:val="0"/>
        <w:autoSpaceDN w:val="0"/>
        <w:ind w:firstLine="0"/>
        <w:jc w:val="left"/>
        <w:rPr>
          <w:kern w:val="22"/>
          <w:szCs w:val="18"/>
          <w:lang w:val="fr-CA"/>
        </w:rPr>
      </w:pPr>
      <w:r w:rsidRPr="00EB5A3F">
        <w:rPr>
          <w:rStyle w:val="FootnoteReference"/>
          <w:kern w:val="18"/>
          <w:szCs w:val="18"/>
        </w:rPr>
        <w:t>***</w:t>
      </w:r>
      <w:r w:rsidRPr="00EB5A3F">
        <w:rPr>
          <w:kern w:val="18"/>
          <w:szCs w:val="18"/>
          <w:lang w:val="fr-CA"/>
        </w:rPr>
        <w:t xml:space="preserve"> CBD/NP/MOP/4</w:t>
      </w:r>
      <w:r w:rsidRPr="00EB5A3F">
        <w:rPr>
          <w:rStyle w:val="Hyperlink"/>
          <w:kern w:val="18"/>
          <w:szCs w:val="18"/>
          <w:lang w:val="fr-CA"/>
        </w:rPr>
        <w:t>/1/Rev.1</w:t>
      </w:r>
      <w:r w:rsidRPr="00EB5A3F">
        <w:rPr>
          <w:kern w:val="18"/>
          <w:szCs w:val="18"/>
          <w:lang w:val="fr-CA"/>
        </w:rPr>
        <w:t>.</w:t>
      </w:r>
    </w:p>
  </w:footnote>
  <w:footnote w:id="5">
    <w:p w14:paraId="77651A7D" w14:textId="421DA255" w:rsidR="0029639D" w:rsidRPr="002753F9" w:rsidRDefault="0029639D" w:rsidP="00282AF6">
      <w:pPr>
        <w:pStyle w:val="FootnoteText"/>
        <w:suppressLineNumbers/>
        <w:suppressAutoHyphens/>
        <w:kinsoku w:val="0"/>
        <w:overflowPunct w:val="0"/>
        <w:autoSpaceDE w:val="0"/>
        <w:autoSpaceDN w:val="0"/>
        <w:ind w:firstLine="0"/>
        <w:jc w:val="left"/>
        <w:rPr>
          <w:kern w:val="18"/>
          <w:szCs w:val="18"/>
          <w:lang w:val="fr-CA"/>
        </w:rPr>
      </w:pPr>
      <w:r w:rsidRPr="00282AF6">
        <w:rPr>
          <w:rStyle w:val="FootnoteReference"/>
          <w:kern w:val="18"/>
          <w:szCs w:val="18"/>
          <w:lang w:val="en-GB"/>
        </w:rPr>
        <w:footnoteRef/>
      </w:r>
      <w:r w:rsidRPr="002753F9">
        <w:rPr>
          <w:kern w:val="18"/>
          <w:szCs w:val="18"/>
          <w:lang w:val="fr-CA"/>
        </w:rPr>
        <w:t xml:space="preserve"> Règles de gestion financi</w:t>
      </w:r>
      <w:r>
        <w:rPr>
          <w:kern w:val="18"/>
          <w:szCs w:val="18"/>
          <w:lang w:val="fr-CA"/>
        </w:rPr>
        <w:t>ère pour l’administration du Fonds d’affectation spéciale de la Convention sur la diversité biologique, annexe I de la décision I/6</w:t>
      </w:r>
      <w:r w:rsidRPr="002753F9">
        <w:rPr>
          <w:kern w:val="18"/>
          <w:szCs w:val="18"/>
          <w:lang w:val="fr-CA"/>
        </w:rPr>
        <w:t>).</w:t>
      </w:r>
    </w:p>
  </w:footnote>
  <w:footnote w:id="6">
    <w:p w14:paraId="0D1F8095" w14:textId="0C11BAEE" w:rsidR="0029639D" w:rsidRPr="00282AF6" w:rsidRDefault="0029639D" w:rsidP="00282AF6">
      <w:pPr>
        <w:pStyle w:val="FootnoteText"/>
        <w:suppressLineNumbers/>
        <w:suppressAutoHyphens/>
        <w:kinsoku w:val="0"/>
        <w:overflowPunct w:val="0"/>
        <w:autoSpaceDE w:val="0"/>
        <w:autoSpaceDN w:val="0"/>
        <w:ind w:firstLine="0"/>
        <w:jc w:val="left"/>
        <w:rPr>
          <w:kern w:val="18"/>
          <w:szCs w:val="18"/>
        </w:rPr>
      </w:pPr>
      <w:r w:rsidRPr="00282AF6">
        <w:rPr>
          <w:rStyle w:val="FootnoteReference"/>
          <w:kern w:val="18"/>
          <w:szCs w:val="18"/>
          <w:lang w:val="en-GB"/>
        </w:rPr>
        <w:footnoteRef/>
      </w:r>
      <w:r w:rsidRPr="00282AF6">
        <w:rPr>
          <w:kern w:val="18"/>
          <w:szCs w:val="18"/>
        </w:rPr>
        <w:t xml:space="preserve"> CBD/COP/15/3.</w:t>
      </w:r>
    </w:p>
  </w:footnote>
  <w:footnote w:id="7">
    <w:p w14:paraId="0C949E29" w14:textId="679AB048" w:rsidR="0029639D" w:rsidRPr="00190EF6" w:rsidRDefault="0029639D" w:rsidP="00282AF6">
      <w:pPr>
        <w:pStyle w:val="FootnoteText"/>
        <w:suppressLineNumbers/>
        <w:suppressAutoHyphens/>
        <w:kinsoku w:val="0"/>
        <w:overflowPunct w:val="0"/>
        <w:autoSpaceDE w:val="0"/>
        <w:autoSpaceDN w:val="0"/>
        <w:ind w:firstLine="0"/>
        <w:jc w:val="left"/>
        <w:rPr>
          <w:kern w:val="18"/>
          <w:szCs w:val="18"/>
          <w:lang w:val="en-US"/>
        </w:rPr>
      </w:pPr>
      <w:r w:rsidRPr="00282AF6">
        <w:rPr>
          <w:rStyle w:val="FootnoteReference"/>
          <w:kern w:val="18"/>
          <w:szCs w:val="18"/>
          <w:lang w:val="en-GB"/>
        </w:rPr>
        <w:footnoteRef/>
      </w:r>
      <w:r w:rsidRPr="00190EF6">
        <w:rPr>
          <w:kern w:val="18"/>
          <w:szCs w:val="18"/>
          <w:lang w:val="en-US"/>
        </w:rPr>
        <w:t xml:space="preserve"> </w:t>
      </w:r>
      <w:r w:rsidRPr="00190EF6">
        <w:rPr>
          <w:iCs/>
          <w:snapToGrid w:val="0"/>
          <w:kern w:val="18"/>
          <w:szCs w:val="18"/>
          <w:lang w:val="en-US"/>
        </w:rPr>
        <w:t>CBD/CP/MOP/10/3</w:t>
      </w:r>
      <w:r w:rsidRPr="00190EF6">
        <w:rPr>
          <w:kern w:val="18"/>
          <w:szCs w:val="18"/>
          <w:lang w:val="en-US"/>
        </w:rPr>
        <w:t>.</w:t>
      </w:r>
    </w:p>
  </w:footnote>
  <w:footnote w:id="8">
    <w:p w14:paraId="777C3683" w14:textId="404C9435" w:rsidR="0029639D" w:rsidRPr="00625F06" w:rsidRDefault="0029639D" w:rsidP="00282AF6">
      <w:pPr>
        <w:pStyle w:val="FootnoteText"/>
        <w:suppressLineNumbers/>
        <w:suppressAutoHyphens/>
        <w:kinsoku w:val="0"/>
        <w:overflowPunct w:val="0"/>
        <w:autoSpaceDE w:val="0"/>
        <w:autoSpaceDN w:val="0"/>
        <w:ind w:firstLine="0"/>
        <w:jc w:val="left"/>
        <w:rPr>
          <w:szCs w:val="18"/>
          <w:lang w:val="fr-CA"/>
        </w:rPr>
      </w:pPr>
      <w:r w:rsidRPr="00282AF6">
        <w:rPr>
          <w:rStyle w:val="FootnoteReference"/>
          <w:szCs w:val="18"/>
          <w:lang w:val="en-GB"/>
        </w:rPr>
        <w:footnoteRef/>
      </w:r>
      <w:r w:rsidRPr="00625F06">
        <w:rPr>
          <w:szCs w:val="18"/>
          <w:lang w:val="fr-CA"/>
        </w:rPr>
        <w:t xml:space="preserve"> </w:t>
      </w:r>
      <w:r>
        <w:rPr>
          <w:szCs w:val="18"/>
          <w:lang w:val="fr-CA"/>
        </w:rPr>
        <w:t>Numéro de dé</w:t>
      </w:r>
      <w:r w:rsidRPr="00625F06">
        <w:rPr>
          <w:szCs w:val="18"/>
          <w:lang w:val="fr-CA"/>
        </w:rPr>
        <w:t>cision à insérer.</w:t>
      </w:r>
    </w:p>
  </w:footnote>
  <w:footnote w:id="9">
    <w:p w14:paraId="3C84500E" w14:textId="142B73F4" w:rsidR="0029639D" w:rsidRPr="006D0FCE" w:rsidRDefault="0029639D" w:rsidP="00282AF6">
      <w:pPr>
        <w:pStyle w:val="FootnoteText"/>
        <w:suppressLineNumbers/>
        <w:suppressAutoHyphens/>
        <w:kinsoku w:val="0"/>
        <w:overflowPunct w:val="0"/>
        <w:autoSpaceDE w:val="0"/>
        <w:autoSpaceDN w:val="0"/>
        <w:ind w:firstLine="0"/>
        <w:jc w:val="left"/>
        <w:rPr>
          <w:kern w:val="18"/>
          <w:szCs w:val="18"/>
          <w:lang w:val="fr-CA"/>
        </w:rPr>
      </w:pPr>
      <w:r w:rsidRPr="00282AF6">
        <w:rPr>
          <w:rStyle w:val="FootnoteReference"/>
          <w:kern w:val="18"/>
          <w:szCs w:val="18"/>
          <w:lang w:val="en-GB"/>
        </w:rPr>
        <w:footnoteRef/>
      </w:r>
      <w:r w:rsidRPr="006D0FCE">
        <w:rPr>
          <w:kern w:val="18"/>
          <w:szCs w:val="18"/>
          <w:lang w:val="fr-CA"/>
        </w:rPr>
        <w:t xml:space="preserve"> </w:t>
      </w:r>
      <w:r w:rsidRPr="006D0FCE">
        <w:rPr>
          <w:iCs/>
          <w:snapToGrid w:val="0"/>
          <w:kern w:val="18"/>
          <w:szCs w:val="18"/>
          <w:lang w:val="fr-CA"/>
        </w:rPr>
        <w:t>CBD/NP/MOP/4/3</w:t>
      </w:r>
      <w:r w:rsidRPr="006D0FCE">
        <w:rPr>
          <w:kern w:val="18"/>
          <w:szCs w:val="18"/>
          <w:lang w:val="fr-CA"/>
        </w:rPr>
        <w:t>.</w:t>
      </w:r>
    </w:p>
  </w:footnote>
  <w:footnote w:id="10">
    <w:p w14:paraId="7CBE6992" w14:textId="7ABD589C" w:rsidR="0029639D" w:rsidRPr="006D0FCE" w:rsidRDefault="0029639D" w:rsidP="00282AF6">
      <w:pPr>
        <w:pStyle w:val="FootnoteText"/>
        <w:suppressLineNumbers/>
        <w:suppressAutoHyphens/>
        <w:kinsoku w:val="0"/>
        <w:overflowPunct w:val="0"/>
        <w:autoSpaceDE w:val="0"/>
        <w:autoSpaceDN w:val="0"/>
        <w:ind w:firstLine="0"/>
        <w:jc w:val="left"/>
        <w:rPr>
          <w:szCs w:val="18"/>
          <w:lang w:val="fr-CA"/>
        </w:rPr>
      </w:pPr>
      <w:r w:rsidRPr="00282AF6">
        <w:rPr>
          <w:rStyle w:val="FootnoteReference"/>
          <w:szCs w:val="18"/>
          <w:lang w:val="en-GB"/>
        </w:rPr>
        <w:footnoteRef/>
      </w:r>
      <w:r w:rsidRPr="006D0FCE">
        <w:rPr>
          <w:szCs w:val="18"/>
          <w:lang w:val="fr-CA"/>
        </w:rPr>
        <w:t xml:space="preserve"> </w:t>
      </w:r>
      <w:r>
        <w:rPr>
          <w:szCs w:val="18"/>
          <w:lang w:val="fr-CA"/>
        </w:rPr>
        <w:t>Numéro de dé</w:t>
      </w:r>
      <w:r w:rsidRPr="006D0FCE">
        <w:rPr>
          <w:szCs w:val="18"/>
          <w:lang w:val="fr-CA"/>
        </w:rPr>
        <w:t>cision à insérer.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1685402051"/>
      <w:placeholder>
        <w:docPart w:val="2CBCDA5C90124183A1D851C7358FE896"/>
      </w:placeholder>
      <w:dataBinding w:prefixMappings="xmlns:ns0='http://purl.org/dc/elements/1.1/' xmlns:ns1='http://schemas.openxmlformats.org/package/2006/metadata/core-properties' " w:xpath="/ns1:coreProperties[1]/ns0:subject[1]" w:storeItemID="{6C3C8BC8-F283-45AE-878A-BAB7291924A1}"/>
      <w:text/>
    </w:sdtPr>
    <w:sdtEndPr/>
    <w:sdtContent>
      <w:p w14:paraId="44D1B287" w14:textId="79FE1341" w:rsidR="0029639D" w:rsidRDefault="0029639D" w:rsidP="00282AF6">
        <w:pPr>
          <w:pStyle w:val="Header"/>
          <w:ind w:right="7233"/>
          <w:jc w:val="left"/>
        </w:pPr>
        <w:r>
          <w:t>CBD/COP/15/3 CBD/CP/MOP/10/3 CBD/NP/MOP/4/3</w:t>
        </w:r>
      </w:p>
    </w:sdtContent>
  </w:sdt>
  <w:p w14:paraId="23358CFE" w14:textId="79AC3881" w:rsidR="0029639D" w:rsidRDefault="0029639D" w:rsidP="00282AF6">
    <w:pPr>
      <w:pStyle w:val="Header"/>
      <w:spacing w:after="240"/>
      <w:ind w:right="6241"/>
      <w:jc w:val="left"/>
    </w:pPr>
    <w:r>
      <w:t xml:space="preserve">Page </w:t>
    </w:r>
    <w:r>
      <w:fldChar w:fldCharType="begin"/>
    </w:r>
    <w:r>
      <w:instrText xml:space="preserve"> PAGE   \* MERGEFORMAT </w:instrText>
    </w:r>
    <w:r>
      <w:fldChar w:fldCharType="separate"/>
    </w:r>
    <w:r w:rsidR="007C5F70">
      <w:rPr>
        <w:noProof/>
      </w:rPr>
      <w:t>26</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2140607305"/>
      <w:placeholder>
        <w:docPart w:val="0E3BFE5273874DAABEC2B133C3E878CD"/>
      </w:placeholder>
      <w:dataBinding w:prefixMappings="xmlns:ns0='http://purl.org/dc/elements/1.1/' xmlns:ns1='http://schemas.openxmlformats.org/package/2006/metadata/core-properties' " w:xpath="/ns1:coreProperties[1]/ns0:subject[1]" w:storeItemID="{6C3C8BC8-F283-45AE-878A-BAB7291924A1}"/>
      <w:text/>
    </w:sdtPr>
    <w:sdtEndPr/>
    <w:sdtContent>
      <w:p w14:paraId="0D6203F2" w14:textId="77777777" w:rsidR="0029639D" w:rsidRDefault="0029639D" w:rsidP="00282AF6">
        <w:pPr>
          <w:pStyle w:val="Header"/>
          <w:ind w:left="7230" w:right="4"/>
          <w:jc w:val="right"/>
        </w:pPr>
        <w:r>
          <w:t>CBD/COP/15/3 CBD/CP/MOP/10/3 CBD/NP/MOP/4/3</w:t>
        </w:r>
      </w:p>
    </w:sdtContent>
  </w:sdt>
  <w:p w14:paraId="03AD3322" w14:textId="15F2FCF8" w:rsidR="0029639D" w:rsidRDefault="0029639D" w:rsidP="00282AF6">
    <w:pPr>
      <w:pStyle w:val="Header"/>
      <w:spacing w:after="240"/>
      <w:ind w:left="7230" w:right="4"/>
      <w:jc w:val="right"/>
    </w:pPr>
    <w:r>
      <w:t xml:space="preserve">Page </w:t>
    </w:r>
    <w:r>
      <w:fldChar w:fldCharType="begin"/>
    </w:r>
    <w:r>
      <w:instrText xml:space="preserve"> PAGE   \* MERGEFORMAT </w:instrText>
    </w:r>
    <w:r>
      <w:fldChar w:fldCharType="separate"/>
    </w:r>
    <w:r w:rsidR="007C5F70">
      <w:rPr>
        <w:noProof/>
      </w:rPr>
      <w:t>25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2B67"/>
    <w:multiLevelType w:val="hybridMultilevel"/>
    <w:tmpl w:val="909AF6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847E3A"/>
    <w:multiLevelType w:val="hybridMultilevel"/>
    <w:tmpl w:val="FFFFFFFF"/>
    <w:lvl w:ilvl="0" w:tplc="8646B66C">
      <w:start w:val="1"/>
      <w:numFmt w:val="lowerRoman"/>
      <w:lvlText w:val="%1."/>
      <w:lvlJc w:val="right"/>
      <w:pPr>
        <w:ind w:left="720" w:hanging="360"/>
      </w:pPr>
    </w:lvl>
    <w:lvl w:ilvl="1" w:tplc="D31434E2">
      <w:start w:val="1"/>
      <w:numFmt w:val="lowerLetter"/>
      <w:lvlText w:val="%2."/>
      <w:lvlJc w:val="left"/>
      <w:pPr>
        <w:ind w:left="1440" w:hanging="360"/>
      </w:pPr>
    </w:lvl>
    <w:lvl w:ilvl="2" w:tplc="45DEDF46">
      <w:start w:val="1"/>
      <w:numFmt w:val="lowerRoman"/>
      <w:lvlText w:val="%3."/>
      <w:lvlJc w:val="right"/>
      <w:pPr>
        <w:ind w:left="2160" w:hanging="180"/>
      </w:pPr>
    </w:lvl>
    <w:lvl w:ilvl="3" w:tplc="0270F556">
      <w:start w:val="1"/>
      <w:numFmt w:val="decimal"/>
      <w:lvlText w:val="%4."/>
      <w:lvlJc w:val="left"/>
      <w:pPr>
        <w:ind w:left="2880" w:hanging="360"/>
      </w:pPr>
    </w:lvl>
    <w:lvl w:ilvl="4" w:tplc="95882238">
      <w:start w:val="1"/>
      <w:numFmt w:val="lowerLetter"/>
      <w:lvlText w:val="%5."/>
      <w:lvlJc w:val="left"/>
      <w:pPr>
        <w:ind w:left="3600" w:hanging="360"/>
      </w:pPr>
    </w:lvl>
    <w:lvl w:ilvl="5" w:tplc="13F4F77E">
      <w:start w:val="1"/>
      <w:numFmt w:val="lowerRoman"/>
      <w:lvlText w:val="%6."/>
      <w:lvlJc w:val="right"/>
      <w:pPr>
        <w:ind w:left="4320" w:hanging="180"/>
      </w:pPr>
    </w:lvl>
    <w:lvl w:ilvl="6" w:tplc="2A4E4ED0">
      <w:start w:val="1"/>
      <w:numFmt w:val="decimal"/>
      <w:lvlText w:val="%7."/>
      <w:lvlJc w:val="left"/>
      <w:pPr>
        <w:ind w:left="5040" w:hanging="360"/>
      </w:pPr>
    </w:lvl>
    <w:lvl w:ilvl="7" w:tplc="0538A738">
      <w:start w:val="1"/>
      <w:numFmt w:val="lowerLetter"/>
      <w:lvlText w:val="%8."/>
      <w:lvlJc w:val="left"/>
      <w:pPr>
        <w:ind w:left="5760" w:hanging="360"/>
      </w:pPr>
    </w:lvl>
    <w:lvl w:ilvl="8" w:tplc="8D602A8C">
      <w:start w:val="1"/>
      <w:numFmt w:val="lowerRoman"/>
      <w:lvlText w:val="%9."/>
      <w:lvlJc w:val="right"/>
      <w:pPr>
        <w:ind w:left="6480" w:hanging="180"/>
      </w:pPr>
    </w:lvl>
  </w:abstractNum>
  <w:abstractNum w:abstractNumId="2" w15:restartNumberingAfterBreak="0">
    <w:nsid w:val="03B86116"/>
    <w:multiLevelType w:val="hybridMultilevel"/>
    <w:tmpl w:val="FFFFFFFF"/>
    <w:lvl w:ilvl="0" w:tplc="BABE8FC8">
      <w:start w:val="1"/>
      <w:numFmt w:val="lowerRoman"/>
      <w:lvlText w:val="%1."/>
      <w:lvlJc w:val="right"/>
      <w:pPr>
        <w:ind w:left="720" w:hanging="360"/>
      </w:pPr>
    </w:lvl>
    <w:lvl w:ilvl="1" w:tplc="82800760">
      <w:start w:val="1"/>
      <w:numFmt w:val="lowerLetter"/>
      <w:lvlText w:val="%2."/>
      <w:lvlJc w:val="left"/>
      <w:pPr>
        <w:ind w:left="1440" w:hanging="360"/>
      </w:pPr>
    </w:lvl>
    <w:lvl w:ilvl="2" w:tplc="2E04D728">
      <w:start w:val="1"/>
      <w:numFmt w:val="lowerRoman"/>
      <w:lvlText w:val="%3."/>
      <w:lvlJc w:val="right"/>
      <w:pPr>
        <w:ind w:left="2160" w:hanging="180"/>
      </w:pPr>
    </w:lvl>
    <w:lvl w:ilvl="3" w:tplc="C28E7E70">
      <w:start w:val="1"/>
      <w:numFmt w:val="decimal"/>
      <w:lvlText w:val="%4."/>
      <w:lvlJc w:val="left"/>
      <w:pPr>
        <w:ind w:left="2880" w:hanging="360"/>
      </w:pPr>
    </w:lvl>
    <w:lvl w:ilvl="4" w:tplc="F02A0B1A">
      <w:start w:val="1"/>
      <w:numFmt w:val="lowerLetter"/>
      <w:lvlText w:val="%5."/>
      <w:lvlJc w:val="left"/>
      <w:pPr>
        <w:ind w:left="3600" w:hanging="360"/>
      </w:pPr>
    </w:lvl>
    <w:lvl w:ilvl="5" w:tplc="66BA54DC">
      <w:start w:val="1"/>
      <w:numFmt w:val="lowerRoman"/>
      <w:lvlText w:val="%6."/>
      <w:lvlJc w:val="right"/>
      <w:pPr>
        <w:ind w:left="4320" w:hanging="180"/>
      </w:pPr>
    </w:lvl>
    <w:lvl w:ilvl="6" w:tplc="04929F6C">
      <w:start w:val="1"/>
      <w:numFmt w:val="decimal"/>
      <w:lvlText w:val="%7."/>
      <w:lvlJc w:val="left"/>
      <w:pPr>
        <w:ind w:left="5040" w:hanging="360"/>
      </w:pPr>
    </w:lvl>
    <w:lvl w:ilvl="7" w:tplc="64F202FE">
      <w:start w:val="1"/>
      <w:numFmt w:val="lowerLetter"/>
      <w:lvlText w:val="%8."/>
      <w:lvlJc w:val="left"/>
      <w:pPr>
        <w:ind w:left="5760" w:hanging="360"/>
      </w:pPr>
    </w:lvl>
    <w:lvl w:ilvl="8" w:tplc="25EACEAC">
      <w:start w:val="1"/>
      <w:numFmt w:val="lowerRoman"/>
      <w:lvlText w:val="%9."/>
      <w:lvlJc w:val="right"/>
      <w:pPr>
        <w:ind w:left="6480" w:hanging="180"/>
      </w:pPr>
    </w:lvl>
  </w:abstractNum>
  <w:abstractNum w:abstractNumId="3" w15:restartNumberingAfterBreak="0">
    <w:nsid w:val="03D37091"/>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43C1C0E"/>
    <w:multiLevelType w:val="hybridMultilevel"/>
    <w:tmpl w:val="E3EEADDA"/>
    <w:lvl w:ilvl="0" w:tplc="65CE1BA8">
      <w:start w:val="1"/>
      <w:numFmt w:val="decimal"/>
      <w:lvlText w:val="%1."/>
      <w:lvlJc w:val="left"/>
      <w:pPr>
        <w:tabs>
          <w:tab w:val="num" w:pos="360"/>
        </w:tabs>
        <w:ind w:left="360" w:hanging="360"/>
      </w:pPr>
      <w:rPr>
        <w:rFonts w:ascii="Times New Roman" w:hAnsi="Times New Roman" w:cs="Times New Roman" w:hint="default"/>
        <w:b w:val="0"/>
        <w:sz w:val="22"/>
        <w:szCs w:val="22"/>
      </w:rPr>
    </w:lvl>
    <w:lvl w:ilvl="1" w:tplc="08090019">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5" w15:restartNumberingAfterBreak="0">
    <w:nsid w:val="08C0643C"/>
    <w:multiLevelType w:val="hybridMultilevel"/>
    <w:tmpl w:val="85EC22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A54675D"/>
    <w:multiLevelType w:val="hybridMultilevel"/>
    <w:tmpl w:val="FFFFFFFF"/>
    <w:lvl w:ilvl="0" w:tplc="572C8D8C">
      <w:start w:val="1"/>
      <w:numFmt w:val="lowerRoman"/>
      <w:lvlText w:val="%1."/>
      <w:lvlJc w:val="right"/>
      <w:pPr>
        <w:ind w:left="720" w:hanging="360"/>
      </w:pPr>
    </w:lvl>
    <w:lvl w:ilvl="1" w:tplc="AAF0537A">
      <w:start w:val="1"/>
      <w:numFmt w:val="lowerLetter"/>
      <w:lvlText w:val="%2."/>
      <w:lvlJc w:val="left"/>
      <w:pPr>
        <w:ind w:left="1440" w:hanging="360"/>
      </w:pPr>
    </w:lvl>
    <w:lvl w:ilvl="2" w:tplc="DF6A7CFC">
      <w:start w:val="1"/>
      <w:numFmt w:val="lowerRoman"/>
      <w:lvlText w:val="%3."/>
      <w:lvlJc w:val="right"/>
      <w:pPr>
        <w:ind w:left="2160" w:hanging="180"/>
      </w:pPr>
    </w:lvl>
    <w:lvl w:ilvl="3" w:tplc="3460AD62">
      <w:start w:val="1"/>
      <w:numFmt w:val="decimal"/>
      <w:lvlText w:val="%4."/>
      <w:lvlJc w:val="left"/>
      <w:pPr>
        <w:ind w:left="2880" w:hanging="360"/>
      </w:pPr>
    </w:lvl>
    <w:lvl w:ilvl="4" w:tplc="25F46978">
      <w:start w:val="1"/>
      <w:numFmt w:val="lowerLetter"/>
      <w:lvlText w:val="%5."/>
      <w:lvlJc w:val="left"/>
      <w:pPr>
        <w:ind w:left="3600" w:hanging="360"/>
      </w:pPr>
    </w:lvl>
    <w:lvl w:ilvl="5" w:tplc="7C4AB3A6">
      <w:start w:val="1"/>
      <w:numFmt w:val="lowerRoman"/>
      <w:lvlText w:val="%6."/>
      <w:lvlJc w:val="right"/>
      <w:pPr>
        <w:ind w:left="4320" w:hanging="180"/>
      </w:pPr>
    </w:lvl>
    <w:lvl w:ilvl="6" w:tplc="96E8B7FA">
      <w:start w:val="1"/>
      <w:numFmt w:val="decimal"/>
      <w:lvlText w:val="%7."/>
      <w:lvlJc w:val="left"/>
      <w:pPr>
        <w:ind w:left="5040" w:hanging="360"/>
      </w:pPr>
    </w:lvl>
    <w:lvl w:ilvl="7" w:tplc="61B24CBE">
      <w:start w:val="1"/>
      <w:numFmt w:val="lowerLetter"/>
      <w:lvlText w:val="%8."/>
      <w:lvlJc w:val="left"/>
      <w:pPr>
        <w:ind w:left="5760" w:hanging="360"/>
      </w:pPr>
    </w:lvl>
    <w:lvl w:ilvl="8" w:tplc="8D882BB8">
      <w:start w:val="1"/>
      <w:numFmt w:val="lowerRoman"/>
      <w:lvlText w:val="%9."/>
      <w:lvlJc w:val="right"/>
      <w:pPr>
        <w:ind w:left="6480" w:hanging="180"/>
      </w:pPr>
    </w:lvl>
  </w:abstractNum>
  <w:abstractNum w:abstractNumId="7" w15:restartNumberingAfterBreak="0">
    <w:nsid w:val="12394BFE"/>
    <w:multiLevelType w:val="hybridMultilevel"/>
    <w:tmpl w:val="B3E62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6B132F"/>
    <w:multiLevelType w:val="hybridMultilevel"/>
    <w:tmpl w:val="DDA24734"/>
    <w:lvl w:ilvl="0" w:tplc="2B54A368">
      <w:start w:val="1"/>
      <w:numFmt w:val="decimal"/>
      <w:lvlText w:val="%1."/>
      <w:lvlJc w:val="left"/>
      <w:pPr>
        <w:ind w:left="43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53E3273"/>
    <w:multiLevelType w:val="hybridMultilevel"/>
    <w:tmpl w:val="FFFFFFFF"/>
    <w:lvl w:ilvl="0" w:tplc="626E89EE">
      <w:start w:val="1"/>
      <w:numFmt w:val="lowerRoman"/>
      <w:lvlText w:val="%1."/>
      <w:lvlJc w:val="right"/>
      <w:pPr>
        <w:ind w:left="720" w:hanging="360"/>
      </w:pPr>
    </w:lvl>
    <w:lvl w:ilvl="1" w:tplc="DAA6CF8C">
      <w:start w:val="1"/>
      <w:numFmt w:val="lowerLetter"/>
      <w:lvlText w:val="%2."/>
      <w:lvlJc w:val="left"/>
      <w:pPr>
        <w:ind w:left="1440" w:hanging="360"/>
      </w:pPr>
    </w:lvl>
    <w:lvl w:ilvl="2" w:tplc="DB9A1E74">
      <w:start w:val="1"/>
      <w:numFmt w:val="lowerRoman"/>
      <w:lvlText w:val="%3."/>
      <w:lvlJc w:val="right"/>
      <w:pPr>
        <w:ind w:left="2160" w:hanging="180"/>
      </w:pPr>
    </w:lvl>
    <w:lvl w:ilvl="3" w:tplc="C3FC5142">
      <w:start w:val="1"/>
      <w:numFmt w:val="decimal"/>
      <w:lvlText w:val="%4."/>
      <w:lvlJc w:val="left"/>
      <w:pPr>
        <w:ind w:left="2880" w:hanging="360"/>
      </w:pPr>
    </w:lvl>
    <w:lvl w:ilvl="4" w:tplc="E7B22C16">
      <w:start w:val="1"/>
      <w:numFmt w:val="lowerLetter"/>
      <w:lvlText w:val="%5."/>
      <w:lvlJc w:val="left"/>
      <w:pPr>
        <w:ind w:left="3600" w:hanging="360"/>
      </w:pPr>
    </w:lvl>
    <w:lvl w:ilvl="5" w:tplc="997A5ACC">
      <w:start w:val="1"/>
      <w:numFmt w:val="lowerRoman"/>
      <w:lvlText w:val="%6."/>
      <w:lvlJc w:val="right"/>
      <w:pPr>
        <w:ind w:left="4320" w:hanging="180"/>
      </w:pPr>
    </w:lvl>
    <w:lvl w:ilvl="6" w:tplc="98684644">
      <w:start w:val="1"/>
      <w:numFmt w:val="decimal"/>
      <w:lvlText w:val="%7."/>
      <w:lvlJc w:val="left"/>
      <w:pPr>
        <w:ind w:left="5040" w:hanging="360"/>
      </w:pPr>
    </w:lvl>
    <w:lvl w:ilvl="7" w:tplc="19AAF73A">
      <w:start w:val="1"/>
      <w:numFmt w:val="lowerLetter"/>
      <w:lvlText w:val="%8."/>
      <w:lvlJc w:val="left"/>
      <w:pPr>
        <w:ind w:left="5760" w:hanging="360"/>
      </w:pPr>
    </w:lvl>
    <w:lvl w:ilvl="8" w:tplc="F342CE28">
      <w:start w:val="1"/>
      <w:numFmt w:val="lowerRoman"/>
      <w:lvlText w:val="%9."/>
      <w:lvlJc w:val="right"/>
      <w:pPr>
        <w:ind w:left="6480" w:hanging="180"/>
      </w:pPr>
    </w:lvl>
  </w:abstractNum>
  <w:abstractNum w:abstractNumId="10" w15:restartNumberingAfterBreak="0">
    <w:nsid w:val="158A11C9"/>
    <w:multiLevelType w:val="multilevel"/>
    <w:tmpl w:val="0574AAA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1" w15:restartNumberingAfterBreak="0">
    <w:nsid w:val="16073905"/>
    <w:multiLevelType w:val="hybridMultilevel"/>
    <w:tmpl w:val="FFFFFFFF"/>
    <w:lvl w:ilvl="0" w:tplc="52D2B8BE">
      <w:start w:val="1"/>
      <w:numFmt w:val="lowerRoman"/>
      <w:lvlText w:val="%1."/>
      <w:lvlJc w:val="right"/>
      <w:pPr>
        <w:ind w:left="720" w:hanging="360"/>
      </w:pPr>
    </w:lvl>
    <w:lvl w:ilvl="1" w:tplc="E78A15DA">
      <w:start w:val="1"/>
      <w:numFmt w:val="lowerLetter"/>
      <w:lvlText w:val="%2."/>
      <w:lvlJc w:val="left"/>
      <w:pPr>
        <w:ind w:left="1440" w:hanging="360"/>
      </w:pPr>
    </w:lvl>
    <w:lvl w:ilvl="2" w:tplc="B378AAA2">
      <w:start w:val="1"/>
      <w:numFmt w:val="lowerRoman"/>
      <w:lvlText w:val="%3."/>
      <w:lvlJc w:val="right"/>
      <w:pPr>
        <w:ind w:left="2160" w:hanging="180"/>
      </w:pPr>
    </w:lvl>
    <w:lvl w:ilvl="3" w:tplc="A93833BC">
      <w:start w:val="1"/>
      <w:numFmt w:val="decimal"/>
      <w:lvlText w:val="%4."/>
      <w:lvlJc w:val="left"/>
      <w:pPr>
        <w:ind w:left="2880" w:hanging="360"/>
      </w:pPr>
    </w:lvl>
    <w:lvl w:ilvl="4" w:tplc="32241308">
      <w:start w:val="1"/>
      <w:numFmt w:val="lowerLetter"/>
      <w:lvlText w:val="%5."/>
      <w:lvlJc w:val="left"/>
      <w:pPr>
        <w:ind w:left="3600" w:hanging="360"/>
      </w:pPr>
    </w:lvl>
    <w:lvl w:ilvl="5" w:tplc="6C522034">
      <w:start w:val="1"/>
      <w:numFmt w:val="lowerRoman"/>
      <w:lvlText w:val="%6."/>
      <w:lvlJc w:val="right"/>
      <w:pPr>
        <w:ind w:left="4320" w:hanging="180"/>
      </w:pPr>
    </w:lvl>
    <w:lvl w:ilvl="6" w:tplc="BBC85F60">
      <w:start w:val="1"/>
      <w:numFmt w:val="decimal"/>
      <w:lvlText w:val="%7."/>
      <w:lvlJc w:val="left"/>
      <w:pPr>
        <w:ind w:left="5040" w:hanging="360"/>
      </w:pPr>
    </w:lvl>
    <w:lvl w:ilvl="7" w:tplc="3E687E46">
      <w:start w:val="1"/>
      <w:numFmt w:val="lowerLetter"/>
      <w:lvlText w:val="%8."/>
      <w:lvlJc w:val="left"/>
      <w:pPr>
        <w:ind w:left="5760" w:hanging="360"/>
      </w:pPr>
    </w:lvl>
    <w:lvl w:ilvl="8" w:tplc="AB9C294C">
      <w:start w:val="1"/>
      <w:numFmt w:val="lowerRoman"/>
      <w:lvlText w:val="%9."/>
      <w:lvlJc w:val="right"/>
      <w:pPr>
        <w:ind w:left="6480" w:hanging="180"/>
      </w:pPr>
    </w:lvl>
  </w:abstractNum>
  <w:abstractNum w:abstractNumId="12" w15:restartNumberingAfterBreak="0">
    <w:nsid w:val="171B29A2"/>
    <w:multiLevelType w:val="hybridMultilevel"/>
    <w:tmpl w:val="EF3EA4AA"/>
    <w:lvl w:ilvl="0" w:tplc="7F80F2C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61237B"/>
    <w:multiLevelType w:val="hybridMultilevel"/>
    <w:tmpl w:val="54EC393A"/>
    <w:lvl w:ilvl="0" w:tplc="C0E6BAF4">
      <w:start w:val="1"/>
      <w:numFmt w:val="upperLetter"/>
      <w:lvlText w:val="%1."/>
      <w:lvlJc w:val="left"/>
      <w:pPr>
        <w:ind w:left="1800" w:hanging="360"/>
      </w:pPr>
      <w:rPr>
        <w:i w:val="0"/>
        <w:iCs/>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4" w15:restartNumberingAfterBreak="0">
    <w:nsid w:val="1BC2059D"/>
    <w:multiLevelType w:val="hybridMultilevel"/>
    <w:tmpl w:val="74544F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ECA6D01"/>
    <w:multiLevelType w:val="hybridMultilevel"/>
    <w:tmpl w:val="FFFFFFFF"/>
    <w:lvl w:ilvl="0" w:tplc="40406D24">
      <w:start w:val="1"/>
      <w:numFmt w:val="lowerRoman"/>
      <w:lvlText w:val="%1."/>
      <w:lvlJc w:val="right"/>
      <w:pPr>
        <w:ind w:left="720" w:hanging="360"/>
      </w:pPr>
    </w:lvl>
    <w:lvl w:ilvl="1" w:tplc="91D0615A">
      <w:start w:val="1"/>
      <w:numFmt w:val="lowerLetter"/>
      <w:lvlText w:val="%2."/>
      <w:lvlJc w:val="left"/>
      <w:pPr>
        <w:ind w:left="1440" w:hanging="360"/>
      </w:pPr>
    </w:lvl>
    <w:lvl w:ilvl="2" w:tplc="555AEB8A">
      <w:start w:val="1"/>
      <w:numFmt w:val="lowerRoman"/>
      <w:lvlText w:val="%3."/>
      <w:lvlJc w:val="right"/>
      <w:pPr>
        <w:ind w:left="2160" w:hanging="180"/>
      </w:pPr>
    </w:lvl>
    <w:lvl w:ilvl="3" w:tplc="CD62C664">
      <w:start w:val="1"/>
      <w:numFmt w:val="decimal"/>
      <w:lvlText w:val="%4."/>
      <w:lvlJc w:val="left"/>
      <w:pPr>
        <w:ind w:left="2880" w:hanging="360"/>
      </w:pPr>
    </w:lvl>
    <w:lvl w:ilvl="4" w:tplc="9D86BE54">
      <w:start w:val="1"/>
      <w:numFmt w:val="lowerLetter"/>
      <w:lvlText w:val="%5."/>
      <w:lvlJc w:val="left"/>
      <w:pPr>
        <w:ind w:left="3600" w:hanging="360"/>
      </w:pPr>
    </w:lvl>
    <w:lvl w:ilvl="5" w:tplc="2EFABBFC">
      <w:start w:val="1"/>
      <w:numFmt w:val="lowerRoman"/>
      <w:lvlText w:val="%6."/>
      <w:lvlJc w:val="right"/>
      <w:pPr>
        <w:ind w:left="4320" w:hanging="180"/>
      </w:pPr>
    </w:lvl>
    <w:lvl w:ilvl="6" w:tplc="49E65F0A">
      <w:start w:val="1"/>
      <w:numFmt w:val="decimal"/>
      <w:lvlText w:val="%7."/>
      <w:lvlJc w:val="left"/>
      <w:pPr>
        <w:ind w:left="5040" w:hanging="360"/>
      </w:pPr>
    </w:lvl>
    <w:lvl w:ilvl="7" w:tplc="62E8BD66">
      <w:start w:val="1"/>
      <w:numFmt w:val="lowerLetter"/>
      <w:lvlText w:val="%8."/>
      <w:lvlJc w:val="left"/>
      <w:pPr>
        <w:ind w:left="5760" w:hanging="360"/>
      </w:pPr>
    </w:lvl>
    <w:lvl w:ilvl="8" w:tplc="A62699E0">
      <w:start w:val="1"/>
      <w:numFmt w:val="lowerRoman"/>
      <w:lvlText w:val="%9."/>
      <w:lvlJc w:val="right"/>
      <w:pPr>
        <w:ind w:left="6480" w:hanging="180"/>
      </w:pPr>
    </w:lvl>
  </w:abstractNum>
  <w:abstractNum w:abstractNumId="16" w15:restartNumberingAfterBreak="0">
    <w:nsid w:val="23F34B8F"/>
    <w:multiLevelType w:val="hybridMultilevel"/>
    <w:tmpl w:val="553EA020"/>
    <w:lvl w:ilvl="0" w:tplc="9D24F478">
      <w:start w:val="1"/>
      <w:numFmt w:val="decimal"/>
      <w:lvlText w:val="%1."/>
      <w:lvlJc w:val="left"/>
      <w:pPr>
        <w:ind w:left="1440" w:hanging="7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FC67F0"/>
    <w:multiLevelType w:val="hybridMultilevel"/>
    <w:tmpl w:val="496AC934"/>
    <w:lvl w:ilvl="0" w:tplc="68A861F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9C6D09"/>
    <w:multiLevelType w:val="hybridMultilevel"/>
    <w:tmpl w:val="FFFFFFFF"/>
    <w:lvl w:ilvl="0" w:tplc="A48E4C32">
      <w:start w:val="1"/>
      <w:numFmt w:val="lowerRoman"/>
      <w:lvlText w:val="%1."/>
      <w:lvlJc w:val="right"/>
      <w:pPr>
        <w:ind w:left="720" w:hanging="360"/>
      </w:pPr>
    </w:lvl>
    <w:lvl w:ilvl="1" w:tplc="AA80A1A6">
      <w:start w:val="1"/>
      <w:numFmt w:val="lowerLetter"/>
      <w:lvlText w:val="%2."/>
      <w:lvlJc w:val="left"/>
      <w:pPr>
        <w:ind w:left="1440" w:hanging="360"/>
      </w:pPr>
    </w:lvl>
    <w:lvl w:ilvl="2" w:tplc="F14A65F6">
      <w:start w:val="1"/>
      <w:numFmt w:val="lowerRoman"/>
      <w:lvlText w:val="%3."/>
      <w:lvlJc w:val="right"/>
      <w:pPr>
        <w:ind w:left="2160" w:hanging="180"/>
      </w:pPr>
    </w:lvl>
    <w:lvl w:ilvl="3" w:tplc="EEE8E37A">
      <w:start w:val="1"/>
      <w:numFmt w:val="decimal"/>
      <w:lvlText w:val="%4."/>
      <w:lvlJc w:val="left"/>
      <w:pPr>
        <w:ind w:left="2880" w:hanging="360"/>
      </w:pPr>
    </w:lvl>
    <w:lvl w:ilvl="4" w:tplc="62245626">
      <w:start w:val="1"/>
      <w:numFmt w:val="lowerLetter"/>
      <w:lvlText w:val="%5."/>
      <w:lvlJc w:val="left"/>
      <w:pPr>
        <w:ind w:left="3600" w:hanging="360"/>
      </w:pPr>
    </w:lvl>
    <w:lvl w:ilvl="5" w:tplc="462C9720">
      <w:start w:val="1"/>
      <w:numFmt w:val="lowerRoman"/>
      <w:lvlText w:val="%6."/>
      <w:lvlJc w:val="right"/>
      <w:pPr>
        <w:ind w:left="4320" w:hanging="180"/>
      </w:pPr>
    </w:lvl>
    <w:lvl w:ilvl="6" w:tplc="1C568B08">
      <w:start w:val="1"/>
      <w:numFmt w:val="decimal"/>
      <w:lvlText w:val="%7."/>
      <w:lvlJc w:val="left"/>
      <w:pPr>
        <w:ind w:left="5040" w:hanging="360"/>
      </w:pPr>
    </w:lvl>
    <w:lvl w:ilvl="7" w:tplc="50D201A8">
      <w:start w:val="1"/>
      <w:numFmt w:val="lowerLetter"/>
      <w:lvlText w:val="%8."/>
      <w:lvlJc w:val="left"/>
      <w:pPr>
        <w:ind w:left="5760" w:hanging="360"/>
      </w:pPr>
    </w:lvl>
    <w:lvl w:ilvl="8" w:tplc="D4F4438C">
      <w:start w:val="1"/>
      <w:numFmt w:val="lowerRoman"/>
      <w:lvlText w:val="%9."/>
      <w:lvlJc w:val="right"/>
      <w:pPr>
        <w:ind w:left="6480" w:hanging="180"/>
      </w:pPr>
    </w:lvl>
  </w:abstractNum>
  <w:abstractNum w:abstractNumId="19" w15:restartNumberingAfterBreak="0">
    <w:nsid w:val="29585FB2"/>
    <w:multiLevelType w:val="hybridMultilevel"/>
    <w:tmpl w:val="496AC934"/>
    <w:lvl w:ilvl="0" w:tplc="68A861F0">
      <w:start w:val="1"/>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FE5AAB"/>
    <w:multiLevelType w:val="hybridMultilevel"/>
    <w:tmpl w:val="35C88BDE"/>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DA12AEC"/>
    <w:multiLevelType w:val="hybridMultilevel"/>
    <w:tmpl w:val="6D920198"/>
    <w:lvl w:ilvl="0" w:tplc="354AC9BA">
      <w:start w:val="1"/>
      <w:numFmt w:val="decimal"/>
      <w:lvlText w:val="%1."/>
      <w:lvlJc w:val="left"/>
      <w:pPr>
        <w:ind w:left="720" w:hanging="360"/>
      </w:pPr>
      <w:rPr>
        <w:rFonts w:eastAsia="Times New Roman"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15:restartNumberingAfterBreak="0">
    <w:nsid w:val="31D46006"/>
    <w:multiLevelType w:val="hybridMultilevel"/>
    <w:tmpl w:val="3D5E9A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5204183"/>
    <w:multiLevelType w:val="hybridMultilevel"/>
    <w:tmpl w:val="2670E2FA"/>
    <w:lvl w:ilvl="0" w:tplc="B824B77A">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361042E5"/>
    <w:multiLevelType w:val="hybridMultilevel"/>
    <w:tmpl w:val="6AB8811E"/>
    <w:lvl w:ilvl="0" w:tplc="BAA856B0">
      <w:start w:val="1"/>
      <w:numFmt w:val="decimal"/>
      <w:lvlText w:val="%1."/>
      <w:lvlJc w:val="left"/>
      <w:pPr>
        <w:ind w:left="720" w:hanging="360"/>
      </w:pPr>
      <w:rPr>
        <w:rFonts w:hint="default"/>
        <w:i w:val="0"/>
        <w:iCs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673AF2"/>
    <w:multiLevelType w:val="multilevel"/>
    <w:tmpl w:val="4A54D94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27" w15:restartNumberingAfterBreak="0">
    <w:nsid w:val="37557052"/>
    <w:multiLevelType w:val="hybridMultilevel"/>
    <w:tmpl w:val="FFFFFFFF"/>
    <w:lvl w:ilvl="0" w:tplc="6E74B896">
      <w:start w:val="1"/>
      <w:numFmt w:val="lowerRoman"/>
      <w:lvlText w:val="%1."/>
      <w:lvlJc w:val="right"/>
      <w:pPr>
        <w:ind w:left="720" w:hanging="360"/>
      </w:pPr>
    </w:lvl>
    <w:lvl w:ilvl="1" w:tplc="C01EBF58">
      <w:start w:val="1"/>
      <w:numFmt w:val="lowerLetter"/>
      <w:lvlText w:val="%2."/>
      <w:lvlJc w:val="left"/>
      <w:pPr>
        <w:ind w:left="1440" w:hanging="360"/>
      </w:pPr>
    </w:lvl>
    <w:lvl w:ilvl="2" w:tplc="35C07DCC">
      <w:start w:val="1"/>
      <w:numFmt w:val="lowerRoman"/>
      <w:lvlText w:val="%3."/>
      <w:lvlJc w:val="right"/>
      <w:pPr>
        <w:ind w:left="2160" w:hanging="180"/>
      </w:pPr>
    </w:lvl>
    <w:lvl w:ilvl="3" w:tplc="675E12F6">
      <w:start w:val="1"/>
      <w:numFmt w:val="decimal"/>
      <w:lvlText w:val="%4."/>
      <w:lvlJc w:val="left"/>
      <w:pPr>
        <w:ind w:left="2880" w:hanging="360"/>
      </w:pPr>
    </w:lvl>
    <w:lvl w:ilvl="4" w:tplc="C9984838">
      <w:start w:val="1"/>
      <w:numFmt w:val="lowerLetter"/>
      <w:lvlText w:val="%5."/>
      <w:lvlJc w:val="left"/>
      <w:pPr>
        <w:ind w:left="3600" w:hanging="360"/>
      </w:pPr>
    </w:lvl>
    <w:lvl w:ilvl="5" w:tplc="0EB0F26E">
      <w:start w:val="1"/>
      <w:numFmt w:val="lowerRoman"/>
      <w:lvlText w:val="%6."/>
      <w:lvlJc w:val="right"/>
      <w:pPr>
        <w:ind w:left="4320" w:hanging="180"/>
      </w:pPr>
    </w:lvl>
    <w:lvl w:ilvl="6" w:tplc="F5822F98">
      <w:start w:val="1"/>
      <w:numFmt w:val="decimal"/>
      <w:lvlText w:val="%7."/>
      <w:lvlJc w:val="left"/>
      <w:pPr>
        <w:ind w:left="5040" w:hanging="360"/>
      </w:pPr>
    </w:lvl>
    <w:lvl w:ilvl="7" w:tplc="49D269EA">
      <w:start w:val="1"/>
      <w:numFmt w:val="lowerLetter"/>
      <w:lvlText w:val="%8."/>
      <w:lvlJc w:val="left"/>
      <w:pPr>
        <w:ind w:left="5760" w:hanging="360"/>
      </w:pPr>
    </w:lvl>
    <w:lvl w:ilvl="8" w:tplc="97202D30">
      <w:start w:val="1"/>
      <w:numFmt w:val="lowerRoman"/>
      <w:lvlText w:val="%9."/>
      <w:lvlJc w:val="right"/>
      <w:pPr>
        <w:ind w:left="6480" w:hanging="180"/>
      </w:pPr>
    </w:lvl>
  </w:abstractNum>
  <w:abstractNum w:abstractNumId="28" w15:restartNumberingAfterBreak="0">
    <w:nsid w:val="396814BD"/>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97910AC"/>
    <w:multiLevelType w:val="hybridMultilevel"/>
    <w:tmpl w:val="A8FE85CC"/>
    <w:lvl w:ilvl="0" w:tplc="ACDAC4DC">
      <w:start w:val="31"/>
      <w:numFmt w:val="bullet"/>
      <w:lvlText w:val="-"/>
      <w:lvlJc w:val="left"/>
      <w:pPr>
        <w:ind w:left="720" w:hanging="360"/>
      </w:pPr>
      <w:rPr>
        <w:rFonts w:ascii="Times New Roman" w:eastAsia="Malgun Gothic"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1" w15:restartNumberingAfterBreak="0">
    <w:nsid w:val="3E4D45D6"/>
    <w:multiLevelType w:val="hybridMultilevel"/>
    <w:tmpl w:val="D1FC6818"/>
    <w:lvl w:ilvl="0" w:tplc="E3E464E0">
      <w:start w:val="1"/>
      <w:numFmt w:val="lowerLetter"/>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416D42DB"/>
    <w:multiLevelType w:val="hybridMultilevel"/>
    <w:tmpl w:val="FFFFFFFF"/>
    <w:lvl w:ilvl="0" w:tplc="37F052DC">
      <w:start w:val="1"/>
      <w:numFmt w:val="lowerRoman"/>
      <w:lvlText w:val="%1."/>
      <w:lvlJc w:val="right"/>
      <w:pPr>
        <w:ind w:left="720" w:hanging="360"/>
      </w:pPr>
    </w:lvl>
    <w:lvl w:ilvl="1" w:tplc="3618C480">
      <w:start w:val="1"/>
      <w:numFmt w:val="lowerLetter"/>
      <w:lvlText w:val="%2."/>
      <w:lvlJc w:val="left"/>
      <w:pPr>
        <w:ind w:left="1440" w:hanging="360"/>
      </w:pPr>
    </w:lvl>
    <w:lvl w:ilvl="2" w:tplc="13EEF6F8">
      <w:start w:val="1"/>
      <w:numFmt w:val="lowerRoman"/>
      <w:lvlText w:val="%3."/>
      <w:lvlJc w:val="right"/>
      <w:pPr>
        <w:ind w:left="2160" w:hanging="180"/>
      </w:pPr>
    </w:lvl>
    <w:lvl w:ilvl="3" w:tplc="433E09E6">
      <w:start w:val="1"/>
      <w:numFmt w:val="decimal"/>
      <w:lvlText w:val="%4."/>
      <w:lvlJc w:val="left"/>
      <w:pPr>
        <w:ind w:left="2880" w:hanging="360"/>
      </w:pPr>
    </w:lvl>
    <w:lvl w:ilvl="4" w:tplc="084A4F8E">
      <w:start w:val="1"/>
      <w:numFmt w:val="lowerLetter"/>
      <w:lvlText w:val="%5."/>
      <w:lvlJc w:val="left"/>
      <w:pPr>
        <w:ind w:left="3600" w:hanging="360"/>
      </w:pPr>
    </w:lvl>
    <w:lvl w:ilvl="5" w:tplc="4C3C0078">
      <w:start w:val="1"/>
      <w:numFmt w:val="lowerRoman"/>
      <w:lvlText w:val="%6."/>
      <w:lvlJc w:val="right"/>
      <w:pPr>
        <w:ind w:left="4320" w:hanging="180"/>
      </w:pPr>
    </w:lvl>
    <w:lvl w:ilvl="6" w:tplc="34700C14">
      <w:start w:val="1"/>
      <w:numFmt w:val="decimal"/>
      <w:lvlText w:val="%7."/>
      <w:lvlJc w:val="left"/>
      <w:pPr>
        <w:ind w:left="5040" w:hanging="360"/>
      </w:pPr>
    </w:lvl>
    <w:lvl w:ilvl="7" w:tplc="DCE6000A">
      <w:start w:val="1"/>
      <w:numFmt w:val="lowerLetter"/>
      <w:lvlText w:val="%8."/>
      <w:lvlJc w:val="left"/>
      <w:pPr>
        <w:ind w:left="5760" w:hanging="360"/>
      </w:pPr>
    </w:lvl>
    <w:lvl w:ilvl="8" w:tplc="DF6601C6">
      <w:start w:val="1"/>
      <w:numFmt w:val="lowerRoman"/>
      <w:lvlText w:val="%9."/>
      <w:lvlJc w:val="right"/>
      <w:pPr>
        <w:ind w:left="6480" w:hanging="180"/>
      </w:pPr>
    </w:lvl>
  </w:abstractNum>
  <w:abstractNum w:abstractNumId="33" w15:restartNumberingAfterBreak="0">
    <w:nsid w:val="48B162D1"/>
    <w:multiLevelType w:val="hybridMultilevel"/>
    <w:tmpl w:val="95626286"/>
    <w:lvl w:ilvl="0" w:tplc="68A861F0">
      <w:start w:val="1"/>
      <w:numFmt w:val="decimal"/>
      <w:lvlText w:val="%1."/>
      <w:lvlJc w:val="left"/>
      <w:pPr>
        <w:ind w:left="630" w:hanging="360"/>
      </w:pPr>
      <w:rPr>
        <w:rFonts w:hint="default"/>
        <w:color w:val="auto"/>
      </w:rPr>
    </w:lvl>
    <w:lvl w:ilvl="1" w:tplc="2ABA779E">
      <w:start w:val="1"/>
      <w:numFmt w:val="lowerLetter"/>
      <w:lvlText w:val="%2)"/>
      <w:lvlJc w:val="left"/>
      <w:pPr>
        <w:ind w:left="1440" w:hanging="360"/>
      </w:pPr>
      <w:rPr>
        <w:rFonts w:ascii="Times New Roman" w:eastAsia="Times New Roman" w:hAnsi="Times New Roman" w:cs="Times New Roman"/>
      </w:rPr>
    </w:lvl>
    <w:lvl w:ilvl="2" w:tplc="5384658E">
      <w:start w:val="2"/>
      <w:numFmt w:val="bullet"/>
      <w:lvlText w:val=""/>
      <w:lvlJc w:val="left"/>
      <w:pPr>
        <w:ind w:left="2340" w:hanging="360"/>
      </w:pPr>
      <w:rPr>
        <w:rFonts w:ascii="Symbol" w:eastAsia="Times New Roman"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F523FAB"/>
    <w:multiLevelType w:val="hybridMultilevel"/>
    <w:tmpl w:val="FFFFFFFF"/>
    <w:lvl w:ilvl="0" w:tplc="753CE1C2">
      <w:start w:val="1"/>
      <w:numFmt w:val="lowerRoman"/>
      <w:lvlText w:val="%1."/>
      <w:lvlJc w:val="right"/>
      <w:pPr>
        <w:ind w:left="720" w:hanging="360"/>
      </w:pPr>
    </w:lvl>
    <w:lvl w:ilvl="1" w:tplc="54A80744">
      <w:start w:val="1"/>
      <w:numFmt w:val="lowerLetter"/>
      <w:lvlText w:val="%2."/>
      <w:lvlJc w:val="left"/>
      <w:pPr>
        <w:ind w:left="1440" w:hanging="360"/>
      </w:pPr>
    </w:lvl>
    <w:lvl w:ilvl="2" w:tplc="04404F18">
      <w:start w:val="1"/>
      <w:numFmt w:val="lowerRoman"/>
      <w:lvlText w:val="%3."/>
      <w:lvlJc w:val="right"/>
      <w:pPr>
        <w:ind w:left="2160" w:hanging="180"/>
      </w:pPr>
    </w:lvl>
    <w:lvl w:ilvl="3" w:tplc="C3504C6E">
      <w:start w:val="1"/>
      <w:numFmt w:val="decimal"/>
      <w:lvlText w:val="%4."/>
      <w:lvlJc w:val="left"/>
      <w:pPr>
        <w:ind w:left="2880" w:hanging="360"/>
      </w:pPr>
    </w:lvl>
    <w:lvl w:ilvl="4" w:tplc="79A89A7A">
      <w:start w:val="1"/>
      <w:numFmt w:val="lowerLetter"/>
      <w:lvlText w:val="%5."/>
      <w:lvlJc w:val="left"/>
      <w:pPr>
        <w:ind w:left="3600" w:hanging="360"/>
      </w:pPr>
    </w:lvl>
    <w:lvl w:ilvl="5" w:tplc="D56ACB36">
      <w:start w:val="1"/>
      <w:numFmt w:val="lowerRoman"/>
      <w:lvlText w:val="%6."/>
      <w:lvlJc w:val="right"/>
      <w:pPr>
        <w:ind w:left="4320" w:hanging="180"/>
      </w:pPr>
    </w:lvl>
    <w:lvl w:ilvl="6" w:tplc="4CD4D288">
      <w:start w:val="1"/>
      <w:numFmt w:val="decimal"/>
      <w:lvlText w:val="%7."/>
      <w:lvlJc w:val="left"/>
      <w:pPr>
        <w:ind w:left="5040" w:hanging="360"/>
      </w:pPr>
    </w:lvl>
    <w:lvl w:ilvl="7" w:tplc="553EBCE8">
      <w:start w:val="1"/>
      <w:numFmt w:val="lowerLetter"/>
      <w:lvlText w:val="%8."/>
      <w:lvlJc w:val="left"/>
      <w:pPr>
        <w:ind w:left="5760" w:hanging="360"/>
      </w:pPr>
    </w:lvl>
    <w:lvl w:ilvl="8" w:tplc="9FBC8158">
      <w:start w:val="1"/>
      <w:numFmt w:val="lowerRoman"/>
      <w:lvlText w:val="%9."/>
      <w:lvlJc w:val="right"/>
      <w:pPr>
        <w:ind w:left="6480" w:hanging="180"/>
      </w:pPr>
    </w:lvl>
  </w:abstractNum>
  <w:abstractNum w:abstractNumId="37" w15:restartNumberingAfterBreak="0">
    <w:nsid w:val="506B6D1B"/>
    <w:multiLevelType w:val="hybridMultilevel"/>
    <w:tmpl w:val="496AC934"/>
    <w:lvl w:ilvl="0" w:tplc="68A861F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6D5637"/>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40A3D30"/>
    <w:multiLevelType w:val="hybridMultilevel"/>
    <w:tmpl w:val="980EF43E"/>
    <w:lvl w:ilvl="0" w:tplc="3716CFE2">
      <w:start w:val="1"/>
      <w:numFmt w:val="decimal"/>
      <w:lvlText w:val="%1."/>
      <w:lvlJc w:val="left"/>
      <w:pPr>
        <w:ind w:left="644" w:hanging="360"/>
      </w:pPr>
      <w:rPr>
        <w:rFonts w:cs="Times New Roman"/>
        <w:color w:val="1F497D"/>
      </w:rPr>
    </w:lvl>
    <w:lvl w:ilvl="1" w:tplc="0C070019">
      <w:start w:val="1"/>
      <w:numFmt w:val="lowerLetter"/>
      <w:lvlText w:val="%2."/>
      <w:lvlJc w:val="left"/>
      <w:pPr>
        <w:ind w:left="1364" w:hanging="360"/>
      </w:pPr>
      <w:rPr>
        <w:rFonts w:cs="Times New Roman"/>
      </w:rPr>
    </w:lvl>
    <w:lvl w:ilvl="2" w:tplc="0C07001B">
      <w:start w:val="1"/>
      <w:numFmt w:val="lowerRoman"/>
      <w:lvlText w:val="%3."/>
      <w:lvlJc w:val="right"/>
      <w:pPr>
        <w:ind w:left="2084" w:hanging="180"/>
      </w:pPr>
      <w:rPr>
        <w:rFonts w:cs="Times New Roman"/>
      </w:rPr>
    </w:lvl>
    <w:lvl w:ilvl="3" w:tplc="0C07000F">
      <w:start w:val="1"/>
      <w:numFmt w:val="decimal"/>
      <w:lvlText w:val="%4."/>
      <w:lvlJc w:val="left"/>
      <w:pPr>
        <w:ind w:left="2804" w:hanging="360"/>
      </w:pPr>
      <w:rPr>
        <w:rFonts w:cs="Times New Roman"/>
      </w:rPr>
    </w:lvl>
    <w:lvl w:ilvl="4" w:tplc="0C070019">
      <w:start w:val="1"/>
      <w:numFmt w:val="lowerLetter"/>
      <w:lvlText w:val="%5."/>
      <w:lvlJc w:val="left"/>
      <w:pPr>
        <w:ind w:left="3524" w:hanging="360"/>
      </w:pPr>
      <w:rPr>
        <w:rFonts w:cs="Times New Roman"/>
      </w:rPr>
    </w:lvl>
    <w:lvl w:ilvl="5" w:tplc="0C07001B">
      <w:start w:val="1"/>
      <w:numFmt w:val="lowerRoman"/>
      <w:lvlText w:val="%6."/>
      <w:lvlJc w:val="right"/>
      <w:pPr>
        <w:ind w:left="4244" w:hanging="180"/>
      </w:pPr>
      <w:rPr>
        <w:rFonts w:cs="Times New Roman"/>
      </w:rPr>
    </w:lvl>
    <w:lvl w:ilvl="6" w:tplc="0C07000F">
      <w:start w:val="1"/>
      <w:numFmt w:val="decimal"/>
      <w:lvlText w:val="%7."/>
      <w:lvlJc w:val="left"/>
      <w:pPr>
        <w:ind w:left="4964" w:hanging="360"/>
      </w:pPr>
      <w:rPr>
        <w:rFonts w:cs="Times New Roman"/>
      </w:rPr>
    </w:lvl>
    <w:lvl w:ilvl="7" w:tplc="0C070019">
      <w:start w:val="1"/>
      <w:numFmt w:val="lowerLetter"/>
      <w:lvlText w:val="%8."/>
      <w:lvlJc w:val="left"/>
      <w:pPr>
        <w:ind w:left="5684" w:hanging="360"/>
      </w:pPr>
      <w:rPr>
        <w:rFonts w:cs="Times New Roman"/>
      </w:rPr>
    </w:lvl>
    <w:lvl w:ilvl="8" w:tplc="0C07001B">
      <w:start w:val="1"/>
      <w:numFmt w:val="lowerRoman"/>
      <w:lvlText w:val="%9."/>
      <w:lvlJc w:val="right"/>
      <w:pPr>
        <w:ind w:left="6404" w:hanging="180"/>
      </w:pPr>
      <w:rPr>
        <w:rFonts w:cs="Times New Roman"/>
      </w:rPr>
    </w:lvl>
  </w:abstractNum>
  <w:abstractNum w:abstractNumId="40" w15:restartNumberingAfterBreak="0">
    <w:nsid w:val="550A17DD"/>
    <w:multiLevelType w:val="hybridMultilevel"/>
    <w:tmpl w:val="5DC26996"/>
    <w:lvl w:ilvl="0" w:tplc="F78EA30E">
      <w:start w:val="1"/>
      <w:numFmt w:val="upperRoman"/>
      <w:lvlText w:val="%1."/>
      <w:lvlJc w:val="left"/>
      <w:pPr>
        <w:ind w:left="1800" w:hanging="360"/>
      </w:pPr>
      <w:rPr>
        <w:rFonts w:hint="default"/>
        <w:b/>
        <w:bCs/>
        <w:sz w:val="22"/>
        <w:szCs w:val="22"/>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41" w15:restartNumberingAfterBreak="0">
    <w:nsid w:val="57AD4D20"/>
    <w:multiLevelType w:val="hybridMultilevel"/>
    <w:tmpl w:val="FFFFFFFF"/>
    <w:lvl w:ilvl="0" w:tplc="F274D500">
      <w:start w:val="1"/>
      <w:numFmt w:val="lowerRoman"/>
      <w:lvlText w:val="%1."/>
      <w:lvlJc w:val="right"/>
      <w:pPr>
        <w:ind w:left="720" w:hanging="360"/>
      </w:pPr>
    </w:lvl>
    <w:lvl w:ilvl="1" w:tplc="1E90D4A2">
      <w:start w:val="1"/>
      <w:numFmt w:val="lowerLetter"/>
      <w:lvlText w:val="%2."/>
      <w:lvlJc w:val="left"/>
      <w:pPr>
        <w:ind w:left="1440" w:hanging="360"/>
      </w:pPr>
    </w:lvl>
    <w:lvl w:ilvl="2" w:tplc="E2022A00">
      <w:start w:val="1"/>
      <w:numFmt w:val="lowerRoman"/>
      <w:lvlText w:val="%3."/>
      <w:lvlJc w:val="right"/>
      <w:pPr>
        <w:ind w:left="2160" w:hanging="180"/>
      </w:pPr>
    </w:lvl>
    <w:lvl w:ilvl="3" w:tplc="A9C0DE52">
      <w:start w:val="1"/>
      <w:numFmt w:val="decimal"/>
      <w:lvlText w:val="%4."/>
      <w:lvlJc w:val="left"/>
      <w:pPr>
        <w:ind w:left="2880" w:hanging="360"/>
      </w:pPr>
    </w:lvl>
    <w:lvl w:ilvl="4" w:tplc="798435F0">
      <w:start w:val="1"/>
      <w:numFmt w:val="lowerLetter"/>
      <w:lvlText w:val="%5."/>
      <w:lvlJc w:val="left"/>
      <w:pPr>
        <w:ind w:left="3600" w:hanging="360"/>
      </w:pPr>
    </w:lvl>
    <w:lvl w:ilvl="5" w:tplc="AC04A9C8">
      <w:start w:val="1"/>
      <w:numFmt w:val="lowerRoman"/>
      <w:lvlText w:val="%6."/>
      <w:lvlJc w:val="right"/>
      <w:pPr>
        <w:ind w:left="4320" w:hanging="180"/>
      </w:pPr>
    </w:lvl>
    <w:lvl w:ilvl="6" w:tplc="F5E26F6A">
      <w:start w:val="1"/>
      <w:numFmt w:val="decimal"/>
      <w:lvlText w:val="%7."/>
      <w:lvlJc w:val="left"/>
      <w:pPr>
        <w:ind w:left="5040" w:hanging="360"/>
      </w:pPr>
    </w:lvl>
    <w:lvl w:ilvl="7" w:tplc="A1DE4A30">
      <w:start w:val="1"/>
      <w:numFmt w:val="lowerLetter"/>
      <w:lvlText w:val="%8."/>
      <w:lvlJc w:val="left"/>
      <w:pPr>
        <w:ind w:left="5760" w:hanging="360"/>
      </w:pPr>
    </w:lvl>
    <w:lvl w:ilvl="8" w:tplc="9404E8B0">
      <w:start w:val="1"/>
      <w:numFmt w:val="lowerRoman"/>
      <w:lvlText w:val="%9."/>
      <w:lvlJc w:val="right"/>
      <w:pPr>
        <w:ind w:left="6480" w:hanging="180"/>
      </w:pPr>
    </w:lvl>
  </w:abstractNum>
  <w:abstractNum w:abstractNumId="42" w15:restartNumberingAfterBreak="0">
    <w:nsid w:val="58840619"/>
    <w:multiLevelType w:val="hybridMultilevel"/>
    <w:tmpl w:val="5CF6DC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9F14D99"/>
    <w:multiLevelType w:val="hybridMultilevel"/>
    <w:tmpl w:val="FFFFFFFF"/>
    <w:lvl w:ilvl="0" w:tplc="4D1A556A">
      <w:start w:val="1"/>
      <w:numFmt w:val="lowerRoman"/>
      <w:lvlText w:val="%1."/>
      <w:lvlJc w:val="right"/>
      <w:pPr>
        <w:ind w:left="720" w:hanging="360"/>
      </w:pPr>
    </w:lvl>
    <w:lvl w:ilvl="1" w:tplc="34D2DC8C">
      <w:start w:val="1"/>
      <w:numFmt w:val="lowerLetter"/>
      <w:lvlText w:val="%2."/>
      <w:lvlJc w:val="left"/>
      <w:pPr>
        <w:ind w:left="1440" w:hanging="360"/>
      </w:pPr>
    </w:lvl>
    <w:lvl w:ilvl="2" w:tplc="86866936">
      <w:start w:val="1"/>
      <w:numFmt w:val="lowerRoman"/>
      <w:lvlText w:val="%3."/>
      <w:lvlJc w:val="right"/>
      <w:pPr>
        <w:ind w:left="2160" w:hanging="180"/>
      </w:pPr>
    </w:lvl>
    <w:lvl w:ilvl="3" w:tplc="BA76D30C">
      <w:start w:val="1"/>
      <w:numFmt w:val="decimal"/>
      <w:lvlText w:val="%4."/>
      <w:lvlJc w:val="left"/>
      <w:pPr>
        <w:ind w:left="2880" w:hanging="360"/>
      </w:pPr>
    </w:lvl>
    <w:lvl w:ilvl="4" w:tplc="1124EAAC">
      <w:start w:val="1"/>
      <w:numFmt w:val="lowerLetter"/>
      <w:lvlText w:val="%5."/>
      <w:lvlJc w:val="left"/>
      <w:pPr>
        <w:ind w:left="3600" w:hanging="360"/>
      </w:pPr>
    </w:lvl>
    <w:lvl w:ilvl="5" w:tplc="73CE3880">
      <w:start w:val="1"/>
      <w:numFmt w:val="lowerRoman"/>
      <w:lvlText w:val="%6."/>
      <w:lvlJc w:val="right"/>
      <w:pPr>
        <w:ind w:left="4320" w:hanging="180"/>
      </w:pPr>
    </w:lvl>
    <w:lvl w:ilvl="6" w:tplc="FBB03FDE">
      <w:start w:val="1"/>
      <w:numFmt w:val="decimal"/>
      <w:lvlText w:val="%7."/>
      <w:lvlJc w:val="left"/>
      <w:pPr>
        <w:ind w:left="5040" w:hanging="360"/>
      </w:pPr>
    </w:lvl>
    <w:lvl w:ilvl="7" w:tplc="AF421ADE">
      <w:start w:val="1"/>
      <w:numFmt w:val="lowerLetter"/>
      <w:lvlText w:val="%8."/>
      <w:lvlJc w:val="left"/>
      <w:pPr>
        <w:ind w:left="5760" w:hanging="360"/>
      </w:pPr>
    </w:lvl>
    <w:lvl w:ilvl="8" w:tplc="3FE6ED1A">
      <w:start w:val="1"/>
      <w:numFmt w:val="lowerRoman"/>
      <w:lvlText w:val="%9."/>
      <w:lvlJc w:val="right"/>
      <w:pPr>
        <w:ind w:left="6480" w:hanging="180"/>
      </w:pPr>
    </w:lvl>
  </w:abstractNum>
  <w:abstractNum w:abstractNumId="44" w15:restartNumberingAfterBreak="0">
    <w:nsid w:val="5C0C13EC"/>
    <w:multiLevelType w:val="hybridMultilevel"/>
    <w:tmpl w:val="FFFFFFFF"/>
    <w:lvl w:ilvl="0" w:tplc="F0AC91E4">
      <w:start w:val="1"/>
      <w:numFmt w:val="lowerRoman"/>
      <w:lvlText w:val="%1."/>
      <w:lvlJc w:val="right"/>
      <w:pPr>
        <w:ind w:left="720" w:hanging="360"/>
      </w:pPr>
    </w:lvl>
    <w:lvl w:ilvl="1" w:tplc="6A3E49F6">
      <w:start w:val="1"/>
      <w:numFmt w:val="lowerLetter"/>
      <w:lvlText w:val="%2."/>
      <w:lvlJc w:val="left"/>
      <w:pPr>
        <w:ind w:left="1440" w:hanging="360"/>
      </w:pPr>
    </w:lvl>
    <w:lvl w:ilvl="2" w:tplc="F07C7D26">
      <w:start w:val="1"/>
      <w:numFmt w:val="lowerRoman"/>
      <w:lvlText w:val="%3."/>
      <w:lvlJc w:val="right"/>
      <w:pPr>
        <w:ind w:left="2160" w:hanging="180"/>
      </w:pPr>
    </w:lvl>
    <w:lvl w:ilvl="3" w:tplc="940AE652">
      <w:start w:val="1"/>
      <w:numFmt w:val="decimal"/>
      <w:lvlText w:val="%4."/>
      <w:lvlJc w:val="left"/>
      <w:pPr>
        <w:ind w:left="2880" w:hanging="360"/>
      </w:pPr>
    </w:lvl>
    <w:lvl w:ilvl="4" w:tplc="8FB8F248">
      <w:start w:val="1"/>
      <w:numFmt w:val="lowerLetter"/>
      <w:lvlText w:val="%5."/>
      <w:lvlJc w:val="left"/>
      <w:pPr>
        <w:ind w:left="3600" w:hanging="360"/>
      </w:pPr>
    </w:lvl>
    <w:lvl w:ilvl="5" w:tplc="6136CEF4">
      <w:start w:val="1"/>
      <w:numFmt w:val="lowerRoman"/>
      <w:lvlText w:val="%6."/>
      <w:lvlJc w:val="right"/>
      <w:pPr>
        <w:ind w:left="4320" w:hanging="180"/>
      </w:pPr>
    </w:lvl>
    <w:lvl w:ilvl="6" w:tplc="E57A0662">
      <w:start w:val="1"/>
      <w:numFmt w:val="decimal"/>
      <w:lvlText w:val="%7."/>
      <w:lvlJc w:val="left"/>
      <w:pPr>
        <w:ind w:left="5040" w:hanging="360"/>
      </w:pPr>
    </w:lvl>
    <w:lvl w:ilvl="7" w:tplc="280CCBCA">
      <w:start w:val="1"/>
      <w:numFmt w:val="lowerLetter"/>
      <w:lvlText w:val="%8."/>
      <w:lvlJc w:val="left"/>
      <w:pPr>
        <w:ind w:left="5760" w:hanging="360"/>
      </w:pPr>
    </w:lvl>
    <w:lvl w:ilvl="8" w:tplc="7FA2FFCA">
      <w:start w:val="1"/>
      <w:numFmt w:val="lowerRoman"/>
      <w:lvlText w:val="%9."/>
      <w:lvlJc w:val="right"/>
      <w:pPr>
        <w:ind w:left="6480" w:hanging="180"/>
      </w:pPr>
    </w:lvl>
  </w:abstractNum>
  <w:abstractNum w:abstractNumId="45" w15:restartNumberingAfterBreak="0">
    <w:nsid w:val="5D9D1198"/>
    <w:multiLevelType w:val="hybridMultilevel"/>
    <w:tmpl w:val="73564768"/>
    <w:lvl w:ilvl="0" w:tplc="0409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5F7E4081"/>
    <w:multiLevelType w:val="hybridMultilevel"/>
    <w:tmpl w:val="FFFFFFFF"/>
    <w:lvl w:ilvl="0" w:tplc="B7E67D22">
      <w:start w:val="1"/>
      <w:numFmt w:val="lowerRoman"/>
      <w:lvlText w:val="%1."/>
      <w:lvlJc w:val="right"/>
      <w:pPr>
        <w:ind w:left="720" w:hanging="360"/>
      </w:pPr>
    </w:lvl>
    <w:lvl w:ilvl="1" w:tplc="EC8EAB4A">
      <w:start w:val="1"/>
      <w:numFmt w:val="lowerLetter"/>
      <w:lvlText w:val="%2."/>
      <w:lvlJc w:val="left"/>
      <w:pPr>
        <w:ind w:left="1440" w:hanging="360"/>
      </w:pPr>
    </w:lvl>
    <w:lvl w:ilvl="2" w:tplc="D2F0F1F8">
      <w:start w:val="1"/>
      <w:numFmt w:val="lowerRoman"/>
      <w:lvlText w:val="%3."/>
      <w:lvlJc w:val="right"/>
      <w:pPr>
        <w:ind w:left="2160" w:hanging="180"/>
      </w:pPr>
    </w:lvl>
    <w:lvl w:ilvl="3" w:tplc="483EC62C">
      <w:start w:val="1"/>
      <w:numFmt w:val="decimal"/>
      <w:lvlText w:val="%4."/>
      <w:lvlJc w:val="left"/>
      <w:pPr>
        <w:ind w:left="2880" w:hanging="360"/>
      </w:pPr>
    </w:lvl>
    <w:lvl w:ilvl="4" w:tplc="2B3E77B2">
      <w:start w:val="1"/>
      <w:numFmt w:val="lowerLetter"/>
      <w:lvlText w:val="%5."/>
      <w:lvlJc w:val="left"/>
      <w:pPr>
        <w:ind w:left="3600" w:hanging="360"/>
      </w:pPr>
    </w:lvl>
    <w:lvl w:ilvl="5" w:tplc="47981714">
      <w:start w:val="1"/>
      <w:numFmt w:val="lowerRoman"/>
      <w:lvlText w:val="%6."/>
      <w:lvlJc w:val="right"/>
      <w:pPr>
        <w:ind w:left="4320" w:hanging="180"/>
      </w:pPr>
    </w:lvl>
    <w:lvl w:ilvl="6" w:tplc="DC182642">
      <w:start w:val="1"/>
      <w:numFmt w:val="decimal"/>
      <w:lvlText w:val="%7."/>
      <w:lvlJc w:val="left"/>
      <w:pPr>
        <w:ind w:left="5040" w:hanging="360"/>
      </w:pPr>
    </w:lvl>
    <w:lvl w:ilvl="7" w:tplc="34AAE0C6">
      <w:start w:val="1"/>
      <w:numFmt w:val="lowerLetter"/>
      <w:lvlText w:val="%8."/>
      <w:lvlJc w:val="left"/>
      <w:pPr>
        <w:ind w:left="5760" w:hanging="360"/>
      </w:pPr>
    </w:lvl>
    <w:lvl w:ilvl="8" w:tplc="B14E71A2">
      <w:start w:val="1"/>
      <w:numFmt w:val="lowerRoman"/>
      <w:lvlText w:val="%9."/>
      <w:lvlJc w:val="right"/>
      <w:pPr>
        <w:ind w:left="6480" w:hanging="180"/>
      </w:pPr>
    </w:lvl>
  </w:abstractNum>
  <w:abstractNum w:abstractNumId="47" w15:restartNumberingAfterBreak="0">
    <w:nsid w:val="673809CC"/>
    <w:multiLevelType w:val="hybridMultilevel"/>
    <w:tmpl w:val="496AC934"/>
    <w:lvl w:ilvl="0" w:tplc="68A861F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380B85"/>
    <w:multiLevelType w:val="hybridMultilevel"/>
    <w:tmpl w:val="496AC934"/>
    <w:lvl w:ilvl="0" w:tplc="68A861F0">
      <w:start w:val="1"/>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7C072D"/>
    <w:multiLevelType w:val="hybridMultilevel"/>
    <w:tmpl w:val="D7BE13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6AA74439"/>
    <w:multiLevelType w:val="hybridMultilevel"/>
    <w:tmpl w:val="FFFFFFFF"/>
    <w:lvl w:ilvl="0" w:tplc="11589C48">
      <w:start w:val="1"/>
      <w:numFmt w:val="lowerRoman"/>
      <w:lvlText w:val="%1."/>
      <w:lvlJc w:val="right"/>
      <w:pPr>
        <w:ind w:left="720" w:hanging="360"/>
      </w:pPr>
    </w:lvl>
    <w:lvl w:ilvl="1" w:tplc="F5461FB0">
      <w:start w:val="1"/>
      <w:numFmt w:val="lowerLetter"/>
      <w:lvlText w:val="%2."/>
      <w:lvlJc w:val="left"/>
      <w:pPr>
        <w:ind w:left="1440" w:hanging="360"/>
      </w:pPr>
    </w:lvl>
    <w:lvl w:ilvl="2" w:tplc="033E9A7C">
      <w:start w:val="1"/>
      <w:numFmt w:val="lowerRoman"/>
      <w:lvlText w:val="%3."/>
      <w:lvlJc w:val="right"/>
      <w:pPr>
        <w:ind w:left="2160" w:hanging="180"/>
      </w:pPr>
    </w:lvl>
    <w:lvl w:ilvl="3" w:tplc="F484041A">
      <w:start w:val="1"/>
      <w:numFmt w:val="decimal"/>
      <w:lvlText w:val="%4."/>
      <w:lvlJc w:val="left"/>
      <w:pPr>
        <w:ind w:left="2880" w:hanging="360"/>
      </w:pPr>
    </w:lvl>
    <w:lvl w:ilvl="4" w:tplc="9528C85E">
      <w:start w:val="1"/>
      <w:numFmt w:val="lowerLetter"/>
      <w:lvlText w:val="%5."/>
      <w:lvlJc w:val="left"/>
      <w:pPr>
        <w:ind w:left="3600" w:hanging="360"/>
      </w:pPr>
    </w:lvl>
    <w:lvl w:ilvl="5" w:tplc="68A4B770">
      <w:start w:val="1"/>
      <w:numFmt w:val="lowerRoman"/>
      <w:lvlText w:val="%6."/>
      <w:lvlJc w:val="right"/>
      <w:pPr>
        <w:ind w:left="4320" w:hanging="180"/>
      </w:pPr>
    </w:lvl>
    <w:lvl w:ilvl="6" w:tplc="C748B572">
      <w:start w:val="1"/>
      <w:numFmt w:val="decimal"/>
      <w:lvlText w:val="%7."/>
      <w:lvlJc w:val="left"/>
      <w:pPr>
        <w:ind w:left="5040" w:hanging="360"/>
      </w:pPr>
    </w:lvl>
    <w:lvl w:ilvl="7" w:tplc="5582F1A4">
      <w:start w:val="1"/>
      <w:numFmt w:val="lowerLetter"/>
      <w:lvlText w:val="%8."/>
      <w:lvlJc w:val="left"/>
      <w:pPr>
        <w:ind w:left="5760" w:hanging="360"/>
      </w:pPr>
    </w:lvl>
    <w:lvl w:ilvl="8" w:tplc="AC8E5C82">
      <w:start w:val="1"/>
      <w:numFmt w:val="lowerRoman"/>
      <w:lvlText w:val="%9."/>
      <w:lvlJc w:val="right"/>
      <w:pPr>
        <w:ind w:left="6480" w:hanging="180"/>
      </w:pPr>
    </w:lvl>
  </w:abstractNum>
  <w:abstractNum w:abstractNumId="5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A73988"/>
    <w:multiLevelType w:val="hybridMultilevel"/>
    <w:tmpl w:val="3CF27BAE"/>
    <w:lvl w:ilvl="0" w:tplc="29424DB4">
      <w:start w:val="1"/>
      <w:numFmt w:val="decimal"/>
      <w:lvlText w:val="%1."/>
      <w:lvlJc w:val="left"/>
      <w:pPr>
        <w:ind w:left="720" w:hanging="360"/>
      </w:pPr>
      <w:rPr>
        <w:rFonts w:ascii="Times New Roman" w:hAnsi="Times New Roman" w:cs="Times New Roman" w:hint="default"/>
        <w:i w:val="0"/>
        <w:iCs w:val="0"/>
      </w:rPr>
    </w:lvl>
    <w:lvl w:ilvl="1" w:tplc="2614357A">
      <w:start w:val="1"/>
      <w:numFmt w:val="lowerLetter"/>
      <w:lvlText w:val="%2."/>
      <w:lvlJc w:val="left"/>
      <w:pPr>
        <w:ind w:left="1440" w:hanging="360"/>
      </w:pPr>
    </w:lvl>
    <w:lvl w:ilvl="2" w:tplc="1BE0B32C">
      <w:start w:val="1"/>
      <w:numFmt w:val="lowerRoman"/>
      <w:lvlText w:val="%3."/>
      <w:lvlJc w:val="right"/>
      <w:pPr>
        <w:ind w:left="2160" w:hanging="180"/>
      </w:pPr>
    </w:lvl>
    <w:lvl w:ilvl="3" w:tplc="24C611FE">
      <w:start w:val="1"/>
      <w:numFmt w:val="decimal"/>
      <w:lvlText w:val="%4."/>
      <w:lvlJc w:val="left"/>
      <w:pPr>
        <w:ind w:left="2880" w:hanging="360"/>
      </w:pPr>
    </w:lvl>
    <w:lvl w:ilvl="4" w:tplc="79A2BF6A">
      <w:start w:val="1"/>
      <w:numFmt w:val="lowerLetter"/>
      <w:lvlText w:val="%5."/>
      <w:lvlJc w:val="left"/>
      <w:pPr>
        <w:ind w:left="3600" w:hanging="360"/>
      </w:pPr>
    </w:lvl>
    <w:lvl w:ilvl="5" w:tplc="E304C684">
      <w:start w:val="1"/>
      <w:numFmt w:val="lowerRoman"/>
      <w:lvlText w:val="%6."/>
      <w:lvlJc w:val="right"/>
      <w:pPr>
        <w:ind w:left="4320" w:hanging="180"/>
      </w:pPr>
    </w:lvl>
    <w:lvl w:ilvl="6" w:tplc="48E614B6">
      <w:start w:val="1"/>
      <w:numFmt w:val="decimal"/>
      <w:lvlText w:val="%7."/>
      <w:lvlJc w:val="left"/>
      <w:pPr>
        <w:ind w:left="5040" w:hanging="360"/>
      </w:pPr>
    </w:lvl>
    <w:lvl w:ilvl="7" w:tplc="0A5499C4">
      <w:start w:val="1"/>
      <w:numFmt w:val="lowerLetter"/>
      <w:lvlText w:val="%8."/>
      <w:lvlJc w:val="left"/>
      <w:pPr>
        <w:ind w:left="5760" w:hanging="360"/>
      </w:pPr>
    </w:lvl>
    <w:lvl w:ilvl="8" w:tplc="7EBC6EB2">
      <w:start w:val="1"/>
      <w:numFmt w:val="lowerRoman"/>
      <w:lvlText w:val="%9."/>
      <w:lvlJc w:val="right"/>
      <w:pPr>
        <w:ind w:left="6480" w:hanging="180"/>
      </w:pPr>
    </w:lvl>
  </w:abstractNum>
  <w:abstractNum w:abstractNumId="53" w15:restartNumberingAfterBreak="0">
    <w:nsid w:val="6FB66C87"/>
    <w:multiLevelType w:val="hybridMultilevel"/>
    <w:tmpl w:val="1E144B60"/>
    <w:lvl w:ilvl="0" w:tplc="040C000F">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74442F6A"/>
    <w:multiLevelType w:val="hybridMultilevel"/>
    <w:tmpl w:val="8E783C22"/>
    <w:lvl w:ilvl="0" w:tplc="51C8E928">
      <w:start w:val="1"/>
      <w:numFmt w:val="decimal"/>
      <w:lvlText w:val="%1."/>
      <w:lvlJc w:val="left"/>
      <w:pPr>
        <w:ind w:left="1080" w:hanging="360"/>
      </w:pPr>
      <w:rPr>
        <w:b w:val="0"/>
      </w:rPr>
    </w:lvl>
    <w:lvl w:ilvl="1" w:tplc="0409000F">
      <w:start w:val="1"/>
      <w:numFmt w:val="decimal"/>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4F24553"/>
    <w:multiLevelType w:val="hybridMultilevel"/>
    <w:tmpl w:val="FFFFFFFF"/>
    <w:lvl w:ilvl="0" w:tplc="884C69DA">
      <w:start w:val="1"/>
      <w:numFmt w:val="lowerRoman"/>
      <w:lvlText w:val="%1."/>
      <w:lvlJc w:val="right"/>
      <w:pPr>
        <w:ind w:left="720" w:hanging="360"/>
      </w:pPr>
    </w:lvl>
    <w:lvl w:ilvl="1" w:tplc="2C0A07C0">
      <w:start w:val="1"/>
      <w:numFmt w:val="lowerLetter"/>
      <w:lvlText w:val="%2."/>
      <w:lvlJc w:val="left"/>
      <w:pPr>
        <w:ind w:left="1440" w:hanging="360"/>
      </w:pPr>
    </w:lvl>
    <w:lvl w:ilvl="2" w:tplc="A51CC0BC">
      <w:start w:val="1"/>
      <w:numFmt w:val="lowerRoman"/>
      <w:lvlText w:val="%3."/>
      <w:lvlJc w:val="right"/>
      <w:pPr>
        <w:ind w:left="2160" w:hanging="180"/>
      </w:pPr>
    </w:lvl>
    <w:lvl w:ilvl="3" w:tplc="82B626A0">
      <w:start w:val="1"/>
      <w:numFmt w:val="decimal"/>
      <w:lvlText w:val="%4."/>
      <w:lvlJc w:val="left"/>
      <w:pPr>
        <w:ind w:left="2880" w:hanging="360"/>
      </w:pPr>
    </w:lvl>
    <w:lvl w:ilvl="4" w:tplc="25A8E5CA">
      <w:start w:val="1"/>
      <w:numFmt w:val="lowerLetter"/>
      <w:lvlText w:val="%5."/>
      <w:lvlJc w:val="left"/>
      <w:pPr>
        <w:ind w:left="3600" w:hanging="360"/>
      </w:pPr>
    </w:lvl>
    <w:lvl w:ilvl="5" w:tplc="1560570A">
      <w:start w:val="1"/>
      <w:numFmt w:val="lowerRoman"/>
      <w:lvlText w:val="%6."/>
      <w:lvlJc w:val="right"/>
      <w:pPr>
        <w:ind w:left="4320" w:hanging="180"/>
      </w:pPr>
    </w:lvl>
    <w:lvl w:ilvl="6" w:tplc="89FAC808">
      <w:start w:val="1"/>
      <w:numFmt w:val="decimal"/>
      <w:lvlText w:val="%7."/>
      <w:lvlJc w:val="left"/>
      <w:pPr>
        <w:ind w:left="5040" w:hanging="360"/>
      </w:pPr>
    </w:lvl>
    <w:lvl w:ilvl="7" w:tplc="7EF06406">
      <w:start w:val="1"/>
      <w:numFmt w:val="lowerLetter"/>
      <w:lvlText w:val="%8."/>
      <w:lvlJc w:val="left"/>
      <w:pPr>
        <w:ind w:left="5760" w:hanging="360"/>
      </w:pPr>
    </w:lvl>
    <w:lvl w:ilvl="8" w:tplc="94782A5A">
      <w:start w:val="1"/>
      <w:numFmt w:val="lowerRoman"/>
      <w:lvlText w:val="%9."/>
      <w:lvlJc w:val="right"/>
      <w:pPr>
        <w:ind w:left="6480" w:hanging="180"/>
      </w:pPr>
    </w:lvl>
  </w:abstractNum>
  <w:abstractNum w:abstractNumId="56" w15:restartNumberingAfterBreak="0">
    <w:nsid w:val="784D753F"/>
    <w:multiLevelType w:val="hybridMultilevel"/>
    <w:tmpl w:val="C65C342E"/>
    <w:lvl w:ilvl="0" w:tplc="307C72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423494"/>
    <w:multiLevelType w:val="hybridMultilevel"/>
    <w:tmpl w:val="7622583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8" w15:restartNumberingAfterBreak="0">
    <w:nsid w:val="7FEA13C5"/>
    <w:multiLevelType w:val="hybridMultilevel"/>
    <w:tmpl w:val="93C0AB7E"/>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8"/>
  </w:num>
  <w:num w:numId="3">
    <w:abstractNumId w:val="1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num>
  <w:num w:numId="7">
    <w:abstractNumId w:val="24"/>
  </w:num>
  <w:num w:numId="8">
    <w:abstractNumId w:val="26"/>
  </w:num>
  <w:num w:numId="9">
    <w:abstractNumId w:val="56"/>
  </w:num>
  <w:num w:numId="10">
    <w:abstractNumId w:val="3"/>
  </w:num>
  <w:num w:numId="11">
    <w:abstractNumId w:val="38"/>
  </w:num>
  <w:num w:numId="12">
    <w:abstractNumId w:val="4"/>
  </w:num>
  <w:num w:numId="13">
    <w:abstractNumId w:val="54"/>
  </w:num>
  <w:num w:numId="14">
    <w:abstractNumId w:val="47"/>
  </w:num>
  <w:num w:numId="15">
    <w:abstractNumId w:val="42"/>
  </w:num>
  <w:num w:numId="16">
    <w:abstractNumId w:val="57"/>
  </w:num>
  <w:num w:numId="17">
    <w:abstractNumId w:val="53"/>
  </w:num>
  <w:num w:numId="18">
    <w:abstractNumId w:val="21"/>
  </w:num>
  <w:num w:numId="19">
    <w:abstractNumId w:val="8"/>
  </w:num>
  <w:num w:numId="20">
    <w:abstractNumId w:val="40"/>
  </w:num>
  <w:num w:numId="21">
    <w:abstractNumId w:val="13"/>
  </w:num>
  <w:num w:numId="22">
    <w:abstractNumId w:val="14"/>
  </w:num>
  <w:num w:numId="23">
    <w:abstractNumId w:val="0"/>
  </w:num>
  <w:num w:numId="24">
    <w:abstractNumId w:val="12"/>
  </w:num>
  <w:num w:numId="25">
    <w:abstractNumId w:val="45"/>
  </w:num>
  <w:num w:numId="26">
    <w:abstractNumId w:val="8"/>
    <w:lvlOverride w:ilvl="0">
      <w:startOverride w:val="17"/>
    </w:lvlOverride>
  </w:num>
  <w:num w:numId="27">
    <w:abstractNumId w:val="5"/>
  </w:num>
  <w:num w:numId="28">
    <w:abstractNumId w:val="20"/>
  </w:num>
  <w:num w:numId="29">
    <w:abstractNumId w:val="29"/>
  </w:num>
  <w:num w:numId="30">
    <w:abstractNumId w:val="23"/>
  </w:num>
  <w:num w:numId="31">
    <w:abstractNumId w:val="17"/>
  </w:num>
  <w:num w:numId="32">
    <w:abstractNumId w:val="37"/>
  </w:num>
  <w:num w:numId="33">
    <w:abstractNumId w:val="19"/>
  </w:num>
  <w:num w:numId="34">
    <w:abstractNumId w:val="48"/>
  </w:num>
  <w:num w:numId="35">
    <w:abstractNumId w:val="33"/>
  </w:num>
  <w:num w:numId="36">
    <w:abstractNumId w:val="51"/>
  </w:num>
  <w:num w:numId="37">
    <w:abstractNumId w:val="30"/>
  </w:num>
  <w:num w:numId="38">
    <w:abstractNumId w:val="22"/>
  </w:num>
  <w:num w:numId="39">
    <w:abstractNumId w:val="35"/>
  </w:num>
  <w:num w:numId="40">
    <w:abstractNumId w:val="34"/>
  </w:num>
  <w:num w:numId="41">
    <w:abstractNumId w:val="31"/>
  </w:num>
  <w:num w:numId="42">
    <w:abstractNumId w:val="25"/>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 w:numId="46">
    <w:abstractNumId w:val="1"/>
  </w:num>
  <w:num w:numId="47">
    <w:abstractNumId w:val="43"/>
  </w:num>
  <w:num w:numId="48">
    <w:abstractNumId w:val="55"/>
  </w:num>
  <w:num w:numId="49">
    <w:abstractNumId w:val="2"/>
  </w:num>
  <w:num w:numId="50">
    <w:abstractNumId w:val="15"/>
  </w:num>
  <w:num w:numId="51">
    <w:abstractNumId w:val="36"/>
  </w:num>
  <w:num w:numId="52">
    <w:abstractNumId w:val="9"/>
  </w:num>
  <w:num w:numId="53">
    <w:abstractNumId w:val="27"/>
  </w:num>
  <w:num w:numId="54">
    <w:abstractNumId w:val="6"/>
  </w:num>
  <w:num w:numId="55">
    <w:abstractNumId w:val="32"/>
  </w:num>
  <w:num w:numId="56">
    <w:abstractNumId w:val="50"/>
  </w:num>
  <w:num w:numId="57">
    <w:abstractNumId w:val="18"/>
  </w:num>
  <w:num w:numId="58">
    <w:abstractNumId w:val="11"/>
  </w:num>
  <w:num w:numId="59">
    <w:abstractNumId w:val="41"/>
  </w:num>
  <w:num w:numId="60">
    <w:abstractNumId w:val="46"/>
  </w:num>
  <w:num w:numId="61">
    <w:abstractNumId w:val="52"/>
  </w:num>
  <w:num w:numId="62">
    <w:abstractNumId w:val="58"/>
  </w:num>
  <w:num w:numId="63">
    <w:abstractNumId w:val="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CA" w:vendorID="64" w:dllVersion="6" w:nlCheck="1" w:checkStyle="1"/>
  <w:activeWritingStyle w:appName="MSWord" w:lang="fr-CA" w:vendorID="64" w:dllVersion="0" w:nlCheck="1" w:checkStyle="0"/>
  <w:defaultTabStop w:val="720"/>
  <w:hyphenationZone w:val="425"/>
  <w:evenAndOddHeaders/>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B9F"/>
    <w:rsid w:val="00000BF5"/>
    <w:rsid w:val="00002AE4"/>
    <w:rsid w:val="00004159"/>
    <w:rsid w:val="0000440D"/>
    <w:rsid w:val="00004572"/>
    <w:rsid w:val="00004713"/>
    <w:rsid w:val="00010794"/>
    <w:rsid w:val="0001094A"/>
    <w:rsid w:val="00010DE4"/>
    <w:rsid w:val="00014B94"/>
    <w:rsid w:val="00015300"/>
    <w:rsid w:val="00015C70"/>
    <w:rsid w:val="00017720"/>
    <w:rsid w:val="00020831"/>
    <w:rsid w:val="00021164"/>
    <w:rsid w:val="000213E9"/>
    <w:rsid w:val="00021952"/>
    <w:rsid w:val="000228E8"/>
    <w:rsid w:val="000231BD"/>
    <w:rsid w:val="00023D26"/>
    <w:rsid w:val="00023D2B"/>
    <w:rsid w:val="00025493"/>
    <w:rsid w:val="000258D2"/>
    <w:rsid w:val="000262EE"/>
    <w:rsid w:val="000266DB"/>
    <w:rsid w:val="0002685A"/>
    <w:rsid w:val="00026F68"/>
    <w:rsid w:val="00027385"/>
    <w:rsid w:val="00027C88"/>
    <w:rsid w:val="0003069F"/>
    <w:rsid w:val="00030B1E"/>
    <w:rsid w:val="00030DEB"/>
    <w:rsid w:val="000311B5"/>
    <w:rsid w:val="00031AD5"/>
    <w:rsid w:val="00031E36"/>
    <w:rsid w:val="000322A9"/>
    <w:rsid w:val="00032584"/>
    <w:rsid w:val="00033DD1"/>
    <w:rsid w:val="00034518"/>
    <w:rsid w:val="00034737"/>
    <w:rsid w:val="00035008"/>
    <w:rsid w:val="00035F25"/>
    <w:rsid w:val="000362C9"/>
    <w:rsid w:val="00037027"/>
    <w:rsid w:val="000375DB"/>
    <w:rsid w:val="0003781E"/>
    <w:rsid w:val="00037E2E"/>
    <w:rsid w:val="00037E37"/>
    <w:rsid w:val="00040B48"/>
    <w:rsid w:val="000413C5"/>
    <w:rsid w:val="00041CC2"/>
    <w:rsid w:val="0004203A"/>
    <w:rsid w:val="00042978"/>
    <w:rsid w:val="00045C28"/>
    <w:rsid w:val="000461BE"/>
    <w:rsid w:val="000461EA"/>
    <w:rsid w:val="0004780F"/>
    <w:rsid w:val="000478D3"/>
    <w:rsid w:val="00050D36"/>
    <w:rsid w:val="0005171F"/>
    <w:rsid w:val="00051F11"/>
    <w:rsid w:val="00052ADD"/>
    <w:rsid w:val="00053772"/>
    <w:rsid w:val="00053972"/>
    <w:rsid w:val="000544CA"/>
    <w:rsid w:val="00056F85"/>
    <w:rsid w:val="00060C46"/>
    <w:rsid w:val="0006126C"/>
    <w:rsid w:val="00062627"/>
    <w:rsid w:val="000627AB"/>
    <w:rsid w:val="000641D7"/>
    <w:rsid w:val="00064499"/>
    <w:rsid w:val="00064D68"/>
    <w:rsid w:val="00065000"/>
    <w:rsid w:val="00065235"/>
    <w:rsid w:val="00065EE0"/>
    <w:rsid w:val="00066C0D"/>
    <w:rsid w:val="000672B3"/>
    <w:rsid w:val="000677D7"/>
    <w:rsid w:val="00067F2D"/>
    <w:rsid w:val="00070B88"/>
    <w:rsid w:val="00071BEC"/>
    <w:rsid w:val="00071E20"/>
    <w:rsid w:val="000741C1"/>
    <w:rsid w:val="00074CC9"/>
    <w:rsid w:val="00075F4E"/>
    <w:rsid w:val="00077936"/>
    <w:rsid w:val="00077DE5"/>
    <w:rsid w:val="00081745"/>
    <w:rsid w:val="00082581"/>
    <w:rsid w:val="00082F96"/>
    <w:rsid w:val="00083A28"/>
    <w:rsid w:val="00084D62"/>
    <w:rsid w:val="0008529C"/>
    <w:rsid w:val="00086283"/>
    <w:rsid w:val="000868B7"/>
    <w:rsid w:val="000873C4"/>
    <w:rsid w:val="000878A4"/>
    <w:rsid w:val="000901E9"/>
    <w:rsid w:val="00091900"/>
    <w:rsid w:val="000925AC"/>
    <w:rsid w:val="000937F0"/>
    <w:rsid w:val="00093DE2"/>
    <w:rsid w:val="0009465B"/>
    <w:rsid w:val="00094AC9"/>
    <w:rsid w:val="00094E30"/>
    <w:rsid w:val="00095A13"/>
    <w:rsid w:val="00097C42"/>
    <w:rsid w:val="000A0039"/>
    <w:rsid w:val="000A2755"/>
    <w:rsid w:val="000A33DA"/>
    <w:rsid w:val="000A4975"/>
    <w:rsid w:val="000A4F55"/>
    <w:rsid w:val="000A59C4"/>
    <w:rsid w:val="000A7E0C"/>
    <w:rsid w:val="000B12BB"/>
    <w:rsid w:val="000B182D"/>
    <w:rsid w:val="000B2155"/>
    <w:rsid w:val="000B2250"/>
    <w:rsid w:val="000B23EF"/>
    <w:rsid w:val="000B2EC2"/>
    <w:rsid w:val="000B312C"/>
    <w:rsid w:val="000B35E1"/>
    <w:rsid w:val="000B3629"/>
    <w:rsid w:val="000B4667"/>
    <w:rsid w:val="000B554E"/>
    <w:rsid w:val="000B5BA8"/>
    <w:rsid w:val="000B5DC6"/>
    <w:rsid w:val="000B5F8B"/>
    <w:rsid w:val="000B766F"/>
    <w:rsid w:val="000B7B72"/>
    <w:rsid w:val="000C000C"/>
    <w:rsid w:val="000C049C"/>
    <w:rsid w:val="000C0656"/>
    <w:rsid w:val="000C18CF"/>
    <w:rsid w:val="000C252F"/>
    <w:rsid w:val="000C2D92"/>
    <w:rsid w:val="000C3ABA"/>
    <w:rsid w:val="000C44C3"/>
    <w:rsid w:val="000C562C"/>
    <w:rsid w:val="000C58C2"/>
    <w:rsid w:val="000C6AFB"/>
    <w:rsid w:val="000C7253"/>
    <w:rsid w:val="000C7391"/>
    <w:rsid w:val="000D02E4"/>
    <w:rsid w:val="000D032B"/>
    <w:rsid w:val="000D0E73"/>
    <w:rsid w:val="000D19CC"/>
    <w:rsid w:val="000D38D0"/>
    <w:rsid w:val="000D447D"/>
    <w:rsid w:val="000D5C82"/>
    <w:rsid w:val="000D6364"/>
    <w:rsid w:val="000D6A9F"/>
    <w:rsid w:val="000E0375"/>
    <w:rsid w:val="000E0CAA"/>
    <w:rsid w:val="000E100D"/>
    <w:rsid w:val="000E10D1"/>
    <w:rsid w:val="000E1180"/>
    <w:rsid w:val="000E205B"/>
    <w:rsid w:val="000E35DD"/>
    <w:rsid w:val="000E3B95"/>
    <w:rsid w:val="000E3DD2"/>
    <w:rsid w:val="000E5454"/>
    <w:rsid w:val="000E5A9A"/>
    <w:rsid w:val="000E61DF"/>
    <w:rsid w:val="000E675E"/>
    <w:rsid w:val="000E6935"/>
    <w:rsid w:val="000E7027"/>
    <w:rsid w:val="000E7ACC"/>
    <w:rsid w:val="000F1208"/>
    <w:rsid w:val="000F1EFB"/>
    <w:rsid w:val="000F1F71"/>
    <w:rsid w:val="000F20D0"/>
    <w:rsid w:val="000F2113"/>
    <w:rsid w:val="000F5283"/>
    <w:rsid w:val="000F5F9C"/>
    <w:rsid w:val="000F663B"/>
    <w:rsid w:val="000F6DC6"/>
    <w:rsid w:val="000F72CA"/>
    <w:rsid w:val="00100491"/>
    <w:rsid w:val="00100515"/>
    <w:rsid w:val="001007DD"/>
    <w:rsid w:val="00100802"/>
    <w:rsid w:val="001008A3"/>
    <w:rsid w:val="001010C3"/>
    <w:rsid w:val="0010148C"/>
    <w:rsid w:val="001028D7"/>
    <w:rsid w:val="00103055"/>
    <w:rsid w:val="001052C7"/>
    <w:rsid w:val="0010543E"/>
    <w:rsid w:val="00105B32"/>
    <w:rsid w:val="00106652"/>
    <w:rsid w:val="001068F9"/>
    <w:rsid w:val="001074FF"/>
    <w:rsid w:val="00107EB6"/>
    <w:rsid w:val="00111B04"/>
    <w:rsid w:val="00111F38"/>
    <w:rsid w:val="001124EB"/>
    <w:rsid w:val="00114178"/>
    <w:rsid w:val="00114257"/>
    <w:rsid w:val="00114878"/>
    <w:rsid w:val="001150CA"/>
    <w:rsid w:val="001154FB"/>
    <w:rsid w:val="001159EF"/>
    <w:rsid w:val="00116339"/>
    <w:rsid w:val="0011633E"/>
    <w:rsid w:val="001168DF"/>
    <w:rsid w:val="00116979"/>
    <w:rsid w:val="00116AD9"/>
    <w:rsid w:val="00116E9F"/>
    <w:rsid w:val="00117EF9"/>
    <w:rsid w:val="00120230"/>
    <w:rsid w:val="0012097B"/>
    <w:rsid w:val="00120F79"/>
    <w:rsid w:val="0012127B"/>
    <w:rsid w:val="00121DD4"/>
    <w:rsid w:val="0012481C"/>
    <w:rsid w:val="001256D6"/>
    <w:rsid w:val="00125847"/>
    <w:rsid w:val="00125B31"/>
    <w:rsid w:val="001272D6"/>
    <w:rsid w:val="00127BA9"/>
    <w:rsid w:val="0013004C"/>
    <w:rsid w:val="00131A90"/>
    <w:rsid w:val="00133C8B"/>
    <w:rsid w:val="00134435"/>
    <w:rsid w:val="00134C2E"/>
    <w:rsid w:val="00134D22"/>
    <w:rsid w:val="001351C3"/>
    <w:rsid w:val="001356BC"/>
    <w:rsid w:val="00136EA5"/>
    <w:rsid w:val="0013718A"/>
    <w:rsid w:val="00137675"/>
    <w:rsid w:val="00137DAC"/>
    <w:rsid w:val="0014040C"/>
    <w:rsid w:val="001411C6"/>
    <w:rsid w:val="00141310"/>
    <w:rsid w:val="00141C95"/>
    <w:rsid w:val="00142643"/>
    <w:rsid w:val="001427F2"/>
    <w:rsid w:val="001435D7"/>
    <w:rsid w:val="00143ACD"/>
    <w:rsid w:val="00144988"/>
    <w:rsid w:val="001467DF"/>
    <w:rsid w:val="00150F33"/>
    <w:rsid w:val="00151001"/>
    <w:rsid w:val="001522F2"/>
    <w:rsid w:val="00152B4D"/>
    <w:rsid w:val="00152D01"/>
    <w:rsid w:val="00153FD8"/>
    <w:rsid w:val="00154A35"/>
    <w:rsid w:val="00156BCE"/>
    <w:rsid w:val="001573C3"/>
    <w:rsid w:val="00157B7F"/>
    <w:rsid w:val="0016035B"/>
    <w:rsid w:val="0016045C"/>
    <w:rsid w:val="00160503"/>
    <w:rsid w:val="00160559"/>
    <w:rsid w:val="001616CA"/>
    <w:rsid w:val="00163A8C"/>
    <w:rsid w:val="00163ED2"/>
    <w:rsid w:val="00164084"/>
    <w:rsid w:val="00164488"/>
    <w:rsid w:val="00164750"/>
    <w:rsid w:val="00164995"/>
    <w:rsid w:val="0016648F"/>
    <w:rsid w:val="00166DC4"/>
    <w:rsid w:val="00167735"/>
    <w:rsid w:val="00171DF6"/>
    <w:rsid w:val="00171F61"/>
    <w:rsid w:val="001728FA"/>
    <w:rsid w:val="001729AD"/>
    <w:rsid w:val="0017362E"/>
    <w:rsid w:val="00173D56"/>
    <w:rsid w:val="0017409A"/>
    <w:rsid w:val="00174B7C"/>
    <w:rsid w:val="001760EF"/>
    <w:rsid w:val="00176769"/>
    <w:rsid w:val="00180C00"/>
    <w:rsid w:val="0018136B"/>
    <w:rsid w:val="001832E2"/>
    <w:rsid w:val="00183CDA"/>
    <w:rsid w:val="00185E50"/>
    <w:rsid w:val="00186162"/>
    <w:rsid w:val="00186472"/>
    <w:rsid w:val="0018688C"/>
    <w:rsid w:val="00186F7E"/>
    <w:rsid w:val="00190606"/>
    <w:rsid w:val="00190BE3"/>
    <w:rsid w:val="00190CC8"/>
    <w:rsid w:val="00190EF6"/>
    <w:rsid w:val="00191392"/>
    <w:rsid w:val="00191450"/>
    <w:rsid w:val="001922FB"/>
    <w:rsid w:val="001933EA"/>
    <w:rsid w:val="001939F4"/>
    <w:rsid w:val="00193FAD"/>
    <w:rsid w:val="00194C54"/>
    <w:rsid w:val="00195181"/>
    <w:rsid w:val="00195C84"/>
    <w:rsid w:val="00195FC3"/>
    <w:rsid w:val="00196105"/>
    <w:rsid w:val="00196189"/>
    <w:rsid w:val="001A0553"/>
    <w:rsid w:val="001A0ECD"/>
    <w:rsid w:val="001A1E20"/>
    <w:rsid w:val="001A2412"/>
    <w:rsid w:val="001A2DBD"/>
    <w:rsid w:val="001A31F1"/>
    <w:rsid w:val="001A5ACE"/>
    <w:rsid w:val="001A5E1F"/>
    <w:rsid w:val="001A6DCD"/>
    <w:rsid w:val="001A73CF"/>
    <w:rsid w:val="001A7511"/>
    <w:rsid w:val="001A79AC"/>
    <w:rsid w:val="001B034F"/>
    <w:rsid w:val="001B21CD"/>
    <w:rsid w:val="001B2729"/>
    <w:rsid w:val="001B2AA2"/>
    <w:rsid w:val="001B3EDB"/>
    <w:rsid w:val="001B4CC6"/>
    <w:rsid w:val="001B7E3D"/>
    <w:rsid w:val="001C1EB8"/>
    <w:rsid w:val="001C1FBB"/>
    <w:rsid w:val="001C2122"/>
    <w:rsid w:val="001C3537"/>
    <w:rsid w:val="001C5476"/>
    <w:rsid w:val="001C57A1"/>
    <w:rsid w:val="001C67A7"/>
    <w:rsid w:val="001C75BE"/>
    <w:rsid w:val="001C7621"/>
    <w:rsid w:val="001C77D7"/>
    <w:rsid w:val="001D1246"/>
    <w:rsid w:val="001D12CC"/>
    <w:rsid w:val="001D1411"/>
    <w:rsid w:val="001D146C"/>
    <w:rsid w:val="001D2356"/>
    <w:rsid w:val="001D2372"/>
    <w:rsid w:val="001D2379"/>
    <w:rsid w:val="001D2433"/>
    <w:rsid w:val="001D28A9"/>
    <w:rsid w:val="001D31F9"/>
    <w:rsid w:val="001D4450"/>
    <w:rsid w:val="001D4AF8"/>
    <w:rsid w:val="001D4CA4"/>
    <w:rsid w:val="001D5882"/>
    <w:rsid w:val="001D5E2E"/>
    <w:rsid w:val="001D672F"/>
    <w:rsid w:val="001D75B1"/>
    <w:rsid w:val="001D79EB"/>
    <w:rsid w:val="001D7DC8"/>
    <w:rsid w:val="001E0D60"/>
    <w:rsid w:val="001E0E0E"/>
    <w:rsid w:val="001E1195"/>
    <w:rsid w:val="001E16CA"/>
    <w:rsid w:val="001E1F05"/>
    <w:rsid w:val="001E2BCB"/>
    <w:rsid w:val="001E32E2"/>
    <w:rsid w:val="001E3820"/>
    <w:rsid w:val="001E3C51"/>
    <w:rsid w:val="001E43D5"/>
    <w:rsid w:val="001E460F"/>
    <w:rsid w:val="001E4FC7"/>
    <w:rsid w:val="001E4FE4"/>
    <w:rsid w:val="001E52B3"/>
    <w:rsid w:val="001E534F"/>
    <w:rsid w:val="001E5F9D"/>
    <w:rsid w:val="001E6109"/>
    <w:rsid w:val="001E6233"/>
    <w:rsid w:val="001E6395"/>
    <w:rsid w:val="001E68E8"/>
    <w:rsid w:val="001E7054"/>
    <w:rsid w:val="001F0FCE"/>
    <w:rsid w:val="001F110D"/>
    <w:rsid w:val="001F1545"/>
    <w:rsid w:val="001F2347"/>
    <w:rsid w:val="001F247D"/>
    <w:rsid w:val="001F3603"/>
    <w:rsid w:val="001F3795"/>
    <w:rsid w:val="001F3A86"/>
    <w:rsid w:val="001F4BE1"/>
    <w:rsid w:val="001F50B2"/>
    <w:rsid w:val="001F5D97"/>
    <w:rsid w:val="001F67EA"/>
    <w:rsid w:val="001F6D78"/>
    <w:rsid w:val="001F71CC"/>
    <w:rsid w:val="0020035A"/>
    <w:rsid w:val="00201178"/>
    <w:rsid w:val="002017B6"/>
    <w:rsid w:val="00201911"/>
    <w:rsid w:val="00201E35"/>
    <w:rsid w:val="0020245A"/>
    <w:rsid w:val="00202C03"/>
    <w:rsid w:val="00203099"/>
    <w:rsid w:val="002036EB"/>
    <w:rsid w:val="00203CD4"/>
    <w:rsid w:val="00205362"/>
    <w:rsid w:val="00205BAE"/>
    <w:rsid w:val="002108B1"/>
    <w:rsid w:val="00211DBF"/>
    <w:rsid w:val="00212811"/>
    <w:rsid w:val="00215061"/>
    <w:rsid w:val="002152F4"/>
    <w:rsid w:val="00215A0C"/>
    <w:rsid w:val="0021616B"/>
    <w:rsid w:val="002161DA"/>
    <w:rsid w:val="00217524"/>
    <w:rsid w:val="00217A3B"/>
    <w:rsid w:val="002208A8"/>
    <w:rsid w:val="0022111F"/>
    <w:rsid w:val="00221321"/>
    <w:rsid w:val="0022255E"/>
    <w:rsid w:val="00222FCD"/>
    <w:rsid w:val="00223E7F"/>
    <w:rsid w:val="00224597"/>
    <w:rsid w:val="00224A11"/>
    <w:rsid w:val="002261A9"/>
    <w:rsid w:val="002279A8"/>
    <w:rsid w:val="0023005D"/>
    <w:rsid w:val="00230302"/>
    <w:rsid w:val="00230330"/>
    <w:rsid w:val="002304A0"/>
    <w:rsid w:val="00231858"/>
    <w:rsid w:val="00232799"/>
    <w:rsid w:val="002331B6"/>
    <w:rsid w:val="00233E39"/>
    <w:rsid w:val="002340BA"/>
    <w:rsid w:val="0024026F"/>
    <w:rsid w:val="00240526"/>
    <w:rsid w:val="002406DC"/>
    <w:rsid w:val="0024099C"/>
    <w:rsid w:val="00240A83"/>
    <w:rsid w:val="00240AC5"/>
    <w:rsid w:val="00240EC8"/>
    <w:rsid w:val="00240F79"/>
    <w:rsid w:val="0024162D"/>
    <w:rsid w:val="00242A84"/>
    <w:rsid w:val="002439CC"/>
    <w:rsid w:val="00245ACE"/>
    <w:rsid w:val="00251166"/>
    <w:rsid w:val="002514D2"/>
    <w:rsid w:val="002515E8"/>
    <w:rsid w:val="00251A09"/>
    <w:rsid w:val="002529FD"/>
    <w:rsid w:val="002532B0"/>
    <w:rsid w:val="0025348A"/>
    <w:rsid w:val="00253F07"/>
    <w:rsid w:val="00254649"/>
    <w:rsid w:val="00254A04"/>
    <w:rsid w:val="00254A1D"/>
    <w:rsid w:val="00254BC1"/>
    <w:rsid w:val="00254C6F"/>
    <w:rsid w:val="00255B7A"/>
    <w:rsid w:val="00255C09"/>
    <w:rsid w:val="002560A7"/>
    <w:rsid w:val="00256748"/>
    <w:rsid w:val="00260088"/>
    <w:rsid w:val="002606D7"/>
    <w:rsid w:val="0026109F"/>
    <w:rsid w:val="002625A4"/>
    <w:rsid w:val="0026350D"/>
    <w:rsid w:val="002638F2"/>
    <w:rsid w:val="00264378"/>
    <w:rsid w:val="00264A0A"/>
    <w:rsid w:val="002654FA"/>
    <w:rsid w:val="0026551A"/>
    <w:rsid w:val="0026671C"/>
    <w:rsid w:val="00267962"/>
    <w:rsid w:val="00267D21"/>
    <w:rsid w:val="0027398D"/>
    <w:rsid w:val="002753F9"/>
    <w:rsid w:val="002767C9"/>
    <w:rsid w:val="00277A9A"/>
    <w:rsid w:val="002805E4"/>
    <w:rsid w:val="00280B0D"/>
    <w:rsid w:val="00280DB3"/>
    <w:rsid w:val="002810E3"/>
    <w:rsid w:val="00281899"/>
    <w:rsid w:val="0028237D"/>
    <w:rsid w:val="00282AF6"/>
    <w:rsid w:val="00283D56"/>
    <w:rsid w:val="002846F4"/>
    <w:rsid w:val="002848DE"/>
    <w:rsid w:val="00284FB3"/>
    <w:rsid w:val="0028705C"/>
    <w:rsid w:val="0028749D"/>
    <w:rsid w:val="00287C19"/>
    <w:rsid w:val="00290CEA"/>
    <w:rsid w:val="002911E6"/>
    <w:rsid w:val="0029196F"/>
    <w:rsid w:val="00291CD0"/>
    <w:rsid w:val="00292535"/>
    <w:rsid w:val="00292CFF"/>
    <w:rsid w:val="00293630"/>
    <w:rsid w:val="00293691"/>
    <w:rsid w:val="00294F4F"/>
    <w:rsid w:val="002951AA"/>
    <w:rsid w:val="002951BB"/>
    <w:rsid w:val="00295C00"/>
    <w:rsid w:val="0029639D"/>
    <w:rsid w:val="00296B5E"/>
    <w:rsid w:val="00296ECB"/>
    <w:rsid w:val="00297744"/>
    <w:rsid w:val="00297C7E"/>
    <w:rsid w:val="002A0B50"/>
    <w:rsid w:val="002A0EED"/>
    <w:rsid w:val="002A1164"/>
    <w:rsid w:val="002A14C6"/>
    <w:rsid w:val="002A18A4"/>
    <w:rsid w:val="002A1E0B"/>
    <w:rsid w:val="002A2502"/>
    <w:rsid w:val="002A2687"/>
    <w:rsid w:val="002A309E"/>
    <w:rsid w:val="002A30AA"/>
    <w:rsid w:val="002A34AA"/>
    <w:rsid w:val="002A3832"/>
    <w:rsid w:val="002A4384"/>
    <w:rsid w:val="002A4AE4"/>
    <w:rsid w:val="002A4C87"/>
    <w:rsid w:val="002A707A"/>
    <w:rsid w:val="002A7CA3"/>
    <w:rsid w:val="002B12DD"/>
    <w:rsid w:val="002B1FD2"/>
    <w:rsid w:val="002B2870"/>
    <w:rsid w:val="002B291B"/>
    <w:rsid w:val="002B2DED"/>
    <w:rsid w:val="002B2ECB"/>
    <w:rsid w:val="002B3874"/>
    <w:rsid w:val="002B3C4A"/>
    <w:rsid w:val="002B3E9C"/>
    <w:rsid w:val="002B6B92"/>
    <w:rsid w:val="002B702F"/>
    <w:rsid w:val="002B7A83"/>
    <w:rsid w:val="002C020C"/>
    <w:rsid w:val="002C0A91"/>
    <w:rsid w:val="002C0B8B"/>
    <w:rsid w:val="002C140A"/>
    <w:rsid w:val="002C165E"/>
    <w:rsid w:val="002C1B04"/>
    <w:rsid w:val="002C1C15"/>
    <w:rsid w:val="002C1D98"/>
    <w:rsid w:val="002C1DDD"/>
    <w:rsid w:val="002C27AA"/>
    <w:rsid w:val="002C35F6"/>
    <w:rsid w:val="002C3FA4"/>
    <w:rsid w:val="002C51E7"/>
    <w:rsid w:val="002C5643"/>
    <w:rsid w:val="002C72E7"/>
    <w:rsid w:val="002C7562"/>
    <w:rsid w:val="002C7F51"/>
    <w:rsid w:val="002D2C3D"/>
    <w:rsid w:val="002D3004"/>
    <w:rsid w:val="002D348D"/>
    <w:rsid w:val="002D34E9"/>
    <w:rsid w:val="002D4B2A"/>
    <w:rsid w:val="002D5696"/>
    <w:rsid w:val="002D6CE4"/>
    <w:rsid w:val="002D6FC1"/>
    <w:rsid w:val="002D7B60"/>
    <w:rsid w:val="002E0259"/>
    <w:rsid w:val="002E05E1"/>
    <w:rsid w:val="002E0E60"/>
    <w:rsid w:val="002E3314"/>
    <w:rsid w:val="002E3675"/>
    <w:rsid w:val="002E3A3B"/>
    <w:rsid w:val="002E65EB"/>
    <w:rsid w:val="002E66DF"/>
    <w:rsid w:val="002E69D4"/>
    <w:rsid w:val="002E6A3D"/>
    <w:rsid w:val="002E71B3"/>
    <w:rsid w:val="002F06FB"/>
    <w:rsid w:val="002F0896"/>
    <w:rsid w:val="002F0BB5"/>
    <w:rsid w:val="002F12C7"/>
    <w:rsid w:val="002F17D0"/>
    <w:rsid w:val="002F17D8"/>
    <w:rsid w:val="002F2058"/>
    <w:rsid w:val="002F39A2"/>
    <w:rsid w:val="002F3C77"/>
    <w:rsid w:val="002F3F7F"/>
    <w:rsid w:val="002F464B"/>
    <w:rsid w:val="002F4947"/>
    <w:rsid w:val="002F4D7C"/>
    <w:rsid w:val="002F5001"/>
    <w:rsid w:val="002F730A"/>
    <w:rsid w:val="002F7A4E"/>
    <w:rsid w:val="002FF86B"/>
    <w:rsid w:val="00300274"/>
    <w:rsid w:val="0030091E"/>
    <w:rsid w:val="00300B40"/>
    <w:rsid w:val="00301330"/>
    <w:rsid w:val="003021E0"/>
    <w:rsid w:val="003028C4"/>
    <w:rsid w:val="00302A05"/>
    <w:rsid w:val="00302FCB"/>
    <w:rsid w:val="0030349E"/>
    <w:rsid w:val="003039C4"/>
    <w:rsid w:val="0030420B"/>
    <w:rsid w:val="003042B5"/>
    <w:rsid w:val="00304D73"/>
    <w:rsid w:val="00307AC2"/>
    <w:rsid w:val="00310799"/>
    <w:rsid w:val="00310E11"/>
    <w:rsid w:val="00313B2A"/>
    <w:rsid w:val="00313C5C"/>
    <w:rsid w:val="00314251"/>
    <w:rsid w:val="003144C5"/>
    <w:rsid w:val="00315701"/>
    <w:rsid w:val="00317D76"/>
    <w:rsid w:val="003203FB"/>
    <w:rsid w:val="003207C2"/>
    <w:rsid w:val="00321839"/>
    <w:rsid w:val="003223D5"/>
    <w:rsid w:val="0032384F"/>
    <w:rsid w:val="00323AAB"/>
    <w:rsid w:val="00324111"/>
    <w:rsid w:val="0032485E"/>
    <w:rsid w:val="0032491D"/>
    <w:rsid w:val="00324E3A"/>
    <w:rsid w:val="00325204"/>
    <w:rsid w:val="003272E1"/>
    <w:rsid w:val="00327D86"/>
    <w:rsid w:val="00331D4D"/>
    <w:rsid w:val="00331DC8"/>
    <w:rsid w:val="00331E81"/>
    <w:rsid w:val="00332228"/>
    <w:rsid w:val="003324D8"/>
    <w:rsid w:val="00332522"/>
    <w:rsid w:val="003334D7"/>
    <w:rsid w:val="0033367C"/>
    <w:rsid w:val="00333900"/>
    <w:rsid w:val="00334263"/>
    <w:rsid w:val="00334C76"/>
    <w:rsid w:val="00335281"/>
    <w:rsid w:val="00336097"/>
    <w:rsid w:val="00336D57"/>
    <w:rsid w:val="003375D2"/>
    <w:rsid w:val="00337D2D"/>
    <w:rsid w:val="00340E4D"/>
    <w:rsid w:val="003411DF"/>
    <w:rsid w:val="00341D9F"/>
    <w:rsid w:val="00342026"/>
    <w:rsid w:val="00343D19"/>
    <w:rsid w:val="00343F4C"/>
    <w:rsid w:val="0034409E"/>
    <w:rsid w:val="0034430F"/>
    <w:rsid w:val="0034522D"/>
    <w:rsid w:val="00345821"/>
    <w:rsid w:val="0034650B"/>
    <w:rsid w:val="003470DA"/>
    <w:rsid w:val="00347522"/>
    <w:rsid w:val="003475EE"/>
    <w:rsid w:val="003478B5"/>
    <w:rsid w:val="003501F8"/>
    <w:rsid w:val="00351059"/>
    <w:rsid w:val="00351BFE"/>
    <w:rsid w:val="00351EDD"/>
    <w:rsid w:val="003521AB"/>
    <w:rsid w:val="00352726"/>
    <w:rsid w:val="00352C4B"/>
    <w:rsid w:val="00353DDB"/>
    <w:rsid w:val="00354C4A"/>
    <w:rsid w:val="00354F22"/>
    <w:rsid w:val="00355922"/>
    <w:rsid w:val="0035676A"/>
    <w:rsid w:val="00360ABA"/>
    <w:rsid w:val="00362D8E"/>
    <w:rsid w:val="00364E6F"/>
    <w:rsid w:val="0036631D"/>
    <w:rsid w:val="00366C18"/>
    <w:rsid w:val="00367D00"/>
    <w:rsid w:val="0037040B"/>
    <w:rsid w:val="0037130C"/>
    <w:rsid w:val="00372D7B"/>
    <w:rsid w:val="00373ACE"/>
    <w:rsid w:val="003746C3"/>
    <w:rsid w:val="00374DB8"/>
    <w:rsid w:val="00374E52"/>
    <w:rsid w:val="0037591F"/>
    <w:rsid w:val="00375C4D"/>
    <w:rsid w:val="003766CB"/>
    <w:rsid w:val="0037695F"/>
    <w:rsid w:val="00376A83"/>
    <w:rsid w:val="00377DC9"/>
    <w:rsid w:val="00380D5A"/>
    <w:rsid w:val="00382991"/>
    <w:rsid w:val="00382EBA"/>
    <w:rsid w:val="003853D8"/>
    <w:rsid w:val="00385543"/>
    <w:rsid w:val="00385624"/>
    <w:rsid w:val="00386B5F"/>
    <w:rsid w:val="00387134"/>
    <w:rsid w:val="00390106"/>
    <w:rsid w:val="00390AF4"/>
    <w:rsid w:val="0039109E"/>
    <w:rsid w:val="003919C6"/>
    <w:rsid w:val="00391F32"/>
    <w:rsid w:val="00392F65"/>
    <w:rsid w:val="0039331C"/>
    <w:rsid w:val="003933ED"/>
    <w:rsid w:val="00393E17"/>
    <w:rsid w:val="00394460"/>
    <w:rsid w:val="003944EF"/>
    <w:rsid w:val="00394FE6"/>
    <w:rsid w:val="0039569D"/>
    <w:rsid w:val="00396947"/>
    <w:rsid w:val="003975A0"/>
    <w:rsid w:val="003A0A75"/>
    <w:rsid w:val="003A15AD"/>
    <w:rsid w:val="003A2C9A"/>
    <w:rsid w:val="003A453F"/>
    <w:rsid w:val="003A59A6"/>
    <w:rsid w:val="003A6DAC"/>
    <w:rsid w:val="003A7491"/>
    <w:rsid w:val="003A78F5"/>
    <w:rsid w:val="003B092C"/>
    <w:rsid w:val="003B0C76"/>
    <w:rsid w:val="003B13F8"/>
    <w:rsid w:val="003B142F"/>
    <w:rsid w:val="003B2221"/>
    <w:rsid w:val="003B38B4"/>
    <w:rsid w:val="003B416C"/>
    <w:rsid w:val="003B4254"/>
    <w:rsid w:val="003B4304"/>
    <w:rsid w:val="003B4514"/>
    <w:rsid w:val="003B5979"/>
    <w:rsid w:val="003B5A1F"/>
    <w:rsid w:val="003B6789"/>
    <w:rsid w:val="003B783E"/>
    <w:rsid w:val="003B7CB1"/>
    <w:rsid w:val="003C22ED"/>
    <w:rsid w:val="003C2A99"/>
    <w:rsid w:val="003C3782"/>
    <w:rsid w:val="003C436C"/>
    <w:rsid w:val="003C48B9"/>
    <w:rsid w:val="003C4F2D"/>
    <w:rsid w:val="003C5F26"/>
    <w:rsid w:val="003C7831"/>
    <w:rsid w:val="003CE9A5"/>
    <w:rsid w:val="003D0837"/>
    <w:rsid w:val="003D160C"/>
    <w:rsid w:val="003D2157"/>
    <w:rsid w:val="003D287C"/>
    <w:rsid w:val="003D3523"/>
    <w:rsid w:val="003D3999"/>
    <w:rsid w:val="003D3F16"/>
    <w:rsid w:val="003D7A7F"/>
    <w:rsid w:val="003D7A94"/>
    <w:rsid w:val="003E1795"/>
    <w:rsid w:val="003E1EFC"/>
    <w:rsid w:val="003E44F4"/>
    <w:rsid w:val="003E64BB"/>
    <w:rsid w:val="003E6A12"/>
    <w:rsid w:val="003F0938"/>
    <w:rsid w:val="003F0990"/>
    <w:rsid w:val="003F2355"/>
    <w:rsid w:val="003F3965"/>
    <w:rsid w:val="003F4679"/>
    <w:rsid w:val="003F47FD"/>
    <w:rsid w:val="003F50CF"/>
    <w:rsid w:val="003F6940"/>
    <w:rsid w:val="003F69DF"/>
    <w:rsid w:val="003F762E"/>
    <w:rsid w:val="003F7FDA"/>
    <w:rsid w:val="0040063B"/>
    <w:rsid w:val="00400E7E"/>
    <w:rsid w:val="00401128"/>
    <w:rsid w:val="00401CCC"/>
    <w:rsid w:val="00401DDB"/>
    <w:rsid w:val="00403FB5"/>
    <w:rsid w:val="00404441"/>
    <w:rsid w:val="00407239"/>
    <w:rsid w:val="004074D2"/>
    <w:rsid w:val="004077CB"/>
    <w:rsid w:val="00407E1E"/>
    <w:rsid w:val="00412E14"/>
    <w:rsid w:val="00413583"/>
    <w:rsid w:val="00413CDB"/>
    <w:rsid w:val="00413D91"/>
    <w:rsid w:val="00415876"/>
    <w:rsid w:val="00417373"/>
    <w:rsid w:val="00417C8C"/>
    <w:rsid w:val="004200F6"/>
    <w:rsid w:val="004220DB"/>
    <w:rsid w:val="004224F5"/>
    <w:rsid w:val="004225A0"/>
    <w:rsid w:val="00422FF1"/>
    <w:rsid w:val="0042311A"/>
    <w:rsid w:val="00423820"/>
    <w:rsid w:val="004247F6"/>
    <w:rsid w:val="00425901"/>
    <w:rsid w:val="004265D7"/>
    <w:rsid w:val="004266BB"/>
    <w:rsid w:val="00426EC7"/>
    <w:rsid w:val="00432F49"/>
    <w:rsid w:val="004334BB"/>
    <w:rsid w:val="0043419D"/>
    <w:rsid w:val="004351D7"/>
    <w:rsid w:val="004352F7"/>
    <w:rsid w:val="00435DF4"/>
    <w:rsid w:val="004366AF"/>
    <w:rsid w:val="004368E7"/>
    <w:rsid w:val="00436A19"/>
    <w:rsid w:val="00437DE2"/>
    <w:rsid w:val="0044009B"/>
    <w:rsid w:val="0044046C"/>
    <w:rsid w:val="004407C8"/>
    <w:rsid w:val="00441F78"/>
    <w:rsid w:val="004422B1"/>
    <w:rsid w:val="00442330"/>
    <w:rsid w:val="00443515"/>
    <w:rsid w:val="00443939"/>
    <w:rsid w:val="00444839"/>
    <w:rsid w:val="00444F28"/>
    <w:rsid w:val="004460B0"/>
    <w:rsid w:val="004463EC"/>
    <w:rsid w:val="00446B51"/>
    <w:rsid w:val="004475B0"/>
    <w:rsid w:val="00450A67"/>
    <w:rsid w:val="00451029"/>
    <w:rsid w:val="00451B9F"/>
    <w:rsid w:val="00451ECC"/>
    <w:rsid w:val="0045329A"/>
    <w:rsid w:val="00453CFC"/>
    <w:rsid w:val="004556B7"/>
    <w:rsid w:val="00455DCD"/>
    <w:rsid w:val="00456BF5"/>
    <w:rsid w:val="00457315"/>
    <w:rsid w:val="0045736F"/>
    <w:rsid w:val="00460832"/>
    <w:rsid w:val="00461112"/>
    <w:rsid w:val="00461C1C"/>
    <w:rsid w:val="0046205C"/>
    <w:rsid w:val="004626D9"/>
    <w:rsid w:val="0046287B"/>
    <w:rsid w:val="00462A5B"/>
    <w:rsid w:val="004631AC"/>
    <w:rsid w:val="00463760"/>
    <w:rsid w:val="00463DB1"/>
    <w:rsid w:val="00463E3C"/>
    <w:rsid w:val="00463F19"/>
    <w:rsid w:val="004652AC"/>
    <w:rsid w:val="004653D2"/>
    <w:rsid w:val="004654A4"/>
    <w:rsid w:val="00465CAA"/>
    <w:rsid w:val="004700A4"/>
    <w:rsid w:val="004709AC"/>
    <w:rsid w:val="00470CDA"/>
    <w:rsid w:val="00472411"/>
    <w:rsid w:val="00474498"/>
    <w:rsid w:val="00474995"/>
    <w:rsid w:val="00475585"/>
    <w:rsid w:val="004760C1"/>
    <w:rsid w:val="00476259"/>
    <w:rsid w:val="0047688B"/>
    <w:rsid w:val="004772C9"/>
    <w:rsid w:val="00480D83"/>
    <w:rsid w:val="00480E3D"/>
    <w:rsid w:val="00480F38"/>
    <w:rsid w:val="00481281"/>
    <w:rsid w:val="00481716"/>
    <w:rsid w:val="00481AB9"/>
    <w:rsid w:val="00482395"/>
    <w:rsid w:val="004827A2"/>
    <w:rsid w:val="00484DBC"/>
    <w:rsid w:val="004854D4"/>
    <w:rsid w:val="00485760"/>
    <w:rsid w:val="00485BCF"/>
    <w:rsid w:val="00490747"/>
    <w:rsid w:val="00490C8B"/>
    <w:rsid w:val="00490D77"/>
    <w:rsid w:val="00491186"/>
    <w:rsid w:val="00492A98"/>
    <w:rsid w:val="00495225"/>
    <w:rsid w:val="00495413"/>
    <w:rsid w:val="00495C03"/>
    <w:rsid w:val="00496463"/>
    <w:rsid w:val="00496F77"/>
    <w:rsid w:val="00497165"/>
    <w:rsid w:val="0049750D"/>
    <w:rsid w:val="004A0043"/>
    <w:rsid w:val="004A138F"/>
    <w:rsid w:val="004A16D7"/>
    <w:rsid w:val="004A1903"/>
    <w:rsid w:val="004A1B96"/>
    <w:rsid w:val="004A2D8E"/>
    <w:rsid w:val="004A3249"/>
    <w:rsid w:val="004A45EE"/>
    <w:rsid w:val="004A4638"/>
    <w:rsid w:val="004A4EB7"/>
    <w:rsid w:val="004A7215"/>
    <w:rsid w:val="004B0B16"/>
    <w:rsid w:val="004B0C5F"/>
    <w:rsid w:val="004B0CBC"/>
    <w:rsid w:val="004B1319"/>
    <w:rsid w:val="004B1629"/>
    <w:rsid w:val="004B1712"/>
    <w:rsid w:val="004B24CB"/>
    <w:rsid w:val="004B2E49"/>
    <w:rsid w:val="004B3203"/>
    <w:rsid w:val="004B3726"/>
    <w:rsid w:val="004B44D9"/>
    <w:rsid w:val="004B457D"/>
    <w:rsid w:val="004B4BD8"/>
    <w:rsid w:val="004B4E75"/>
    <w:rsid w:val="004B5E31"/>
    <w:rsid w:val="004B6212"/>
    <w:rsid w:val="004B691B"/>
    <w:rsid w:val="004B7446"/>
    <w:rsid w:val="004B7ADF"/>
    <w:rsid w:val="004B7B73"/>
    <w:rsid w:val="004B7BD7"/>
    <w:rsid w:val="004C0190"/>
    <w:rsid w:val="004C26B5"/>
    <w:rsid w:val="004C32B4"/>
    <w:rsid w:val="004C3BD4"/>
    <w:rsid w:val="004C4211"/>
    <w:rsid w:val="004C506A"/>
    <w:rsid w:val="004C529A"/>
    <w:rsid w:val="004C59DE"/>
    <w:rsid w:val="004C5A7C"/>
    <w:rsid w:val="004C6EF8"/>
    <w:rsid w:val="004C70A0"/>
    <w:rsid w:val="004C714B"/>
    <w:rsid w:val="004C72D8"/>
    <w:rsid w:val="004C75F7"/>
    <w:rsid w:val="004C7649"/>
    <w:rsid w:val="004D05B5"/>
    <w:rsid w:val="004D09B4"/>
    <w:rsid w:val="004D0BE0"/>
    <w:rsid w:val="004D18DE"/>
    <w:rsid w:val="004D2E6B"/>
    <w:rsid w:val="004D3419"/>
    <w:rsid w:val="004D3CBC"/>
    <w:rsid w:val="004D59ED"/>
    <w:rsid w:val="004D5A76"/>
    <w:rsid w:val="004D5ADB"/>
    <w:rsid w:val="004D700C"/>
    <w:rsid w:val="004D7ECE"/>
    <w:rsid w:val="004E2237"/>
    <w:rsid w:val="004E247C"/>
    <w:rsid w:val="004E25D2"/>
    <w:rsid w:val="004E31EE"/>
    <w:rsid w:val="004E44BB"/>
    <w:rsid w:val="004E62F8"/>
    <w:rsid w:val="004E74A3"/>
    <w:rsid w:val="004E767E"/>
    <w:rsid w:val="004F005F"/>
    <w:rsid w:val="004F00A1"/>
    <w:rsid w:val="004F040F"/>
    <w:rsid w:val="004F0E8B"/>
    <w:rsid w:val="004F1608"/>
    <w:rsid w:val="004F233D"/>
    <w:rsid w:val="004F309A"/>
    <w:rsid w:val="004F3AB4"/>
    <w:rsid w:val="004F4D2E"/>
    <w:rsid w:val="004F5BE1"/>
    <w:rsid w:val="004F6235"/>
    <w:rsid w:val="004F645A"/>
    <w:rsid w:val="004F64C8"/>
    <w:rsid w:val="004F6632"/>
    <w:rsid w:val="004F6B9A"/>
    <w:rsid w:val="004F6EE9"/>
    <w:rsid w:val="004F7750"/>
    <w:rsid w:val="004F7E91"/>
    <w:rsid w:val="00500B62"/>
    <w:rsid w:val="00503077"/>
    <w:rsid w:val="00503DE5"/>
    <w:rsid w:val="00505889"/>
    <w:rsid w:val="00505BD1"/>
    <w:rsid w:val="00505D34"/>
    <w:rsid w:val="005066EB"/>
    <w:rsid w:val="00507137"/>
    <w:rsid w:val="005074D6"/>
    <w:rsid w:val="00507AC6"/>
    <w:rsid w:val="00510242"/>
    <w:rsid w:val="00511135"/>
    <w:rsid w:val="0051258A"/>
    <w:rsid w:val="00515A2B"/>
    <w:rsid w:val="005170C3"/>
    <w:rsid w:val="0051766B"/>
    <w:rsid w:val="00517D8B"/>
    <w:rsid w:val="00520E0C"/>
    <w:rsid w:val="00521523"/>
    <w:rsid w:val="00522ADB"/>
    <w:rsid w:val="00523BCC"/>
    <w:rsid w:val="00524226"/>
    <w:rsid w:val="00525032"/>
    <w:rsid w:val="0052536C"/>
    <w:rsid w:val="00526539"/>
    <w:rsid w:val="0052689A"/>
    <w:rsid w:val="00530AE9"/>
    <w:rsid w:val="00531800"/>
    <w:rsid w:val="0053184F"/>
    <w:rsid w:val="00532029"/>
    <w:rsid w:val="00532735"/>
    <w:rsid w:val="00532AB5"/>
    <w:rsid w:val="0053526E"/>
    <w:rsid w:val="005362CA"/>
    <w:rsid w:val="005375A7"/>
    <w:rsid w:val="005377B6"/>
    <w:rsid w:val="00540203"/>
    <w:rsid w:val="0054056A"/>
    <w:rsid w:val="00541278"/>
    <w:rsid w:val="00541776"/>
    <w:rsid w:val="00541CDC"/>
    <w:rsid w:val="00542CDD"/>
    <w:rsid w:val="00542CDF"/>
    <w:rsid w:val="00544062"/>
    <w:rsid w:val="0054727D"/>
    <w:rsid w:val="00547997"/>
    <w:rsid w:val="00547D33"/>
    <w:rsid w:val="005500E1"/>
    <w:rsid w:val="00550B90"/>
    <w:rsid w:val="00552148"/>
    <w:rsid w:val="005527D0"/>
    <w:rsid w:val="00552ABA"/>
    <w:rsid w:val="00552CFD"/>
    <w:rsid w:val="00553733"/>
    <w:rsid w:val="00553DFB"/>
    <w:rsid w:val="0055428B"/>
    <w:rsid w:val="005543F7"/>
    <w:rsid w:val="005548B7"/>
    <w:rsid w:val="005549E6"/>
    <w:rsid w:val="00554BEF"/>
    <w:rsid w:val="005553F3"/>
    <w:rsid w:val="00555737"/>
    <w:rsid w:val="00555BA6"/>
    <w:rsid w:val="0055634E"/>
    <w:rsid w:val="0055651E"/>
    <w:rsid w:val="005570E2"/>
    <w:rsid w:val="00557B77"/>
    <w:rsid w:val="00557B8C"/>
    <w:rsid w:val="00560686"/>
    <w:rsid w:val="00560CF3"/>
    <w:rsid w:val="00560F23"/>
    <w:rsid w:val="00561F54"/>
    <w:rsid w:val="005636F6"/>
    <w:rsid w:val="00564562"/>
    <w:rsid w:val="005669FC"/>
    <w:rsid w:val="00566E2C"/>
    <w:rsid w:val="00567DBB"/>
    <w:rsid w:val="00573CA6"/>
    <w:rsid w:val="0057463E"/>
    <w:rsid w:val="00575DC0"/>
    <w:rsid w:val="00577299"/>
    <w:rsid w:val="00577789"/>
    <w:rsid w:val="0057790B"/>
    <w:rsid w:val="00577CF4"/>
    <w:rsid w:val="005805F6"/>
    <w:rsid w:val="0058100B"/>
    <w:rsid w:val="005817E2"/>
    <w:rsid w:val="00581E53"/>
    <w:rsid w:val="005827EA"/>
    <w:rsid w:val="00582DB4"/>
    <w:rsid w:val="00582FA3"/>
    <w:rsid w:val="00583701"/>
    <w:rsid w:val="00583D8E"/>
    <w:rsid w:val="00583DBE"/>
    <w:rsid w:val="0058524C"/>
    <w:rsid w:val="00585A2C"/>
    <w:rsid w:val="0058669C"/>
    <w:rsid w:val="0059044D"/>
    <w:rsid w:val="00590A6F"/>
    <w:rsid w:val="00590B5A"/>
    <w:rsid w:val="00590CE8"/>
    <w:rsid w:val="00590E08"/>
    <w:rsid w:val="0059126B"/>
    <w:rsid w:val="00591B77"/>
    <w:rsid w:val="00591F63"/>
    <w:rsid w:val="005936A3"/>
    <w:rsid w:val="005939E3"/>
    <w:rsid w:val="00593D5F"/>
    <w:rsid w:val="005950BF"/>
    <w:rsid w:val="00595279"/>
    <w:rsid w:val="005955B1"/>
    <w:rsid w:val="00596F95"/>
    <w:rsid w:val="005A12C5"/>
    <w:rsid w:val="005A2791"/>
    <w:rsid w:val="005A2EE8"/>
    <w:rsid w:val="005A3407"/>
    <w:rsid w:val="005A365E"/>
    <w:rsid w:val="005A4571"/>
    <w:rsid w:val="005A6838"/>
    <w:rsid w:val="005A7925"/>
    <w:rsid w:val="005A7B5C"/>
    <w:rsid w:val="005A7B6D"/>
    <w:rsid w:val="005A7BF0"/>
    <w:rsid w:val="005B0EBA"/>
    <w:rsid w:val="005B1967"/>
    <w:rsid w:val="005B1FC7"/>
    <w:rsid w:val="005B2B20"/>
    <w:rsid w:val="005B4CCD"/>
    <w:rsid w:val="005B4FB5"/>
    <w:rsid w:val="005B6140"/>
    <w:rsid w:val="005B76BC"/>
    <w:rsid w:val="005B77B6"/>
    <w:rsid w:val="005B7A73"/>
    <w:rsid w:val="005C0582"/>
    <w:rsid w:val="005C06BD"/>
    <w:rsid w:val="005C0C35"/>
    <w:rsid w:val="005C202E"/>
    <w:rsid w:val="005C30B9"/>
    <w:rsid w:val="005C598A"/>
    <w:rsid w:val="005C5DED"/>
    <w:rsid w:val="005C6F76"/>
    <w:rsid w:val="005C733D"/>
    <w:rsid w:val="005D00CC"/>
    <w:rsid w:val="005D0218"/>
    <w:rsid w:val="005D0C05"/>
    <w:rsid w:val="005D1EBC"/>
    <w:rsid w:val="005D2C51"/>
    <w:rsid w:val="005D2DE2"/>
    <w:rsid w:val="005D39A1"/>
    <w:rsid w:val="005D3D9E"/>
    <w:rsid w:val="005D4898"/>
    <w:rsid w:val="005D65AE"/>
    <w:rsid w:val="005D7AD4"/>
    <w:rsid w:val="005E0B58"/>
    <w:rsid w:val="005E0CA8"/>
    <w:rsid w:val="005E1257"/>
    <w:rsid w:val="005E1BCA"/>
    <w:rsid w:val="005E25FA"/>
    <w:rsid w:val="005E3451"/>
    <w:rsid w:val="005E3985"/>
    <w:rsid w:val="005E3A5F"/>
    <w:rsid w:val="005E4A59"/>
    <w:rsid w:val="005E50A1"/>
    <w:rsid w:val="005E50F9"/>
    <w:rsid w:val="005E5116"/>
    <w:rsid w:val="005E53E9"/>
    <w:rsid w:val="005E6801"/>
    <w:rsid w:val="005E76AB"/>
    <w:rsid w:val="005E7D7D"/>
    <w:rsid w:val="005F009D"/>
    <w:rsid w:val="005F1354"/>
    <w:rsid w:val="005F3F77"/>
    <w:rsid w:val="005F418C"/>
    <w:rsid w:val="005F4F70"/>
    <w:rsid w:val="005F5017"/>
    <w:rsid w:val="005F62DB"/>
    <w:rsid w:val="005F73F1"/>
    <w:rsid w:val="005F7499"/>
    <w:rsid w:val="005F77C2"/>
    <w:rsid w:val="005F7E15"/>
    <w:rsid w:val="006004EF"/>
    <w:rsid w:val="00600A9C"/>
    <w:rsid w:val="00600C13"/>
    <w:rsid w:val="006014FF"/>
    <w:rsid w:val="006024C0"/>
    <w:rsid w:val="00603F9A"/>
    <w:rsid w:val="006057D8"/>
    <w:rsid w:val="00605855"/>
    <w:rsid w:val="00606337"/>
    <w:rsid w:val="00606F22"/>
    <w:rsid w:val="0060788F"/>
    <w:rsid w:val="00610BDF"/>
    <w:rsid w:val="00611619"/>
    <w:rsid w:val="006120A7"/>
    <w:rsid w:val="00612C19"/>
    <w:rsid w:val="00614BA6"/>
    <w:rsid w:val="00614DB1"/>
    <w:rsid w:val="00614E12"/>
    <w:rsid w:val="006150E2"/>
    <w:rsid w:val="0061581C"/>
    <w:rsid w:val="00615A39"/>
    <w:rsid w:val="00616FF1"/>
    <w:rsid w:val="0061751C"/>
    <w:rsid w:val="00617573"/>
    <w:rsid w:val="006210CD"/>
    <w:rsid w:val="00621D88"/>
    <w:rsid w:val="00622739"/>
    <w:rsid w:val="00622CA6"/>
    <w:rsid w:val="00622F79"/>
    <w:rsid w:val="0062377A"/>
    <w:rsid w:val="00623902"/>
    <w:rsid w:val="00623F84"/>
    <w:rsid w:val="00624062"/>
    <w:rsid w:val="0062426A"/>
    <w:rsid w:val="00624D2B"/>
    <w:rsid w:val="0062536C"/>
    <w:rsid w:val="0062541A"/>
    <w:rsid w:val="0062557C"/>
    <w:rsid w:val="00625C8B"/>
    <w:rsid w:val="00625F06"/>
    <w:rsid w:val="006262A2"/>
    <w:rsid w:val="00630353"/>
    <w:rsid w:val="006314DF"/>
    <w:rsid w:val="0063185C"/>
    <w:rsid w:val="00631915"/>
    <w:rsid w:val="00631BB8"/>
    <w:rsid w:val="0063259F"/>
    <w:rsid w:val="00633DA7"/>
    <w:rsid w:val="00634D00"/>
    <w:rsid w:val="00637444"/>
    <w:rsid w:val="00637459"/>
    <w:rsid w:val="006379AD"/>
    <w:rsid w:val="0064092C"/>
    <w:rsid w:val="00640C7F"/>
    <w:rsid w:val="00641B8A"/>
    <w:rsid w:val="00641BCA"/>
    <w:rsid w:val="0064332A"/>
    <w:rsid w:val="00644AED"/>
    <w:rsid w:val="006451B7"/>
    <w:rsid w:val="006452CA"/>
    <w:rsid w:val="00645F7F"/>
    <w:rsid w:val="006464E8"/>
    <w:rsid w:val="00650DAD"/>
    <w:rsid w:val="00651635"/>
    <w:rsid w:val="00651819"/>
    <w:rsid w:val="00651832"/>
    <w:rsid w:val="006518E7"/>
    <w:rsid w:val="006520EF"/>
    <w:rsid w:val="0065222F"/>
    <w:rsid w:val="00652FAD"/>
    <w:rsid w:val="00653FCF"/>
    <w:rsid w:val="0065450C"/>
    <w:rsid w:val="0065486E"/>
    <w:rsid w:val="00654A81"/>
    <w:rsid w:val="00654EFC"/>
    <w:rsid w:val="00655E2A"/>
    <w:rsid w:val="00655E4E"/>
    <w:rsid w:val="006560A3"/>
    <w:rsid w:val="00656A78"/>
    <w:rsid w:val="00657526"/>
    <w:rsid w:val="00660B61"/>
    <w:rsid w:val="00661352"/>
    <w:rsid w:val="006613BE"/>
    <w:rsid w:val="00661EBD"/>
    <w:rsid w:val="00662355"/>
    <w:rsid w:val="00665AC5"/>
    <w:rsid w:val="00666284"/>
    <w:rsid w:val="00667E82"/>
    <w:rsid w:val="006715DC"/>
    <w:rsid w:val="0067192A"/>
    <w:rsid w:val="006749DE"/>
    <w:rsid w:val="00675DAD"/>
    <w:rsid w:val="00676E08"/>
    <w:rsid w:val="0068246C"/>
    <w:rsid w:val="006830F8"/>
    <w:rsid w:val="0068412D"/>
    <w:rsid w:val="006847DE"/>
    <w:rsid w:val="00684A7D"/>
    <w:rsid w:val="006852DC"/>
    <w:rsid w:val="00685FC1"/>
    <w:rsid w:val="0068622A"/>
    <w:rsid w:val="006867A1"/>
    <w:rsid w:val="006868FE"/>
    <w:rsid w:val="00686F26"/>
    <w:rsid w:val="00687471"/>
    <w:rsid w:val="006876F3"/>
    <w:rsid w:val="006903BC"/>
    <w:rsid w:val="00690DF8"/>
    <w:rsid w:val="006914CE"/>
    <w:rsid w:val="006927B4"/>
    <w:rsid w:val="00693BE2"/>
    <w:rsid w:val="00695116"/>
    <w:rsid w:val="006970DD"/>
    <w:rsid w:val="00697221"/>
    <w:rsid w:val="006972AA"/>
    <w:rsid w:val="00697A96"/>
    <w:rsid w:val="006A02BC"/>
    <w:rsid w:val="006A128D"/>
    <w:rsid w:val="006A2D8E"/>
    <w:rsid w:val="006A39BF"/>
    <w:rsid w:val="006A50D7"/>
    <w:rsid w:val="006A576F"/>
    <w:rsid w:val="006A5A37"/>
    <w:rsid w:val="006A5EE6"/>
    <w:rsid w:val="006A607E"/>
    <w:rsid w:val="006A61CE"/>
    <w:rsid w:val="006A6EAF"/>
    <w:rsid w:val="006A794F"/>
    <w:rsid w:val="006B0558"/>
    <w:rsid w:val="006B0BFC"/>
    <w:rsid w:val="006B120D"/>
    <w:rsid w:val="006B18C9"/>
    <w:rsid w:val="006B1B85"/>
    <w:rsid w:val="006B4B65"/>
    <w:rsid w:val="006B53F5"/>
    <w:rsid w:val="006B6426"/>
    <w:rsid w:val="006B6C25"/>
    <w:rsid w:val="006B7A7A"/>
    <w:rsid w:val="006B7E6E"/>
    <w:rsid w:val="006C0462"/>
    <w:rsid w:val="006C21D9"/>
    <w:rsid w:val="006C241A"/>
    <w:rsid w:val="006C4B51"/>
    <w:rsid w:val="006C518D"/>
    <w:rsid w:val="006C5550"/>
    <w:rsid w:val="006C597A"/>
    <w:rsid w:val="006C5FC9"/>
    <w:rsid w:val="006D03B0"/>
    <w:rsid w:val="006D0613"/>
    <w:rsid w:val="006D062E"/>
    <w:rsid w:val="006D0753"/>
    <w:rsid w:val="006D07E5"/>
    <w:rsid w:val="006D0E54"/>
    <w:rsid w:val="006D0FCE"/>
    <w:rsid w:val="006D2283"/>
    <w:rsid w:val="006D2735"/>
    <w:rsid w:val="006D2A28"/>
    <w:rsid w:val="006D2F97"/>
    <w:rsid w:val="006D3AC2"/>
    <w:rsid w:val="006D4DEC"/>
    <w:rsid w:val="006D4F8C"/>
    <w:rsid w:val="006D57EF"/>
    <w:rsid w:val="006D6053"/>
    <w:rsid w:val="006D6796"/>
    <w:rsid w:val="006D6B67"/>
    <w:rsid w:val="006D7829"/>
    <w:rsid w:val="006D79F8"/>
    <w:rsid w:val="006D7DDC"/>
    <w:rsid w:val="006E1A2E"/>
    <w:rsid w:val="006E2181"/>
    <w:rsid w:val="006E39CA"/>
    <w:rsid w:val="006E3A31"/>
    <w:rsid w:val="006E486D"/>
    <w:rsid w:val="006E5385"/>
    <w:rsid w:val="006E54BA"/>
    <w:rsid w:val="006E6458"/>
    <w:rsid w:val="006E64EA"/>
    <w:rsid w:val="006E6CE1"/>
    <w:rsid w:val="006E73CF"/>
    <w:rsid w:val="006E7734"/>
    <w:rsid w:val="006E7AC8"/>
    <w:rsid w:val="006F0EF5"/>
    <w:rsid w:val="006F1191"/>
    <w:rsid w:val="006F2688"/>
    <w:rsid w:val="006F2903"/>
    <w:rsid w:val="006F3BA7"/>
    <w:rsid w:val="006F43D8"/>
    <w:rsid w:val="006F5745"/>
    <w:rsid w:val="006F5B4B"/>
    <w:rsid w:val="006F69D3"/>
    <w:rsid w:val="006F7606"/>
    <w:rsid w:val="006F7FE1"/>
    <w:rsid w:val="007001D4"/>
    <w:rsid w:val="00700411"/>
    <w:rsid w:val="00701924"/>
    <w:rsid w:val="00702399"/>
    <w:rsid w:val="00702A50"/>
    <w:rsid w:val="0070525B"/>
    <w:rsid w:val="00706474"/>
    <w:rsid w:val="007064ED"/>
    <w:rsid w:val="00706A7D"/>
    <w:rsid w:val="00706F6B"/>
    <w:rsid w:val="00710316"/>
    <w:rsid w:val="00710FD3"/>
    <w:rsid w:val="00711690"/>
    <w:rsid w:val="00711D95"/>
    <w:rsid w:val="00712677"/>
    <w:rsid w:val="00712969"/>
    <w:rsid w:val="00713288"/>
    <w:rsid w:val="00713476"/>
    <w:rsid w:val="00713722"/>
    <w:rsid w:val="0071490F"/>
    <w:rsid w:val="007149C7"/>
    <w:rsid w:val="00714C2F"/>
    <w:rsid w:val="00714DB8"/>
    <w:rsid w:val="00714ECD"/>
    <w:rsid w:val="00715232"/>
    <w:rsid w:val="007158FB"/>
    <w:rsid w:val="00716058"/>
    <w:rsid w:val="0071721E"/>
    <w:rsid w:val="00717CA7"/>
    <w:rsid w:val="00721231"/>
    <w:rsid w:val="00721977"/>
    <w:rsid w:val="007223AC"/>
    <w:rsid w:val="00722E61"/>
    <w:rsid w:val="00723153"/>
    <w:rsid w:val="007233F0"/>
    <w:rsid w:val="00723B8C"/>
    <w:rsid w:val="00723C59"/>
    <w:rsid w:val="0072401A"/>
    <w:rsid w:val="007244A4"/>
    <w:rsid w:val="00725176"/>
    <w:rsid w:val="00725D1B"/>
    <w:rsid w:val="00725F4A"/>
    <w:rsid w:val="0072619D"/>
    <w:rsid w:val="007270E2"/>
    <w:rsid w:val="00727AF6"/>
    <w:rsid w:val="00727DD5"/>
    <w:rsid w:val="00730084"/>
    <w:rsid w:val="007318FD"/>
    <w:rsid w:val="00732D97"/>
    <w:rsid w:val="007332D5"/>
    <w:rsid w:val="00733A20"/>
    <w:rsid w:val="00734C8A"/>
    <w:rsid w:val="00735065"/>
    <w:rsid w:val="0073690B"/>
    <w:rsid w:val="00736F55"/>
    <w:rsid w:val="00737383"/>
    <w:rsid w:val="007377F7"/>
    <w:rsid w:val="007378BB"/>
    <w:rsid w:val="00737B12"/>
    <w:rsid w:val="00737C67"/>
    <w:rsid w:val="007413DB"/>
    <w:rsid w:val="00741ABD"/>
    <w:rsid w:val="00742386"/>
    <w:rsid w:val="00742C21"/>
    <w:rsid w:val="0074350D"/>
    <w:rsid w:val="007435CB"/>
    <w:rsid w:val="00744888"/>
    <w:rsid w:val="0074516B"/>
    <w:rsid w:val="0074668F"/>
    <w:rsid w:val="00746D78"/>
    <w:rsid w:val="00747950"/>
    <w:rsid w:val="00747EAE"/>
    <w:rsid w:val="007505F4"/>
    <w:rsid w:val="00750BFE"/>
    <w:rsid w:val="007510DA"/>
    <w:rsid w:val="0075137E"/>
    <w:rsid w:val="00753C2B"/>
    <w:rsid w:val="00754D86"/>
    <w:rsid w:val="00755BB4"/>
    <w:rsid w:val="007561AC"/>
    <w:rsid w:val="00756C46"/>
    <w:rsid w:val="00757386"/>
    <w:rsid w:val="00757EB0"/>
    <w:rsid w:val="007611ED"/>
    <w:rsid w:val="00762FC6"/>
    <w:rsid w:val="00763206"/>
    <w:rsid w:val="00764280"/>
    <w:rsid w:val="007645D0"/>
    <w:rsid w:val="007647BE"/>
    <w:rsid w:val="00764B3C"/>
    <w:rsid w:val="00765587"/>
    <w:rsid w:val="0076581C"/>
    <w:rsid w:val="00765E1D"/>
    <w:rsid w:val="00766740"/>
    <w:rsid w:val="00766F37"/>
    <w:rsid w:val="0077044D"/>
    <w:rsid w:val="00770F99"/>
    <w:rsid w:val="00771ABD"/>
    <w:rsid w:val="00772CE2"/>
    <w:rsid w:val="00775571"/>
    <w:rsid w:val="00775CAB"/>
    <w:rsid w:val="007763A4"/>
    <w:rsid w:val="0077674F"/>
    <w:rsid w:val="00777091"/>
    <w:rsid w:val="00777C5F"/>
    <w:rsid w:val="00777EEF"/>
    <w:rsid w:val="00780653"/>
    <w:rsid w:val="00781A60"/>
    <w:rsid w:val="00781E29"/>
    <w:rsid w:val="00782FC7"/>
    <w:rsid w:val="007833EC"/>
    <w:rsid w:val="0078385D"/>
    <w:rsid w:val="007838DC"/>
    <w:rsid w:val="0078400E"/>
    <w:rsid w:val="00785152"/>
    <w:rsid w:val="007859B8"/>
    <w:rsid w:val="007863D7"/>
    <w:rsid w:val="007864F7"/>
    <w:rsid w:val="007871E1"/>
    <w:rsid w:val="00787455"/>
    <w:rsid w:val="00787621"/>
    <w:rsid w:val="00787ECE"/>
    <w:rsid w:val="00787F49"/>
    <w:rsid w:val="00790DD2"/>
    <w:rsid w:val="0079147E"/>
    <w:rsid w:val="00791E0A"/>
    <w:rsid w:val="00791E9A"/>
    <w:rsid w:val="00793D44"/>
    <w:rsid w:val="007958B1"/>
    <w:rsid w:val="00795E57"/>
    <w:rsid w:val="00795F00"/>
    <w:rsid w:val="00796CE6"/>
    <w:rsid w:val="0079737F"/>
    <w:rsid w:val="00797BF0"/>
    <w:rsid w:val="0079AA5D"/>
    <w:rsid w:val="007A099B"/>
    <w:rsid w:val="007A14A8"/>
    <w:rsid w:val="007A17B4"/>
    <w:rsid w:val="007A25E2"/>
    <w:rsid w:val="007A44B9"/>
    <w:rsid w:val="007A532F"/>
    <w:rsid w:val="007A57DB"/>
    <w:rsid w:val="007A58A9"/>
    <w:rsid w:val="007A6144"/>
    <w:rsid w:val="007A6EAA"/>
    <w:rsid w:val="007A7DFE"/>
    <w:rsid w:val="007A7F7E"/>
    <w:rsid w:val="007B01A2"/>
    <w:rsid w:val="007B02F6"/>
    <w:rsid w:val="007B201A"/>
    <w:rsid w:val="007B2A27"/>
    <w:rsid w:val="007B3F34"/>
    <w:rsid w:val="007B546B"/>
    <w:rsid w:val="007B59C2"/>
    <w:rsid w:val="007B626F"/>
    <w:rsid w:val="007B706D"/>
    <w:rsid w:val="007C07B4"/>
    <w:rsid w:val="007C1A31"/>
    <w:rsid w:val="007C202E"/>
    <w:rsid w:val="007C265B"/>
    <w:rsid w:val="007C5F70"/>
    <w:rsid w:val="007C5F99"/>
    <w:rsid w:val="007C610C"/>
    <w:rsid w:val="007C7504"/>
    <w:rsid w:val="007C7547"/>
    <w:rsid w:val="007D0975"/>
    <w:rsid w:val="007D0F59"/>
    <w:rsid w:val="007D1921"/>
    <w:rsid w:val="007D2859"/>
    <w:rsid w:val="007D2D64"/>
    <w:rsid w:val="007D3F4B"/>
    <w:rsid w:val="007D44DF"/>
    <w:rsid w:val="007D4F5A"/>
    <w:rsid w:val="007D5791"/>
    <w:rsid w:val="007D6DE4"/>
    <w:rsid w:val="007D740C"/>
    <w:rsid w:val="007D7950"/>
    <w:rsid w:val="007E0010"/>
    <w:rsid w:val="007E0A9B"/>
    <w:rsid w:val="007E0B58"/>
    <w:rsid w:val="007E135D"/>
    <w:rsid w:val="007E2159"/>
    <w:rsid w:val="007E2C01"/>
    <w:rsid w:val="007E3995"/>
    <w:rsid w:val="007E4877"/>
    <w:rsid w:val="007E4F54"/>
    <w:rsid w:val="007E58A7"/>
    <w:rsid w:val="007E678F"/>
    <w:rsid w:val="007E6F83"/>
    <w:rsid w:val="007E7D1D"/>
    <w:rsid w:val="007F0042"/>
    <w:rsid w:val="007F0FE1"/>
    <w:rsid w:val="007F1034"/>
    <w:rsid w:val="007F11A8"/>
    <w:rsid w:val="007F2DF3"/>
    <w:rsid w:val="007F3704"/>
    <w:rsid w:val="007F3C55"/>
    <w:rsid w:val="007F51C5"/>
    <w:rsid w:val="007F5706"/>
    <w:rsid w:val="007F57F3"/>
    <w:rsid w:val="007F64B3"/>
    <w:rsid w:val="008008C2"/>
    <w:rsid w:val="00800F16"/>
    <w:rsid w:val="008017F1"/>
    <w:rsid w:val="00802288"/>
    <w:rsid w:val="00802881"/>
    <w:rsid w:val="0080288B"/>
    <w:rsid w:val="008033BD"/>
    <w:rsid w:val="00803491"/>
    <w:rsid w:val="00803687"/>
    <w:rsid w:val="00803A80"/>
    <w:rsid w:val="00803AA7"/>
    <w:rsid w:val="00803AA9"/>
    <w:rsid w:val="008048AB"/>
    <w:rsid w:val="00805A1B"/>
    <w:rsid w:val="00806360"/>
    <w:rsid w:val="00806C29"/>
    <w:rsid w:val="00806E02"/>
    <w:rsid w:val="008103B5"/>
    <w:rsid w:val="00810843"/>
    <w:rsid w:val="00811007"/>
    <w:rsid w:val="0081194E"/>
    <w:rsid w:val="00814086"/>
    <w:rsid w:val="0081489E"/>
    <w:rsid w:val="00814A7D"/>
    <w:rsid w:val="00815890"/>
    <w:rsid w:val="00815A86"/>
    <w:rsid w:val="00815EA9"/>
    <w:rsid w:val="00816467"/>
    <w:rsid w:val="008177D8"/>
    <w:rsid w:val="008179FB"/>
    <w:rsid w:val="00817AED"/>
    <w:rsid w:val="00817E68"/>
    <w:rsid w:val="00820399"/>
    <w:rsid w:val="008206F6"/>
    <w:rsid w:val="00821B57"/>
    <w:rsid w:val="00822C87"/>
    <w:rsid w:val="0082397A"/>
    <w:rsid w:val="00825D4C"/>
    <w:rsid w:val="00826415"/>
    <w:rsid w:val="00827164"/>
    <w:rsid w:val="008277BA"/>
    <w:rsid w:val="00827CEF"/>
    <w:rsid w:val="008300A0"/>
    <w:rsid w:val="00830F17"/>
    <w:rsid w:val="00831088"/>
    <w:rsid w:val="008311DF"/>
    <w:rsid w:val="00831A68"/>
    <w:rsid w:val="00832D97"/>
    <w:rsid w:val="00833548"/>
    <w:rsid w:val="00836C3D"/>
    <w:rsid w:val="00836C99"/>
    <w:rsid w:val="00840124"/>
    <w:rsid w:val="008403D2"/>
    <w:rsid w:val="008403D3"/>
    <w:rsid w:val="008417C8"/>
    <w:rsid w:val="00841CCF"/>
    <w:rsid w:val="00841FBB"/>
    <w:rsid w:val="00843719"/>
    <w:rsid w:val="00844E21"/>
    <w:rsid w:val="00845D2F"/>
    <w:rsid w:val="008471D2"/>
    <w:rsid w:val="00847C80"/>
    <w:rsid w:val="00852EA6"/>
    <w:rsid w:val="008537EE"/>
    <w:rsid w:val="008543AB"/>
    <w:rsid w:val="00855EB8"/>
    <w:rsid w:val="00855F66"/>
    <w:rsid w:val="00856455"/>
    <w:rsid w:val="00857088"/>
    <w:rsid w:val="00857173"/>
    <w:rsid w:val="00857D73"/>
    <w:rsid w:val="0085DBAE"/>
    <w:rsid w:val="00860239"/>
    <w:rsid w:val="0086239D"/>
    <w:rsid w:val="0086245F"/>
    <w:rsid w:val="00862536"/>
    <w:rsid w:val="00862E06"/>
    <w:rsid w:val="00863858"/>
    <w:rsid w:val="00864709"/>
    <w:rsid w:val="0086570B"/>
    <w:rsid w:val="008657DB"/>
    <w:rsid w:val="00866146"/>
    <w:rsid w:val="00866F20"/>
    <w:rsid w:val="008706CA"/>
    <w:rsid w:val="00870E64"/>
    <w:rsid w:val="00871336"/>
    <w:rsid w:val="00872A8F"/>
    <w:rsid w:val="00872C3C"/>
    <w:rsid w:val="00873A14"/>
    <w:rsid w:val="008745D7"/>
    <w:rsid w:val="00876513"/>
    <w:rsid w:val="00880316"/>
    <w:rsid w:val="00880A72"/>
    <w:rsid w:val="008814B8"/>
    <w:rsid w:val="008823BD"/>
    <w:rsid w:val="00882935"/>
    <w:rsid w:val="008840BB"/>
    <w:rsid w:val="008846F7"/>
    <w:rsid w:val="0088483B"/>
    <w:rsid w:val="008850A5"/>
    <w:rsid w:val="00885FAB"/>
    <w:rsid w:val="00886436"/>
    <w:rsid w:val="00886ED4"/>
    <w:rsid w:val="00887B40"/>
    <w:rsid w:val="008902A2"/>
    <w:rsid w:val="0089211D"/>
    <w:rsid w:val="00892AA2"/>
    <w:rsid w:val="00892CCD"/>
    <w:rsid w:val="00893232"/>
    <w:rsid w:val="0089395F"/>
    <w:rsid w:val="00894615"/>
    <w:rsid w:val="0089499B"/>
    <w:rsid w:val="00894F7D"/>
    <w:rsid w:val="00895C77"/>
    <w:rsid w:val="00895EDC"/>
    <w:rsid w:val="0089630D"/>
    <w:rsid w:val="008965D0"/>
    <w:rsid w:val="00896E82"/>
    <w:rsid w:val="00897C9A"/>
    <w:rsid w:val="00897DCF"/>
    <w:rsid w:val="00897FF4"/>
    <w:rsid w:val="008A0214"/>
    <w:rsid w:val="008A0717"/>
    <w:rsid w:val="008A0786"/>
    <w:rsid w:val="008A10D0"/>
    <w:rsid w:val="008A2C3F"/>
    <w:rsid w:val="008A3221"/>
    <w:rsid w:val="008A3A53"/>
    <w:rsid w:val="008A4E96"/>
    <w:rsid w:val="008A52AE"/>
    <w:rsid w:val="008A56F0"/>
    <w:rsid w:val="008A58C9"/>
    <w:rsid w:val="008A5D50"/>
    <w:rsid w:val="008A687D"/>
    <w:rsid w:val="008A6984"/>
    <w:rsid w:val="008A7247"/>
    <w:rsid w:val="008A7797"/>
    <w:rsid w:val="008B0862"/>
    <w:rsid w:val="008B3080"/>
    <w:rsid w:val="008B43A8"/>
    <w:rsid w:val="008B6B20"/>
    <w:rsid w:val="008B7200"/>
    <w:rsid w:val="008B784E"/>
    <w:rsid w:val="008C0DBA"/>
    <w:rsid w:val="008C0E06"/>
    <w:rsid w:val="008C31C8"/>
    <w:rsid w:val="008C3393"/>
    <w:rsid w:val="008C46C9"/>
    <w:rsid w:val="008C47E3"/>
    <w:rsid w:val="008C5221"/>
    <w:rsid w:val="008C6DDB"/>
    <w:rsid w:val="008C6F6C"/>
    <w:rsid w:val="008C7459"/>
    <w:rsid w:val="008D0543"/>
    <w:rsid w:val="008D09B8"/>
    <w:rsid w:val="008D1B5A"/>
    <w:rsid w:val="008D1EDF"/>
    <w:rsid w:val="008D1F91"/>
    <w:rsid w:val="008D21A1"/>
    <w:rsid w:val="008D21AD"/>
    <w:rsid w:val="008D3141"/>
    <w:rsid w:val="008D31E1"/>
    <w:rsid w:val="008D336F"/>
    <w:rsid w:val="008D38DE"/>
    <w:rsid w:val="008D400E"/>
    <w:rsid w:val="008D5864"/>
    <w:rsid w:val="008D596A"/>
    <w:rsid w:val="008D6358"/>
    <w:rsid w:val="008D68AE"/>
    <w:rsid w:val="008D6C79"/>
    <w:rsid w:val="008D6D32"/>
    <w:rsid w:val="008D70C0"/>
    <w:rsid w:val="008D795E"/>
    <w:rsid w:val="008D7F4A"/>
    <w:rsid w:val="008D7F74"/>
    <w:rsid w:val="008E02C3"/>
    <w:rsid w:val="008E06D2"/>
    <w:rsid w:val="008E0743"/>
    <w:rsid w:val="008E0CDB"/>
    <w:rsid w:val="008E2667"/>
    <w:rsid w:val="008E27DA"/>
    <w:rsid w:val="008E2E05"/>
    <w:rsid w:val="008E3F04"/>
    <w:rsid w:val="008E41ED"/>
    <w:rsid w:val="008E53F1"/>
    <w:rsid w:val="008E59D3"/>
    <w:rsid w:val="008E6294"/>
    <w:rsid w:val="008E6569"/>
    <w:rsid w:val="008E76E1"/>
    <w:rsid w:val="008E7BAD"/>
    <w:rsid w:val="008F0A98"/>
    <w:rsid w:val="008F19B3"/>
    <w:rsid w:val="008F1FE8"/>
    <w:rsid w:val="008F277F"/>
    <w:rsid w:val="008F2B32"/>
    <w:rsid w:val="008F3348"/>
    <w:rsid w:val="008F3470"/>
    <w:rsid w:val="008F52F2"/>
    <w:rsid w:val="008F5384"/>
    <w:rsid w:val="0090023B"/>
    <w:rsid w:val="00901097"/>
    <w:rsid w:val="0090144C"/>
    <w:rsid w:val="00902EBD"/>
    <w:rsid w:val="00904A3A"/>
    <w:rsid w:val="0090517A"/>
    <w:rsid w:val="009058FE"/>
    <w:rsid w:val="00905AC1"/>
    <w:rsid w:val="0090613E"/>
    <w:rsid w:val="00906DA7"/>
    <w:rsid w:val="00906EAC"/>
    <w:rsid w:val="00906FF6"/>
    <w:rsid w:val="0090786C"/>
    <w:rsid w:val="00907D54"/>
    <w:rsid w:val="009107BF"/>
    <w:rsid w:val="00912165"/>
    <w:rsid w:val="00912C1B"/>
    <w:rsid w:val="009143B0"/>
    <w:rsid w:val="00914FAE"/>
    <w:rsid w:val="00916783"/>
    <w:rsid w:val="009168F9"/>
    <w:rsid w:val="00916B62"/>
    <w:rsid w:val="00916D27"/>
    <w:rsid w:val="00917298"/>
    <w:rsid w:val="009204F4"/>
    <w:rsid w:val="00920673"/>
    <w:rsid w:val="0092137A"/>
    <w:rsid w:val="009213FB"/>
    <w:rsid w:val="009214BA"/>
    <w:rsid w:val="00921824"/>
    <w:rsid w:val="00921FE9"/>
    <w:rsid w:val="00922CFD"/>
    <w:rsid w:val="00923621"/>
    <w:rsid w:val="00923DF9"/>
    <w:rsid w:val="009249D2"/>
    <w:rsid w:val="00925686"/>
    <w:rsid w:val="0092611D"/>
    <w:rsid w:val="009315B8"/>
    <w:rsid w:val="00931647"/>
    <w:rsid w:val="00931C0C"/>
    <w:rsid w:val="0093221C"/>
    <w:rsid w:val="00932F37"/>
    <w:rsid w:val="0093328D"/>
    <w:rsid w:val="0093358E"/>
    <w:rsid w:val="0093398C"/>
    <w:rsid w:val="00935725"/>
    <w:rsid w:val="009359C6"/>
    <w:rsid w:val="00936825"/>
    <w:rsid w:val="009368B1"/>
    <w:rsid w:val="00936B7A"/>
    <w:rsid w:val="00937A13"/>
    <w:rsid w:val="00937CF1"/>
    <w:rsid w:val="00940FDD"/>
    <w:rsid w:val="00942327"/>
    <w:rsid w:val="009423F8"/>
    <w:rsid w:val="00942920"/>
    <w:rsid w:val="00943FFB"/>
    <w:rsid w:val="00944BBE"/>
    <w:rsid w:val="00944C3F"/>
    <w:rsid w:val="00945A8A"/>
    <w:rsid w:val="00945C0B"/>
    <w:rsid w:val="00945C99"/>
    <w:rsid w:val="00946114"/>
    <w:rsid w:val="00946282"/>
    <w:rsid w:val="0094662A"/>
    <w:rsid w:val="009468D7"/>
    <w:rsid w:val="00947723"/>
    <w:rsid w:val="00947F8F"/>
    <w:rsid w:val="00950187"/>
    <w:rsid w:val="009504FA"/>
    <w:rsid w:val="0095060D"/>
    <w:rsid w:val="009507BB"/>
    <w:rsid w:val="00951587"/>
    <w:rsid w:val="00951BDC"/>
    <w:rsid w:val="00953322"/>
    <w:rsid w:val="009543E3"/>
    <w:rsid w:val="0095441F"/>
    <w:rsid w:val="00954B33"/>
    <w:rsid w:val="00954DA5"/>
    <w:rsid w:val="00955428"/>
    <w:rsid w:val="009617BB"/>
    <w:rsid w:val="00961D73"/>
    <w:rsid w:val="00963258"/>
    <w:rsid w:val="00963839"/>
    <w:rsid w:val="00963D39"/>
    <w:rsid w:val="00964250"/>
    <w:rsid w:val="009648B2"/>
    <w:rsid w:val="00966DFC"/>
    <w:rsid w:val="00967657"/>
    <w:rsid w:val="00967F34"/>
    <w:rsid w:val="009708EC"/>
    <w:rsid w:val="00970BC6"/>
    <w:rsid w:val="0097131F"/>
    <w:rsid w:val="00971466"/>
    <w:rsid w:val="00971E39"/>
    <w:rsid w:val="0097225F"/>
    <w:rsid w:val="00973C5F"/>
    <w:rsid w:val="00973C87"/>
    <w:rsid w:val="00974E77"/>
    <w:rsid w:val="009753DE"/>
    <w:rsid w:val="00977BBA"/>
    <w:rsid w:val="0098051F"/>
    <w:rsid w:val="00981051"/>
    <w:rsid w:val="0098135F"/>
    <w:rsid w:val="0098217A"/>
    <w:rsid w:val="009822D9"/>
    <w:rsid w:val="00982602"/>
    <w:rsid w:val="00982884"/>
    <w:rsid w:val="00983E58"/>
    <w:rsid w:val="0098444E"/>
    <w:rsid w:val="009844BE"/>
    <w:rsid w:val="0098452C"/>
    <w:rsid w:val="00985DB2"/>
    <w:rsid w:val="00986C70"/>
    <w:rsid w:val="00987605"/>
    <w:rsid w:val="00987D50"/>
    <w:rsid w:val="00990389"/>
    <w:rsid w:val="0099059E"/>
    <w:rsid w:val="009909C4"/>
    <w:rsid w:val="00990ED5"/>
    <w:rsid w:val="009911C4"/>
    <w:rsid w:val="00992824"/>
    <w:rsid w:val="0099292C"/>
    <w:rsid w:val="009931F2"/>
    <w:rsid w:val="00993C9D"/>
    <w:rsid w:val="00993F06"/>
    <w:rsid w:val="0099414C"/>
    <w:rsid w:val="0099470B"/>
    <w:rsid w:val="00994C6B"/>
    <w:rsid w:val="00994F4A"/>
    <w:rsid w:val="00995290"/>
    <w:rsid w:val="00995EEF"/>
    <w:rsid w:val="00996302"/>
    <w:rsid w:val="00996FBC"/>
    <w:rsid w:val="00997A27"/>
    <w:rsid w:val="00997BD5"/>
    <w:rsid w:val="00997C82"/>
    <w:rsid w:val="00997E84"/>
    <w:rsid w:val="009A123F"/>
    <w:rsid w:val="009A2983"/>
    <w:rsid w:val="009A29BF"/>
    <w:rsid w:val="009A2C3A"/>
    <w:rsid w:val="009A53D2"/>
    <w:rsid w:val="009A5546"/>
    <w:rsid w:val="009A62CC"/>
    <w:rsid w:val="009A63D4"/>
    <w:rsid w:val="009A63E6"/>
    <w:rsid w:val="009A67A5"/>
    <w:rsid w:val="009A68A9"/>
    <w:rsid w:val="009A78CC"/>
    <w:rsid w:val="009A7A14"/>
    <w:rsid w:val="009B0A00"/>
    <w:rsid w:val="009B1057"/>
    <w:rsid w:val="009B1833"/>
    <w:rsid w:val="009B1ECC"/>
    <w:rsid w:val="009B23AF"/>
    <w:rsid w:val="009B2D76"/>
    <w:rsid w:val="009B3482"/>
    <w:rsid w:val="009B383F"/>
    <w:rsid w:val="009B396E"/>
    <w:rsid w:val="009B51D0"/>
    <w:rsid w:val="009B5776"/>
    <w:rsid w:val="009B5E83"/>
    <w:rsid w:val="009B6954"/>
    <w:rsid w:val="009B72BA"/>
    <w:rsid w:val="009B766E"/>
    <w:rsid w:val="009B7C4F"/>
    <w:rsid w:val="009C0162"/>
    <w:rsid w:val="009C06D1"/>
    <w:rsid w:val="009C080A"/>
    <w:rsid w:val="009C1ADE"/>
    <w:rsid w:val="009C1C61"/>
    <w:rsid w:val="009C274E"/>
    <w:rsid w:val="009C31BC"/>
    <w:rsid w:val="009C402F"/>
    <w:rsid w:val="009C54BD"/>
    <w:rsid w:val="009C66D7"/>
    <w:rsid w:val="009C7DE8"/>
    <w:rsid w:val="009C7EEC"/>
    <w:rsid w:val="009C7F3E"/>
    <w:rsid w:val="009D001B"/>
    <w:rsid w:val="009D073E"/>
    <w:rsid w:val="009D1191"/>
    <w:rsid w:val="009D1473"/>
    <w:rsid w:val="009D16EA"/>
    <w:rsid w:val="009D1C54"/>
    <w:rsid w:val="009D1DD6"/>
    <w:rsid w:val="009D1DE2"/>
    <w:rsid w:val="009D281D"/>
    <w:rsid w:val="009D3529"/>
    <w:rsid w:val="009D49FF"/>
    <w:rsid w:val="009D61F2"/>
    <w:rsid w:val="009D72E2"/>
    <w:rsid w:val="009E0F24"/>
    <w:rsid w:val="009E0FA4"/>
    <w:rsid w:val="009E1D3C"/>
    <w:rsid w:val="009E51B3"/>
    <w:rsid w:val="009E6C83"/>
    <w:rsid w:val="009E7214"/>
    <w:rsid w:val="009F090B"/>
    <w:rsid w:val="009F0D19"/>
    <w:rsid w:val="009F18DE"/>
    <w:rsid w:val="009F1EEB"/>
    <w:rsid w:val="009F2756"/>
    <w:rsid w:val="009F31CC"/>
    <w:rsid w:val="009F32DC"/>
    <w:rsid w:val="009F32EE"/>
    <w:rsid w:val="009F3A5C"/>
    <w:rsid w:val="009F3B62"/>
    <w:rsid w:val="009F5508"/>
    <w:rsid w:val="009F618A"/>
    <w:rsid w:val="009F6DBE"/>
    <w:rsid w:val="009F771E"/>
    <w:rsid w:val="009F7E91"/>
    <w:rsid w:val="00A019D4"/>
    <w:rsid w:val="00A01AA0"/>
    <w:rsid w:val="00A02916"/>
    <w:rsid w:val="00A03939"/>
    <w:rsid w:val="00A10285"/>
    <w:rsid w:val="00A10383"/>
    <w:rsid w:val="00A1094E"/>
    <w:rsid w:val="00A10E9C"/>
    <w:rsid w:val="00A1182F"/>
    <w:rsid w:val="00A11E81"/>
    <w:rsid w:val="00A12F8B"/>
    <w:rsid w:val="00A145FB"/>
    <w:rsid w:val="00A15C35"/>
    <w:rsid w:val="00A162AE"/>
    <w:rsid w:val="00A17B87"/>
    <w:rsid w:val="00A21282"/>
    <w:rsid w:val="00A215B4"/>
    <w:rsid w:val="00A22E48"/>
    <w:rsid w:val="00A24B03"/>
    <w:rsid w:val="00A2590D"/>
    <w:rsid w:val="00A2761F"/>
    <w:rsid w:val="00A301A4"/>
    <w:rsid w:val="00A30981"/>
    <w:rsid w:val="00A31ED9"/>
    <w:rsid w:val="00A32412"/>
    <w:rsid w:val="00A32866"/>
    <w:rsid w:val="00A32A33"/>
    <w:rsid w:val="00A32E9A"/>
    <w:rsid w:val="00A3310B"/>
    <w:rsid w:val="00A33CCF"/>
    <w:rsid w:val="00A3487E"/>
    <w:rsid w:val="00A36E30"/>
    <w:rsid w:val="00A37135"/>
    <w:rsid w:val="00A403FE"/>
    <w:rsid w:val="00A40CFE"/>
    <w:rsid w:val="00A40D78"/>
    <w:rsid w:val="00A418BE"/>
    <w:rsid w:val="00A41A6B"/>
    <w:rsid w:val="00A422B2"/>
    <w:rsid w:val="00A42CCA"/>
    <w:rsid w:val="00A445FD"/>
    <w:rsid w:val="00A44866"/>
    <w:rsid w:val="00A44932"/>
    <w:rsid w:val="00A450FE"/>
    <w:rsid w:val="00A4697D"/>
    <w:rsid w:val="00A47936"/>
    <w:rsid w:val="00A51138"/>
    <w:rsid w:val="00A51942"/>
    <w:rsid w:val="00A52513"/>
    <w:rsid w:val="00A52C8C"/>
    <w:rsid w:val="00A53907"/>
    <w:rsid w:val="00A53FB5"/>
    <w:rsid w:val="00A54FD0"/>
    <w:rsid w:val="00A5581B"/>
    <w:rsid w:val="00A55A61"/>
    <w:rsid w:val="00A55CC9"/>
    <w:rsid w:val="00A55DFD"/>
    <w:rsid w:val="00A616A5"/>
    <w:rsid w:val="00A61E0A"/>
    <w:rsid w:val="00A624ED"/>
    <w:rsid w:val="00A63186"/>
    <w:rsid w:val="00A63570"/>
    <w:rsid w:val="00A63EE5"/>
    <w:rsid w:val="00A64F54"/>
    <w:rsid w:val="00A654EE"/>
    <w:rsid w:val="00A6579B"/>
    <w:rsid w:val="00A661E7"/>
    <w:rsid w:val="00A6640A"/>
    <w:rsid w:val="00A67410"/>
    <w:rsid w:val="00A70A3E"/>
    <w:rsid w:val="00A70B5F"/>
    <w:rsid w:val="00A70B92"/>
    <w:rsid w:val="00A71312"/>
    <w:rsid w:val="00A71970"/>
    <w:rsid w:val="00A7249B"/>
    <w:rsid w:val="00A7404F"/>
    <w:rsid w:val="00A746CE"/>
    <w:rsid w:val="00A74C88"/>
    <w:rsid w:val="00A75069"/>
    <w:rsid w:val="00A7578D"/>
    <w:rsid w:val="00A761CE"/>
    <w:rsid w:val="00A76539"/>
    <w:rsid w:val="00A778F2"/>
    <w:rsid w:val="00A77D34"/>
    <w:rsid w:val="00A814BA"/>
    <w:rsid w:val="00A82C03"/>
    <w:rsid w:val="00A82F94"/>
    <w:rsid w:val="00A82FE0"/>
    <w:rsid w:val="00A8306F"/>
    <w:rsid w:val="00A831AD"/>
    <w:rsid w:val="00A835E1"/>
    <w:rsid w:val="00A836EF"/>
    <w:rsid w:val="00A83ED6"/>
    <w:rsid w:val="00A84AB8"/>
    <w:rsid w:val="00A85A92"/>
    <w:rsid w:val="00A8624A"/>
    <w:rsid w:val="00A87154"/>
    <w:rsid w:val="00A87C18"/>
    <w:rsid w:val="00A90E49"/>
    <w:rsid w:val="00A91462"/>
    <w:rsid w:val="00A92BD7"/>
    <w:rsid w:val="00A93287"/>
    <w:rsid w:val="00A93D2E"/>
    <w:rsid w:val="00A944A8"/>
    <w:rsid w:val="00A96CB7"/>
    <w:rsid w:val="00A973DA"/>
    <w:rsid w:val="00AA27BF"/>
    <w:rsid w:val="00AA2AAF"/>
    <w:rsid w:val="00AA303B"/>
    <w:rsid w:val="00AA3E8E"/>
    <w:rsid w:val="00AA3FF0"/>
    <w:rsid w:val="00AA4838"/>
    <w:rsid w:val="00AA6169"/>
    <w:rsid w:val="00AA71A4"/>
    <w:rsid w:val="00AB1877"/>
    <w:rsid w:val="00AB1BEB"/>
    <w:rsid w:val="00AB2856"/>
    <w:rsid w:val="00AB2B38"/>
    <w:rsid w:val="00AB3276"/>
    <w:rsid w:val="00AB368D"/>
    <w:rsid w:val="00AB46DF"/>
    <w:rsid w:val="00AB47DC"/>
    <w:rsid w:val="00AB4AF9"/>
    <w:rsid w:val="00AB5A16"/>
    <w:rsid w:val="00AB7233"/>
    <w:rsid w:val="00AC071B"/>
    <w:rsid w:val="00AC0B11"/>
    <w:rsid w:val="00AC1FCA"/>
    <w:rsid w:val="00AC233B"/>
    <w:rsid w:val="00AC3299"/>
    <w:rsid w:val="00AC3588"/>
    <w:rsid w:val="00AC3DC6"/>
    <w:rsid w:val="00AC3E8F"/>
    <w:rsid w:val="00AC5789"/>
    <w:rsid w:val="00AC5867"/>
    <w:rsid w:val="00AC58E7"/>
    <w:rsid w:val="00AC5EC7"/>
    <w:rsid w:val="00AC67DB"/>
    <w:rsid w:val="00AC7439"/>
    <w:rsid w:val="00AC7690"/>
    <w:rsid w:val="00AC7B2E"/>
    <w:rsid w:val="00AD1BEF"/>
    <w:rsid w:val="00AD274D"/>
    <w:rsid w:val="00AD2ED7"/>
    <w:rsid w:val="00AD3633"/>
    <w:rsid w:val="00AD38A7"/>
    <w:rsid w:val="00AD4567"/>
    <w:rsid w:val="00AD4BF7"/>
    <w:rsid w:val="00AD4CCE"/>
    <w:rsid w:val="00AD4F29"/>
    <w:rsid w:val="00AD5428"/>
    <w:rsid w:val="00AD583A"/>
    <w:rsid w:val="00AD7C0E"/>
    <w:rsid w:val="00AD7D8A"/>
    <w:rsid w:val="00AE02C7"/>
    <w:rsid w:val="00AE1032"/>
    <w:rsid w:val="00AE261D"/>
    <w:rsid w:val="00AE28D7"/>
    <w:rsid w:val="00AE3A44"/>
    <w:rsid w:val="00AE3EE2"/>
    <w:rsid w:val="00AE4660"/>
    <w:rsid w:val="00AE4A92"/>
    <w:rsid w:val="00AE5A53"/>
    <w:rsid w:val="00AE640C"/>
    <w:rsid w:val="00AE70B8"/>
    <w:rsid w:val="00AE779C"/>
    <w:rsid w:val="00AE7855"/>
    <w:rsid w:val="00AF01C2"/>
    <w:rsid w:val="00AF0B11"/>
    <w:rsid w:val="00AF0FCC"/>
    <w:rsid w:val="00AF1F1F"/>
    <w:rsid w:val="00AF206C"/>
    <w:rsid w:val="00AF58DB"/>
    <w:rsid w:val="00AF673A"/>
    <w:rsid w:val="00AF69B0"/>
    <w:rsid w:val="00AF7024"/>
    <w:rsid w:val="00AF70CA"/>
    <w:rsid w:val="00AF77F0"/>
    <w:rsid w:val="00B020C7"/>
    <w:rsid w:val="00B03220"/>
    <w:rsid w:val="00B05DC5"/>
    <w:rsid w:val="00B06812"/>
    <w:rsid w:val="00B06EE4"/>
    <w:rsid w:val="00B0704F"/>
    <w:rsid w:val="00B1064C"/>
    <w:rsid w:val="00B1118E"/>
    <w:rsid w:val="00B115EA"/>
    <w:rsid w:val="00B123B8"/>
    <w:rsid w:val="00B143C2"/>
    <w:rsid w:val="00B15D84"/>
    <w:rsid w:val="00B17771"/>
    <w:rsid w:val="00B2339E"/>
    <w:rsid w:val="00B23F01"/>
    <w:rsid w:val="00B265B2"/>
    <w:rsid w:val="00B265C9"/>
    <w:rsid w:val="00B27F30"/>
    <w:rsid w:val="00B30E63"/>
    <w:rsid w:val="00B31CD9"/>
    <w:rsid w:val="00B328FF"/>
    <w:rsid w:val="00B32CBF"/>
    <w:rsid w:val="00B334B6"/>
    <w:rsid w:val="00B33CD2"/>
    <w:rsid w:val="00B34EEC"/>
    <w:rsid w:val="00B35674"/>
    <w:rsid w:val="00B35C75"/>
    <w:rsid w:val="00B3633C"/>
    <w:rsid w:val="00B363B5"/>
    <w:rsid w:val="00B3745B"/>
    <w:rsid w:val="00B37B17"/>
    <w:rsid w:val="00B41000"/>
    <w:rsid w:val="00B41981"/>
    <w:rsid w:val="00B41A04"/>
    <w:rsid w:val="00B42508"/>
    <w:rsid w:val="00B42D7D"/>
    <w:rsid w:val="00B42E40"/>
    <w:rsid w:val="00B4463E"/>
    <w:rsid w:val="00B44B43"/>
    <w:rsid w:val="00B46D7F"/>
    <w:rsid w:val="00B47BA0"/>
    <w:rsid w:val="00B47D47"/>
    <w:rsid w:val="00B47E1E"/>
    <w:rsid w:val="00B5017B"/>
    <w:rsid w:val="00B525B7"/>
    <w:rsid w:val="00B52786"/>
    <w:rsid w:val="00B52DFE"/>
    <w:rsid w:val="00B5336B"/>
    <w:rsid w:val="00B537E0"/>
    <w:rsid w:val="00B54EF4"/>
    <w:rsid w:val="00B55072"/>
    <w:rsid w:val="00B56368"/>
    <w:rsid w:val="00B57021"/>
    <w:rsid w:val="00B57938"/>
    <w:rsid w:val="00B57D88"/>
    <w:rsid w:val="00B6027C"/>
    <w:rsid w:val="00B60DF3"/>
    <w:rsid w:val="00B61A15"/>
    <w:rsid w:val="00B624D7"/>
    <w:rsid w:val="00B62E44"/>
    <w:rsid w:val="00B63096"/>
    <w:rsid w:val="00B63488"/>
    <w:rsid w:val="00B639D0"/>
    <w:rsid w:val="00B6433E"/>
    <w:rsid w:val="00B64654"/>
    <w:rsid w:val="00B6468D"/>
    <w:rsid w:val="00B6480C"/>
    <w:rsid w:val="00B652AA"/>
    <w:rsid w:val="00B65FB7"/>
    <w:rsid w:val="00B70A57"/>
    <w:rsid w:val="00B70DC8"/>
    <w:rsid w:val="00B718EF"/>
    <w:rsid w:val="00B720F5"/>
    <w:rsid w:val="00B73631"/>
    <w:rsid w:val="00B738C5"/>
    <w:rsid w:val="00B741C0"/>
    <w:rsid w:val="00B74D5F"/>
    <w:rsid w:val="00B755E4"/>
    <w:rsid w:val="00B75872"/>
    <w:rsid w:val="00B77230"/>
    <w:rsid w:val="00B7748A"/>
    <w:rsid w:val="00B77A5E"/>
    <w:rsid w:val="00B81EDE"/>
    <w:rsid w:val="00B825A0"/>
    <w:rsid w:val="00B83267"/>
    <w:rsid w:val="00B84B86"/>
    <w:rsid w:val="00B8572D"/>
    <w:rsid w:val="00B85ED6"/>
    <w:rsid w:val="00B8707A"/>
    <w:rsid w:val="00B8761E"/>
    <w:rsid w:val="00B91132"/>
    <w:rsid w:val="00B92518"/>
    <w:rsid w:val="00B93415"/>
    <w:rsid w:val="00B93A5A"/>
    <w:rsid w:val="00B93D18"/>
    <w:rsid w:val="00B94429"/>
    <w:rsid w:val="00B9594B"/>
    <w:rsid w:val="00B95F1B"/>
    <w:rsid w:val="00B96E64"/>
    <w:rsid w:val="00BA083C"/>
    <w:rsid w:val="00BA1DBF"/>
    <w:rsid w:val="00BA2B4C"/>
    <w:rsid w:val="00BA6006"/>
    <w:rsid w:val="00BA64CB"/>
    <w:rsid w:val="00BA6551"/>
    <w:rsid w:val="00BB0F0E"/>
    <w:rsid w:val="00BB1047"/>
    <w:rsid w:val="00BB2345"/>
    <w:rsid w:val="00BB2B43"/>
    <w:rsid w:val="00BB2C39"/>
    <w:rsid w:val="00BB3396"/>
    <w:rsid w:val="00BB3FE4"/>
    <w:rsid w:val="00BB4EAA"/>
    <w:rsid w:val="00BB5B8A"/>
    <w:rsid w:val="00BB7F9C"/>
    <w:rsid w:val="00BC05B0"/>
    <w:rsid w:val="00BC1E35"/>
    <w:rsid w:val="00BC31E7"/>
    <w:rsid w:val="00BC3412"/>
    <w:rsid w:val="00BC4DBE"/>
    <w:rsid w:val="00BC63F4"/>
    <w:rsid w:val="00BC63FC"/>
    <w:rsid w:val="00BC74DE"/>
    <w:rsid w:val="00BD1CD3"/>
    <w:rsid w:val="00BD1E8B"/>
    <w:rsid w:val="00BD3118"/>
    <w:rsid w:val="00BD3513"/>
    <w:rsid w:val="00BD39DD"/>
    <w:rsid w:val="00BD4156"/>
    <w:rsid w:val="00BD4792"/>
    <w:rsid w:val="00BD5030"/>
    <w:rsid w:val="00BD5713"/>
    <w:rsid w:val="00BD5925"/>
    <w:rsid w:val="00BD602B"/>
    <w:rsid w:val="00BD6229"/>
    <w:rsid w:val="00BD6B79"/>
    <w:rsid w:val="00BD7263"/>
    <w:rsid w:val="00BD78D7"/>
    <w:rsid w:val="00BE06AA"/>
    <w:rsid w:val="00BE07AC"/>
    <w:rsid w:val="00BE2264"/>
    <w:rsid w:val="00BE2F97"/>
    <w:rsid w:val="00BE41DC"/>
    <w:rsid w:val="00BE49AB"/>
    <w:rsid w:val="00BE5018"/>
    <w:rsid w:val="00BE507F"/>
    <w:rsid w:val="00BE58BB"/>
    <w:rsid w:val="00BE5966"/>
    <w:rsid w:val="00BE6B51"/>
    <w:rsid w:val="00BE78D1"/>
    <w:rsid w:val="00BF01D9"/>
    <w:rsid w:val="00BF1C4E"/>
    <w:rsid w:val="00BF1EE0"/>
    <w:rsid w:val="00BF31D5"/>
    <w:rsid w:val="00BF4146"/>
    <w:rsid w:val="00BF5059"/>
    <w:rsid w:val="00BF5283"/>
    <w:rsid w:val="00BF53FC"/>
    <w:rsid w:val="00BF5B76"/>
    <w:rsid w:val="00BF5C2F"/>
    <w:rsid w:val="00BF608C"/>
    <w:rsid w:val="00C00D44"/>
    <w:rsid w:val="00C01D0E"/>
    <w:rsid w:val="00C02059"/>
    <w:rsid w:val="00C02926"/>
    <w:rsid w:val="00C02BA5"/>
    <w:rsid w:val="00C0348A"/>
    <w:rsid w:val="00C03EF0"/>
    <w:rsid w:val="00C044BB"/>
    <w:rsid w:val="00C045E4"/>
    <w:rsid w:val="00C05306"/>
    <w:rsid w:val="00C0702C"/>
    <w:rsid w:val="00C0733A"/>
    <w:rsid w:val="00C07F02"/>
    <w:rsid w:val="00C10450"/>
    <w:rsid w:val="00C112A7"/>
    <w:rsid w:val="00C127AC"/>
    <w:rsid w:val="00C12CD9"/>
    <w:rsid w:val="00C1302F"/>
    <w:rsid w:val="00C1307F"/>
    <w:rsid w:val="00C13A65"/>
    <w:rsid w:val="00C1509B"/>
    <w:rsid w:val="00C16528"/>
    <w:rsid w:val="00C17449"/>
    <w:rsid w:val="00C17A6B"/>
    <w:rsid w:val="00C209DB"/>
    <w:rsid w:val="00C21310"/>
    <w:rsid w:val="00C21DEA"/>
    <w:rsid w:val="00C2286B"/>
    <w:rsid w:val="00C2354A"/>
    <w:rsid w:val="00C2371F"/>
    <w:rsid w:val="00C24DC4"/>
    <w:rsid w:val="00C25232"/>
    <w:rsid w:val="00C262A4"/>
    <w:rsid w:val="00C26540"/>
    <w:rsid w:val="00C302BB"/>
    <w:rsid w:val="00C33A56"/>
    <w:rsid w:val="00C34150"/>
    <w:rsid w:val="00C34497"/>
    <w:rsid w:val="00C353C6"/>
    <w:rsid w:val="00C35762"/>
    <w:rsid w:val="00C364C5"/>
    <w:rsid w:val="00C36A0E"/>
    <w:rsid w:val="00C37B51"/>
    <w:rsid w:val="00C4018A"/>
    <w:rsid w:val="00C40643"/>
    <w:rsid w:val="00C41844"/>
    <w:rsid w:val="00C41881"/>
    <w:rsid w:val="00C428F6"/>
    <w:rsid w:val="00C430BB"/>
    <w:rsid w:val="00C4322D"/>
    <w:rsid w:val="00C448DE"/>
    <w:rsid w:val="00C44935"/>
    <w:rsid w:val="00C44F0F"/>
    <w:rsid w:val="00C457B7"/>
    <w:rsid w:val="00C45883"/>
    <w:rsid w:val="00C46519"/>
    <w:rsid w:val="00C46FFB"/>
    <w:rsid w:val="00C47424"/>
    <w:rsid w:val="00C50295"/>
    <w:rsid w:val="00C50E5A"/>
    <w:rsid w:val="00C51DA1"/>
    <w:rsid w:val="00C53DC0"/>
    <w:rsid w:val="00C57F96"/>
    <w:rsid w:val="00C6023D"/>
    <w:rsid w:val="00C60CE3"/>
    <w:rsid w:val="00C60D77"/>
    <w:rsid w:val="00C60FC8"/>
    <w:rsid w:val="00C62026"/>
    <w:rsid w:val="00C6286B"/>
    <w:rsid w:val="00C62DAE"/>
    <w:rsid w:val="00C6323B"/>
    <w:rsid w:val="00C638DF"/>
    <w:rsid w:val="00C63AD3"/>
    <w:rsid w:val="00C647CD"/>
    <w:rsid w:val="00C66094"/>
    <w:rsid w:val="00C6618F"/>
    <w:rsid w:val="00C66639"/>
    <w:rsid w:val="00C669FF"/>
    <w:rsid w:val="00C66F16"/>
    <w:rsid w:val="00C70259"/>
    <w:rsid w:val="00C70974"/>
    <w:rsid w:val="00C70C1D"/>
    <w:rsid w:val="00C70E5F"/>
    <w:rsid w:val="00C728F5"/>
    <w:rsid w:val="00C72B9B"/>
    <w:rsid w:val="00C72CD7"/>
    <w:rsid w:val="00C73C48"/>
    <w:rsid w:val="00C75023"/>
    <w:rsid w:val="00C7513F"/>
    <w:rsid w:val="00C75856"/>
    <w:rsid w:val="00C763EE"/>
    <w:rsid w:val="00C76656"/>
    <w:rsid w:val="00C76C17"/>
    <w:rsid w:val="00C7782F"/>
    <w:rsid w:val="00C77A07"/>
    <w:rsid w:val="00C77A26"/>
    <w:rsid w:val="00C77E27"/>
    <w:rsid w:val="00C80184"/>
    <w:rsid w:val="00C80A90"/>
    <w:rsid w:val="00C81F4C"/>
    <w:rsid w:val="00C828EC"/>
    <w:rsid w:val="00C835EB"/>
    <w:rsid w:val="00C83DC2"/>
    <w:rsid w:val="00C846FD"/>
    <w:rsid w:val="00C849C9"/>
    <w:rsid w:val="00C84AC0"/>
    <w:rsid w:val="00C85107"/>
    <w:rsid w:val="00C857BF"/>
    <w:rsid w:val="00C85831"/>
    <w:rsid w:val="00C85BBC"/>
    <w:rsid w:val="00C86D82"/>
    <w:rsid w:val="00C87047"/>
    <w:rsid w:val="00C8777E"/>
    <w:rsid w:val="00C907F4"/>
    <w:rsid w:val="00C9120C"/>
    <w:rsid w:val="00C91642"/>
    <w:rsid w:val="00C9243C"/>
    <w:rsid w:val="00C95673"/>
    <w:rsid w:val="00C97CC3"/>
    <w:rsid w:val="00CA3567"/>
    <w:rsid w:val="00CA3782"/>
    <w:rsid w:val="00CA37BD"/>
    <w:rsid w:val="00CA41C2"/>
    <w:rsid w:val="00CA50F9"/>
    <w:rsid w:val="00CA5287"/>
    <w:rsid w:val="00CA56B5"/>
    <w:rsid w:val="00CA64DC"/>
    <w:rsid w:val="00CA69D7"/>
    <w:rsid w:val="00CA6D55"/>
    <w:rsid w:val="00CA736D"/>
    <w:rsid w:val="00CB000E"/>
    <w:rsid w:val="00CB23D4"/>
    <w:rsid w:val="00CB28EE"/>
    <w:rsid w:val="00CB3044"/>
    <w:rsid w:val="00CB3C6D"/>
    <w:rsid w:val="00CB5900"/>
    <w:rsid w:val="00CB5CEC"/>
    <w:rsid w:val="00CB5E9E"/>
    <w:rsid w:val="00CB6710"/>
    <w:rsid w:val="00CB730E"/>
    <w:rsid w:val="00CC005F"/>
    <w:rsid w:val="00CC05A0"/>
    <w:rsid w:val="00CC11E8"/>
    <w:rsid w:val="00CC21F0"/>
    <w:rsid w:val="00CC230C"/>
    <w:rsid w:val="00CC255D"/>
    <w:rsid w:val="00CC3598"/>
    <w:rsid w:val="00CC37CF"/>
    <w:rsid w:val="00CC409C"/>
    <w:rsid w:val="00CC44B0"/>
    <w:rsid w:val="00CC44F0"/>
    <w:rsid w:val="00CC5C39"/>
    <w:rsid w:val="00CC6B7C"/>
    <w:rsid w:val="00CC7D70"/>
    <w:rsid w:val="00CC7DA1"/>
    <w:rsid w:val="00CD0D3D"/>
    <w:rsid w:val="00CD131D"/>
    <w:rsid w:val="00CD1F13"/>
    <w:rsid w:val="00CD23CC"/>
    <w:rsid w:val="00CD54F0"/>
    <w:rsid w:val="00CD59DB"/>
    <w:rsid w:val="00CD74EA"/>
    <w:rsid w:val="00CE083E"/>
    <w:rsid w:val="00CE0B57"/>
    <w:rsid w:val="00CE2B0B"/>
    <w:rsid w:val="00CE2E84"/>
    <w:rsid w:val="00CE4BBD"/>
    <w:rsid w:val="00CE52D2"/>
    <w:rsid w:val="00CE5EB5"/>
    <w:rsid w:val="00CE63AE"/>
    <w:rsid w:val="00CE6538"/>
    <w:rsid w:val="00CE7D8A"/>
    <w:rsid w:val="00CF00DE"/>
    <w:rsid w:val="00CF0A48"/>
    <w:rsid w:val="00CF1C02"/>
    <w:rsid w:val="00CF2470"/>
    <w:rsid w:val="00CF26A3"/>
    <w:rsid w:val="00CF40F0"/>
    <w:rsid w:val="00CF521F"/>
    <w:rsid w:val="00CF67F1"/>
    <w:rsid w:val="00CF756B"/>
    <w:rsid w:val="00CF7793"/>
    <w:rsid w:val="00CF7CC5"/>
    <w:rsid w:val="00D002A7"/>
    <w:rsid w:val="00D003AA"/>
    <w:rsid w:val="00D0059B"/>
    <w:rsid w:val="00D01612"/>
    <w:rsid w:val="00D01973"/>
    <w:rsid w:val="00D01F74"/>
    <w:rsid w:val="00D021A5"/>
    <w:rsid w:val="00D0240D"/>
    <w:rsid w:val="00D028C1"/>
    <w:rsid w:val="00D02B93"/>
    <w:rsid w:val="00D040DB"/>
    <w:rsid w:val="00D0670B"/>
    <w:rsid w:val="00D07139"/>
    <w:rsid w:val="00D10AB6"/>
    <w:rsid w:val="00D12F39"/>
    <w:rsid w:val="00D135B5"/>
    <w:rsid w:val="00D14898"/>
    <w:rsid w:val="00D154E0"/>
    <w:rsid w:val="00D174CF"/>
    <w:rsid w:val="00D219FE"/>
    <w:rsid w:val="00D222BC"/>
    <w:rsid w:val="00D226A5"/>
    <w:rsid w:val="00D23241"/>
    <w:rsid w:val="00D234B2"/>
    <w:rsid w:val="00D242BE"/>
    <w:rsid w:val="00D24EFF"/>
    <w:rsid w:val="00D25E10"/>
    <w:rsid w:val="00D25EAF"/>
    <w:rsid w:val="00D26176"/>
    <w:rsid w:val="00D26CE8"/>
    <w:rsid w:val="00D26DD0"/>
    <w:rsid w:val="00D30469"/>
    <w:rsid w:val="00D3051B"/>
    <w:rsid w:val="00D31694"/>
    <w:rsid w:val="00D319CD"/>
    <w:rsid w:val="00D31D59"/>
    <w:rsid w:val="00D31FEB"/>
    <w:rsid w:val="00D32529"/>
    <w:rsid w:val="00D32595"/>
    <w:rsid w:val="00D32CC6"/>
    <w:rsid w:val="00D337C9"/>
    <w:rsid w:val="00D34FC1"/>
    <w:rsid w:val="00D3509B"/>
    <w:rsid w:val="00D354E8"/>
    <w:rsid w:val="00D3563F"/>
    <w:rsid w:val="00D36660"/>
    <w:rsid w:val="00D37156"/>
    <w:rsid w:val="00D37178"/>
    <w:rsid w:val="00D37926"/>
    <w:rsid w:val="00D37BA2"/>
    <w:rsid w:val="00D40242"/>
    <w:rsid w:val="00D4065E"/>
    <w:rsid w:val="00D40A81"/>
    <w:rsid w:val="00D41115"/>
    <w:rsid w:val="00D41545"/>
    <w:rsid w:val="00D422CE"/>
    <w:rsid w:val="00D42D76"/>
    <w:rsid w:val="00D43907"/>
    <w:rsid w:val="00D439FE"/>
    <w:rsid w:val="00D44C68"/>
    <w:rsid w:val="00D44FDE"/>
    <w:rsid w:val="00D454FF"/>
    <w:rsid w:val="00D4610B"/>
    <w:rsid w:val="00D46426"/>
    <w:rsid w:val="00D467C1"/>
    <w:rsid w:val="00D46CD1"/>
    <w:rsid w:val="00D47469"/>
    <w:rsid w:val="00D47E8F"/>
    <w:rsid w:val="00D4AA7E"/>
    <w:rsid w:val="00D50661"/>
    <w:rsid w:val="00D5099E"/>
    <w:rsid w:val="00D50FCB"/>
    <w:rsid w:val="00D51229"/>
    <w:rsid w:val="00D51494"/>
    <w:rsid w:val="00D518BE"/>
    <w:rsid w:val="00D51B46"/>
    <w:rsid w:val="00D51C70"/>
    <w:rsid w:val="00D53497"/>
    <w:rsid w:val="00D537BD"/>
    <w:rsid w:val="00D54E6F"/>
    <w:rsid w:val="00D5584E"/>
    <w:rsid w:val="00D55E0C"/>
    <w:rsid w:val="00D560C8"/>
    <w:rsid w:val="00D56652"/>
    <w:rsid w:val="00D57889"/>
    <w:rsid w:val="00D57E96"/>
    <w:rsid w:val="00D614BE"/>
    <w:rsid w:val="00D62C19"/>
    <w:rsid w:val="00D65AD9"/>
    <w:rsid w:val="00D6722D"/>
    <w:rsid w:val="00D67B31"/>
    <w:rsid w:val="00D67E80"/>
    <w:rsid w:val="00D7003D"/>
    <w:rsid w:val="00D70C60"/>
    <w:rsid w:val="00D7181B"/>
    <w:rsid w:val="00D72DA2"/>
    <w:rsid w:val="00D74AD1"/>
    <w:rsid w:val="00D75367"/>
    <w:rsid w:val="00D802F3"/>
    <w:rsid w:val="00D80BC5"/>
    <w:rsid w:val="00D80EC6"/>
    <w:rsid w:val="00D81E4B"/>
    <w:rsid w:val="00D8201D"/>
    <w:rsid w:val="00D84754"/>
    <w:rsid w:val="00D855CE"/>
    <w:rsid w:val="00D85899"/>
    <w:rsid w:val="00D85CEF"/>
    <w:rsid w:val="00D90429"/>
    <w:rsid w:val="00D9219A"/>
    <w:rsid w:val="00D92451"/>
    <w:rsid w:val="00D92C47"/>
    <w:rsid w:val="00D92E15"/>
    <w:rsid w:val="00D94A97"/>
    <w:rsid w:val="00D95527"/>
    <w:rsid w:val="00D95C7E"/>
    <w:rsid w:val="00D96751"/>
    <w:rsid w:val="00D97496"/>
    <w:rsid w:val="00D976EA"/>
    <w:rsid w:val="00DA0689"/>
    <w:rsid w:val="00DA10B5"/>
    <w:rsid w:val="00DA205A"/>
    <w:rsid w:val="00DA3769"/>
    <w:rsid w:val="00DA676E"/>
    <w:rsid w:val="00DA6DDE"/>
    <w:rsid w:val="00DA7092"/>
    <w:rsid w:val="00DA709C"/>
    <w:rsid w:val="00DA746F"/>
    <w:rsid w:val="00DA7C2F"/>
    <w:rsid w:val="00DB040A"/>
    <w:rsid w:val="00DB061B"/>
    <w:rsid w:val="00DB0E40"/>
    <w:rsid w:val="00DB12D5"/>
    <w:rsid w:val="00DB16C8"/>
    <w:rsid w:val="00DB2109"/>
    <w:rsid w:val="00DB29B1"/>
    <w:rsid w:val="00DB42F8"/>
    <w:rsid w:val="00DB5211"/>
    <w:rsid w:val="00DB5AE0"/>
    <w:rsid w:val="00DB620E"/>
    <w:rsid w:val="00DB7BD1"/>
    <w:rsid w:val="00DC1697"/>
    <w:rsid w:val="00DC1AE0"/>
    <w:rsid w:val="00DC1BB0"/>
    <w:rsid w:val="00DC203F"/>
    <w:rsid w:val="00DC26BE"/>
    <w:rsid w:val="00DC2AFF"/>
    <w:rsid w:val="00DC2E00"/>
    <w:rsid w:val="00DC33DC"/>
    <w:rsid w:val="00DC37C7"/>
    <w:rsid w:val="00DC3881"/>
    <w:rsid w:val="00DC4315"/>
    <w:rsid w:val="00DC44B1"/>
    <w:rsid w:val="00DC6B0B"/>
    <w:rsid w:val="00DC6D15"/>
    <w:rsid w:val="00DC6DDD"/>
    <w:rsid w:val="00DC7641"/>
    <w:rsid w:val="00DD02F6"/>
    <w:rsid w:val="00DD304C"/>
    <w:rsid w:val="00DD4385"/>
    <w:rsid w:val="00DD51BC"/>
    <w:rsid w:val="00DD6DCA"/>
    <w:rsid w:val="00DD6DCD"/>
    <w:rsid w:val="00DD6F9B"/>
    <w:rsid w:val="00DD7939"/>
    <w:rsid w:val="00DE04AF"/>
    <w:rsid w:val="00DE0C0F"/>
    <w:rsid w:val="00DE0F5A"/>
    <w:rsid w:val="00DE137E"/>
    <w:rsid w:val="00DE3002"/>
    <w:rsid w:val="00DE4086"/>
    <w:rsid w:val="00DE59D5"/>
    <w:rsid w:val="00DE5EAF"/>
    <w:rsid w:val="00DE702D"/>
    <w:rsid w:val="00DE704E"/>
    <w:rsid w:val="00DF13B7"/>
    <w:rsid w:val="00DF1457"/>
    <w:rsid w:val="00DF309F"/>
    <w:rsid w:val="00DF3937"/>
    <w:rsid w:val="00DF3EFC"/>
    <w:rsid w:val="00DF465B"/>
    <w:rsid w:val="00DF6C83"/>
    <w:rsid w:val="00E0185A"/>
    <w:rsid w:val="00E01D6F"/>
    <w:rsid w:val="00E02087"/>
    <w:rsid w:val="00E047D7"/>
    <w:rsid w:val="00E05917"/>
    <w:rsid w:val="00E05D82"/>
    <w:rsid w:val="00E06614"/>
    <w:rsid w:val="00E07B32"/>
    <w:rsid w:val="00E1047B"/>
    <w:rsid w:val="00E10D35"/>
    <w:rsid w:val="00E1232A"/>
    <w:rsid w:val="00E12661"/>
    <w:rsid w:val="00E127A9"/>
    <w:rsid w:val="00E12AB4"/>
    <w:rsid w:val="00E12DDB"/>
    <w:rsid w:val="00E1440C"/>
    <w:rsid w:val="00E1476F"/>
    <w:rsid w:val="00E14784"/>
    <w:rsid w:val="00E15A7A"/>
    <w:rsid w:val="00E17473"/>
    <w:rsid w:val="00E17C6F"/>
    <w:rsid w:val="00E203B1"/>
    <w:rsid w:val="00E20475"/>
    <w:rsid w:val="00E21D2E"/>
    <w:rsid w:val="00E2367E"/>
    <w:rsid w:val="00E25200"/>
    <w:rsid w:val="00E2621C"/>
    <w:rsid w:val="00E27C76"/>
    <w:rsid w:val="00E27FDF"/>
    <w:rsid w:val="00E3019A"/>
    <w:rsid w:val="00E30350"/>
    <w:rsid w:val="00E308F8"/>
    <w:rsid w:val="00E30936"/>
    <w:rsid w:val="00E31577"/>
    <w:rsid w:val="00E31B5A"/>
    <w:rsid w:val="00E3280D"/>
    <w:rsid w:val="00E333B6"/>
    <w:rsid w:val="00E345AB"/>
    <w:rsid w:val="00E34A1A"/>
    <w:rsid w:val="00E34EB7"/>
    <w:rsid w:val="00E355B1"/>
    <w:rsid w:val="00E36E06"/>
    <w:rsid w:val="00E408B8"/>
    <w:rsid w:val="00E4160C"/>
    <w:rsid w:val="00E41829"/>
    <w:rsid w:val="00E434D4"/>
    <w:rsid w:val="00E4447C"/>
    <w:rsid w:val="00E446EF"/>
    <w:rsid w:val="00E44E4C"/>
    <w:rsid w:val="00E45988"/>
    <w:rsid w:val="00E45A28"/>
    <w:rsid w:val="00E45E23"/>
    <w:rsid w:val="00E46556"/>
    <w:rsid w:val="00E46C35"/>
    <w:rsid w:val="00E470BA"/>
    <w:rsid w:val="00E4723B"/>
    <w:rsid w:val="00E47791"/>
    <w:rsid w:val="00E519E2"/>
    <w:rsid w:val="00E521ED"/>
    <w:rsid w:val="00E5358C"/>
    <w:rsid w:val="00E53AD7"/>
    <w:rsid w:val="00E53C92"/>
    <w:rsid w:val="00E54ACA"/>
    <w:rsid w:val="00E56595"/>
    <w:rsid w:val="00E57987"/>
    <w:rsid w:val="00E60263"/>
    <w:rsid w:val="00E613A3"/>
    <w:rsid w:val="00E61DC8"/>
    <w:rsid w:val="00E62242"/>
    <w:rsid w:val="00E623C2"/>
    <w:rsid w:val="00E628AF"/>
    <w:rsid w:val="00E62C41"/>
    <w:rsid w:val="00E639CA"/>
    <w:rsid w:val="00E648D4"/>
    <w:rsid w:val="00E64AF3"/>
    <w:rsid w:val="00E64B0B"/>
    <w:rsid w:val="00E66273"/>
    <w:rsid w:val="00E674DC"/>
    <w:rsid w:val="00E67F0E"/>
    <w:rsid w:val="00E70725"/>
    <w:rsid w:val="00E70A04"/>
    <w:rsid w:val="00E71386"/>
    <w:rsid w:val="00E71642"/>
    <w:rsid w:val="00E72487"/>
    <w:rsid w:val="00E73814"/>
    <w:rsid w:val="00E7442E"/>
    <w:rsid w:val="00E75301"/>
    <w:rsid w:val="00E760B6"/>
    <w:rsid w:val="00E760C7"/>
    <w:rsid w:val="00E76479"/>
    <w:rsid w:val="00E7697E"/>
    <w:rsid w:val="00E77E21"/>
    <w:rsid w:val="00E80AE9"/>
    <w:rsid w:val="00E80C90"/>
    <w:rsid w:val="00E811C2"/>
    <w:rsid w:val="00E81287"/>
    <w:rsid w:val="00E812A9"/>
    <w:rsid w:val="00E82CA3"/>
    <w:rsid w:val="00E8358D"/>
    <w:rsid w:val="00E83D5B"/>
    <w:rsid w:val="00E86DC4"/>
    <w:rsid w:val="00E87322"/>
    <w:rsid w:val="00E877D3"/>
    <w:rsid w:val="00E87DDA"/>
    <w:rsid w:val="00E9000D"/>
    <w:rsid w:val="00E907CE"/>
    <w:rsid w:val="00E908BB"/>
    <w:rsid w:val="00E9132A"/>
    <w:rsid w:val="00E913BE"/>
    <w:rsid w:val="00E91F41"/>
    <w:rsid w:val="00E9253C"/>
    <w:rsid w:val="00E927CD"/>
    <w:rsid w:val="00E92AEE"/>
    <w:rsid w:val="00E94B99"/>
    <w:rsid w:val="00E96F6A"/>
    <w:rsid w:val="00E97DC4"/>
    <w:rsid w:val="00EA0943"/>
    <w:rsid w:val="00EA1A89"/>
    <w:rsid w:val="00EA2F5A"/>
    <w:rsid w:val="00EA382B"/>
    <w:rsid w:val="00EA39A5"/>
    <w:rsid w:val="00EA3AFE"/>
    <w:rsid w:val="00EA473B"/>
    <w:rsid w:val="00EA72B9"/>
    <w:rsid w:val="00EA78D7"/>
    <w:rsid w:val="00EA7C69"/>
    <w:rsid w:val="00EA7D28"/>
    <w:rsid w:val="00EB0456"/>
    <w:rsid w:val="00EB06DB"/>
    <w:rsid w:val="00EB0A50"/>
    <w:rsid w:val="00EB11DC"/>
    <w:rsid w:val="00EB1BEB"/>
    <w:rsid w:val="00EB2280"/>
    <w:rsid w:val="00EB2985"/>
    <w:rsid w:val="00EB3A91"/>
    <w:rsid w:val="00EB41C6"/>
    <w:rsid w:val="00EB5280"/>
    <w:rsid w:val="00EB5A3F"/>
    <w:rsid w:val="00EB694E"/>
    <w:rsid w:val="00EB7471"/>
    <w:rsid w:val="00EC0049"/>
    <w:rsid w:val="00EC0141"/>
    <w:rsid w:val="00EC0638"/>
    <w:rsid w:val="00EC1A78"/>
    <w:rsid w:val="00EC1EB1"/>
    <w:rsid w:val="00EC20CF"/>
    <w:rsid w:val="00EC3171"/>
    <w:rsid w:val="00EC3327"/>
    <w:rsid w:val="00EC39A7"/>
    <w:rsid w:val="00EC4AFC"/>
    <w:rsid w:val="00EC53E4"/>
    <w:rsid w:val="00EC6A56"/>
    <w:rsid w:val="00EC6C5D"/>
    <w:rsid w:val="00EC6D6B"/>
    <w:rsid w:val="00EC7940"/>
    <w:rsid w:val="00EC7A42"/>
    <w:rsid w:val="00ED012A"/>
    <w:rsid w:val="00ED0603"/>
    <w:rsid w:val="00ED0CFF"/>
    <w:rsid w:val="00ED1F9F"/>
    <w:rsid w:val="00ED290B"/>
    <w:rsid w:val="00ED2A3B"/>
    <w:rsid w:val="00ED2A87"/>
    <w:rsid w:val="00ED3342"/>
    <w:rsid w:val="00ED362B"/>
    <w:rsid w:val="00ED3974"/>
    <w:rsid w:val="00ED48FB"/>
    <w:rsid w:val="00ED4B5B"/>
    <w:rsid w:val="00ED4E14"/>
    <w:rsid w:val="00ED4E22"/>
    <w:rsid w:val="00ED54E7"/>
    <w:rsid w:val="00ED647F"/>
    <w:rsid w:val="00ED6D69"/>
    <w:rsid w:val="00ED6F9A"/>
    <w:rsid w:val="00ED7F1F"/>
    <w:rsid w:val="00EE0213"/>
    <w:rsid w:val="00EE1650"/>
    <w:rsid w:val="00EE27E1"/>
    <w:rsid w:val="00EE372B"/>
    <w:rsid w:val="00EE3CD3"/>
    <w:rsid w:val="00EE4E39"/>
    <w:rsid w:val="00EE68D4"/>
    <w:rsid w:val="00EE7BB2"/>
    <w:rsid w:val="00EE7F06"/>
    <w:rsid w:val="00EF07DE"/>
    <w:rsid w:val="00EF1FB5"/>
    <w:rsid w:val="00EF2616"/>
    <w:rsid w:val="00EF2A36"/>
    <w:rsid w:val="00EF3A8E"/>
    <w:rsid w:val="00EF3B3A"/>
    <w:rsid w:val="00EF3BB5"/>
    <w:rsid w:val="00EF49B4"/>
    <w:rsid w:val="00EF4C61"/>
    <w:rsid w:val="00EF543D"/>
    <w:rsid w:val="00EF549B"/>
    <w:rsid w:val="00EF6526"/>
    <w:rsid w:val="00EF733C"/>
    <w:rsid w:val="00EF75E3"/>
    <w:rsid w:val="00F000C6"/>
    <w:rsid w:val="00F00110"/>
    <w:rsid w:val="00F008A1"/>
    <w:rsid w:val="00F00E03"/>
    <w:rsid w:val="00F00EDE"/>
    <w:rsid w:val="00F01E2A"/>
    <w:rsid w:val="00F03747"/>
    <w:rsid w:val="00F03818"/>
    <w:rsid w:val="00F04A3C"/>
    <w:rsid w:val="00F04D73"/>
    <w:rsid w:val="00F05350"/>
    <w:rsid w:val="00F06BF7"/>
    <w:rsid w:val="00F07800"/>
    <w:rsid w:val="00F11584"/>
    <w:rsid w:val="00F11EE1"/>
    <w:rsid w:val="00F1603B"/>
    <w:rsid w:val="00F164B3"/>
    <w:rsid w:val="00F167ED"/>
    <w:rsid w:val="00F16CC3"/>
    <w:rsid w:val="00F175A1"/>
    <w:rsid w:val="00F20670"/>
    <w:rsid w:val="00F21E06"/>
    <w:rsid w:val="00F23246"/>
    <w:rsid w:val="00F2448A"/>
    <w:rsid w:val="00F26EB8"/>
    <w:rsid w:val="00F27648"/>
    <w:rsid w:val="00F3056A"/>
    <w:rsid w:val="00F310B1"/>
    <w:rsid w:val="00F3122A"/>
    <w:rsid w:val="00F31E08"/>
    <w:rsid w:val="00F344CA"/>
    <w:rsid w:val="00F34E53"/>
    <w:rsid w:val="00F353EF"/>
    <w:rsid w:val="00F35B5C"/>
    <w:rsid w:val="00F35EB7"/>
    <w:rsid w:val="00F3635D"/>
    <w:rsid w:val="00F37672"/>
    <w:rsid w:val="00F37C1C"/>
    <w:rsid w:val="00F37E1A"/>
    <w:rsid w:val="00F40562"/>
    <w:rsid w:val="00F42A04"/>
    <w:rsid w:val="00F436DB"/>
    <w:rsid w:val="00F442C8"/>
    <w:rsid w:val="00F44669"/>
    <w:rsid w:val="00F44814"/>
    <w:rsid w:val="00F44DB5"/>
    <w:rsid w:val="00F46708"/>
    <w:rsid w:val="00F47221"/>
    <w:rsid w:val="00F47948"/>
    <w:rsid w:val="00F504B4"/>
    <w:rsid w:val="00F50572"/>
    <w:rsid w:val="00F50AC1"/>
    <w:rsid w:val="00F50B9F"/>
    <w:rsid w:val="00F51354"/>
    <w:rsid w:val="00F52960"/>
    <w:rsid w:val="00F531A0"/>
    <w:rsid w:val="00F5336D"/>
    <w:rsid w:val="00F536FC"/>
    <w:rsid w:val="00F53CAD"/>
    <w:rsid w:val="00F54289"/>
    <w:rsid w:val="00F548D5"/>
    <w:rsid w:val="00F54D6E"/>
    <w:rsid w:val="00F56269"/>
    <w:rsid w:val="00F570ED"/>
    <w:rsid w:val="00F575B3"/>
    <w:rsid w:val="00F578B8"/>
    <w:rsid w:val="00F60221"/>
    <w:rsid w:val="00F60B3D"/>
    <w:rsid w:val="00F62669"/>
    <w:rsid w:val="00F631B3"/>
    <w:rsid w:val="00F63DF2"/>
    <w:rsid w:val="00F64143"/>
    <w:rsid w:val="00F641E2"/>
    <w:rsid w:val="00F64560"/>
    <w:rsid w:val="00F64BAC"/>
    <w:rsid w:val="00F651B7"/>
    <w:rsid w:val="00F651F6"/>
    <w:rsid w:val="00F656CA"/>
    <w:rsid w:val="00F65BF8"/>
    <w:rsid w:val="00F67CE3"/>
    <w:rsid w:val="00F67D99"/>
    <w:rsid w:val="00F70481"/>
    <w:rsid w:val="00F705A6"/>
    <w:rsid w:val="00F706B1"/>
    <w:rsid w:val="00F70847"/>
    <w:rsid w:val="00F70BCE"/>
    <w:rsid w:val="00F70C80"/>
    <w:rsid w:val="00F71089"/>
    <w:rsid w:val="00F71226"/>
    <w:rsid w:val="00F71F4E"/>
    <w:rsid w:val="00F72185"/>
    <w:rsid w:val="00F72CD4"/>
    <w:rsid w:val="00F73ABA"/>
    <w:rsid w:val="00F750BF"/>
    <w:rsid w:val="00F76342"/>
    <w:rsid w:val="00F7751D"/>
    <w:rsid w:val="00F77CCC"/>
    <w:rsid w:val="00F7CF54"/>
    <w:rsid w:val="00F82588"/>
    <w:rsid w:val="00F82E31"/>
    <w:rsid w:val="00F83AB5"/>
    <w:rsid w:val="00F84A15"/>
    <w:rsid w:val="00F850B9"/>
    <w:rsid w:val="00F85F46"/>
    <w:rsid w:val="00F8627D"/>
    <w:rsid w:val="00F86877"/>
    <w:rsid w:val="00F8762E"/>
    <w:rsid w:val="00F87BA0"/>
    <w:rsid w:val="00F9124B"/>
    <w:rsid w:val="00F92890"/>
    <w:rsid w:val="00F93252"/>
    <w:rsid w:val="00F93645"/>
    <w:rsid w:val="00F94C04"/>
    <w:rsid w:val="00F9538C"/>
    <w:rsid w:val="00F9567C"/>
    <w:rsid w:val="00F96021"/>
    <w:rsid w:val="00F9754B"/>
    <w:rsid w:val="00F9783B"/>
    <w:rsid w:val="00FA03AB"/>
    <w:rsid w:val="00FA0B47"/>
    <w:rsid w:val="00FA149F"/>
    <w:rsid w:val="00FA2548"/>
    <w:rsid w:val="00FA340B"/>
    <w:rsid w:val="00FA380C"/>
    <w:rsid w:val="00FA3A35"/>
    <w:rsid w:val="00FA4592"/>
    <w:rsid w:val="00FA4D65"/>
    <w:rsid w:val="00FA5CF7"/>
    <w:rsid w:val="00FB06E8"/>
    <w:rsid w:val="00FB06F5"/>
    <w:rsid w:val="00FB12A2"/>
    <w:rsid w:val="00FB2747"/>
    <w:rsid w:val="00FB27C1"/>
    <w:rsid w:val="00FB27FB"/>
    <w:rsid w:val="00FB3171"/>
    <w:rsid w:val="00FB352A"/>
    <w:rsid w:val="00FB4424"/>
    <w:rsid w:val="00FB4AD4"/>
    <w:rsid w:val="00FB67F5"/>
    <w:rsid w:val="00FB6AB5"/>
    <w:rsid w:val="00FB757C"/>
    <w:rsid w:val="00FB7C1F"/>
    <w:rsid w:val="00FB7D67"/>
    <w:rsid w:val="00FC109B"/>
    <w:rsid w:val="00FC180C"/>
    <w:rsid w:val="00FC1AEE"/>
    <w:rsid w:val="00FC2473"/>
    <w:rsid w:val="00FC2538"/>
    <w:rsid w:val="00FC278D"/>
    <w:rsid w:val="00FC2A54"/>
    <w:rsid w:val="00FC2FFC"/>
    <w:rsid w:val="00FC33F6"/>
    <w:rsid w:val="00FC46D5"/>
    <w:rsid w:val="00FC477A"/>
    <w:rsid w:val="00FC4D78"/>
    <w:rsid w:val="00FC5060"/>
    <w:rsid w:val="00FC52DD"/>
    <w:rsid w:val="00FC562D"/>
    <w:rsid w:val="00FC5AF5"/>
    <w:rsid w:val="00FC5EC7"/>
    <w:rsid w:val="00FC75C9"/>
    <w:rsid w:val="00FC76C3"/>
    <w:rsid w:val="00FC79D1"/>
    <w:rsid w:val="00FD10F1"/>
    <w:rsid w:val="00FD1FAE"/>
    <w:rsid w:val="00FD2384"/>
    <w:rsid w:val="00FD273A"/>
    <w:rsid w:val="00FD4729"/>
    <w:rsid w:val="00FD5E7D"/>
    <w:rsid w:val="00FD6039"/>
    <w:rsid w:val="00FD6311"/>
    <w:rsid w:val="00FD7229"/>
    <w:rsid w:val="00FE0308"/>
    <w:rsid w:val="00FE0B22"/>
    <w:rsid w:val="00FE0C1C"/>
    <w:rsid w:val="00FE1496"/>
    <w:rsid w:val="00FE1779"/>
    <w:rsid w:val="00FE2388"/>
    <w:rsid w:val="00FE2538"/>
    <w:rsid w:val="00FE370F"/>
    <w:rsid w:val="00FE411D"/>
    <w:rsid w:val="00FE49B4"/>
    <w:rsid w:val="00FE4B76"/>
    <w:rsid w:val="00FE5EFF"/>
    <w:rsid w:val="00FE60BB"/>
    <w:rsid w:val="00FE6D4D"/>
    <w:rsid w:val="00FE71BA"/>
    <w:rsid w:val="00FE72FF"/>
    <w:rsid w:val="00FE7C53"/>
    <w:rsid w:val="00FE7E09"/>
    <w:rsid w:val="00FE7EEB"/>
    <w:rsid w:val="00FF2C9D"/>
    <w:rsid w:val="00FF3C72"/>
    <w:rsid w:val="00FF4527"/>
    <w:rsid w:val="00FF6DE5"/>
    <w:rsid w:val="0105CED9"/>
    <w:rsid w:val="0113F7C0"/>
    <w:rsid w:val="0127C7BF"/>
    <w:rsid w:val="017322EB"/>
    <w:rsid w:val="0176FCF0"/>
    <w:rsid w:val="017F836A"/>
    <w:rsid w:val="01810650"/>
    <w:rsid w:val="018919B2"/>
    <w:rsid w:val="01B1732A"/>
    <w:rsid w:val="01C602CB"/>
    <w:rsid w:val="01F98785"/>
    <w:rsid w:val="0203FC19"/>
    <w:rsid w:val="0233FA3E"/>
    <w:rsid w:val="024EBAD5"/>
    <w:rsid w:val="025C64B4"/>
    <w:rsid w:val="025D8FB1"/>
    <w:rsid w:val="0267417F"/>
    <w:rsid w:val="02A11CDC"/>
    <w:rsid w:val="02CFA5D2"/>
    <w:rsid w:val="02D60ABA"/>
    <w:rsid w:val="030A1357"/>
    <w:rsid w:val="03179FCA"/>
    <w:rsid w:val="03483E54"/>
    <w:rsid w:val="035BA2B7"/>
    <w:rsid w:val="038B34A6"/>
    <w:rsid w:val="038C01CA"/>
    <w:rsid w:val="03993074"/>
    <w:rsid w:val="03B0753A"/>
    <w:rsid w:val="03C1ED7A"/>
    <w:rsid w:val="03F377DC"/>
    <w:rsid w:val="03F8F126"/>
    <w:rsid w:val="04156F1F"/>
    <w:rsid w:val="0421BD35"/>
    <w:rsid w:val="042D67B8"/>
    <w:rsid w:val="0450BFB9"/>
    <w:rsid w:val="0462FEFE"/>
    <w:rsid w:val="046538E3"/>
    <w:rsid w:val="0487CFC2"/>
    <w:rsid w:val="04AB05EC"/>
    <w:rsid w:val="04BBDE1D"/>
    <w:rsid w:val="04D0B59E"/>
    <w:rsid w:val="04E6690E"/>
    <w:rsid w:val="04F51DCA"/>
    <w:rsid w:val="0503D993"/>
    <w:rsid w:val="0508E1A1"/>
    <w:rsid w:val="050E12F7"/>
    <w:rsid w:val="05331D3E"/>
    <w:rsid w:val="054A4D5D"/>
    <w:rsid w:val="059B1454"/>
    <w:rsid w:val="05A4A4B8"/>
    <w:rsid w:val="05A93820"/>
    <w:rsid w:val="05BBA206"/>
    <w:rsid w:val="05D887B2"/>
    <w:rsid w:val="05EF3CD1"/>
    <w:rsid w:val="0611C0C6"/>
    <w:rsid w:val="0621ECDF"/>
    <w:rsid w:val="066989EE"/>
    <w:rsid w:val="06738AF7"/>
    <w:rsid w:val="0695A57D"/>
    <w:rsid w:val="069F5B82"/>
    <w:rsid w:val="06BF816D"/>
    <w:rsid w:val="071D97A1"/>
    <w:rsid w:val="074554D4"/>
    <w:rsid w:val="074EAE6B"/>
    <w:rsid w:val="07699C0B"/>
    <w:rsid w:val="077A3AA8"/>
    <w:rsid w:val="078E662D"/>
    <w:rsid w:val="079E25E9"/>
    <w:rsid w:val="07A21808"/>
    <w:rsid w:val="07A7CE5B"/>
    <w:rsid w:val="07DC697E"/>
    <w:rsid w:val="08024F8B"/>
    <w:rsid w:val="0818A35F"/>
    <w:rsid w:val="082FBCF0"/>
    <w:rsid w:val="08359775"/>
    <w:rsid w:val="08397CF7"/>
    <w:rsid w:val="08607095"/>
    <w:rsid w:val="08657525"/>
    <w:rsid w:val="086C5E98"/>
    <w:rsid w:val="088C29E1"/>
    <w:rsid w:val="088EE707"/>
    <w:rsid w:val="0892FF1A"/>
    <w:rsid w:val="08BF79DA"/>
    <w:rsid w:val="08E07F9E"/>
    <w:rsid w:val="09007ED6"/>
    <w:rsid w:val="09358018"/>
    <w:rsid w:val="09371317"/>
    <w:rsid w:val="09414DAD"/>
    <w:rsid w:val="098691DA"/>
    <w:rsid w:val="098828A9"/>
    <w:rsid w:val="0991660A"/>
    <w:rsid w:val="09AC778C"/>
    <w:rsid w:val="09AF3931"/>
    <w:rsid w:val="09B079CA"/>
    <w:rsid w:val="09C8EB15"/>
    <w:rsid w:val="09D173DE"/>
    <w:rsid w:val="09D94DB7"/>
    <w:rsid w:val="09E0BBD8"/>
    <w:rsid w:val="09E8548D"/>
    <w:rsid w:val="09EBBF76"/>
    <w:rsid w:val="0A178B05"/>
    <w:rsid w:val="0A42D13D"/>
    <w:rsid w:val="0A432A94"/>
    <w:rsid w:val="0A604698"/>
    <w:rsid w:val="0A72AE0D"/>
    <w:rsid w:val="0A78A665"/>
    <w:rsid w:val="0A7DBF17"/>
    <w:rsid w:val="0A878C86"/>
    <w:rsid w:val="0A8BAC4F"/>
    <w:rsid w:val="0ACDC40C"/>
    <w:rsid w:val="0AE900E6"/>
    <w:rsid w:val="0AEB1AB2"/>
    <w:rsid w:val="0AF667F3"/>
    <w:rsid w:val="0AF9EE69"/>
    <w:rsid w:val="0B2CF08A"/>
    <w:rsid w:val="0B341352"/>
    <w:rsid w:val="0B3A5860"/>
    <w:rsid w:val="0B3FA4EC"/>
    <w:rsid w:val="0B4F86C1"/>
    <w:rsid w:val="0B508F46"/>
    <w:rsid w:val="0B604393"/>
    <w:rsid w:val="0B753EE0"/>
    <w:rsid w:val="0B817858"/>
    <w:rsid w:val="0BAB2990"/>
    <w:rsid w:val="0BE1D9D6"/>
    <w:rsid w:val="0BFE0DA4"/>
    <w:rsid w:val="0C04E2FD"/>
    <w:rsid w:val="0C259F10"/>
    <w:rsid w:val="0C29071E"/>
    <w:rsid w:val="0C381F98"/>
    <w:rsid w:val="0C9E21D3"/>
    <w:rsid w:val="0CAA0335"/>
    <w:rsid w:val="0CB0240A"/>
    <w:rsid w:val="0CBAEA3D"/>
    <w:rsid w:val="0CDDEBC2"/>
    <w:rsid w:val="0D0DE42D"/>
    <w:rsid w:val="0D0F4B86"/>
    <w:rsid w:val="0D1128D4"/>
    <w:rsid w:val="0D25409B"/>
    <w:rsid w:val="0D795A38"/>
    <w:rsid w:val="0DF4427C"/>
    <w:rsid w:val="0DF6F4E5"/>
    <w:rsid w:val="0E149E1C"/>
    <w:rsid w:val="0E1BC0F8"/>
    <w:rsid w:val="0E1BC159"/>
    <w:rsid w:val="0E206BC0"/>
    <w:rsid w:val="0E23AEDF"/>
    <w:rsid w:val="0E29FB5B"/>
    <w:rsid w:val="0E35ABEC"/>
    <w:rsid w:val="0E3B290B"/>
    <w:rsid w:val="0E3C1BBA"/>
    <w:rsid w:val="0E5F8958"/>
    <w:rsid w:val="0E728F3B"/>
    <w:rsid w:val="0E779DAC"/>
    <w:rsid w:val="0E86CB69"/>
    <w:rsid w:val="0EBD16E8"/>
    <w:rsid w:val="0ED103A1"/>
    <w:rsid w:val="0EF4A283"/>
    <w:rsid w:val="0EF718AE"/>
    <w:rsid w:val="0F098B48"/>
    <w:rsid w:val="0F183EC8"/>
    <w:rsid w:val="0F1C5092"/>
    <w:rsid w:val="0F25BFA1"/>
    <w:rsid w:val="0F261DE2"/>
    <w:rsid w:val="0F6E024F"/>
    <w:rsid w:val="0F7AE322"/>
    <w:rsid w:val="0F8B4465"/>
    <w:rsid w:val="0FBBFA69"/>
    <w:rsid w:val="1020CD0F"/>
    <w:rsid w:val="102F6FE0"/>
    <w:rsid w:val="102FB92B"/>
    <w:rsid w:val="1035F3D9"/>
    <w:rsid w:val="104B2BDB"/>
    <w:rsid w:val="1054E2CF"/>
    <w:rsid w:val="105E32FF"/>
    <w:rsid w:val="10600CA0"/>
    <w:rsid w:val="10909671"/>
    <w:rsid w:val="10CCCDF9"/>
    <w:rsid w:val="10FD6B76"/>
    <w:rsid w:val="110754D3"/>
    <w:rsid w:val="1135E8DD"/>
    <w:rsid w:val="113767F7"/>
    <w:rsid w:val="11448D74"/>
    <w:rsid w:val="11607EE8"/>
    <w:rsid w:val="11889957"/>
    <w:rsid w:val="119C320E"/>
    <w:rsid w:val="11A92F64"/>
    <w:rsid w:val="11BEBCE0"/>
    <w:rsid w:val="11C1C86F"/>
    <w:rsid w:val="11CCDC53"/>
    <w:rsid w:val="11D7EA87"/>
    <w:rsid w:val="11DB20B3"/>
    <w:rsid w:val="11E16B33"/>
    <w:rsid w:val="11ED43CC"/>
    <w:rsid w:val="12044144"/>
    <w:rsid w:val="121639F9"/>
    <w:rsid w:val="121DB88F"/>
    <w:rsid w:val="125044FB"/>
    <w:rsid w:val="1253F154"/>
    <w:rsid w:val="12589498"/>
    <w:rsid w:val="129B0AA6"/>
    <w:rsid w:val="12BB5F30"/>
    <w:rsid w:val="1300836F"/>
    <w:rsid w:val="130207E0"/>
    <w:rsid w:val="1304D3D2"/>
    <w:rsid w:val="1310C68A"/>
    <w:rsid w:val="13231CEF"/>
    <w:rsid w:val="1328EA2B"/>
    <w:rsid w:val="132BD73E"/>
    <w:rsid w:val="134BF5E4"/>
    <w:rsid w:val="137D782F"/>
    <w:rsid w:val="139C065E"/>
    <w:rsid w:val="13B587B3"/>
    <w:rsid w:val="13C09959"/>
    <w:rsid w:val="1408A62E"/>
    <w:rsid w:val="140FD30A"/>
    <w:rsid w:val="14291DB1"/>
    <w:rsid w:val="14355DF7"/>
    <w:rsid w:val="146C250B"/>
    <w:rsid w:val="14784B12"/>
    <w:rsid w:val="148CFC70"/>
    <w:rsid w:val="14B0242C"/>
    <w:rsid w:val="14D7AE6F"/>
    <w:rsid w:val="14FF2C7B"/>
    <w:rsid w:val="150EED1A"/>
    <w:rsid w:val="151759EE"/>
    <w:rsid w:val="151CB291"/>
    <w:rsid w:val="151EDECF"/>
    <w:rsid w:val="152FEB51"/>
    <w:rsid w:val="155F84AD"/>
    <w:rsid w:val="157416DB"/>
    <w:rsid w:val="1578F5BC"/>
    <w:rsid w:val="158B7CD0"/>
    <w:rsid w:val="1596BE4B"/>
    <w:rsid w:val="159F8D93"/>
    <w:rsid w:val="15A8FAC3"/>
    <w:rsid w:val="15BA694B"/>
    <w:rsid w:val="15BB7933"/>
    <w:rsid w:val="15C2F3B8"/>
    <w:rsid w:val="15D4A478"/>
    <w:rsid w:val="15E360F7"/>
    <w:rsid w:val="15E4D88A"/>
    <w:rsid w:val="15EC1971"/>
    <w:rsid w:val="16159867"/>
    <w:rsid w:val="161F396F"/>
    <w:rsid w:val="16635FA5"/>
    <w:rsid w:val="166F8031"/>
    <w:rsid w:val="168B6964"/>
    <w:rsid w:val="16B0B339"/>
    <w:rsid w:val="16B7CF8D"/>
    <w:rsid w:val="16C33D60"/>
    <w:rsid w:val="16C4C5A1"/>
    <w:rsid w:val="16CC6DF4"/>
    <w:rsid w:val="16DD258B"/>
    <w:rsid w:val="16E3BB3B"/>
    <w:rsid w:val="17016DD4"/>
    <w:rsid w:val="1707D6E1"/>
    <w:rsid w:val="171349C5"/>
    <w:rsid w:val="17610844"/>
    <w:rsid w:val="17637D9C"/>
    <w:rsid w:val="177A3DD4"/>
    <w:rsid w:val="17A5DEE4"/>
    <w:rsid w:val="17BE52DA"/>
    <w:rsid w:val="17C6003F"/>
    <w:rsid w:val="17C90C39"/>
    <w:rsid w:val="17D6F2ED"/>
    <w:rsid w:val="17F69AE4"/>
    <w:rsid w:val="17FC6174"/>
    <w:rsid w:val="1807316E"/>
    <w:rsid w:val="18268E37"/>
    <w:rsid w:val="18441197"/>
    <w:rsid w:val="185ADFD4"/>
    <w:rsid w:val="18807251"/>
    <w:rsid w:val="189D3E35"/>
    <w:rsid w:val="18BB1FF7"/>
    <w:rsid w:val="18BD921F"/>
    <w:rsid w:val="18C84131"/>
    <w:rsid w:val="190A7985"/>
    <w:rsid w:val="190C492C"/>
    <w:rsid w:val="19118CD2"/>
    <w:rsid w:val="192E1021"/>
    <w:rsid w:val="1940A0A4"/>
    <w:rsid w:val="19522F0F"/>
    <w:rsid w:val="19702F50"/>
    <w:rsid w:val="1995FDDF"/>
    <w:rsid w:val="19975E13"/>
    <w:rsid w:val="19A2CD6B"/>
    <w:rsid w:val="19D5CE3A"/>
    <w:rsid w:val="19E2D8F7"/>
    <w:rsid w:val="19E6B53A"/>
    <w:rsid w:val="19ECF222"/>
    <w:rsid w:val="19EEAA49"/>
    <w:rsid w:val="1A04E8F9"/>
    <w:rsid w:val="1A3E374D"/>
    <w:rsid w:val="1A493564"/>
    <w:rsid w:val="1A54E713"/>
    <w:rsid w:val="1A5B7632"/>
    <w:rsid w:val="1A5FE94C"/>
    <w:rsid w:val="1A710996"/>
    <w:rsid w:val="1AA326EC"/>
    <w:rsid w:val="1ACEE0FD"/>
    <w:rsid w:val="1AD937C9"/>
    <w:rsid w:val="1AFB0EAA"/>
    <w:rsid w:val="1B2223D6"/>
    <w:rsid w:val="1B33B22F"/>
    <w:rsid w:val="1B3C59BC"/>
    <w:rsid w:val="1B3C5CE2"/>
    <w:rsid w:val="1B4039BC"/>
    <w:rsid w:val="1B4F1FBA"/>
    <w:rsid w:val="1B505CE6"/>
    <w:rsid w:val="1B57FF30"/>
    <w:rsid w:val="1B5FA3BB"/>
    <w:rsid w:val="1B637FB6"/>
    <w:rsid w:val="1B8F2360"/>
    <w:rsid w:val="1BC93D89"/>
    <w:rsid w:val="1BCDF446"/>
    <w:rsid w:val="1C098C93"/>
    <w:rsid w:val="1C0B694E"/>
    <w:rsid w:val="1C150681"/>
    <w:rsid w:val="1C41FB29"/>
    <w:rsid w:val="1C65DA86"/>
    <w:rsid w:val="1C7BE628"/>
    <w:rsid w:val="1C7F1BAC"/>
    <w:rsid w:val="1C98CEDD"/>
    <w:rsid w:val="1C9BD15D"/>
    <w:rsid w:val="1C9CFFCF"/>
    <w:rsid w:val="1CB9AF25"/>
    <w:rsid w:val="1CC9B763"/>
    <w:rsid w:val="1CE4A67F"/>
    <w:rsid w:val="1CECF0AB"/>
    <w:rsid w:val="1CF245BD"/>
    <w:rsid w:val="1CF34C29"/>
    <w:rsid w:val="1D071CA3"/>
    <w:rsid w:val="1D12CC05"/>
    <w:rsid w:val="1D19CB50"/>
    <w:rsid w:val="1D1A5474"/>
    <w:rsid w:val="1D270147"/>
    <w:rsid w:val="1D3049A8"/>
    <w:rsid w:val="1D3ADA87"/>
    <w:rsid w:val="1D40B1C9"/>
    <w:rsid w:val="1D46846C"/>
    <w:rsid w:val="1D494CB9"/>
    <w:rsid w:val="1D50C13C"/>
    <w:rsid w:val="1D752D80"/>
    <w:rsid w:val="1D797F07"/>
    <w:rsid w:val="1D848003"/>
    <w:rsid w:val="1D96E8D7"/>
    <w:rsid w:val="1DC9EDC7"/>
    <w:rsid w:val="1DDF1FFF"/>
    <w:rsid w:val="1DE7CC80"/>
    <w:rsid w:val="1E307430"/>
    <w:rsid w:val="1E307FE4"/>
    <w:rsid w:val="1E35BDA1"/>
    <w:rsid w:val="1E57BECA"/>
    <w:rsid w:val="1E59EBF3"/>
    <w:rsid w:val="1E68A74A"/>
    <w:rsid w:val="1E72ACC1"/>
    <w:rsid w:val="1E8FD38D"/>
    <w:rsid w:val="1EB311E7"/>
    <w:rsid w:val="1EB94BE9"/>
    <w:rsid w:val="1EC692F9"/>
    <w:rsid w:val="1ED891AA"/>
    <w:rsid w:val="1EDBFE76"/>
    <w:rsid w:val="1EF1321B"/>
    <w:rsid w:val="1F03E892"/>
    <w:rsid w:val="1F055178"/>
    <w:rsid w:val="1F0C7FB9"/>
    <w:rsid w:val="1F146D3F"/>
    <w:rsid w:val="1F2A9F5A"/>
    <w:rsid w:val="1F367BFF"/>
    <w:rsid w:val="1F457773"/>
    <w:rsid w:val="1F773036"/>
    <w:rsid w:val="1F8BB310"/>
    <w:rsid w:val="1F8E3D4D"/>
    <w:rsid w:val="1F9080C1"/>
    <w:rsid w:val="1F96B9CB"/>
    <w:rsid w:val="1FA52108"/>
    <w:rsid w:val="1FB2C572"/>
    <w:rsid w:val="1FCE7FCD"/>
    <w:rsid w:val="201188B4"/>
    <w:rsid w:val="201966DD"/>
    <w:rsid w:val="203775BD"/>
    <w:rsid w:val="20413959"/>
    <w:rsid w:val="20483FAA"/>
    <w:rsid w:val="20543E2C"/>
    <w:rsid w:val="2063C35D"/>
    <w:rsid w:val="20882251"/>
    <w:rsid w:val="208D99DF"/>
    <w:rsid w:val="209471EE"/>
    <w:rsid w:val="209BC106"/>
    <w:rsid w:val="20A534AB"/>
    <w:rsid w:val="20D03108"/>
    <w:rsid w:val="20D291FC"/>
    <w:rsid w:val="20D9DEDB"/>
    <w:rsid w:val="20F18864"/>
    <w:rsid w:val="20F1A027"/>
    <w:rsid w:val="20F7923F"/>
    <w:rsid w:val="20FBCDDB"/>
    <w:rsid w:val="211987BE"/>
    <w:rsid w:val="211AC565"/>
    <w:rsid w:val="211C566A"/>
    <w:rsid w:val="212DC8AA"/>
    <w:rsid w:val="21462F37"/>
    <w:rsid w:val="21669A23"/>
    <w:rsid w:val="21716ADD"/>
    <w:rsid w:val="21880C9F"/>
    <w:rsid w:val="21992E8B"/>
    <w:rsid w:val="219E4FCE"/>
    <w:rsid w:val="21C6D5AB"/>
    <w:rsid w:val="21CB6C27"/>
    <w:rsid w:val="21CE9DED"/>
    <w:rsid w:val="21DBB864"/>
    <w:rsid w:val="21DD490E"/>
    <w:rsid w:val="21FC32E7"/>
    <w:rsid w:val="2219456D"/>
    <w:rsid w:val="2239231A"/>
    <w:rsid w:val="22682C4F"/>
    <w:rsid w:val="22AD6397"/>
    <w:rsid w:val="22B053F5"/>
    <w:rsid w:val="22B0FA3E"/>
    <w:rsid w:val="22C5726C"/>
    <w:rsid w:val="22E3BFC6"/>
    <w:rsid w:val="22EB19E0"/>
    <w:rsid w:val="22FB6143"/>
    <w:rsid w:val="22FC483C"/>
    <w:rsid w:val="231AA1DB"/>
    <w:rsid w:val="231D8BAB"/>
    <w:rsid w:val="232BD053"/>
    <w:rsid w:val="232D1D9C"/>
    <w:rsid w:val="2337E36E"/>
    <w:rsid w:val="23567A99"/>
    <w:rsid w:val="236DE30B"/>
    <w:rsid w:val="23C58FF2"/>
    <w:rsid w:val="23D609CB"/>
    <w:rsid w:val="23DFF0DC"/>
    <w:rsid w:val="23F963B8"/>
    <w:rsid w:val="2401BFA8"/>
    <w:rsid w:val="2420827D"/>
    <w:rsid w:val="24350AFC"/>
    <w:rsid w:val="246142CD"/>
    <w:rsid w:val="247CF225"/>
    <w:rsid w:val="2486EA41"/>
    <w:rsid w:val="24B9F657"/>
    <w:rsid w:val="24C390B2"/>
    <w:rsid w:val="2505940A"/>
    <w:rsid w:val="25076467"/>
    <w:rsid w:val="250D8B72"/>
    <w:rsid w:val="2519A50D"/>
    <w:rsid w:val="252976BA"/>
    <w:rsid w:val="25316731"/>
    <w:rsid w:val="25335490"/>
    <w:rsid w:val="2535E277"/>
    <w:rsid w:val="256CAF50"/>
    <w:rsid w:val="259BBA0C"/>
    <w:rsid w:val="25A7492B"/>
    <w:rsid w:val="25A7B00C"/>
    <w:rsid w:val="25D214A0"/>
    <w:rsid w:val="25FE2B54"/>
    <w:rsid w:val="264958A0"/>
    <w:rsid w:val="268F3C47"/>
    <w:rsid w:val="26A4524C"/>
    <w:rsid w:val="26A6325D"/>
    <w:rsid w:val="26AB49DC"/>
    <w:rsid w:val="270656C7"/>
    <w:rsid w:val="270A2A22"/>
    <w:rsid w:val="2735BB99"/>
    <w:rsid w:val="2740FCD0"/>
    <w:rsid w:val="2745948A"/>
    <w:rsid w:val="27472291"/>
    <w:rsid w:val="2762EBAD"/>
    <w:rsid w:val="276AEADD"/>
    <w:rsid w:val="27822B73"/>
    <w:rsid w:val="27A3D04B"/>
    <w:rsid w:val="27A6B0E6"/>
    <w:rsid w:val="27CF9234"/>
    <w:rsid w:val="27DFAC57"/>
    <w:rsid w:val="27E1B52B"/>
    <w:rsid w:val="27F6172A"/>
    <w:rsid w:val="2802B89B"/>
    <w:rsid w:val="280D63BD"/>
    <w:rsid w:val="28299F6C"/>
    <w:rsid w:val="28339AD8"/>
    <w:rsid w:val="285C934B"/>
    <w:rsid w:val="289ECAE1"/>
    <w:rsid w:val="28C7D20E"/>
    <w:rsid w:val="28FAF75F"/>
    <w:rsid w:val="28FEAC46"/>
    <w:rsid w:val="2914DDEA"/>
    <w:rsid w:val="2918D819"/>
    <w:rsid w:val="2928E787"/>
    <w:rsid w:val="294A3BCB"/>
    <w:rsid w:val="29580986"/>
    <w:rsid w:val="296FE555"/>
    <w:rsid w:val="298F31E8"/>
    <w:rsid w:val="2992DC7E"/>
    <w:rsid w:val="29AF34D0"/>
    <w:rsid w:val="29C59A94"/>
    <w:rsid w:val="29C6CD81"/>
    <w:rsid w:val="2A1C2694"/>
    <w:rsid w:val="2A2988A4"/>
    <w:rsid w:val="2A2DB343"/>
    <w:rsid w:val="2A5370E9"/>
    <w:rsid w:val="2A62D367"/>
    <w:rsid w:val="2A81F7D8"/>
    <w:rsid w:val="2A95E1F4"/>
    <w:rsid w:val="2A9E13AD"/>
    <w:rsid w:val="2A9FBB90"/>
    <w:rsid w:val="2AB75BF4"/>
    <w:rsid w:val="2AF69D1D"/>
    <w:rsid w:val="2AF835AD"/>
    <w:rsid w:val="2AF9398D"/>
    <w:rsid w:val="2AFC07D3"/>
    <w:rsid w:val="2B09F0D8"/>
    <w:rsid w:val="2B53A238"/>
    <w:rsid w:val="2B631D01"/>
    <w:rsid w:val="2B8448F8"/>
    <w:rsid w:val="2B9FE5AF"/>
    <w:rsid w:val="2BA15625"/>
    <w:rsid w:val="2BB48D2F"/>
    <w:rsid w:val="2BB8DD44"/>
    <w:rsid w:val="2BC71305"/>
    <w:rsid w:val="2BD0A6CB"/>
    <w:rsid w:val="2BEE81B6"/>
    <w:rsid w:val="2C023B30"/>
    <w:rsid w:val="2C958C98"/>
    <w:rsid w:val="2CC6234A"/>
    <w:rsid w:val="2CD1C09B"/>
    <w:rsid w:val="2CD1CFB4"/>
    <w:rsid w:val="2CD3B5CE"/>
    <w:rsid w:val="2CD49045"/>
    <w:rsid w:val="2CE07C10"/>
    <w:rsid w:val="2D216CEB"/>
    <w:rsid w:val="2D284497"/>
    <w:rsid w:val="2D3E7A4C"/>
    <w:rsid w:val="2D46EF48"/>
    <w:rsid w:val="2D6BC2D6"/>
    <w:rsid w:val="2D845DF6"/>
    <w:rsid w:val="2D88E0CE"/>
    <w:rsid w:val="2D8D7C39"/>
    <w:rsid w:val="2DA1419D"/>
    <w:rsid w:val="2DA84059"/>
    <w:rsid w:val="2DB03E54"/>
    <w:rsid w:val="2DB25C12"/>
    <w:rsid w:val="2DB8C4A9"/>
    <w:rsid w:val="2DC6B9F9"/>
    <w:rsid w:val="2DC8984B"/>
    <w:rsid w:val="2DCB60F1"/>
    <w:rsid w:val="2E02CF75"/>
    <w:rsid w:val="2E135906"/>
    <w:rsid w:val="2E1AAC40"/>
    <w:rsid w:val="2E29CF9D"/>
    <w:rsid w:val="2E3779A8"/>
    <w:rsid w:val="2E64B4CD"/>
    <w:rsid w:val="2E92B6C0"/>
    <w:rsid w:val="2E9CC861"/>
    <w:rsid w:val="2EA0667A"/>
    <w:rsid w:val="2EBFD1EF"/>
    <w:rsid w:val="2EC868EC"/>
    <w:rsid w:val="2EDCB2F0"/>
    <w:rsid w:val="2EF6184F"/>
    <w:rsid w:val="2F0D495C"/>
    <w:rsid w:val="2F159475"/>
    <w:rsid w:val="2F407CD2"/>
    <w:rsid w:val="2F493D27"/>
    <w:rsid w:val="2F7C86B2"/>
    <w:rsid w:val="2FA7274A"/>
    <w:rsid w:val="2FB69F10"/>
    <w:rsid w:val="2FE4647B"/>
    <w:rsid w:val="30052B9F"/>
    <w:rsid w:val="300F4339"/>
    <w:rsid w:val="30303A6A"/>
    <w:rsid w:val="303D46FB"/>
    <w:rsid w:val="304CE5B5"/>
    <w:rsid w:val="3055B036"/>
    <w:rsid w:val="305D9460"/>
    <w:rsid w:val="3075F936"/>
    <w:rsid w:val="30A444D0"/>
    <w:rsid w:val="30A53FF3"/>
    <w:rsid w:val="30EE1B7A"/>
    <w:rsid w:val="30F9786B"/>
    <w:rsid w:val="312155CB"/>
    <w:rsid w:val="31449D36"/>
    <w:rsid w:val="315EF9E7"/>
    <w:rsid w:val="3162C988"/>
    <w:rsid w:val="319898B9"/>
    <w:rsid w:val="319E0BEA"/>
    <w:rsid w:val="31F2D122"/>
    <w:rsid w:val="320ACF66"/>
    <w:rsid w:val="32223709"/>
    <w:rsid w:val="3238D2D4"/>
    <w:rsid w:val="32478323"/>
    <w:rsid w:val="325CDD9D"/>
    <w:rsid w:val="328284BA"/>
    <w:rsid w:val="3295F67A"/>
    <w:rsid w:val="32A26D25"/>
    <w:rsid w:val="32A4D32A"/>
    <w:rsid w:val="32BB3DB3"/>
    <w:rsid w:val="32F79809"/>
    <w:rsid w:val="33012042"/>
    <w:rsid w:val="330915E9"/>
    <w:rsid w:val="330C1A28"/>
    <w:rsid w:val="3319CF0B"/>
    <w:rsid w:val="3326F137"/>
    <w:rsid w:val="333E45D6"/>
    <w:rsid w:val="3347E532"/>
    <w:rsid w:val="338452B2"/>
    <w:rsid w:val="339F2605"/>
    <w:rsid w:val="33CBE774"/>
    <w:rsid w:val="33EACB05"/>
    <w:rsid w:val="33ECC755"/>
    <w:rsid w:val="33F73E95"/>
    <w:rsid w:val="3424E227"/>
    <w:rsid w:val="342B2A86"/>
    <w:rsid w:val="34569346"/>
    <w:rsid w:val="346061A9"/>
    <w:rsid w:val="347976A9"/>
    <w:rsid w:val="347E5187"/>
    <w:rsid w:val="34A8948C"/>
    <w:rsid w:val="34BFE820"/>
    <w:rsid w:val="34CED6D4"/>
    <w:rsid w:val="34D16EED"/>
    <w:rsid w:val="34DB9A6A"/>
    <w:rsid w:val="35269353"/>
    <w:rsid w:val="352B03E0"/>
    <w:rsid w:val="35304121"/>
    <w:rsid w:val="355C16B2"/>
    <w:rsid w:val="355DCD9D"/>
    <w:rsid w:val="3575806F"/>
    <w:rsid w:val="35834A23"/>
    <w:rsid w:val="3591486D"/>
    <w:rsid w:val="35ABADF4"/>
    <w:rsid w:val="35C9DF53"/>
    <w:rsid w:val="35D23187"/>
    <w:rsid w:val="35E44919"/>
    <w:rsid w:val="35E86646"/>
    <w:rsid w:val="360421D2"/>
    <w:rsid w:val="3604594E"/>
    <w:rsid w:val="36046592"/>
    <w:rsid w:val="361A3AD5"/>
    <w:rsid w:val="362E2ECE"/>
    <w:rsid w:val="3630627C"/>
    <w:rsid w:val="36440B34"/>
    <w:rsid w:val="365D3391"/>
    <w:rsid w:val="3671819B"/>
    <w:rsid w:val="3678A222"/>
    <w:rsid w:val="368C8CBE"/>
    <w:rsid w:val="36AF132C"/>
    <w:rsid w:val="36C55C42"/>
    <w:rsid w:val="36D19AC9"/>
    <w:rsid w:val="36D5E96F"/>
    <w:rsid w:val="370BBE68"/>
    <w:rsid w:val="3718832A"/>
    <w:rsid w:val="3780FE95"/>
    <w:rsid w:val="378B200D"/>
    <w:rsid w:val="37BD6D6D"/>
    <w:rsid w:val="37BD8B6C"/>
    <w:rsid w:val="37E1397D"/>
    <w:rsid w:val="37E4DE1E"/>
    <w:rsid w:val="37EE4DC6"/>
    <w:rsid w:val="3805F0D1"/>
    <w:rsid w:val="38066BB6"/>
    <w:rsid w:val="38127885"/>
    <w:rsid w:val="382BCF81"/>
    <w:rsid w:val="3832B0BA"/>
    <w:rsid w:val="383EC934"/>
    <w:rsid w:val="38545582"/>
    <w:rsid w:val="38BD1F87"/>
    <w:rsid w:val="38C03878"/>
    <w:rsid w:val="38C46415"/>
    <w:rsid w:val="38C8157F"/>
    <w:rsid w:val="38CC5A4F"/>
    <w:rsid w:val="38D8973A"/>
    <w:rsid w:val="38EA0028"/>
    <w:rsid w:val="38FF0F30"/>
    <w:rsid w:val="39274098"/>
    <w:rsid w:val="3932A7A1"/>
    <w:rsid w:val="394A7E84"/>
    <w:rsid w:val="394CC048"/>
    <w:rsid w:val="395CFBA7"/>
    <w:rsid w:val="396ABEBB"/>
    <w:rsid w:val="3983329C"/>
    <w:rsid w:val="398F2506"/>
    <w:rsid w:val="398F8A3C"/>
    <w:rsid w:val="39957E89"/>
    <w:rsid w:val="399FD84F"/>
    <w:rsid w:val="39B68490"/>
    <w:rsid w:val="39EFD0D4"/>
    <w:rsid w:val="3A201CC9"/>
    <w:rsid w:val="3A671DF9"/>
    <w:rsid w:val="3A6C44BE"/>
    <w:rsid w:val="3A7CDBA5"/>
    <w:rsid w:val="3A857743"/>
    <w:rsid w:val="3A893600"/>
    <w:rsid w:val="3AA0C25F"/>
    <w:rsid w:val="3AAAC801"/>
    <w:rsid w:val="3AB016B7"/>
    <w:rsid w:val="3AC7F7C2"/>
    <w:rsid w:val="3AC96527"/>
    <w:rsid w:val="3AD490E2"/>
    <w:rsid w:val="3B150429"/>
    <w:rsid w:val="3B1A4704"/>
    <w:rsid w:val="3B2A545F"/>
    <w:rsid w:val="3B4BE6BC"/>
    <w:rsid w:val="3B67A018"/>
    <w:rsid w:val="3B6C1F31"/>
    <w:rsid w:val="3B911369"/>
    <w:rsid w:val="3BB8FDD6"/>
    <w:rsid w:val="3BC079B0"/>
    <w:rsid w:val="3BD677C9"/>
    <w:rsid w:val="3BDC2171"/>
    <w:rsid w:val="3BDEB0DD"/>
    <w:rsid w:val="3BE14620"/>
    <w:rsid w:val="3BE821AB"/>
    <w:rsid w:val="3C4A1DA6"/>
    <w:rsid w:val="3C65E5E4"/>
    <w:rsid w:val="3C7ADF4D"/>
    <w:rsid w:val="3C999604"/>
    <w:rsid w:val="3CA41245"/>
    <w:rsid w:val="3CDB1518"/>
    <w:rsid w:val="3CF89170"/>
    <w:rsid w:val="3D13947D"/>
    <w:rsid w:val="3D1496F9"/>
    <w:rsid w:val="3D2C5A89"/>
    <w:rsid w:val="3D37816B"/>
    <w:rsid w:val="3D5D77BF"/>
    <w:rsid w:val="3D6CDA8C"/>
    <w:rsid w:val="3D72026D"/>
    <w:rsid w:val="3D7307DD"/>
    <w:rsid w:val="3D785EA7"/>
    <w:rsid w:val="3D866B7A"/>
    <w:rsid w:val="3D92D4BA"/>
    <w:rsid w:val="3D9A3F21"/>
    <w:rsid w:val="3D9A4877"/>
    <w:rsid w:val="3D9DE6E0"/>
    <w:rsid w:val="3DAABB2D"/>
    <w:rsid w:val="3DBEF197"/>
    <w:rsid w:val="3DC03808"/>
    <w:rsid w:val="3DC1917B"/>
    <w:rsid w:val="3E075DBA"/>
    <w:rsid w:val="3E1664ED"/>
    <w:rsid w:val="3E334CE7"/>
    <w:rsid w:val="3E3BA01A"/>
    <w:rsid w:val="3E4AA509"/>
    <w:rsid w:val="3E4BDDD7"/>
    <w:rsid w:val="3E4F85F6"/>
    <w:rsid w:val="3E809BCB"/>
    <w:rsid w:val="3E896612"/>
    <w:rsid w:val="3E8D4A15"/>
    <w:rsid w:val="3E93C6DE"/>
    <w:rsid w:val="3EA8515F"/>
    <w:rsid w:val="3EDF735B"/>
    <w:rsid w:val="3F01F36D"/>
    <w:rsid w:val="3F5C0869"/>
    <w:rsid w:val="3F839A9F"/>
    <w:rsid w:val="3FE504A1"/>
    <w:rsid w:val="3FE75D02"/>
    <w:rsid w:val="4002EA26"/>
    <w:rsid w:val="403477C6"/>
    <w:rsid w:val="404320DB"/>
    <w:rsid w:val="40613CFB"/>
    <w:rsid w:val="40825FAF"/>
    <w:rsid w:val="40BC399A"/>
    <w:rsid w:val="41088EE7"/>
    <w:rsid w:val="411355F6"/>
    <w:rsid w:val="4118DACF"/>
    <w:rsid w:val="41213168"/>
    <w:rsid w:val="4130EC0C"/>
    <w:rsid w:val="413CCCDF"/>
    <w:rsid w:val="416C40CE"/>
    <w:rsid w:val="41748DCE"/>
    <w:rsid w:val="417CBD7D"/>
    <w:rsid w:val="41ACEDB8"/>
    <w:rsid w:val="41ECD83D"/>
    <w:rsid w:val="420AED97"/>
    <w:rsid w:val="421700EF"/>
    <w:rsid w:val="4226A35A"/>
    <w:rsid w:val="4229F096"/>
    <w:rsid w:val="42527348"/>
    <w:rsid w:val="425EBDF9"/>
    <w:rsid w:val="4277418C"/>
    <w:rsid w:val="4281FBFC"/>
    <w:rsid w:val="42A12D82"/>
    <w:rsid w:val="42B24020"/>
    <w:rsid w:val="42B75BD6"/>
    <w:rsid w:val="42F8B62D"/>
    <w:rsid w:val="432BB664"/>
    <w:rsid w:val="43341488"/>
    <w:rsid w:val="4336514B"/>
    <w:rsid w:val="43546DF1"/>
    <w:rsid w:val="43552CEC"/>
    <w:rsid w:val="43688A0A"/>
    <w:rsid w:val="43A7FD9D"/>
    <w:rsid w:val="43F845D3"/>
    <w:rsid w:val="43FAE4B2"/>
    <w:rsid w:val="43FE2FF8"/>
    <w:rsid w:val="44332181"/>
    <w:rsid w:val="444F69EC"/>
    <w:rsid w:val="447D614B"/>
    <w:rsid w:val="448518A0"/>
    <w:rsid w:val="4485809A"/>
    <w:rsid w:val="448AC3B3"/>
    <w:rsid w:val="44AB7077"/>
    <w:rsid w:val="44DBDC92"/>
    <w:rsid w:val="44E8CC69"/>
    <w:rsid w:val="45070B9F"/>
    <w:rsid w:val="450C2B8F"/>
    <w:rsid w:val="450DC5C6"/>
    <w:rsid w:val="4535329F"/>
    <w:rsid w:val="453922A4"/>
    <w:rsid w:val="4547B708"/>
    <w:rsid w:val="454E48EE"/>
    <w:rsid w:val="4550D326"/>
    <w:rsid w:val="45570150"/>
    <w:rsid w:val="4587C7F7"/>
    <w:rsid w:val="45C62714"/>
    <w:rsid w:val="45CAAE0D"/>
    <w:rsid w:val="45D5EAFA"/>
    <w:rsid w:val="460AA2BF"/>
    <w:rsid w:val="46270D18"/>
    <w:rsid w:val="46553D73"/>
    <w:rsid w:val="4671407E"/>
    <w:rsid w:val="4684854C"/>
    <w:rsid w:val="46B4DE81"/>
    <w:rsid w:val="46BF2D58"/>
    <w:rsid w:val="46DFB19B"/>
    <w:rsid w:val="46E6078E"/>
    <w:rsid w:val="472243C8"/>
    <w:rsid w:val="472A0254"/>
    <w:rsid w:val="472B7C05"/>
    <w:rsid w:val="47447242"/>
    <w:rsid w:val="47474D7E"/>
    <w:rsid w:val="474FCF13"/>
    <w:rsid w:val="475C059A"/>
    <w:rsid w:val="4778759A"/>
    <w:rsid w:val="477E295F"/>
    <w:rsid w:val="47C4DE72"/>
    <w:rsid w:val="47CD5500"/>
    <w:rsid w:val="480E6465"/>
    <w:rsid w:val="481469DF"/>
    <w:rsid w:val="48288E7E"/>
    <w:rsid w:val="4844FD27"/>
    <w:rsid w:val="48519CD8"/>
    <w:rsid w:val="485C027A"/>
    <w:rsid w:val="485C0EA3"/>
    <w:rsid w:val="486038F1"/>
    <w:rsid w:val="488D39BE"/>
    <w:rsid w:val="489C5537"/>
    <w:rsid w:val="48A0D77A"/>
    <w:rsid w:val="48B5DED2"/>
    <w:rsid w:val="48BC11AD"/>
    <w:rsid w:val="48BCF46A"/>
    <w:rsid w:val="48D47990"/>
    <w:rsid w:val="48E3D923"/>
    <w:rsid w:val="48F7D5D1"/>
    <w:rsid w:val="49088CA1"/>
    <w:rsid w:val="491F5F38"/>
    <w:rsid w:val="49641A28"/>
    <w:rsid w:val="498FA532"/>
    <w:rsid w:val="499942DF"/>
    <w:rsid w:val="499ABA4D"/>
    <w:rsid w:val="499F1C98"/>
    <w:rsid w:val="49B5AA54"/>
    <w:rsid w:val="49E8CAAA"/>
    <w:rsid w:val="49EF7B65"/>
    <w:rsid w:val="49F7C8FE"/>
    <w:rsid w:val="4A0E61D0"/>
    <w:rsid w:val="4A48E69F"/>
    <w:rsid w:val="4A692B14"/>
    <w:rsid w:val="4A75FBB2"/>
    <w:rsid w:val="4AA1AA93"/>
    <w:rsid w:val="4B11AA63"/>
    <w:rsid w:val="4B20CA8D"/>
    <w:rsid w:val="4B23D3A3"/>
    <w:rsid w:val="4B5B1D19"/>
    <w:rsid w:val="4B8748ED"/>
    <w:rsid w:val="4BA5DBEF"/>
    <w:rsid w:val="4BAB2E5F"/>
    <w:rsid w:val="4BDC6175"/>
    <w:rsid w:val="4BFEEC41"/>
    <w:rsid w:val="4C35A7A1"/>
    <w:rsid w:val="4C77B9A6"/>
    <w:rsid w:val="4C8D57D1"/>
    <w:rsid w:val="4CBF6FCB"/>
    <w:rsid w:val="4CCB296E"/>
    <w:rsid w:val="4CCD926C"/>
    <w:rsid w:val="4CD42BDE"/>
    <w:rsid w:val="4CF34A93"/>
    <w:rsid w:val="4D1616EC"/>
    <w:rsid w:val="4D1E98AD"/>
    <w:rsid w:val="4D357C91"/>
    <w:rsid w:val="4D5446F0"/>
    <w:rsid w:val="4DD6A4AD"/>
    <w:rsid w:val="4E0FAEBB"/>
    <w:rsid w:val="4E15B4A4"/>
    <w:rsid w:val="4E4A4BD8"/>
    <w:rsid w:val="4E672453"/>
    <w:rsid w:val="4E6FE1F0"/>
    <w:rsid w:val="4E86A0B8"/>
    <w:rsid w:val="4E91E37C"/>
    <w:rsid w:val="4EDFA5EE"/>
    <w:rsid w:val="4EF1F8CF"/>
    <w:rsid w:val="4F0B3039"/>
    <w:rsid w:val="4F0C727C"/>
    <w:rsid w:val="4F1F8B6D"/>
    <w:rsid w:val="4F3462EF"/>
    <w:rsid w:val="4F3C9C37"/>
    <w:rsid w:val="4F5489AF"/>
    <w:rsid w:val="4F6C4AA4"/>
    <w:rsid w:val="4F6F2909"/>
    <w:rsid w:val="4FAC6995"/>
    <w:rsid w:val="4FAECCFD"/>
    <w:rsid w:val="4FD6343C"/>
    <w:rsid w:val="4FE94770"/>
    <w:rsid w:val="4FF082FA"/>
    <w:rsid w:val="4FF779E2"/>
    <w:rsid w:val="500AC5FA"/>
    <w:rsid w:val="5019DB0A"/>
    <w:rsid w:val="5025837F"/>
    <w:rsid w:val="5038E110"/>
    <w:rsid w:val="503A7D57"/>
    <w:rsid w:val="503C1C57"/>
    <w:rsid w:val="5063B035"/>
    <w:rsid w:val="5064F5AF"/>
    <w:rsid w:val="5087CAD4"/>
    <w:rsid w:val="50884AD4"/>
    <w:rsid w:val="50A6FBC9"/>
    <w:rsid w:val="50A74F6E"/>
    <w:rsid w:val="50B4D595"/>
    <w:rsid w:val="50C7C75E"/>
    <w:rsid w:val="50E08164"/>
    <w:rsid w:val="51256B46"/>
    <w:rsid w:val="51440F6B"/>
    <w:rsid w:val="514A8C98"/>
    <w:rsid w:val="5184B6EB"/>
    <w:rsid w:val="518DEA59"/>
    <w:rsid w:val="51A62D93"/>
    <w:rsid w:val="51D9FA94"/>
    <w:rsid w:val="51E95DE7"/>
    <w:rsid w:val="52013A7D"/>
    <w:rsid w:val="5229DFAE"/>
    <w:rsid w:val="5235BB23"/>
    <w:rsid w:val="524C78F5"/>
    <w:rsid w:val="524D36AB"/>
    <w:rsid w:val="525060B9"/>
    <w:rsid w:val="52B4B83B"/>
    <w:rsid w:val="52C1DFF3"/>
    <w:rsid w:val="52DDF82E"/>
    <w:rsid w:val="52EB13ED"/>
    <w:rsid w:val="52FC233B"/>
    <w:rsid w:val="533B2C2A"/>
    <w:rsid w:val="53579BB5"/>
    <w:rsid w:val="536070B5"/>
    <w:rsid w:val="53988AEA"/>
    <w:rsid w:val="53BFAB4D"/>
    <w:rsid w:val="53C8CA2C"/>
    <w:rsid w:val="53D56212"/>
    <w:rsid w:val="53DDA8E5"/>
    <w:rsid w:val="53E0DC43"/>
    <w:rsid w:val="540495BE"/>
    <w:rsid w:val="5407D60C"/>
    <w:rsid w:val="5428000F"/>
    <w:rsid w:val="5440B1A7"/>
    <w:rsid w:val="545B9C24"/>
    <w:rsid w:val="5475BBDF"/>
    <w:rsid w:val="54832383"/>
    <w:rsid w:val="5487F564"/>
    <w:rsid w:val="54CC9F96"/>
    <w:rsid w:val="54CDB902"/>
    <w:rsid w:val="54D6821A"/>
    <w:rsid w:val="54E5A50C"/>
    <w:rsid w:val="550441F0"/>
    <w:rsid w:val="55322E0C"/>
    <w:rsid w:val="5537BB25"/>
    <w:rsid w:val="553BEAD7"/>
    <w:rsid w:val="55453881"/>
    <w:rsid w:val="55458E6D"/>
    <w:rsid w:val="5546F9D0"/>
    <w:rsid w:val="558BD51A"/>
    <w:rsid w:val="5599338F"/>
    <w:rsid w:val="55BC1697"/>
    <w:rsid w:val="55D160E9"/>
    <w:rsid w:val="55D5348B"/>
    <w:rsid w:val="55E89B34"/>
    <w:rsid w:val="55F8A749"/>
    <w:rsid w:val="561D08DE"/>
    <w:rsid w:val="56303F55"/>
    <w:rsid w:val="5668BDDA"/>
    <w:rsid w:val="5682E15B"/>
    <w:rsid w:val="5699917A"/>
    <w:rsid w:val="56A9D0B9"/>
    <w:rsid w:val="56AB2A4C"/>
    <w:rsid w:val="56B1F2F9"/>
    <w:rsid w:val="56CD55E2"/>
    <w:rsid w:val="56DB4EA3"/>
    <w:rsid w:val="56E84402"/>
    <w:rsid w:val="56EED8D3"/>
    <w:rsid w:val="56F15F17"/>
    <w:rsid w:val="56F8C440"/>
    <w:rsid w:val="56F96462"/>
    <w:rsid w:val="572FD173"/>
    <w:rsid w:val="5735F724"/>
    <w:rsid w:val="574B68B2"/>
    <w:rsid w:val="5766E068"/>
    <w:rsid w:val="57691804"/>
    <w:rsid w:val="5791CA93"/>
    <w:rsid w:val="57A4EDC5"/>
    <w:rsid w:val="57AE71A5"/>
    <w:rsid w:val="57B94E44"/>
    <w:rsid w:val="57C48470"/>
    <w:rsid w:val="57E76E92"/>
    <w:rsid w:val="57E8B982"/>
    <w:rsid w:val="57EBA567"/>
    <w:rsid w:val="57F9BD55"/>
    <w:rsid w:val="58036D50"/>
    <w:rsid w:val="5816FFFA"/>
    <w:rsid w:val="582A62DC"/>
    <w:rsid w:val="58464BD4"/>
    <w:rsid w:val="5869CECE"/>
    <w:rsid w:val="586A6809"/>
    <w:rsid w:val="587E4A41"/>
    <w:rsid w:val="5880028D"/>
    <w:rsid w:val="588EC6E4"/>
    <w:rsid w:val="58E37E7D"/>
    <w:rsid w:val="590F1F5E"/>
    <w:rsid w:val="590F3651"/>
    <w:rsid w:val="592D89A1"/>
    <w:rsid w:val="59337C17"/>
    <w:rsid w:val="594C6BB5"/>
    <w:rsid w:val="5954A9A0"/>
    <w:rsid w:val="5957435B"/>
    <w:rsid w:val="59639FCC"/>
    <w:rsid w:val="5965303A"/>
    <w:rsid w:val="596D7270"/>
    <w:rsid w:val="599D4869"/>
    <w:rsid w:val="59A159C0"/>
    <w:rsid w:val="59ADF245"/>
    <w:rsid w:val="59B82BBA"/>
    <w:rsid w:val="59D96416"/>
    <w:rsid w:val="59E47B03"/>
    <w:rsid w:val="59EA70B4"/>
    <w:rsid w:val="59F27E12"/>
    <w:rsid w:val="5A0D2B0B"/>
    <w:rsid w:val="5A108BA4"/>
    <w:rsid w:val="5A1A22F2"/>
    <w:rsid w:val="5A235A77"/>
    <w:rsid w:val="5A335DEB"/>
    <w:rsid w:val="5A3B96E2"/>
    <w:rsid w:val="5A825CA6"/>
    <w:rsid w:val="5A849908"/>
    <w:rsid w:val="5A852604"/>
    <w:rsid w:val="5A906826"/>
    <w:rsid w:val="5A956A7B"/>
    <w:rsid w:val="5AA1B538"/>
    <w:rsid w:val="5AA3A403"/>
    <w:rsid w:val="5ABFCC10"/>
    <w:rsid w:val="5ADE1DB6"/>
    <w:rsid w:val="5AE3624F"/>
    <w:rsid w:val="5B0A242E"/>
    <w:rsid w:val="5B123FC5"/>
    <w:rsid w:val="5B221070"/>
    <w:rsid w:val="5B553846"/>
    <w:rsid w:val="5B58AA4F"/>
    <w:rsid w:val="5B5E24DD"/>
    <w:rsid w:val="5BBB041A"/>
    <w:rsid w:val="5BD19054"/>
    <w:rsid w:val="5BD36C70"/>
    <w:rsid w:val="5C0C4371"/>
    <w:rsid w:val="5C0F89B0"/>
    <w:rsid w:val="5C10F191"/>
    <w:rsid w:val="5C1ACE09"/>
    <w:rsid w:val="5C1B1F3F"/>
    <w:rsid w:val="5C459A57"/>
    <w:rsid w:val="5C6A92E1"/>
    <w:rsid w:val="5CB2B542"/>
    <w:rsid w:val="5CBF51D3"/>
    <w:rsid w:val="5CBFA56E"/>
    <w:rsid w:val="5CCB3861"/>
    <w:rsid w:val="5CE590BF"/>
    <w:rsid w:val="5CF72C08"/>
    <w:rsid w:val="5D149E35"/>
    <w:rsid w:val="5D15E15D"/>
    <w:rsid w:val="5D2B5D53"/>
    <w:rsid w:val="5D4009A0"/>
    <w:rsid w:val="5D665496"/>
    <w:rsid w:val="5DC7B643"/>
    <w:rsid w:val="5DDD3BDE"/>
    <w:rsid w:val="5DE295DE"/>
    <w:rsid w:val="5DE7BB1D"/>
    <w:rsid w:val="5DFAA36F"/>
    <w:rsid w:val="5E213EFE"/>
    <w:rsid w:val="5E74FEC8"/>
    <w:rsid w:val="5E8759D3"/>
    <w:rsid w:val="5E9A8BC5"/>
    <w:rsid w:val="5ED91052"/>
    <w:rsid w:val="5EF4BBDD"/>
    <w:rsid w:val="5EF63CA7"/>
    <w:rsid w:val="5F014C48"/>
    <w:rsid w:val="5F0B13DD"/>
    <w:rsid w:val="5F12A9E3"/>
    <w:rsid w:val="5F134D2B"/>
    <w:rsid w:val="5F18947A"/>
    <w:rsid w:val="5F252718"/>
    <w:rsid w:val="5F259D00"/>
    <w:rsid w:val="5F59494E"/>
    <w:rsid w:val="5F7BA27F"/>
    <w:rsid w:val="5FFB97B8"/>
    <w:rsid w:val="6005063E"/>
    <w:rsid w:val="60175CC1"/>
    <w:rsid w:val="6026438D"/>
    <w:rsid w:val="602FCE94"/>
    <w:rsid w:val="603434BB"/>
    <w:rsid w:val="6049C236"/>
    <w:rsid w:val="6058E2F7"/>
    <w:rsid w:val="60788DC5"/>
    <w:rsid w:val="60AA6D90"/>
    <w:rsid w:val="60C13097"/>
    <w:rsid w:val="60CD46E1"/>
    <w:rsid w:val="60E0ECC6"/>
    <w:rsid w:val="60E85774"/>
    <w:rsid w:val="61032FD0"/>
    <w:rsid w:val="61045E37"/>
    <w:rsid w:val="611B3678"/>
    <w:rsid w:val="61284020"/>
    <w:rsid w:val="6143D1E7"/>
    <w:rsid w:val="61675F70"/>
    <w:rsid w:val="617206D2"/>
    <w:rsid w:val="618A8E35"/>
    <w:rsid w:val="61A4E169"/>
    <w:rsid w:val="61B354A4"/>
    <w:rsid w:val="61B9042A"/>
    <w:rsid w:val="61C17666"/>
    <w:rsid w:val="61C58931"/>
    <w:rsid w:val="61CFFF30"/>
    <w:rsid w:val="61FD2638"/>
    <w:rsid w:val="620727D8"/>
    <w:rsid w:val="621A2985"/>
    <w:rsid w:val="62481EBC"/>
    <w:rsid w:val="62515FC0"/>
    <w:rsid w:val="6256918F"/>
    <w:rsid w:val="6267CAD9"/>
    <w:rsid w:val="626D9BA0"/>
    <w:rsid w:val="627692A7"/>
    <w:rsid w:val="629CCCA7"/>
    <w:rsid w:val="62A02A25"/>
    <w:rsid w:val="62B01450"/>
    <w:rsid w:val="62D71446"/>
    <w:rsid w:val="62E7BBFD"/>
    <w:rsid w:val="62EE3A29"/>
    <w:rsid w:val="62F4B021"/>
    <w:rsid w:val="62FA492D"/>
    <w:rsid w:val="630C618D"/>
    <w:rsid w:val="6310B035"/>
    <w:rsid w:val="63244DEB"/>
    <w:rsid w:val="63980A7A"/>
    <w:rsid w:val="63B9ED40"/>
    <w:rsid w:val="63CCEAFA"/>
    <w:rsid w:val="63E1CC72"/>
    <w:rsid w:val="6415ADFF"/>
    <w:rsid w:val="64378005"/>
    <w:rsid w:val="643D41E3"/>
    <w:rsid w:val="645AA4EE"/>
    <w:rsid w:val="6460A30C"/>
    <w:rsid w:val="6483110C"/>
    <w:rsid w:val="6485E51D"/>
    <w:rsid w:val="6489DF1B"/>
    <w:rsid w:val="64941863"/>
    <w:rsid w:val="64B40447"/>
    <w:rsid w:val="64E0FDC8"/>
    <w:rsid w:val="64FE5FA7"/>
    <w:rsid w:val="65275319"/>
    <w:rsid w:val="652C36F2"/>
    <w:rsid w:val="653BC0B1"/>
    <w:rsid w:val="653D7404"/>
    <w:rsid w:val="654AAFB6"/>
    <w:rsid w:val="656B1B18"/>
    <w:rsid w:val="65941EF2"/>
    <w:rsid w:val="65A3EADF"/>
    <w:rsid w:val="65AA202E"/>
    <w:rsid w:val="65E9FE9F"/>
    <w:rsid w:val="65F13ED9"/>
    <w:rsid w:val="65FB1D6E"/>
    <w:rsid w:val="660A90C0"/>
    <w:rsid w:val="666CBE54"/>
    <w:rsid w:val="66728358"/>
    <w:rsid w:val="6698841D"/>
    <w:rsid w:val="66A4D6DD"/>
    <w:rsid w:val="66A9A7F9"/>
    <w:rsid w:val="66C83249"/>
    <w:rsid w:val="66D5F06F"/>
    <w:rsid w:val="672396B1"/>
    <w:rsid w:val="6744E23D"/>
    <w:rsid w:val="675D78A1"/>
    <w:rsid w:val="67E027C0"/>
    <w:rsid w:val="67EE8AB1"/>
    <w:rsid w:val="67F8F840"/>
    <w:rsid w:val="68207987"/>
    <w:rsid w:val="682323FA"/>
    <w:rsid w:val="6865F98B"/>
    <w:rsid w:val="688474E8"/>
    <w:rsid w:val="6884E318"/>
    <w:rsid w:val="68AB1567"/>
    <w:rsid w:val="68ADF125"/>
    <w:rsid w:val="68C605AB"/>
    <w:rsid w:val="68DE079C"/>
    <w:rsid w:val="68E25A47"/>
    <w:rsid w:val="69543F4A"/>
    <w:rsid w:val="695CB4FB"/>
    <w:rsid w:val="695D503E"/>
    <w:rsid w:val="697B5C6B"/>
    <w:rsid w:val="698951A1"/>
    <w:rsid w:val="698BBEAA"/>
    <w:rsid w:val="698EEAC5"/>
    <w:rsid w:val="6A000517"/>
    <w:rsid w:val="6A330BB5"/>
    <w:rsid w:val="6A46B359"/>
    <w:rsid w:val="6A582B4E"/>
    <w:rsid w:val="6A5B4C00"/>
    <w:rsid w:val="6A83C093"/>
    <w:rsid w:val="6AABF185"/>
    <w:rsid w:val="6ACE8680"/>
    <w:rsid w:val="6ADE82F7"/>
    <w:rsid w:val="6AEEB1B0"/>
    <w:rsid w:val="6AF88744"/>
    <w:rsid w:val="6B05DC09"/>
    <w:rsid w:val="6B120AF4"/>
    <w:rsid w:val="6B3CC679"/>
    <w:rsid w:val="6B92C081"/>
    <w:rsid w:val="6BA059F0"/>
    <w:rsid w:val="6BCEDC16"/>
    <w:rsid w:val="6BDCA201"/>
    <w:rsid w:val="6C132BB8"/>
    <w:rsid w:val="6C3A4DEA"/>
    <w:rsid w:val="6C4A8350"/>
    <w:rsid w:val="6C53A963"/>
    <w:rsid w:val="6C898781"/>
    <w:rsid w:val="6CB3230A"/>
    <w:rsid w:val="6CC7BFAB"/>
    <w:rsid w:val="6CCC0A91"/>
    <w:rsid w:val="6CDF462C"/>
    <w:rsid w:val="6CE5208B"/>
    <w:rsid w:val="6D26E44E"/>
    <w:rsid w:val="6D5CB031"/>
    <w:rsid w:val="6DBCA50E"/>
    <w:rsid w:val="6DE653B1"/>
    <w:rsid w:val="6DE9DBBD"/>
    <w:rsid w:val="6DFCF854"/>
    <w:rsid w:val="6E57F34A"/>
    <w:rsid w:val="6E84B548"/>
    <w:rsid w:val="6EA07A2F"/>
    <w:rsid w:val="6EADBFF0"/>
    <w:rsid w:val="6ECDDECC"/>
    <w:rsid w:val="6ED2FDDE"/>
    <w:rsid w:val="6ED682DF"/>
    <w:rsid w:val="6EDFD50B"/>
    <w:rsid w:val="6EE11897"/>
    <w:rsid w:val="6EE6B013"/>
    <w:rsid w:val="6F067CD8"/>
    <w:rsid w:val="6F248454"/>
    <w:rsid w:val="6F61AE70"/>
    <w:rsid w:val="6F70801B"/>
    <w:rsid w:val="6F845B5C"/>
    <w:rsid w:val="6F8CD032"/>
    <w:rsid w:val="6F91CDFA"/>
    <w:rsid w:val="6FA8B646"/>
    <w:rsid w:val="6FBADC75"/>
    <w:rsid w:val="7002BF89"/>
    <w:rsid w:val="700BD037"/>
    <w:rsid w:val="7015754C"/>
    <w:rsid w:val="7017B69E"/>
    <w:rsid w:val="703A8F90"/>
    <w:rsid w:val="7044B054"/>
    <w:rsid w:val="704AB813"/>
    <w:rsid w:val="708377DD"/>
    <w:rsid w:val="709047EF"/>
    <w:rsid w:val="70A24D39"/>
    <w:rsid w:val="70DA9002"/>
    <w:rsid w:val="7101F403"/>
    <w:rsid w:val="710A92A3"/>
    <w:rsid w:val="710AAE5B"/>
    <w:rsid w:val="7150F7BB"/>
    <w:rsid w:val="7161C4C2"/>
    <w:rsid w:val="7189B294"/>
    <w:rsid w:val="718DE8BB"/>
    <w:rsid w:val="718DFFE1"/>
    <w:rsid w:val="71C28F6F"/>
    <w:rsid w:val="71ECA79F"/>
    <w:rsid w:val="71F83413"/>
    <w:rsid w:val="71FE8EC7"/>
    <w:rsid w:val="7200A9CE"/>
    <w:rsid w:val="720B12B0"/>
    <w:rsid w:val="7215C34F"/>
    <w:rsid w:val="721ADD79"/>
    <w:rsid w:val="7229C795"/>
    <w:rsid w:val="7232E7FB"/>
    <w:rsid w:val="7258CAB4"/>
    <w:rsid w:val="72594B1F"/>
    <w:rsid w:val="726C2E55"/>
    <w:rsid w:val="726EA7EC"/>
    <w:rsid w:val="7294CBF2"/>
    <w:rsid w:val="72D8B165"/>
    <w:rsid w:val="72ED95CB"/>
    <w:rsid w:val="72FD90F0"/>
    <w:rsid w:val="7303CD54"/>
    <w:rsid w:val="732A51A2"/>
    <w:rsid w:val="733FB8FF"/>
    <w:rsid w:val="73402AB3"/>
    <w:rsid w:val="7347C824"/>
    <w:rsid w:val="73817F74"/>
    <w:rsid w:val="738420B2"/>
    <w:rsid w:val="73866C9A"/>
    <w:rsid w:val="738ED3CB"/>
    <w:rsid w:val="7394959D"/>
    <w:rsid w:val="73A9D171"/>
    <w:rsid w:val="73D3FC64"/>
    <w:rsid w:val="73D40B36"/>
    <w:rsid w:val="73F45225"/>
    <w:rsid w:val="74113E0E"/>
    <w:rsid w:val="7430FD11"/>
    <w:rsid w:val="74448557"/>
    <w:rsid w:val="744B29AB"/>
    <w:rsid w:val="747928E8"/>
    <w:rsid w:val="749F9DB5"/>
    <w:rsid w:val="74C81DC8"/>
    <w:rsid w:val="74D9CF34"/>
    <w:rsid w:val="75002D19"/>
    <w:rsid w:val="750C437A"/>
    <w:rsid w:val="753BE8FB"/>
    <w:rsid w:val="754AA285"/>
    <w:rsid w:val="754C9758"/>
    <w:rsid w:val="756485B7"/>
    <w:rsid w:val="756A4841"/>
    <w:rsid w:val="75714BB9"/>
    <w:rsid w:val="75745DBF"/>
    <w:rsid w:val="75762B29"/>
    <w:rsid w:val="75881AA7"/>
    <w:rsid w:val="7590B91E"/>
    <w:rsid w:val="75B512E4"/>
    <w:rsid w:val="75DA7DA6"/>
    <w:rsid w:val="75F5FA28"/>
    <w:rsid w:val="75F81B6D"/>
    <w:rsid w:val="75FFE636"/>
    <w:rsid w:val="76306C66"/>
    <w:rsid w:val="76461585"/>
    <w:rsid w:val="76AA8455"/>
    <w:rsid w:val="7703ACBC"/>
    <w:rsid w:val="770C4073"/>
    <w:rsid w:val="77118EBD"/>
    <w:rsid w:val="77191D5A"/>
    <w:rsid w:val="772CE605"/>
    <w:rsid w:val="773184F6"/>
    <w:rsid w:val="77383E2A"/>
    <w:rsid w:val="774F33A2"/>
    <w:rsid w:val="77815595"/>
    <w:rsid w:val="77862EE6"/>
    <w:rsid w:val="77AFBBD0"/>
    <w:rsid w:val="77B4F103"/>
    <w:rsid w:val="77C25FE6"/>
    <w:rsid w:val="77EC0062"/>
    <w:rsid w:val="77FC4FF7"/>
    <w:rsid w:val="7855D6C9"/>
    <w:rsid w:val="78633DEB"/>
    <w:rsid w:val="7863DCCE"/>
    <w:rsid w:val="78782ECF"/>
    <w:rsid w:val="787D8678"/>
    <w:rsid w:val="788BE222"/>
    <w:rsid w:val="789AB47D"/>
    <w:rsid w:val="78A77C59"/>
    <w:rsid w:val="78B3E908"/>
    <w:rsid w:val="78B830BA"/>
    <w:rsid w:val="78D3296F"/>
    <w:rsid w:val="78DA723C"/>
    <w:rsid w:val="79022DD2"/>
    <w:rsid w:val="795E05B6"/>
    <w:rsid w:val="79BC138F"/>
    <w:rsid w:val="7A0C33B0"/>
    <w:rsid w:val="7A0EB5CC"/>
    <w:rsid w:val="7A4D1696"/>
    <w:rsid w:val="7A5E45CB"/>
    <w:rsid w:val="7A8077F6"/>
    <w:rsid w:val="7A8B332D"/>
    <w:rsid w:val="7AA9AF36"/>
    <w:rsid w:val="7AAE7823"/>
    <w:rsid w:val="7AC0236D"/>
    <w:rsid w:val="7AD2B238"/>
    <w:rsid w:val="7ADE239A"/>
    <w:rsid w:val="7AF15602"/>
    <w:rsid w:val="7B096684"/>
    <w:rsid w:val="7B3ACF89"/>
    <w:rsid w:val="7B757FBA"/>
    <w:rsid w:val="7B880F5A"/>
    <w:rsid w:val="7B943256"/>
    <w:rsid w:val="7BA01A79"/>
    <w:rsid w:val="7BA1DD5A"/>
    <w:rsid w:val="7BB7F03A"/>
    <w:rsid w:val="7BD5D3B5"/>
    <w:rsid w:val="7BF8CCAB"/>
    <w:rsid w:val="7BF942CD"/>
    <w:rsid w:val="7C0D912E"/>
    <w:rsid w:val="7C3F2317"/>
    <w:rsid w:val="7C7F3945"/>
    <w:rsid w:val="7C8DD672"/>
    <w:rsid w:val="7CBE4C38"/>
    <w:rsid w:val="7CCF7E66"/>
    <w:rsid w:val="7CE0F3D4"/>
    <w:rsid w:val="7CF4BB3F"/>
    <w:rsid w:val="7D0D8A69"/>
    <w:rsid w:val="7D37CF3E"/>
    <w:rsid w:val="7D67DA6C"/>
    <w:rsid w:val="7D75F508"/>
    <w:rsid w:val="7D9DC7FD"/>
    <w:rsid w:val="7DA5A605"/>
    <w:rsid w:val="7DB32BCA"/>
    <w:rsid w:val="7DB46039"/>
    <w:rsid w:val="7DB48C88"/>
    <w:rsid w:val="7DC4773E"/>
    <w:rsid w:val="7DD3A0C2"/>
    <w:rsid w:val="7DDBE221"/>
    <w:rsid w:val="7E17AA48"/>
    <w:rsid w:val="7E21924D"/>
    <w:rsid w:val="7E2BBDC1"/>
    <w:rsid w:val="7E2F5723"/>
    <w:rsid w:val="7E3EEBCC"/>
    <w:rsid w:val="7E4768A0"/>
    <w:rsid w:val="7E5CD83B"/>
    <w:rsid w:val="7E750F8B"/>
    <w:rsid w:val="7E8672F2"/>
    <w:rsid w:val="7E88F92E"/>
    <w:rsid w:val="7EBB8849"/>
    <w:rsid w:val="7EBF5D3C"/>
    <w:rsid w:val="7ED638EF"/>
    <w:rsid w:val="7EE58F60"/>
    <w:rsid w:val="7EFB0A7C"/>
    <w:rsid w:val="7F15D490"/>
    <w:rsid w:val="7F5F219C"/>
    <w:rsid w:val="7F689023"/>
    <w:rsid w:val="7F6CD2A6"/>
    <w:rsid w:val="7F726EE4"/>
    <w:rsid w:val="7F8CD5EE"/>
    <w:rsid w:val="7FAEEA6D"/>
    <w:rsid w:val="7FBDF1F5"/>
    <w:rsid w:val="7FD0CD68"/>
    <w:rsid w:val="7FFB9A03"/>
    <w:rsid w:val="7FFE56E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79A2868"/>
  <w15:docId w15:val="{6738A3FD-ADB1-4156-B45E-15A2957A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395"/>
    <w:pPr>
      <w:spacing w:after="0" w:line="240" w:lineRule="auto"/>
      <w:jc w:val="both"/>
    </w:pPr>
    <w:rPr>
      <w:rFonts w:ascii="Times New Roman" w:eastAsia="Times New Roman" w:hAnsi="Times New Roman" w:cs="Times New Roman"/>
      <w:szCs w:val="24"/>
      <w:lang w:val="en-GB"/>
    </w:rPr>
  </w:style>
  <w:style w:type="paragraph" w:styleId="Heading1">
    <w:name w:val="heading 1"/>
    <w:basedOn w:val="Normal"/>
    <w:next w:val="Heading2"/>
    <w:link w:val="Heading1Char"/>
    <w:qFormat/>
    <w:rsid w:val="00482395"/>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482395"/>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482395"/>
    <w:pPr>
      <w:keepNext/>
      <w:tabs>
        <w:tab w:val="left" w:pos="567"/>
      </w:tabs>
      <w:spacing w:before="120" w:after="120"/>
      <w:jc w:val="center"/>
      <w:outlineLvl w:val="2"/>
    </w:pPr>
    <w:rPr>
      <w:i/>
      <w:iCs/>
    </w:rPr>
  </w:style>
  <w:style w:type="paragraph" w:styleId="Heading4">
    <w:name w:val="heading 4"/>
    <w:basedOn w:val="Normal"/>
    <w:link w:val="Heading4Char"/>
    <w:qFormat/>
    <w:rsid w:val="00482395"/>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482395"/>
    <w:pPr>
      <w:keepNext/>
      <w:numPr>
        <w:ilvl w:val="4"/>
        <w:numId w:val="38"/>
      </w:numPr>
      <w:spacing w:before="120" w:after="120"/>
      <w:jc w:val="left"/>
      <w:outlineLvl w:val="4"/>
    </w:pPr>
    <w:rPr>
      <w:bCs/>
      <w:i/>
      <w:szCs w:val="26"/>
      <w:lang w:val="en-CA"/>
    </w:rPr>
  </w:style>
  <w:style w:type="paragraph" w:styleId="Heading6">
    <w:name w:val="heading 6"/>
    <w:basedOn w:val="Normal"/>
    <w:next w:val="Normal"/>
    <w:link w:val="Heading6Char"/>
    <w:qFormat/>
    <w:rsid w:val="00482395"/>
    <w:pPr>
      <w:keepNext/>
      <w:spacing w:after="240" w:line="240" w:lineRule="exact"/>
      <w:ind w:left="720"/>
      <w:outlineLvl w:val="5"/>
    </w:pPr>
    <w:rPr>
      <w:u w:val="single"/>
    </w:rPr>
  </w:style>
  <w:style w:type="paragraph" w:styleId="Heading7">
    <w:name w:val="heading 7"/>
    <w:basedOn w:val="Normal"/>
    <w:next w:val="Normal"/>
    <w:link w:val="Heading7Char"/>
    <w:rsid w:val="00482395"/>
    <w:pPr>
      <w:keepNext/>
      <w:jc w:val="right"/>
      <w:outlineLvl w:val="6"/>
    </w:pPr>
    <w:rPr>
      <w:rFonts w:ascii="Univers" w:hAnsi="Univers"/>
      <w:b/>
      <w:sz w:val="28"/>
    </w:rPr>
  </w:style>
  <w:style w:type="paragraph" w:styleId="Heading8">
    <w:name w:val="heading 8"/>
    <w:basedOn w:val="Normal"/>
    <w:next w:val="Normal"/>
    <w:link w:val="Heading8Char"/>
    <w:qFormat/>
    <w:rsid w:val="00482395"/>
    <w:pPr>
      <w:keepNext/>
      <w:jc w:val="right"/>
      <w:outlineLvl w:val="7"/>
    </w:pPr>
    <w:rPr>
      <w:rFonts w:ascii="Univers" w:hAnsi="Univers"/>
      <w:b/>
      <w:sz w:val="32"/>
    </w:rPr>
  </w:style>
  <w:style w:type="paragraph" w:styleId="Heading9">
    <w:name w:val="heading 9"/>
    <w:basedOn w:val="Normal"/>
    <w:next w:val="Normal"/>
    <w:link w:val="Heading9Char"/>
    <w:rsid w:val="00482395"/>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82395"/>
    <w:rPr>
      <w:szCs w:val="24"/>
      <w:vertAlign w:val="superscript"/>
      <w:lang w:val="fr-CA"/>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qFormat/>
    <w:rsid w:val="00482395"/>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482395"/>
    <w:rPr>
      <w:rFonts w:ascii="Times New Roman" w:eastAsia="Times New Roman" w:hAnsi="Times New Roman" w:cs="Times New Roman"/>
      <w:sz w:val="18"/>
      <w:szCs w:val="24"/>
      <w:lang w:val="en-GB"/>
    </w:rPr>
  </w:style>
  <w:style w:type="paragraph" w:customStyle="1" w:styleId="Para1">
    <w:name w:val="Para1"/>
    <w:basedOn w:val="Normal"/>
    <w:link w:val="Para1Char"/>
    <w:uiPriority w:val="99"/>
    <w:rsid w:val="00482395"/>
    <w:pPr>
      <w:numPr>
        <w:numId w:val="39"/>
      </w:numPr>
      <w:tabs>
        <w:tab w:val="clear" w:pos="360"/>
      </w:tabs>
      <w:spacing w:before="120" w:after="120"/>
    </w:pPr>
    <w:rPr>
      <w:snapToGrid w:val="0"/>
      <w:szCs w:val="18"/>
    </w:rPr>
  </w:style>
  <w:style w:type="paragraph" w:customStyle="1" w:styleId="recommendationheader">
    <w:name w:val="recommendation header"/>
    <w:basedOn w:val="Heading2"/>
    <w:qFormat/>
    <w:rsid w:val="00482395"/>
  </w:style>
  <w:style w:type="character" w:customStyle="1" w:styleId="Para1Char">
    <w:name w:val="Para1 Char"/>
    <w:link w:val="Para1"/>
    <w:uiPriority w:val="99"/>
    <w:locked/>
    <w:rsid w:val="00482395"/>
    <w:rPr>
      <w:rFonts w:ascii="Times New Roman" w:eastAsia="Times New Roman" w:hAnsi="Times New Roman" w:cs="Times New Roman"/>
      <w:snapToGrid w:val="0"/>
      <w:szCs w:val="18"/>
      <w:lang w:val="en-GB"/>
    </w:rPr>
  </w:style>
  <w:style w:type="paragraph" w:customStyle="1" w:styleId="Item">
    <w:name w:val="Item"/>
    <w:basedOn w:val="Normal"/>
    <w:qFormat/>
    <w:rsid w:val="00451B9F"/>
    <w:pPr>
      <w:keepNext/>
      <w:spacing w:before="240" w:after="120"/>
      <w:ind w:left="720" w:hanging="720"/>
      <w:jc w:val="center"/>
    </w:pPr>
    <w:rPr>
      <w:b/>
      <w:kern w:val="22"/>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482395"/>
    <w:pPr>
      <w:spacing w:after="160" w:line="240" w:lineRule="exact"/>
      <w:jc w:val="left"/>
    </w:pPr>
    <w:rPr>
      <w:rFonts w:asciiTheme="minorHAnsi" w:eastAsiaTheme="minorEastAsia" w:hAnsiTheme="minorHAnsi" w:cstheme="minorBidi"/>
      <w:vertAlign w:val="superscript"/>
      <w:lang w:val="fr-CA"/>
    </w:rPr>
  </w:style>
  <w:style w:type="paragraph" w:customStyle="1" w:styleId="Default">
    <w:name w:val="Default"/>
    <w:rsid w:val="00451B9F"/>
    <w:pPr>
      <w:autoSpaceDE w:val="0"/>
      <w:autoSpaceDN w:val="0"/>
      <w:adjustRightInd w:val="0"/>
      <w:spacing w:after="0" w:line="240" w:lineRule="auto"/>
    </w:pPr>
    <w:rPr>
      <w:rFonts w:ascii="Times New Roman" w:eastAsia="Times New Roman" w:hAnsi="Times New Roman" w:cs="Times New Roman"/>
      <w:color w:val="000000"/>
      <w:sz w:val="24"/>
      <w:szCs w:val="24"/>
      <w:lang w:val="de-CH" w:eastAsia="de-CH"/>
    </w:rPr>
  </w:style>
  <w:style w:type="character" w:customStyle="1" w:styleId="Heading2Char">
    <w:name w:val="Heading 2 Char"/>
    <w:basedOn w:val="DefaultParagraphFont"/>
    <w:link w:val="Heading2"/>
    <w:rsid w:val="00482395"/>
    <w:rPr>
      <w:rFonts w:ascii="Times New Roman" w:eastAsia="Times New Roman" w:hAnsi="Times New Roman" w:cs="Times New Roman"/>
      <w:b/>
      <w:bCs/>
      <w:iCs/>
      <w:szCs w:val="24"/>
      <w:lang w:val="en-GB"/>
    </w:rPr>
  </w:style>
  <w:style w:type="paragraph" w:styleId="ListParagraph">
    <w:name w:val="List Paragraph"/>
    <w:basedOn w:val="Normal"/>
    <w:uiPriority w:val="34"/>
    <w:qFormat/>
    <w:rsid w:val="00482395"/>
    <w:pPr>
      <w:ind w:left="720"/>
      <w:contextualSpacing/>
    </w:pPr>
  </w:style>
  <w:style w:type="paragraph" w:styleId="NormalWeb">
    <w:name w:val="Normal (Web)"/>
    <w:basedOn w:val="Normal"/>
    <w:uiPriority w:val="99"/>
    <w:semiHidden/>
    <w:unhideWhenUsed/>
    <w:rsid w:val="000E7ACC"/>
    <w:rPr>
      <w:rFonts w:ascii="Calibri" w:hAnsi="Calibri" w:cs="Calibri"/>
      <w:szCs w:val="22"/>
      <w:lang w:val="fr-FR" w:eastAsia="fr-FR"/>
    </w:rPr>
  </w:style>
  <w:style w:type="paragraph" w:styleId="BodyText">
    <w:name w:val="Body Text"/>
    <w:basedOn w:val="Normal"/>
    <w:link w:val="BodyTextChar"/>
    <w:rsid w:val="00482395"/>
    <w:pPr>
      <w:spacing w:before="120" w:after="120"/>
      <w:ind w:firstLine="720"/>
    </w:pPr>
    <w:rPr>
      <w:iCs/>
    </w:rPr>
  </w:style>
  <w:style w:type="character" w:customStyle="1" w:styleId="BodyTextChar">
    <w:name w:val="Body Text Char"/>
    <w:basedOn w:val="DefaultParagraphFont"/>
    <w:link w:val="BodyText"/>
    <w:rsid w:val="00482395"/>
    <w:rPr>
      <w:rFonts w:ascii="Times New Roman" w:eastAsia="Times New Roman" w:hAnsi="Times New Roman" w:cs="Times New Roman"/>
      <w:iCs/>
      <w:szCs w:val="24"/>
      <w:lang w:val="en-GB"/>
    </w:rPr>
  </w:style>
  <w:style w:type="character" w:styleId="CommentReference">
    <w:name w:val="annotation reference"/>
    <w:semiHidden/>
    <w:rsid w:val="00482395"/>
    <w:rPr>
      <w:sz w:val="16"/>
    </w:rPr>
  </w:style>
  <w:style w:type="paragraph" w:styleId="CommentText">
    <w:name w:val="annotation text"/>
    <w:basedOn w:val="Normal"/>
    <w:link w:val="CommentTextChar"/>
    <w:semiHidden/>
    <w:rsid w:val="00482395"/>
    <w:pPr>
      <w:spacing w:after="120" w:line="240" w:lineRule="exact"/>
    </w:pPr>
  </w:style>
  <w:style w:type="character" w:customStyle="1" w:styleId="CommentTextChar">
    <w:name w:val="Comment Text Char"/>
    <w:basedOn w:val="DefaultParagraphFont"/>
    <w:link w:val="CommentText"/>
    <w:semiHidden/>
    <w:rsid w:val="00482395"/>
    <w:rPr>
      <w:rFonts w:ascii="Times New Roman" w:eastAsia="Times New Roman" w:hAnsi="Times New Roman" w:cs="Times New Roman"/>
      <w:szCs w:val="24"/>
      <w:lang w:val="en-GB"/>
    </w:rPr>
  </w:style>
  <w:style w:type="paragraph" w:styleId="BalloonText">
    <w:name w:val="Balloon Text"/>
    <w:basedOn w:val="Normal"/>
    <w:link w:val="BalloonTextChar"/>
    <w:uiPriority w:val="99"/>
    <w:semiHidden/>
    <w:unhideWhenUsed/>
    <w:rsid w:val="004823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2395"/>
    <w:rPr>
      <w:rFonts w:ascii="Lucida Grande" w:eastAsia="Times New Roman" w:hAnsi="Lucida Grande" w:cs="Lucida Grande"/>
      <w:sz w:val="18"/>
      <w:szCs w:val="18"/>
      <w:lang w:val="en-GB"/>
    </w:rPr>
  </w:style>
  <w:style w:type="paragraph" w:styleId="NoSpacing">
    <w:name w:val="No Spacing"/>
    <w:link w:val="NoSpacingChar"/>
    <w:uiPriority w:val="1"/>
    <w:qFormat/>
    <w:rsid w:val="00E1232A"/>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rsid w:val="00E1232A"/>
    <w:rPr>
      <w:rFonts w:ascii="Calibri" w:eastAsia="Calibri" w:hAnsi="Calibri" w:cs="Times New Roman"/>
      <w:lang w:val="en-US"/>
    </w:rPr>
  </w:style>
  <w:style w:type="table" w:styleId="TableGrid">
    <w:name w:val="Table Grid"/>
    <w:basedOn w:val="TableNormal"/>
    <w:uiPriority w:val="59"/>
    <w:rsid w:val="00482395"/>
    <w:pPr>
      <w:spacing w:after="0" w:line="240" w:lineRule="auto"/>
    </w:pPr>
    <w:rPr>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482395"/>
    <w:rPr>
      <w:color w:val="808080"/>
    </w:rPr>
  </w:style>
  <w:style w:type="paragraph" w:styleId="Header">
    <w:name w:val="header"/>
    <w:basedOn w:val="Normal"/>
    <w:link w:val="HeaderChar"/>
    <w:rsid w:val="00482395"/>
    <w:pPr>
      <w:tabs>
        <w:tab w:val="center" w:pos="4320"/>
        <w:tab w:val="right" w:pos="8640"/>
      </w:tabs>
    </w:pPr>
  </w:style>
  <w:style w:type="character" w:customStyle="1" w:styleId="HeaderChar">
    <w:name w:val="Header Char"/>
    <w:basedOn w:val="DefaultParagraphFont"/>
    <w:link w:val="Header"/>
    <w:rsid w:val="00482395"/>
    <w:rPr>
      <w:rFonts w:ascii="Times New Roman" w:eastAsia="Times New Roman" w:hAnsi="Times New Roman" w:cs="Times New Roman"/>
      <w:szCs w:val="24"/>
      <w:lang w:val="en-GB"/>
    </w:rPr>
  </w:style>
  <w:style w:type="paragraph" w:styleId="Footer">
    <w:name w:val="footer"/>
    <w:basedOn w:val="Normal"/>
    <w:link w:val="FooterChar"/>
    <w:rsid w:val="00482395"/>
    <w:pPr>
      <w:tabs>
        <w:tab w:val="center" w:pos="4320"/>
        <w:tab w:val="right" w:pos="8640"/>
      </w:tabs>
      <w:ind w:firstLine="720"/>
      <w:jc w:val="right"/>
    </w:pPr>
  </w:style>
  <w:style w:type="character" w:customStyle="1" w:styleId="FooterChar">
    <w:name w:val="Footer Char"/>
    <w:basedOn w:val="DefaultParagraphFont"/>
    <w:link w:val="Footer"/>
    <w:rsid w:val="00482395"/>
    <w:rPr>
      <w:rFonts w:ascii="Times New Roman" w:eastAsia="Times New Roman" w:hAnsi="Times New Roman" w:cs="Times New Roman"/>
      <w:szCs w:val="24"/>
      <w:lang w:val="en-GB"/>
    </w:rPr>
  </w:style>
  <w:style w:type="paragraph" w:customStyle="1" w:styleId="decision">
    <w:name w:val="decision"/>
    <w:basedOn w:val="Normal"/>
    <w:qFormat/>
    <w:rsid w:val="00FC79D1"/>
    <w:pPr>
      <w:keepNext/>
      <w:jc w:val="center"/>
    </w:pPr>
    <w:rPr>
      <w:rFonts w:ascii="Times New Roman Bold" w:eastAsia="Malgun Gothic" w:hAnsi="Times New Roman Bold"/>
      <w:b/>
    </w:rPr>
  </w:style>
  <w:style w:type="paragraph" w:styleId="CommentSubject">
    <w:name w:val="annotation subject"/>
    <w:basedOn w:val="CommentText"/>
    <w:next w:val="CommentText"/>
    <w:link w:val="CommentSubjectChar"/>
    <w:uiPriority w:val="99"/>
    <w:semiHidden/>
    <w:unhideWhenUsed/>
    <w:rsid w:val="00D67E80"/>
    <w:rPr>
      <w:b/>
      <w:bCs/>
      <w:sz w:val="20"/>
      <w:szCs w:val="20"/>
    </w:rPr>
  </w:style>
  <w:style w:type="character" w:customStyle="1" w:styleId="CommentSubjectChar">
    <w:name w:val="Comment Subject Char"/>
    <w:basedOn w:val="CommentTextChar"/>
    <w:link w:val="CommentSubject"/>
    <w:uiPriority w:val="99"/>
    <w:semiHidden/>
    <w:rsid w:val="00D67E80"/>
    <w:rPr>
      <w:rFonts w:ascii="Times New Roman" w:eastAsia="Times New Roman" w:hAnsi="Times New Roman" w:cs="Times New Roman"/>
      <w:b/>
      <w:bCs/>
      <w:sz w:val="20"/>
      <w:szCs w:val="20"/>
      <w:lang w:val="en-GB" w:eastAsia="en-CA"/>
    </w:rPr>
  </w:style>
  <w:style w:type="paragraph" w:styleId="Revision">
    <w:name w:val="Revision"/>
    <w:hidden/>
    <w:uiPriority w:val="99"/>
    <w:semiHidden/>
    <w:rsid w:val="00BE49AB"/>
    <w:pPr>
      <w:spacing w:after="0" w:line="240" w:lineRule="auto"/>
    </w:pPr>
    <w:rPr>
      <w:rFonts w:ascii="Times New Roman" w:eastAsia="Times New Roman" w:hAnsi="Times New Roman" w:cs="Times New Roman"/>
      <w:szCs w:val="24"/>
      <w:lang w:eastAsia="en-CA"/>
    </w:rPr>
  </w:style>
  <w:style w:type="character" w:styleId="Hyperlink">
    <w:name w:val="Hyperlink"/>
    <w:rsid w:val="00482395"/>
    <w:rPr>
      <w:color w:val="0000FF"/>
      <w:sz w:val="18"/>
      <w:u w:val="single"/>
    </w:rPr>
  </w:style>
  <w:style w:type="character" w:styleId="FollowedHyperlink">
    <w:name w:val="FollowedHyperlink"/>
    <w:rsid w:val="00482395"/>
    <w:rPr>
      <w:color w:val="800080"/>
      <w:u w:val="single"/>
    </w:rPr>
  </w:style>
  <w:style w:type="paragraph" w:customStyle="1" w:styleId="xl66">
    <w:name w:val="xl66"/>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67">
    <w:name w:val="xl67"/>
    <w:basedOn w:val="Normal"/>
    <w:rsid w:val="00581E53"/>
    <w:pPr>
      <w:spacing w:before="100" w:beforeAutospacing="1" w:after="100" w:afterAutospacing="1"/>
      <w:textAlignment w:val="center"/>
    </w:pPr>
    <w:rPr>
      <w:sz w:val="20"/>
      <w:szCs w:val="20"/>
    </w:rPr>
  </w:style>
  <w:style w:type="paragraph" w:customStyle="1" w:styleId="xl68">
    <w:name w:val="xl68"/>
    <w:basedOn w:val="Normal"/>
    <w:rsid w:val="00581E53"/>
    <w:pPr>
      <w:spacing w:before="100" w:beforeAutospacing="1" w:after="100" w:afterAutospacing="1"/>
      <w:jc w:val="center"/>
      <w:textAlignment w:val="center"/>
    </w:pPr>
    <w:rPr>
      <w:b/>
      <w:bCs/>
      <w:sz w:val="20"/>
      <w:szCs w:val="20"/>
    </w:rPr>
  </w:style>
  <w:style w:type="paragraph" w:customStyle="1" w:styleId="xl69">
    <w:name w:val="xl69"/>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0">
    <w:name w:val="xl70"/>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1">
    <w:name w:val="xl71"/>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2">
    <w:name w:val="xl72"/>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3">
    <w:name w:val="xl73"/>
    <w:basedOn w:val="Normal"/>
    <w:rsid w:val="00581E53"/>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4">
    <w:name w:val="xl74"/>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5">
    <w:name w:val="xl75"/>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6">
    <w:name w:val="xl76"/>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8">
    <w:name w:val="xl78"/>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9">
    <w:name w:val="xl79"/>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80">
    <w:name w:val="xl80"/>
    <w:basedOn w:val="Normal"/>
    <w:rsid w:val="00581E53"/>
    <w:pPr>
      <w:spacing w:before="100" w:beforeAutospacing="1" w:after="100" w:afterAutospacing="1"/>
      <w:textAlignment w:val="center"/>
    </w:pPr>
    <w:rPr>
      <w:b/>
      <w:bCs/>
    </w:rPr>
  </w:style>
  <w:style w:type="character" w:customStyle="1" w:styleId="UnresolvedMention1">
    <w:name w:val="Unresolved Mention1"/>
    <w:basedOn w:val="DefaultParagraphFont"/>
    <w:uiPriority w:val="99"/>
    <w:semiHidden/>
    <w:unhideWhenUsed/>
    <w:rsid w:val="00000BF5"/>
    <w:rPr>
      <w:color w:val="605E5C"/>
      <w:shd w:val="clear" w:color="auto" w:fill="E1DFDD"/>
    </w:rPr>
  </w:style>
  <w:style w:type="paragraph" w:customStyle="1" w:styleId="Style1">
    <w:name w:val="Style1"/>
    <w:basedOn w:val="Heading2"/>
    <w:qFormat/>
    <w:rsid w:val="00482395"/>
    <w:rPr>
      <w:i/>
    </w:rPr>
  </w:style>
  <w:style w:type="paragraph" w:styleId="PlainText">
    <w:name w:val="Plain Text"/>
    <w:basedOn w:val="Normal"/>
    <w:link w:val="PlainTextChar"/>
    <w:uiPriority w:val="99"/>
    <w:semiHidden/>
    <w:unhideWhenUsed/>
    <w:rsid w:val="00A162AE"/>
    <w:rPr>
      <w:rFonts w:ascii="Calibri" w:eastAsiaTheme="minorHAnsi" w:hAnsi="Calibri" w:cs="Calibri"/>
      <w:lang w:val="fr-FR"/>
    </w:rPr>
  </w:style>
  <w:style w:type="character" w:customStyle="1" w:styleId="PlainTextChar">
    <w:name w:val="Plain Text Char"/>
    <w:basedOn w:val="DefaultParagraphFont"/>
    <w:link w:val="PlainText"/>
    <w:uiPriority w:val="99"/>
    <w:semiHidden/>
    <w:rsid w:val="00A162AE"/>
    <w:rPr>
      <w:rFonts w:ascii="Calibri" w:eastAsiaTheme="minorHAnsi" w:hAnsi="Calibri" w:cs="Calibri"/>
      <w:sz w:val="24"/>
      <w:szCs w:val="24"/>
      <w:lang w:val="fr-FR"/>
    </w:rPr>
  </w:style>
  <w:style w:type="table" w:customStyle="1" w:styleId="TableGrid1">
    <w:name w:val="Table Grid1"/>
    <w:basedOn w:val="TableNormal"/>
    <w:next w:val="TableGrid"/>
    <w:uiPriority w:val="59"/>
    <w:rsid w:val="00836C3D"/>
    <w:pPr>
      <w:spacing w:after="0" w:line="240" w:lineRule="auto"/>
    </w:pPr>
    <w:rPr>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82395"/>
    <w:rPr>
      <w:rFonts w:ascii="Times New Roman" w:eastAsia="Times New Roman" w:hAnsi="Times New Roman" w:cs="Times New Roman"/>
      <w:b/>
      <w:caps/>
      <w:szCs w:val="24"/>
      <w:lang w:val="en-GB"/>
    </w:rPr>
  </w:style>
  <w:style w:type="table" w:styleId="ListTable6Colorful">
    <w:name w:val="List Table 6 Colorful"/>
    <w:basedOn w:val="TableNormal"/>
    <w:uiPriority w:val="51"/>
    <w:rsid w:val="00D454FF"/>
    <w:pPr>
      <w:spacing w:after="0" w:line="240" w:lineRule="auto"/>
    </w:pPr>
    <w:rPr>
      <w:color w:val="000000" w:themeColor="text1"/>
      <w:sz w:val="24"/>
      <w:szCs w:val="24"/>
      <w:lang w:val="fr-CA"/>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Heading9"/>
    <w:qFormat/>
    <w:rsid w:val="00482395"/>
    <w:rPr>
      <w:i w:val="0"/>
      <w:sz w:val="18"/>
    </w:rPr>
  </w:style>
  <w:style w:type="character" w:customStyle="1" w:styleId="Heading9Char">
    <w:name w:val="Heading 9 Char"/>
    <w:basedOn w:val="DefaultParagraphFont"/>
    <w:link w:val="Heading9"/>
    <w:rsid w:val="00482395"/>
    <w:rPr>
      <w:rFonts w:ascii="Times New Roman" w:eastAsia="Times New Roman" w:hAnsi="Times New Roman" w:cs="Times New Roman"/>
      <w:i/>
      <w:iCs/>
      <w:szCs w:val="24"/>
      <w:lang w:val="en-GB"/>
    </w:rPr>
  </w:style>
  <w:style w:type="paragraph" w:styleId="BodyTextIndent">
    <w:name w:val="Body Text Indent"/>
    <w:basedOn w:val="Normal"/>
    <w:link w:val="BodyTextIndentChar"/>
    <w:rsid w:val="00482395"/>
    <w:pPr>
      <w:spacing w:before="120" w:after="120"/>
      <w:ind w:left="1440" w:hanging="720"/>
      <w:jc w:val="left"/>
    </w:pPr>
  </w:style>
  <w:style w:type="character" w:customStyle="1" w:styleId="BodyTextIndentChar">
    <w:name w:val="Body Text Indent Char"/>
    <w:basedOn w:val="DefaultParagraphFont"/>
    <w:link w:val="BodyTextIndent"/>
    <w:rsid w:val="00482395"/>
    <w:rPr>
      <w:rFonts w:ascii="Times New Roman" w:eastAsia="Times New Roman" w:hAnsi="Times New Roman" w:cs="Times New Roman"/>
      <w:szCs w:val="24"/>
      <w:lang w:val="en-GB"/>
    </w:rPr>
  </w:style>
  <w:style w:type="paragraph" w:styleId="Caption">
    <w:name w:val="caption"/>
    <w:basedOn w:val="Normal"/>
    <w:next w:val="Normal"/>
    <w:uiPriority w:val="35"/>
    <w:unhideWhenUsed/>
    <w:qFormat/>
    <w:rsid w:val="00482395"/>
    <w:pPr>
      <w:keepNext/>
      <w:keepLines/>
      <w:spacing w:after="200"/>
    </w:pPr>
    <w:rPr>
      <w:b/>
      <w:iCs/>
      <w:szCs w:val="18"/>
    </w:rPr>
  </w:style>
  <w:style w:type="paragraph" w:customStyle="1" w:styleId="CBD-Doc">
    <w:name w:val="CBD-Doc"/>
    <w:basedOn w:val="Normal"/>
    <w:rsid w:val="00482395"/>
    <w:pPr>
      <w:keepLines/>
      <w:numPr>
        <w:numId w:val="36"/>
      </w:numPr>
      <w:spacing w:after="120"/>
    </w:pPr>
    <w:rPr>
      <w:rFonts w:cs="Angsana New"/>
    </w:rPr>
  </w:style>
  <w:style w:type="paragraph" w:customStyle="1" w:styleId="CBD-Doc-Type">
    <w:name w:val="CBD-Doc-Type"/>
    <w:basedOn w:val="Normal"/>
    <w:rsid w:val="00482395"/>
    <w:pPr>
      <w:keepLines/>
      <w:spacing w:before="240" w:after="120"/>
    </w:pPr>
    <w:rPr>
      <w:rFonts w:cs="Angsana New"/>
      <w:b/>
      <w:i/>
      <w:sz w:val="24"/>
    </w:rPr>
  </w:style>
  <w:style w:type="paragraph" w:customStyle="1" w:styleId="CBD-Para">
    <w:name w:val="CBD-Para"/>
    <w:basedOn w:val="Normal"/>
    <w:link w:val="CBD-ParaCharChar"/>
    <w:uiPriority w:val="99"/>
    <w:rsid w:val="00482395"/>
    <w:pPr>
      <w:keepLines/>
      <w:numPr>
        <w:numId w:val="37"/>
      </w:numPr>
      <w:spacing w:before="120" w:after="120"/>
    </w:pPr>
    <w:rPr>
      <w:szCs w:val="22"/>
      <w:lang w:val="en-US"/>
    </w:rPr>
  </w:style>
  <w:style w:type="character" w:customStyle="1" w:styleId="CBD-ParaCharChar">
    <w:name w:val="CBD-Para Char Char"/>
    <w:link w:val="CBD-Para"/>
    <w:uiPriority w:val="99"/>
    <w:locked/>
    <w:rsid w:val="00482395"/>
    <w:rPr>
      <w:rFonts w:ascii="Times New Roman" w:eastAsia="Times New Roman" w:hAnsi="Times New Roman" w:cs="Times New Roman"/>
      <w:lang w:val="en-US"/>
    </w:rPr>
  </w:style>
  <w:style w:type="paragraph" w:customStyle="1" w:styleId="Cornernotation">
    <w:name w:val="Corner notation"/>
    <w:basedOn w:val="Normal"/>
    <w:rsid w:val="00482395"/>
    <w:pPr>
      <w:ind w:left="170" w:right="3119" w:hanging="170"/>
      <w:jc w:val="left"/>
    </w:pPr>
  </w:style>
  <w:style w:type="character" w:styleId="EndnoteReference">
    <w:name w:val="endnote reference"/>
    <w:semiHidden/>
    <w:rsid w:val="00482395"/>
    <w:rPr>
      <w:vertAlign w:val="superscript"/>
    </w:rPr>
  </w:style>
  <w:style w:type="paragraph" w:styleId="EndnoteText">
    <w:name w:val="endnote text"/>
    <w:basedOn w:val="Normal"/>
    <w:link w:val="EndnoteTextChar"/>
    <w:semiHidden/>
    <w:rsid w:val="00482395"/>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482395"/>
    <w:rPr>
      <w:rFonts w:ascii="Courier New" w:eastAsia="Times New Roman" w:hAnsi="Courier New" w:cs="Times New Roman"/>
      <w:szCs w:val="24"/>
      <w:lang w:val="en-GB"/>
    </w:rPr>
  </w:style>
  <w:style w:type="paragraph" w:customStyle="1" w:styleId="HEADING">
    <w:name w:val="HEADING"/>
    <w:basedOn w:val="Normal"/>
    <w:rsid w:val="00482395"/>
    <w:pPr>
      <w:keepNext/>
      <w:spacing w:before="240" w:after="120"/>
      <w:jc w:val="center"/>
    </w:pPr>
    <w:rPr>
      <w:b/>
      <w:bCs/>
      <w:caps/>
    </w:rPr>
  </w:style>
  <w:style w:type="paragraph" w:customStyle="1" w:styleId="HEADINGNOTFORTOC">
    <w:name w:val="HEADING (NOT FOR TOC)"/>
    <w:basedOn w:val="Heading1"/>
    <w:next w:val="Heading2"/>
    <w:rsid w:val="00482395"/>
  </w:style>
  <w:style w:type="paragraph" w:customStyle="1" w:styleId="Heading1longmultiline">
    <w:name w:val="Heading 1 (long multiline)"/>
    <w:basedOn w:val="Heading1"/>
    <w:rsid w:val="00482395"/>
    <w:pPr>
      <w:ind w:left="1843" w:hanging="1134"/>
      <w:jc w:val="left"/>
    </w:pPr>
  </w:style>
  <w:style w:type="paragraph" w:customStyle="1" w:styleId="Heading1multiline">
    <w:name w:val="Heading 1 (multiline)"/>
    <w:basedOn w:val="Heading1"/>
    <w:rsid w:val="00482395"/>
    <w:pPr>
      <w:ind w:left="1843" w:right="996" w:hanging="567"/>
      <w:jc w:val="left"/>
    </w:pPr>
  </w:style>
  <w:style w:type="paragraph" w:customStyle="1" w:styleId="Heading2multiline">
    <w:name w:val="Heading 2 (multiline)"/>
    <w:basedOn w:val="Heading1"/>
    <w:next w:val="Normal"/>
    <w:rsid w:val="00482395"/>
    <w:pPr>
      <w:spacing w:before="120"/>
      <w:ind w:left="1843" w:right="998" w:hanging="567"/>
      <w:jc w:val="left"/>
    </w:pPr>
    <w:rPr>
      <w:i/>
      <w:iCs/>
      <w:caps w:val="0"/>
    </w:rPr>
  </w:style>
  <w:style w:type="paragraph" w:customStyle="1" w:styleId="Heading2longmultiline">
    <w:name w:val="Heading 2 (long multiline)"/>
    <w:basedOn w:val="Heading2multiline"/>
    <w:rsid w:val="00482395"/>
    <w:pPr>
      <w:ind w:left="2127" w:hanging="1276"/>
    </w:pPr>
  </w:style>
  <w:style w:type="character" w:customStyle="1" w:styleId="Heading3Char">
    <w:name w:val="Heading 3 Char"/>
    <w:basedOn w:val="DefaultParagraphFont"/>
    <w:link w:val="Heading3"/>
    <w:rsid w:val="00482395"/>
    <w:rPr>
      <w:rFonts w:ascii="Times New Roman" w:eastAsia="Times New Roman" w:hAnsi="Times New Roman" w:cs="Times New Roman"/>
      <w:i/>
      <w:iCs/>
      <w:szCs w:val="24"/>
      <w:lang w:val="en-GB"/>
    </w:rPr>
  </w:style>
  <w:style w:type="paragraph" w:customStyle="1" w:styleId="heading2notforTOC">
    <w:name w:val="heading 2 not for TOC"/>
    <w:basedOn w:val="Heading3"/>
    <w:rsid w:val="00482395"/>
  </w:style>
  <w:style w:type="paragraph" w:customStyle="1" w:styleId="Heading3multiline">
    <w:name w:val="Heading 3 (multiline)"/>
    <w:basedOn w:val="Heading3"/>
    <w:next w:val="Normal"/>
    <w:rsid w:val="00482395"/>
    <w:pPr>
      <w:ind w:left="1418" w:hanging="425"/>
      <w:jc w:val="left"/>
    </w:pPr>
  </w:style>
  <w:style w:type="character" w:customStyle="1" w:styleId="Heading4Char">
    <w:name w:val="Heading 4 Char"/>
    <w:basedOn w:val="DefaultParagraphFont"/>
    <w:link w:val="Heading4"/>
    <w:rsid w:val="00482395"/>
    <w:rPr>
      <w:rFonts w:ascii="Times New Roman Bold" w:eastAsia="Arial Unicode MS" w:hAnsi="Times New Roman Bold" w:cs="Arial"/>
      <w:b/>
      <w:bCs/>
      <w:i/>
      <w:szCs w:val="24"/>
      <w:lang w:val="en-GB"/>
    </w:rPr>
  </w:style>
  <w:style w:type="paragraph" w:customStyle="1" w:styleId="Heading4indent">
    <w:name w:val="Heading 4 indent"/>
    <w:basedOn w:val="Heading4"/>
    <w:rsid w:val="00482395"/>
    <w:pPr>
      <w:ind w:left="720"/>
      <w:outlineLvl w:val="9"/>
    </w:pPr>
    <w:rPr>
      <w:rFonts w:ascii="Times New Roman" w:hAnsi="Times New Roman"/>
    </w:rPr>
  </w:style>
  <w:style w:type="character" w:customStyle="1" w:styleId="Heading5Char">
    <w:name w:val="Heading 5 Char"/>
    <w:basedOn w:val="DefaultParagraphFont"/>
    <w:link w:val="Heading5"/>
    <w:rsid w:val="00482395"/>
    <w:rPr>
      <w:rFonts w:ascii="Times New Roman" w:eastAsia="Times New Roman" w:hAnsi="Times New Roman" w:cs="Times New Roman"/>
      <w:bCs/>
      <w:i/>
      <w:szCs w:val="26"/>
    </w:rPr>
  </w:style>
  <w:style w:type="character" w:customStyle="1" w:styleId="Heading6Char">
    <w:name w:val="Heading 6 Char"/>
    <w:basedOn w:val="DefaultParagraphFont"/>
    <w:link w:val="Heading6"/>
    <w:rsid w:val="00482395"/>
    <w:rPr>
      <w:rFonts w:ascii="Times New Roman" w:eastAsia="Times New Roman" w:hAnsi="Times New Roman" w:cs="Times New Roman"/>
      <w:szCs w:val="24"/>
      <w:u w:val="single"/>
      <w:lang w:val="en-GB"/>
    </w:rPr>
  </w:style>
  <w:style w:type="character" w:customStyle="1" w:styleId="Heading7Char">
    <w:name w:val="Heading 7 Char"/>
    <w:basedOn w:val="DefaultParagraphFont"/>
    <w:link w:val="Heading7"/>
    <w:rsid w:val="00482395"/>
    <w:rPr>
      <w:rFonts w:ascii="Univers" w:eastAsia="Times New Roman" w:hAnsi="Univers" w:cs="Times New Roman"/>
      <w:b/>
      <w:sz w:val="28"/>
      <w:szCs w:val="24"/>
      <w:lang w:val="en-GB"/>
    </w:rPr>
  </w:style>
  <w:style w:type="character" w:customStyle="1" w:styleId="Heading8Char">
    <w:name w:val="Heading 8 Char"/>
    <w:basedOn w:val="DefaultParagraphFont"/>
    <w:link w:val="Heading8"/>
    <w:rsid w:val="00482395"/>
    <w:rPr>
      <w:rFonts w:ascii="Univers" w:eastAsia="Times New Roman" w:hAnsi="Univers" w:cs="Times New Roman"/>
      <w:b/>
      <w:sz w:val="32"/>
      <w:szCs w:val="24"/>
      <w:lang w:val="en-GB"/>
    </w:rPr>
  </w:style>
  <w:style w:type="paragraph" w:customStyle="1" w:styleId="meetingname">
    <w:name w:val="meeting name"/>
    <w:basedOn w:val="Normal"/>
    <w:qFormat/>
    <w:rsid w:val="00482395"/>
    <w:pPr>
      <w:ind w:left="142" w:right="4218" w:hanging="142"/>
    </w:pPr>
    <w:rPr>
      <w:caps/>
      <w:szCs w:val="22"/>
    </w:rPr>
  </w:style>
  <w:style w:type="character" w:styleId="PageNumber">
    <w:name w:val="page number"/>
    <w:rsid w:val="00482395"/>
    <w:rPr>
      <w:rFonts w:ascii="Times New Roman" w:hAnsi="Times New Roman"/>
      <w:sz w:val="22"/>
    </w:rPr>
  </w:style>
  <w:style w:type="paragraph" w:customStyle="1" w:styleId="Para2">
    <w:name w:val="Para2"/>
    <w:basedOn w:val="Para1"/>
    <w:rsid w:val="00482395"/>
    <w:pPr>
      <w:numPr>
        <w:numId w:val="0"/>
      </w:numPr>
      <w:autoSpaceDE w:val="0"/>
      <w:autoSpaceDN w:val="0"/>
    </w:pPr>
  </w:style>
  <w:style w:type="paragraph" w:customStyle="1" w:styleId="Para3">
    <w:name w:val="Para3"/>
    <w:basedOn w:val="Normal"/>
    <w:rsid w:val="00482395"/>
    <w:pPr>
      <w:numPr>
        <w:ilvl w:val="3"/>
        <w:numId w:val="40"/>
      </w:numPr>
      <w:tabs>
        <w:tab w:val="left" w:pos="1980"/>
      </w:tabs>
      <w:spacing w:before="80" w:after="80"/>
    </w:pPr>
    <w:rPr>
      <w:szCs w:val="20"/>
    </w:rPr>
  </w:style>
  <w:style w:type="paragraph" w:customStyle="1" w:styleId="para4">
    <w:name w:val="para4"/>
    <w:basedOn w:val="Normal"/>
    <w:rsid w:val="00482395"/>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482395"/>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482395"/>
    <w:pPr>
      <w:spacing w:before="120" w:after="120"/>
      <w:ind w:left="720" w:right="720"/>
    </w:pPr>
    <w:rPr>
      <w:bCs/>
    </w:rPr>
  </w:style>
  <w:style w:type="paragraph" w:customStyle="1" w:styleId="recommendationheaderlong">
    <w:name w:val="recommendation header long"/>
    <w:basedOn w:val="Heading2longmultiline"/>
    <w:qFormat/>
    <w:rsid w:val="00482395"/>
  </w:style>
  <w:style w:type="character" w:customStyle="1" w:styleId="StyleFootnoteReferenceNounderline">
    <w:name w:val="Style Footnote Reference + No underline"/>
    <w:rsid w:val="00482395"/>
    <w:rPr>
      <w:sz w:val="18"/>
      <w:u w:val="none"/>
      <w:vertAlign w:val="baseline"/>
    </w:rPr>
  </w:style>
  <w:style w:type="paragraph" w:styleId="Subtitle">
    <w:name w:val="Subtitle"/>
    <w:basedOn w:val="Normal"/>
    <w:next w:val="Normal"/>
    <w:link w:val="SubtitleChar"/>
    <w:uiPriority w:val="11"/>
    <w:qFormat/>
    <w:rsid w:val="00482395"/>
    <w:pPr>
      <w:numPr>
        <w:ilvl w:val="1"/>
      </w:numPr>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uiPriority w:val="11"/>
    <w:rsid w:val="00482395"/>
    <w:rPr>
      <w:rFonts w:asciiTheme="majorHAnsi" w:eastAsiaTheme="majorEastAsia" w:hAnsiTheme="majorHAnsi" w:cstheme="majorBidi"/>
      <w:i/>
      <w:iCs/>
      <w:color w:val="4472C4" w:themeColor="accent1"/>
      <w:spacing w:val="15"/>
      <w:sz w:val="24"/>
      <w:szCs w:val="24"/>
      <w:lang w:val="en-GB"/>
    </w:rPr>
  </w:style>
  <w:style w:type="paragraph" w:customStyle="1" w:styleId="tabletitle">
    <w:name w:val="table title"/>
    <w:basedOn w:val="Heading2"/>
    <w:qFormat/>
    <w:rsid w:val="00482395"/>
    <w:pPr>
      <w:jc w:val="left"/>
      <w:outlineLvl w:val="9"/>
    </w:pPr>
    <w:rPr>
      <w:i/>
    </w:rPr>
  </w:style>
  <w:style w:type="paragraph" w:styleId="Title">
    <w:name w:val="Title"/>
    <w:basedOn w:val="Normal"/>
    <w:next w:val="Normal"/>
    <w:link w:val="TitleChar"/>
    <w:uiPriority w:val="10"/>
    <w:qFormat/>
    <w:rsid w:val="0048239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82395"/>
    <w:rPr>
      <w:rFonts w:asciiTheme="majorHAnsi" w:eastAsiaTheme="majorEastAsia" w:hAnsiTheme="majorHAnsi" w:cstheme="majorBidi"/>
      <w:color w:val="323E4F" w:themeColor="text2" w:themeShade="BF"/>
      <w:spacing w:val="5"/>
      <w:kern w:val="28"/>
      <w:sz w:val="52"/>
      <w:szCs w:val="52"/>
      <w:lang w:val="en-GB"/>
    </w:rPr>
  </w:style>
  <w:style w:type="paragraph" w:styleId="TOAHeading">
    <w:name w:val="toa heading"/>
    <w:basedOn w:val="Normal"/>
    <w:next w:val="Normal"/>
    <w:semiHidden/>
    <w:rsid w:val="00482395"/>
    <w:pPr>
      <w:spacing w:before="120"/>
    </w:pPr>
    <w:rPr>
      <w:rFonts w:cs="Arial"/>
      <w:b/>
      <w:bCs/>
      <w:sz w:val="24"/>
    </w:rPr>
  </w:style>
  <w:style w:type="paragraph" w:styleId="TOC1">
    <w:name w:val="toc 1"/>
    <w:basedOn w:val="Normal"/>
    <w:next w:val="Normal"/>
    <w:autoRedefine/>
    <w:semiHidden/>
    <w:rsid w:val="00482395"/>
    <w:pPr>
      <w:ind w:left="720" w:hanging="720"/>
    </w:pPr>
    <w:rPr>
      <w:caps/>
    </w:rPr>
  </w:style>
  <w:style w:type="paragraph" w:styleId="TOC2">
    <w:name w:val="toc 2"/>
    <w:basedOn w:val="Normal"/>
    <w:next w:val="Normal"/>
    <w:autoRedefine/>
    <w:semiHidden/>
    <w:rsid w:val="00482395"/>
    <w:pPr>
      <w:tabs>
        <w:tab w:val="right" w:leader="dot" w:pos="9356"/>
      </w:tabs>
      <w:ind w:left="1440" w:hanging="720"/>
    </w:pPr>
    <w:rPr>
      <w:noProof/>
      <w:szCs w:val="22"/>
    </w:rPr>
  </w:style>
  <w:style w:type="paragraph" w:styleId="TOC3">
    <w:name w:val="toc 3"/>
    <w:basedOn w:val="Normal"/>
    <w:next w:val="Normal"/>
    <w:autoRedefine/>
    <w:semiHidden/>
    <w:rsid w:val="00482395"/>
    <w:pPr>
      <w:ind w:left="2160" w:hanging="720"/>
    </w:pPr>
  </w:style>
  <w:style w:type="paragraph" w:styleId="TOC4">
    <w:name w:val="toc 4"/>
    <w:basedOn w:val="Normal"/>
    <w:next w:val="Normal"/>
    <w:autoRedefine/>
    <w:semiHidden/>
    <w:rsid w:val="00482395"/>
    <w:pPr>
      <w:spacing w:before="120" w:after="120"/>
      <w:ind w:left="660"/>
      <w:jc w:val="left"/>
    </w:pPr>
  </w:style>
  <w:style w:type="paragraph" w:styleId="TOC5">
    <w:name w:val="toc 5"/>
    <w:basedOn w:val="Normal"/>
    <w:next w:val="Normal"/>
    <w:autoRedefine/>
    <w:semiHidden/>
    <w:rsid w:val="00482395"/>
    <w:pPr>
      <w:spacing w:before="120" w:after="120"/>
      <w:ind w:left="880"/>
      <w:jc w:val="left"/>
    </w:pPr>
  </w:style>
  <w:style w:type="paragraph" w:styleId="TOC6">
    <w:name w:val="toc 6"/>
    <w:basedOn w:val="Normal"/>
    <w:next w:val="Normal"/>
    <w:autoRedefine/>
    <w:semiHidden/>
    <w:rsid w:val="00482395"/>
    <w:pPr>
      <w:spacing w:before="120" w:after="120"/>
      <w:ind w:left="1100"/>
      <w:jc w:val="left"/>
    </w:pPr>
  </w:style>
  <w:style w:type="paragraph" w:styleId="TOC7">
    <w:name w:val="toc 7"/>
    <w:basedOn w:val="Normal"/>
    <w:next w:val="Normal"/>
    <w:autoRedefine/>
    <w:semiHidden/>
    <w:rsid w:val="00482395"/>
    <w:pPr>
      <w:spacing w:before="120" w:after="120"/>
      <w:ind w:left="1320"/>
      <w:jc w:val="left"/>
    </w:pPr>
  </w:style>
  <w:style w:type="paragraph" w:styleId="TOC8">
    <w:name w:val="toc 8"/>
    <w:basedOn w:val="Normal"/>
    <w:next w:val="Normal"/>
    <w:autoRedefine/>
    <w:semiHidden/>
    <w:rsid w:val="00482395"/>
    <w:pPr>
      <w:spacing w:before="120" w:after="120"/>
      <w:ind w:left="1540"/>
      <w:jc w:val="left"/>
    </w:pPr>
  </w:style>
  <w:style w:type="paragraph" w:styleId="TOC9">
    <w:name w:val="toc 9"/>
    <w:basedOn w:val="Normal"/>
    <w:next w:val="Normal"/>
    <w:autoRedefine/>
    <w:semiHidden/>
    <w:rsid w:val="00482395"/>
    <w:pPr>
      <w:spacing w:before="120" w:after="120"/>
      <w:ind w:left="1760"/>
      <w:jc w:val="left"/>
    </w:pPr>
  </w:style>
  <w:style w:type="character" w:customStyle="1" w:styleId="UnresolvedMention2">
    <w:name w:val="Unresolved Mention2"/>
    <w:basedOn w:val="DefaultParagraphFont"/>
    <w:uiPriority w:val="99"/>
    <w:semiHidden/>
    <w:unhideWhenUsed/>
    <w:rsid w:val="00ED3342"/>
    <w:rPr>
      <w:color w:val="605E5C"/>
      <w:shd w:val="clear" w:color="auto" w:fill="E1DFDD"/>
    </w:rPr>
  </w:style>
  <w:style w:type="character" w:customStyle="1" w:styleId="markedcontent">
    <w:name w:val="markedcontent"/>
    <w:basedOn w:val="DefaultParagraphFont"/>
    <w:rsid w:val="00B42508"/>
  </w:style>
  <w:style w:type="paragraph" w:customStyle="1" w:styleId="paragraph">
    <w:name w:val="paragraph"/>
    <w:basedOn w:val="Normal"/>
    <w:rsid w:val="00EB7471"/>
    <w:pPr>
      <w:spacing w:before="100" w:beforeAutospacing="1" w:after="100" w:afterAutospacing="1"/>
      <w:jc w:val="left"/>
    </w:pPr>
    <w:rPr>
      <w:sz w:val="24"/>
      <w:lang w:val="en-US" w:eastAsia="zh-CN"/>
    </w:rPr>
  </w:style>
  <w:style w:type="character" w:customStyle="1" w:styleId="normaltextrun">
    <w:name w:val="normaltextrun"/>
    <w:basedOn w:val="DefaultParagraphFont"/>
    <w:rsid w:val="00EB7471"/>
  </w:style>
  <w:style w:type="character" w:customStyle="1" w:styleId="eop">
    <w:name w:val="eop"/>
    <w:basedOn w:val="DefaultParagraphFont"/>
    <w:rsid w:val="00EB7471"/>
  </w:style>
  <w:style w:type="character" w:customStyle="1" w:styleId="tabchar">
    <w:name w:val="tabchar"/>
    <w:basedOn w:val="DefaultParagraphFont"/>
    <w:rsid w:val="00EB7471"/>
  </w:style>
  <w:style w:type="character" w:customStyle="1" w:styleId="scxw217952631">
    <w:name w:val="scxw217952631"/>
    <w:basedOn w:val="DefaultParagraphFont"/>
    <w:rsid w:val="00CF0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921">
      <w:bodyDiv w:val="1"/>
      <w:marLeft w:val="0"/>
      <w:marRight w:val="0"/>
      <w:marTop w:val="0"/>
      <w:marBottom w:val="0"/>
      <w:divBdr>
        <w:top w:val="none" w:sz="0" w:space="0" w:color="auto"/>
        <w:left w:val="none" w:sz="0" w:space="0" w:color="auto"/>
        <w:bottom w:val="none" w:sz="0" w:space="0" w:color="auto"/>
        <w:right w:val="none" w:sz="0" w:space="0" w:color="auto"/>
      </w:divBdr>
    </w:div>
    <w:div w:id="32390803">
      <w:bodyDiv w:val="1"/>
      <w:marLeft w:val="0"/>
      <w:marRight w:val="0"/>
      <w:marTop w:val="0"/>
      <w:marBottom w:val="0"/>
      <w:divBdr>
        <w:top w:val="none" w:sz="0" w:space="0" w:color="auto"/>
        <w:left w:val="none" w:sz="0" w:space="0" w:color="auto"/>
        <w:bottom w:val="none" w:sz="0" w:space="0" w:color="auto"/>
        <w:right w:val="none" w:sz="0" w:space="0" w:color="auto"/>
      </w:divBdr>
    </w:div>
    <w:div w:id="36248054">
      <w:bodyDiv w:val="1"/>
      <w:marLeft w:val="0"/>
      <w:marRight w:val="0"/>
      <w:marTop w:val="0"/>
      <w:marBottom w:val="0"/>
      <w:divBdr>
        <w:top w:val="none" w:sz="0" w:space="0" w:color="auto"/>
        <w:left w:val="none" w:sz="0" w:space="0" w:color="auto"/>
        <w:bottom w:val="none" w:sz="0" w:space="0" w:color="auto"/>
        <w:right w:val="none" w:sz="0" w:space="0" w:color="auto"/>
      </w:divBdr>
    </w:div>
    <w:div w:id="40905952">
      <w:bodyDiv w:val="1"/>
      <w:marLeft w:val="0"/>
      <w:marRight w:val="0"/>
      <w:marTop w:val="0"/>
      <w:marBottom w:val="0"/>
      <w:divBdr>
        <w:top w:val="none" w:sz="0" w:space="0" w:color="auto"/>
        <w:left w:val="none" w:sz="0" w:space="0" w:color="auto"/>
        <w:bottom w:val="none" w:sz="0" w:space="0" w:color="auto"/>
        <w:right w:val="none" w:sz="0" w:space="0" w:color="auto"/>
      </w:divBdr>
    </w:div>
    <w:div w:id="68355278">
      <w:bodyDiv w:val="1"/>
      <w:marLeft w:val="0"/>
      <w:marRight w:val="0"/>
      <w:marTop w:val="0"/>
      <w:marBottom w:val="0"/>
      <w:divBdr>
        <w:top w:val="none" w:sz="0" w:space="0" w:color="auto"/>
        <w:left w:val="none" w:sz="0" w:space="0" w:color="auto"/>
        <w:bottom w:val="none" w:sz="0" w:space="0" w:color="auto"/>
        <w:right w:val="none" w:sz="0" w:space="0" w:color="auto"/>
      </w:divBdr>
    </w:div>
    <w:div w:id="78210488">
      <w:bodyDiv w:val="1"/>
      <w:marLeft w:val="0"/>
      <w:marRight w:val="0"/>
      <w:marTop w:val="0"/>
      <w:marBottom w:val="0"/>
      <w:divBdr>
        <w:top w:val="none" w:sz="0" w:space="0" w:color="auto"/>
        <w:left w:val="none" w:sz="0" w:space="0" w:color="auto"/>
        <w:bottom w:val="none" w:sz="0" w:space="0" w:color="auto"/>
        <w:right w:val="none" w:sz="0" w:space="0" w:color="auto"/>
      </w:divBdr>
    </w:div>
    <w:div w:id="84616059">
      <w:bodyDiv w:val="1"/>
      <w:marLeft w:val="0"/>
      <w:marRight w:val="0"/>
      <w:marTop w:val="0"/>
      <w:marBottom w:val="0"/>
      <w:divBdr>
        <w:top w:val="none" w:sz="0" w:space="0" w:color="auto"/>
        <w:left w:val="none" w:sz="0" w:space="0" w:color="auto"/>
        <w:bottom w:val="none" w:sz="0" w:space="0" w:color="auto"/>
        <w:right w:val="none" w:sz="0" w:space="0" w:color="auto"/>
      </w:divBdr>
    </w:div>
    <w:div w:id="91509179">
      <w:bodyDiv w:val="1"/>
      <w:marLeft w:val="0"/>
      <w:marRight w:val="0"/>
      <w:marTop w:val="0"/>
      <w:marBottom w:val="0"/>
      <w:divBdr>
        <w:top w:val="none" w:sz="0" w:space="0" w:color="auto"/>
        <w:left w:val="none" w:sz="0" w:space="0" w:color="auto"/>
        <w:bottom w:val="none" w:sz="0" w:space="0" w:color="auto"/>
        <w:right w:val="none" w:sz="0" w:space="0" w:color="auto"/>
      </w:divBdr>
    </w:div>
    <w:div w:id="98573521">
      <w:bodyDiv w:val="1"/>
      <w:marLeft w:val="0"/>
      <w:marRight w:val="0"/>
      <w:marTop w:val="0"/>
      <w:marBottom w:val="0"/>
      <w:divBdr>
        <w:top w:val="none" w:sz="0" w:space="0" w:color="auto"/>
        <w:left w:val="none" w:sz="0" w:space="0" w:color="auto"/>
        <w:bottom w:val="none" w:sz="0" w:space="0" w:color="auto"/>
        <w:right w:val="none" w:sz="0" w:space="0" w:color="auto"/>
      </w:divBdr>
    </w:div>
    <w:div w:id="104734080">
      <w:bodyDiv w:val="1"/>
      <w:marLeft w:val="0"/>
      <w:marRight w:val="0"/>
      <w:marTop w:val="0"/>
      <w:marBottom w:val="0"/>
      <w:divBdr>
        <w:top w:val="none" w:sz="0" w:space="0" w:color="auto"/>
        <w:left w:val="none" w:sz="0" w:space="0" w:color="auto"/>
        <w:bottom w:val="none" w:sz="0" w:space="0" w:color="auto"/>
        <w:right w:val="none" w:sz="0" w:space="0" w:color="auto"/>
      </w:divBdr>
    </w:div>
    <w:div w:id="107511678">
      <w:bodyDiv w:val="1"/>
      <w:marLeft w:val="0"/>
      <w:marRight w:val="0"/>
      <w:marTop w:val="0"/>
      <w:marBottom w:val="0"/>
      <w:divBdr>
        <w:top w:val="none" w:sz="0" w:space="0" w:color="auto"/>
        <w:left w:val="none" w:sz="0" w:space="0" w:color="auto"/>
        <w:bottom w:val="none" w:sz="0" w:space="0" w:color="auto"/>
        <w:right w:val="none" w:sz="0" w:space="0" w:color="auto"/>
      </w:divBdr>
    </w:div>
    <w:div w:id="140196152">
      <w:bodyDiv w:val="1"/>
      <w:marLeft w:val="0"/>
      <w:marRight w:val="0"/>
      <w:marTop w:val="0"/>
      <w:marBottom w:val="0"/>
      <w:divBdr>
        <w:top w:val="none" w:sz="0" w:space="0" w:color="auto"/>
        <w:left w:val="none" w:sz="0" w:space="0" w:color="auto"/>
        <w:bottom w:val="none" w:sz="0" w:space="0" w:color="auto"/>
        <w:right w:val="none" w:sz="0" w:space="0" w:color="auto"/>
      </w:divBdr>
    </w:div>
    <w:div w:id="226186194">
      <w:bodyDiv w:val="1"/>
      <w:marLeft w:val="0"/>
      <w:marRight w:val="0"/>
      <w:marTop w:val="0"/>
      <w:marBottom w:val="0"/>
      <w:divBdr>
        <w:top w:val="none" w:sz="0" w:space="0" w:color="auto"/>
        <w:left w:val="none" w:sz="0" w:space="0" w:color="auto"/>
        <w:bottom w:val="none" w:sz="0" w:space="0" w:color="auto"/>
        <w:right w:val="none" w:sz="0" w:space="0" w:color="auto"/>
      </w:divBdr>
    </w:div>
    <w:div w:id="237980671">
      <w:bodyDiv w:val="1"/>
      <w:marLeft w:val="0"/>
      <w:marRight w:val="0"/>
      <w:marTop w:val="0"/>
      <w:marBottom w:val="0"/>
      <w:divBdr>
        <w:top w:val="none" w:sz="0" w:space="0" w:color="auto"/>
        <w:left w:val="none" w:sz="0" w:space="0" w:color="auto"/>
        <w:bottom w:val="none" w:sz="0" w:space="0" w:color="auto"/>
        <w:right w:val="none" w:sz="0" w:space="0" w:color="auto"/>
      </w:divBdr>
    </w:div>
    <w:div w:id="248732454">
      <w:bodyDiv w:val="1"/>
      <w:marLeft w:val="0"/>
      <w:marRight w:val="0"/>
      <w:marTop w:val="0"/>
      <w:marBottom w:val="0"/>
      <w:divBdr>
        <w:top w:val="none" w:sz="0" w:space="0" w:color="auto"/>
        <w:left w:val="none" w:sz="0" w:space="0" w:color="auto"/>
        <w:bottom w:val="none" w:sz="0" w:space="0" w:color="auto"/>
        <w:right w:val="none" w:sz="0" w:space="0" w:color="auto"/>
      </w:divBdr>
    </w:div>
    <w:div w:id="259417494">
      <w:bodyDiv w:val="1"/>
      <w:marLeft w:val="0"/>
      <w:marRight w:val="0"/>
      <w:marTop w:val="0"/>
      <w:marBottom w:val="0"/>
      <w:divBdr>
        <w:top w:val="none" w:sz="0" w:space="0" w:color="auto"/>
        <w:left w:val="none" w:sz="0" w:space="0" w:color="auto"/>
        <w:bottom w:val="none" w:sz="0" w:space="0" w:color="auto"/>
        <w:right w:val="none" w:sz="0" w:space="0" w:color="auto"/>
      </w:divBdr>
    </w:div>
    <w:div w:id="284582614">
      <w:bodyDiv w:val="1"/>
      <w:marLeft w:val="0"/>
      <w:marRight w:val="0"/>
      <w:marTop w:val="0"/>
      <w:marBottom w:val="0"/>
      <w:divBdr>
        <w:top w:val="none" w:sz="0" w:space="0" w:color="auto"/>
        <w:left w:val="none" w:sz="0" w:space="0" w:color="auto"/>
        <w:bottom w:val="none" w:sz="0" w:space="0" w:color="auto"/>
        <w:right w:val="none" w:sz="0" w:space="0" w:color="auto"/>
      </w:divBdr>
    </w:div>
    <w:div w:id="289896868">
      <w:bodyDiv w:val="1"/>
      <w:marLeft w:val="0"/>
      <w:marRight w:val="0"/>
      <w:marTop w:val="0"/>
      <w:marBottom w:val="0"/>
      <w:divBdr>
        <w:top w:val="none" w:sz="0" w:space="0" w:color="auto"/>
        <w:left w:val="none" w:sz="0" w:space="0" w:color="auto"/>
        <w:bottom w:val="none" w:sz="0" w:space="0" w:color="auto"/>
        <w:right w:val="none" w:sz="0" w:space="0" w:color="auto"/>
      </w:divBdr>
    </w:div>
    <w:div w:id="293678650">
      <w:bodyDiv w:val="1"/>
      <w:marLeft w:val="0"/>
      <w:marRight w:val="0"/>
      <w:marTop w:val="0"/>
      <w:marBottom w:val="0"/>
      <w:divBdr>
        <w:top w:val="none" w:sz="0" w:space="0" w:color="auto"/>
        <w:left w:val="none" w:sz="0" w:space="0" w:color="auto"/>
        <w:bottom w:val="none" w:sz="0" w:space="0" w:color="auto"/>
        <w:right w:val="none" w:sz="0" w:space="0" w:color="auto"/>
      </w:divBdr>
    </w:div>
    <w:div w:id="296424385">
      <w:bodyDiv w:val="1"/>
      <w:marLeft w:val="0"/>
      <w:marRight w:val="0"/>
      <w:marTop w:val="0"/>
      <w:marBottom w:val="0"/>
      <w:divBdr>
        <w:top w:val="none" w:sz="0" w:space="0" w:color="auto"/>
        <w:left w:val="none" w:sz="0" w:space="0" w:color="auto"/>
        <w:bottom w:val="none" w:sz="0" w:space="0" w:color="auto"/>
        <w:right w:val="none" w:sz="0" w:space="0" w:color="auto"/>
      </w:divBdr>
    </w:div>
    <w:div w:id="371030551">
      <w:bodyDiv w:val="1"/>
      <w:marLeft w:val="0"/>
      <w:marRight w:val="0"/>
      <w:marTop w:val="0"/>
      <w:marBottom w:val="0"/>
      <w:divBdr>
        <w:top w:val="none" w:sz="0" w:space="0" w:color="auto"/>
        <w:left w:val="none" w:sz="0" w:space="0" w:color="auto"/>
        <w:bottom w:val="none" w:sz="0" w:space="0" w:color="auto"/>
        <w:right w:val="none" w:sz="0" w:space="0" w:color="auto"/>
      </w:divBdr>
    </w:div>
    <w:div w:id="385222655">
      <w:bodyDiv w:val="1"/>
      <w:marLeft w:val="0"/>
      <w:marRight w:val="0"/>
      <w:marTop w:val="0"/>
      <w:marBottom w:val="0"/>
      <w:divBdr>
        <w:top w:val="none" w:sz="0" w:space="0" w:color="auto"/>
        <w:left w:val="none" w:sz="0" w:space="0" w:color="auto"/>
        <w:bottom w:val="none" w:sz="0" w:space="0" w:color="auto"/>
        <w:right w:val="none" w:sz="0" w:space="0" w:color="auto"/>
      </w:divBdr>
    </w:div>
    <w:div w:id="387145747">
      <w:bodyDiv w:val="1"/>
      <w:marLeft w:val="0"/>
      <w:marRight w:val="0"/>
      <w:marTop w:val="0"/>
      <w:marBottom w:val="0"/>
      <w:divBdr>
        <w:top w:val="none" w:sz="0" w:space="0" w:color="auto"/>
        <w:left w:val="none" w:sz="0" w:space="0" w:color="auto"/>
        <w:bottom w:val="none" w:sz="0" w:space="0" w:color="auto"/>
        <w:right w:val="none" w:sz="0" w:space="0" w:color="auto"/>
      </w:divBdr>
    </w:div>
    <w:div w:id="387726630">
      <w:bodyDiv w:val="1"/>
      <w:marLeft w:val="0"/>
      <w:marRight w:val="0"/>
      <w:marTop w:val="0"/>
      <w:marBottom w:val="0"/>
      <w:divBdr>
        <w:top w:val="none" w:sz="0" w:space="0" w:color="auto"/>
        <w:left w:val="none" w:sz="0" w:space="0" w:color="auto"/>
        <w:bottom w:val="none" w:sz="0" w:space="0" w:color="auto"/>
        <w:right w:val="none" w:sz="0" w:space="0" w:color="auto"/>
      </w:divBdr>
    </w:div>
    <w:div w:id="393700213">
      <w:bodyDiv w:val="1"/>
      <w:marLeft w:val="0"/>
      <w:marRight w:val="0"/>
      <w:marTop w:val="0"/>
      <w:marBottom w:val="0"/>
      <w:divBdr>
        <w:top w:val="none" w:sz="0" w:space="0" w:color="auto"/>
        <w:left w:val="none" w:sz="0" w:space="0" w:color="auto"/>
        <w:bottom w:val="none" w:sz="0" w:space="0" w:color="auto"/>
        <w:right w:val="none" w:sz="0" w:space="0" w:color="auto"/>
      </w:divBdr>
    </w:div>
    <w:div w:id="449133122">
      <w:bodyDiv w:val="1"/>
      <w:marLeft w:val="0"/>
      <w:marRight w:val="0"/>
      <w:marTop w:val="0"/>
      <w:marBottom w:val="0"/>
      <w:divBdr>
        <w:top w:val="none" w:sz="0" w:space="0" w:color="auto"/>
        <w:left w:val="none" w:sz="0" w:space="0" w:color="auto"/>
        <w:bottom w:val="none" w:sz="0" w:space="0" w:color="auto"/>
        <w:right w:val="none" w:sz="0" w:space="0" w:color="auto"/>
      </w:divBdr>
    </w:div>
    <w:div w:id="452286287">
      <w:bodyDiv w:val="1"/>
      <w:marLeft w:val="0"/>
      <w:marRight w:val="0"/>
      <w:marTop w:val="0"/>
      <w:marBottom w:val="0"/>
      <w:divBdr>
        <w:top w:val="none" w:sz="0" w:space="0" w:color="auto"/>
        <w:left w:val="none" w:sz="0" w:space="0" w:color="auto"/>
        <w:bottom w:val="none" w:sz="0" w:space="0" w:color="auto"/>
        <w:right w:val="none" w:sz="0" w:space="0" w:color="auto"/>
      </w:divBdr>
    </w:div>
    <w:div w:id="452603651">
      <w:bodyDiv w:val="1"/>
      <w:marLeft w:val="0"/>
      <w:marRight w:val="0"/>
      <w:marTop w:val="0"/>
      <w:marBottom w:val="0"/>
      <w:divBdr>
        <w:top w:val="none" w:sz="0" w:space="0" w:color="auto"/>
        <w:left w:val="none" w:sz="0" w:space="0" w:color="auto"/>
        <w:bottom w:val="none" w:sz="0" w:space="0" w:color="auto"/>
        <w:right w:val="none" w:sz="0" w:space="0" w:color="auto"/>
      </w:divBdr>
    </w:div>
    <w:div w:id="468019174">
      <w:bodyDiv w:val="1"/>
      <w:marLeft w:val="0"/>
      <w:marRight w:val="0"/>
      <w:marTop w:val="0"/>
      <w:marBottom w:val="0"/>
      <w:divBdr>
        <w:top w:val="none" w:sz="0" w:space="0" w:color="auto"/>
        <w:left w:val="none" w:sz="0" w:space="0" w:color="auto"/>
        <w:bottom w:val="none" w:sz="0" w:space="0" w:color="auto"/>
        <w:right w:val="none" w:sz="0" w:space="0" w:color="auto"/>
      </w:divBdr>
    </w:div>
    <w:div w:id="486553372">
      <w:bodyDiv w:val="1"/>
      <w:marLeft w:val="0"/>
      <w:marRight w:val="0"/>
      <w:marTop w:val="0"/>
      <w:marBottom w:val="0"/>
      <w:divBdr>
        <w:top w:val="none" w:sz="0" w:space="0" w:color="auto"/>
        <w:left w:val="none" w:sz="0" w:space="0" w:color="auto"/>
        <w:bottom w:val="none" w:sz="0" w:space="0" w:color="auto"/>
        <w:right w:val="none" w:sz="0" w:space="0" w:color="auto"/>
      </w:divBdr>
    </w:div>
    <w:div w:id="544634707">
      <w:bodyDiv w:val="1"/>
      <w:marLeft w:val="0"/>
      <w:marRight w:val="0"/>
      <w:marTop w:val="0"/>
      <w:marBottom w:val="0"/>
      <w:divBdr>
        <w:top w:val="none" w:sz="0" w:space="0" w:color="auto"/>
        <w:left w:val="none" w:sz="0" w:space="0" w:color="auto"/>
        <w:bottom w:val="none" w:sz="0" w:space="0" w:color="auto"/>
        <w:right w:val="none" w:sz="0" w:space="0" w:color="auto"/>
      </w:divBdr>
    </w:div>
    <w:div w:id="554659316">
      <w:bodyDiv w:val="1"/>
      <w:marLeft w:val="0"/>
      <w:marRight w:val="0"/>
      <w:marTop w:val="0"/>
      <w:marBottom w:val="0"/>
      <w:divBdr>
        <w:top w:val="none" w:sz="0" w:space="0" w:color="auto"/>
        <w:left w:val="none" w:sz="0" w:space="0" w:color="auto"/>
        <w:bottom w:val="none" w:sz="0" w:space="0" w:color="auto"/>
        <w:right w:val="none" w:sz="0" w:space="0" w:color="auto"/>
      </w:divBdr>
    </w:div>
    <w:div w:id="554850663">
      <w:bodyDiv w:val="1"/>
      <w:marLeft w:val="0"/>
      <w:marRight w:val="0"/>
      <w:marTop w:val="0"/>
      <w:marBottom w:val="0"/>
      <w:divBdr>
        <w:top w:val="none" w:sz="0" w:space="0" w:color="auto"/>
        <w:left w:val="none" w:sz="0" w:space="0" w:color="auto"/>
        <w:bottom w:val="none" w:sz="0" w:space="0" w:color="auto"/>
        <w:right w:val="none" w:sz="0" w:space="0" w:color="auto"/>
      </w:divBdr>
    </w:div>
    <w:div w:id="559942671">
      <w:bodyDiv w:val="1"/>
      <w:marLeft w:val="0"/>
      <w:marRight w:val="0"/>
      <w:marTop w:val="0"/>
      <w:marBottom w:val="0"/>
      <w:divBdr>
        <w:top w:val="none" w:sz="0" w:space="0" w:color="auto"/>
        <w:left w:val="none" w:sz="0" w:space="0" w:color="auto"/>
        <w:bottom w:val="none" w:sz="0" w:space="0" w:color="auto"/>
        <w:right w:val="none" w:sz="0" w:space="0" w:color="auto"/>
      </w:divBdr>
    </w:div>
    <w:div w:id="567691845">
      <w:bodyDiv w:val="1"/>
      <w:marLeft w:val="0"/>
      <w:marRight w:val="0"/>
      <w:marTop w:val="0"/>
      <w:marBottom w:val="0"/>
      <w:divBdr>
        <w:top w:val="none" w:sz="0" w:space="0" w:color="auto"/>
        <w:left w:val="none" w:sz="0" w:space="0" w:color="auto"/>
        <w:bottom w:val="none" w:sz="0" w:space="0" w:color="auto"/>
        <w:right w:val="none" w:sz="0" w:space="0" w:color="auto"/>
      </w:divBdr>
    </w:div>
    <w:div w:id="591163780">
      <w:bodyDiv w:val="1"/>
      <w:marLeft w:val="0"/>
      <w:marRight w:val="0"/>
      <w:marTop w:val="0"/>
      <w:marBottom w:val="0"/>
      <w:divBdr>
        <w:top w:val="none" w:sz="0" w:space="0" w:color="auto"/>
        <w:left w:val="none" w:sz="0" w:space="0" w:color="auto"/>
        <w:bottom w:val="none" w:sz="0" w:space="0" w:color="auto"/>
        <w:right w:val="none" w:sz="0" w:space="0" w:color="auto"/>
      </w:divBdr>
    </w:div>
    <w:div w:id="615403979">
      <w:bodyDiv w:val="1"/>
      <w:marLeft w:val="0"/>
      <w:marRight w:val="0"/>
      <w:marTop w:val="0"/>
      <w:marBottom w:val="0"/>
      <w:divBdr>
        <w:top w:val="none" w:sz="0" w:space="0" w:color="auto"/>
        <w:left w:val="none" w:sz="0" w:space="0" w:color="auto"/>
        <w:bottom w:val="none" w:sz="0" w:space="0" w:color="auto"/>
        <w:right w:val="none" w:sz="0" w:space="0" w:color="auto"/>
      </w:divBdr>
    </w:div>
    <w:div w:id="622537454">
      <w:bodyDiv w:val="1"/>
      <w:marLeft w:val="0"/>
      <w:marRight w:val="0"/>
      <w:marTop w:val="0"/>
      <w:marBottom w:val="0"/>
      <w:divBdr>
        <w:top w:val="none" w:sz="0" w:space="0" w:color="auto"/>
        <w:left w:val="none" w:sz="0" w:space="0" w:color="auto"/>
        <w:bottom w:val="none" w:sz="0" w:space="0" w:color="auto"/>
        <w:right w:val="none" w:sz="0" w:space="0" w:color="auto"/>
      </w:divBdr>
    </w:div>
    <w:div w:id="623388953">
      <w:bodyDiv w:val="1"/>
      <w:marLeft w:val="0"/>
      <w:marRight w:val="0"/>
      <w:marTop w:val="0"/>
      <w:marBottom w:val="0"/>
      <w:divBdr>
        <w:top w:val="none" w:sz="0" w:space="0" w:color="auto"/>
        <w:left w:val="none" w:sz="0" w:space="0" w:color="auto"/>
        <w:bottom w:val="none" w:sz="0" w:space="0" w:color="auto"/>
        <w:right w:val="none" w:sz="0" w:space="0" w:color="auto"/>
      </w:divBdr>
    </w:div>
    <w:div w:id="646470493">
      <w:bodyDiv w:val="1"/>
      <w:marLeft w:val="0"/>
      <w:marRight w:val="0"/>
      <w:marTop w:val="0"/>
      <w:marBottom w:val="0"/>
      <w:divBdr>
        <w:top w:val="none" w:sz="0" w:space="0" w:color="auto"/>
        <w:left w:val="none" w:sz="0" w:space="0" w:color="auto"/>
        <w:bottom w:val="none" w:sz="0" w:space="0" w:color="auto"/>
        <w:right w:val="none" w:sz="0" w:space="0" w:color="auto"/>
      </w:divBdr>
    </w:div>
    <w:div w:id="666594019">
      <w:bodyDiv w:val="1"/>
      <w:marLeft w:val="0"/>
      <w:marRight w:val="0"/>
      <w:marTop w:val="0"/>
      <w:marBottom w:val="0"/>
      <w:divBdr>
        <w:top w:val="none" w:sz="0" w:space="0" w:color="auto"/>
        <w:left w:val="none" w:sz="0" w:space="0" w:color="auto"/>
        <w:bottom w:val="none" w:sz="0" w:space="0" w:color="auto"/>
        <w:right w:val="none" w:sz="0" w:space="0" w:color="auto"/>
      </w:divBdr>
    </w:div>
    <w:div w:id="667943334">
      <w:bodyDiv w:val="1"/>
      <w:marLeft w:val="0"/>
      <w:marRight w:val="0"/>
      <w:marTop w:val="0"/>
      <w:marBottom w:val="0"/>
      <w:divBdr>
        <w:top w:val="none" w:sz="0" w:space="0" w:color="auto"/>
        <w:left w:val="none" w:sz="0" w:space="0" w:color="auto"/>
        <w:bottom w:val="none" w:sz="0" w:space="0" w:color="auto"/>
        <w:right w:val="none" w:sz="0" w:space="0" w:color="auto"/>
      </w:divBdr>
    </w:div>
    <w:div w:id="683245412">
      <w:bodyDiv w:val="1"/>
      <w:marLeft w:val="0"/>
      <w:marRight w:val="0"/>
      <w:marTop w:val="0"/>
      <w:marBottom w:val="0"/>
      <w:divBdr>
        <w:top w:val="none" w:sz="0" w:space="0" w:color="auto"/>
        <w:left w:val="none" w:sz="0" w:space="0" w:color="auto"/>
        <w:bottom w:val="none" w:sz="0" w:space="0" w:color="auto"/>
        <w:right w:val="none" w:sz="0" w:space="0" w:color="auto"/>
      </w:divBdr>
    </w:div>
    <w:div w:id="690494092">
      <w:bodyDiv w:val="1"/>
      <w:marLeft w:val="0"/>
      <w:marRight w:val="0"/>
      <w:marTop w:val="0"/>
      <w:marBottom w:val="0"/>
      <w:divBdr>
        <w:top w:val="none" w:sz="0" w:space="0" w:color="auto"/>
        <w:left w:val="none" w:sz="0" w:space="0" w:color="auto"/>
        <w:bottom w:val="none" w:sz="0" w:space="0" w:color="auto"/>
        <w:right w:val="none" w:sz="0" w:space="0" w:color="auto"/>
      </w:divBdr>
    </w:div>
    <w:div w:id="707604415">
      <w:bodyDiv w:val="1"/>
      <w:marLeft w:val="0"/>
      <w:marRight w:val="0"/>
      <w:marTop w:val="0"/>
      <w:marBottom w:val="0"/>
      <w:divBdr>
        <w:top w:val="none" w:sz="0" w:space="0" w:color="auto"/>
        <w:left w:val="none" w:sz="0" w:space="0" w:color="auto"/>
        <w:bottom w:val="none" w:sz="0" w:space="0" w:color="auto"/>
        <w:right w:val="none" w:sz="0" w:space="0" w:color="auto"/>
      </w:divBdr>
    </w:div>
    <w:div w:id="724446274">
      <w:bodyDiv w:val="1"/>
      <w:marLeft w:val="0"/>
      <w:marRight w:val="0"/>
      <w:marTop w:val="0"/>
      <w:marBottom w:val="0"/>
      <w:divBdr>
        <w:top w:val="none" w:sz="0" w:space="0" w:color="auto"/>
        <w:left w:val="none" w:sz="0" w:space="0" w:color="auto"/>
        <w:bottom w:val="none" w:sz="0" w:space="0" w:color="auto"/>
        <w:right w:val="none" w:sz="0" w:space="0" w:color="auto"/>
      </w:divBdr>
    </w:div>
    <w:div w:id="727723250">
      <w:bodyDiv w:val="1"/>
      <w:marLeft w:val="0"/>
      <w:marRight w:val="0"/>
      <w:marTop w:val="0"/>
      <w:marBottom w:val="0"/>
      <w:divBdr>
        <w:top w:val="none" w:sz="0" w:space="0" w:color="auto"/>
        <w:left w:val="none" w:sz="0" w:space="0" w:color="auto"/>
        <w:bottom w:val="none" w:sz="0" w:space="0" w:color="auto"/>
        <w:right w:val="none" w:sz="0" w:space="0" w:color="auto"/>
      </w:divBdr>
    </w:div>
    <w:div w:id="742289149">
      <w:bodyDiv w:val="1"/>
      <w:marLeft w:val="0"/>
      <w:marRight w:val="0"/>
      <w:marTop w:val="0"/>
      <w:marBottom w:val="0"/>
      <w:divBdr>
        <w:top w:val="none" w:sz="0" w:space="0" w:color="auto"/>
        <w:left w:val="none" w:sz="0" w:space="0" w:color="auto"/>
        <w:bottom w:val="none" w:sz="0" w:space="0" w:color="auto"/>
        <w:right w:val="none" w:sz="0" w:space="0" w:color="auto"/>
      </w:divBdr>
    </w:div>
    <w:div w:id="756679683">
      <w:bodyDiv w:val="1"/>
      <w:marLeft w:val="0"/>
      <w:marRight w:val="0"/>
      <w:marTop w:val="0"/>
      <w:marBottom w:val="0"/>
      <w:divBdr>
        <w:top w:val="none" w:sz="0" w:space="0" w:color="auto"/>
        <w:left w:val="none" w:sz="0" w:space="0" w:color="auto"/>
        <w:bottom w:val="none" w:sz="0" w:space="0" w:color="auto"/>
        <w:right w:val="none" w:sz="0" w:space="0" w:color="auto"/>
      </w:divBdr>
    </w:div>
    <w:div w:id="759449324">
      <w:bodyDiv w:val="1"/>
      <w:marLeft w:val="0"/>
      <w:marRight w:val="0"/>
      <w:marTop w:val="0"/>
      <w:marBottom w:val="0"/>
      <w:divBdr>
        <w:top w:val="none" w:sz="0" w:space="0" w:color="auto"/>
        <w:left w:val="none" w:sz="0" w:space="0" w:color="auto"/>
        <w:bottom w:val="none" w:sz="0" w:space="0" w:color="auto"/>
        <w:right w:val="none" w:sz="0" w:space="0" w:color="auto"/>
      </w:divBdr>
    </w:div>
    <w:div w:id="774206745">
      <w:bodyDiv w:val="1"/>
      <w:marLeft w:val="0"/>
      <w:marRight w:val="0"/>
      <w:marTop w:val="0"/>
      <w:marBottom w:val="0"/>
      <w:divBdr>
        <w:top w:val="none" w:sz="0" w:space="0" w:color="auto"/>
        <w:left w:val="none" w:sz="0" w:space="0" w:color="auto"/>
        <w:bottom w:val="none" w:sz="0" w:space="0" w:color="auto"/>
        <w:right w:val="none" w:sz="0" w:space="0" w:color="auto"/>
      </w:divBdr>
    </w:div>
    <w:div w:id="788084385">
      <w:bodyDiv w:val="1"/>
      <w:marLeft w:val="0"/>
      <w:marRight w:val="0"/>
      <w:marTop w:val="0"/>
      <w:marBottom w:val="0"/>
      <w:divBdr>
        <w:top w:val="none" w:sz="0" w:space="0" w:color="auto"/>
        <w:left w:val="none" w:sz="0" w:space="0" w:color="auto"/>
        <w:bottom w:val="none" w:sz="0" w:space="0" w:color="auto"/>
        <w:right w:val="none" w:sz="0" w:space="0" w:color="auto"/>
      </w:divBdr>
    </w:div>
    <w:div w:id="791635013">
      <w:bodyDiv w:val="1"/>
      <w:marLeft w:val="0"/>
      <w:marRight w:val="0"/>
      <w:marTop w:val="0"/>
      <w:marBottom w:val="0"/>
      <w:divBdr>
        <w:top w:val="none" w:sz="0" w:space="0" w:color="auto"/>
        <w:left w:val="none" w:sz="0" w:space="0" w:color="auto"/>
        <w:bottom w:val="none" w:sz="0" w:space="0" w:color="auto"/>
        <w:right w:val="none" w:sz="0" w:space="0" w:color="auto"/>
      </w:divBdr>
    </w:div>
    <w:div w:id="797720416">
      <w:bodyDiv w:val="1"/>
      <w:marLeft w:val="0"/>
      <w:marRight w:val="0"/>
      <w:marTop w:val="0"/>
      <w:marBottom w:val="0"/>
      <w:divBdr>
        <w:top w:val="none" w:sz="0" w:space="0" w:color="auto"/>
        <w:left w:val="none" w:sz="0" w:space="0" w:color="auto"/>
        <w:bottom w:val="none" w:sz="0" w:space="0" w:color="auto"/>
        <w:right w:val="none" w:sz="0" w:space="0" w:color="auto"/>
      </w:divBdr>
    </w:div>
    <w:div w:id="800421258">
      <w:bodyDiv w:val="1"/>
      <w:marLeft w:val="0"/>
      <w:marRight w:val="0"/>
      <w:marTop w:val="0"/>
      <w:marBottom w:val="0"/>
      <w:divBdr>
        <w:top w:val="none" w:sz="0" w:space="0" w:color="auto"/>
        <w:left w:val="none" w:sz="0" w:space="0" w:color="auto"/>
        <w:bottom w:val="none" w:sz="0" w:space="0" w:color="auto"/>
        <w:right w:val="none" w:sz="0" w:space="0" w:color="auto"/>
      </w:divBdr>
    </w:div>
    <w:div w:id="812408101">
      <w:bodyDiv w:val="1"/>
      <w:marLeft w:val="0"/>
      <w:marRight w:val="0"/>
      <w:marTop w:val="0"/>
      <w:marBottom w:val="0"/>
      <w:divBdr>
        <w:top w:val="none" w:sz="0" w:space="0" w:color="auto"/>
        <w:left w:val="none" w:sz="0" w:space="0" w:color="auto"/>
        <w:bottom w:val="none" w:sz="0" w:space="0" w:color="auto"/>
        <w:right w:val="none" w:sz="0" w:space="0" w:color="auto"/>
      </w:divBdr>
    </w:div>
    <w:div w:id="817454001">
      <w:bodyDiv w:val="1"/>
      <w:marLeft w:val="0"/>
      <w:marRight w:val="0"/>
      <w:marTop w:val="0"/>
      <w:marBottom w:val="0"/>
      <w:divBdr>
        <w:top w:val="none" w:sz="0" w:space="0" w:color="auto"/>
        <w:left w:val="none" w:sz="0" w:space="0" w:color="auto"/>
        <w:bottom w:val="none" w:sz="0" w:space="0" w:color="auto"/>
        <w:right w:val="none" w:sz="0" w:space="0" w:color="auto"/>
      </w:divBdr>
    </w:div>
    <w:div w:id="817502553">
      <w:bodyDiv w:val="1"/>
      <w:marLeft w:val="0"/>
      <w:marRight w:val="0"/>
      <w:marTop w:val="0"/>
      <w:marBottom w:val="0"/>
      <w:divBdr>
        <w:top w:val="none" w:sz="0" w:space="0" w:color="auto"/>
        <w:left w:val="none" w:sz="0" w:space="0" w:color="auto"/>
        <w:bottom w:val="none" w:sz="0" w:space="0" w:color="auto"/>
        <w:right w:val="none" w:sz="0" w:space="0" w:color="auto"/>
      </w:divBdr>
    </w:div>
    <w:div w:id="877087918">
      <w:bodyDiv w:val="1"/>
      <w:marLeft w:val="0"/>
      <w:marRight w:val="0"/>
      <w:marTop w:val="0"/>
      <w:marBottom w:val="0"/>
      <w:divBdr>
        <w:top w:val="none" w:sz="0" w:space="0" w:color="auto"/>
        <w:left w:val="none" w:sz="0" w:space="0" w:color="auto"/>
        <w:bottom w:val="none" w:sz="0" w:space="0" w:color="auto"/>
        <w:right w:val="none" w:sz="0" w:space="0" w:color="auto"/>
      </w:divBdr>
      <w:divsChild>
        <w:div w:id="691420320">
          <w:marLeft w:val="0"/>
          <w:marRight w:val="0"/>
          <w:marTop w:val="0"/>
          <w:marBottom w:val="0"/>
          <w:divBdr>
            <w:top w:val="none" w:sz="0" w:space="0" w:color="auto"/>
            <w:left w:val="none" w:sz="0" w:space="0" w:color="auto"/>
            <w:bottom w:val="none" w:sz="0" w:space="0" w:color="auto"/>
            <w:right w:val="none" w:sz="0" w:space="0" w:color="auto"/>
          </w:divBdr>
        </w:div>
        <w:div w:id="1452750393">
          <w:marLeft w:val="0"/>
          <w:marRight w:val="0"/>
          <w:marTop w:val="0"/>
          <w:marBottom w:val="0"/>
          <w:divBdr>
            <w:top w:val="none" w:sz="0" w:space="0" w:color="auto"/>
            <w:left w:val="none" w:sz="0" w:space="0" w:color="auto"/>
            <w:bottom w:val="none" w:sz="0" w:space="0" w:color="auto"/>
            <w:right w:val="none" w:sz="0" w:space="0" w:color="auto"/>
          </w:divBdr>
        </w:div>
      </w:divsChild>
    </w:div>
    <w:div w:id="922909609">
      <w:bodyDiv w:val="1"/>
      <w:marLeft w:val="0"/>
      <w:marRight w:val="0"/>
      <w:marTop w:val="0"/>
      <w:marBottom w:val="0"/>
      <w:divBdr>
        <w:top w:val="none" w:sz="0" w:space="0" w:color="auto"/>
        <w:left w:val="none" w:sz="0" w:space="0" w:color="auto"/>
        <w:bottom w:val="none" w:sz="0" w:space="0" w:color="auto"/>
        <w:right w:val="none" w:sz="0" w:space="0" w:color="auto"/>
      </w:divBdr>
    </w:div>
    <w:div w:id="958219505">
      <w:bodyDiv w:val="1"/>
      <w:marLeft w:val="0"/>
      <w:marRight w:val="0"/>
      <w:marTop w:val="0"/>
      <w:marBottom w:val="0"/>
      <w:divBdr>
        <w:top w:val="none" w:sz="0" w:space="0" w:color="auto"/>
        <w:left w:val="none" w:sz="0" w:space="0" w:color="auto"/>
        <w:bottom w:val="none" w:sz="0" w:space="0" w:color="auto"/>
        <w:right w:val="none" w:sz="0" w:space="0" w:color="auto"/>
      </w:divBdr>
    </w:div>
    <w:div w:id="963656254">
      <w:bodyDiv w:val="1"/>
      <w:marLeft w:val="0"/>
      <w:marRight w:val="0"/>
      <w:marTop w:val="0"/>
      <w:marBottom w:val="0"/>
      <w:divBdr>
        <w:top w:val="none" w:sz="0" w:space="0" w:color="auto"/>
        <w:left w:val="none" w:sz="0" w:space="0" w:color="auto"/>
        <w:bottom w:val="none" w:sz="0" w:space="0" w:color="auto"/>
        <w:right w:val="none" w:sz="0" w:space="0" w:color="auto"/>
      </w:divBdr>
    </w:div>
    <w:div w:id="965620168">
      <w:bodyDiv w:val="1"/>
      <w:marLeft w:val="0"/>
      <w:marRight w:val="0"/>
      <w:marTop w:val="0"/>
      <w:marBottom w:val="0"/>
      <w:divBdr>
        <w:top w:val="none" w:sz="0" w:space="0" w:color="auto"/>
        <w:left w:val="none" w:sz="0" w:space="0" w:color="auto"/>
        <w:bottom w:val="none" w:sz="0" w:space="0" w:color="auto"/>
        <w:right w:val="none" w:sz="0" w:space="0" w:color="auto"/>
      </w:divBdr>
    </w:div>
    <w:div w:id="978262581">
      <w:bodyDiv w:val="1"/>
      <w:marLeft w:val="0"/>
      <w:marRight w:val="0"/>
      <w:marTop w:val="0"/>
      <w:marBottom w:val="0"/>
      <w:divBdr>
        <w:top w:val="none" w:sz="0" w:space="0" w:color="auto"/>
        <w:left w:val="none" w:sz="0" w:space="0" w:color="auto"/>
        <w:bottom w:val="none" w:sz="0" w:space="0" w:color="auto"/>
        <w:right w:val="none" w:sz="0" w:space="0" w:color="auto"/>
      </w:divBdr>
    </w:div>
    <w:div w:id="998314955">
      <w:bodyDiv w:val="1"/>
      <w:marLeft w:val="0"/>
      <w:marRight w:val="0"/>
      <w:marTop w:val="0"/>
      <w:marBottom w:val="0"/>
      <w:divBdr>
        <w:top w:val="none" w:sz="0" w:space="0" w:color="auto"/>
        <w:left w:val="none" w:sz="0" w:space="0" w:color="auto"/>
        <w:bottom w:val="none" w:sz="0" w:space="0" w:color="auto"/>
        <w:right w:val="none" w:sz="0" w:space="0" w:color="auto"/>
      </w:divBdr>
    </w:div>
    <w:div w:id="1008482655">
      <w:bodyDiv w:val="1"/>
      <w:marLeft w:val="0"/>
      <w:marRight w:val="0"/>
      <w:marTop w:val="0"/>
      <w:marBottom w:val="0"/>
      <w:divBdr>
        <w:top w:val="none" w:sz="0" w:space="0" w:color="auto"/>
        <w:left w:val="none" w:sz="0" w:space="0" w:color="auto"/>
        <w:bottom w:val="none" w:sz="0" w:space="0" w:color="auto"/>
        <w:right w:val="none" w:sz="0" w:space="0" w:color="auto"/>
      </w:divBdr>
      <w:divsChild>
        <w:div w:id="15692252">
          <w:marLeft w:val="0"/>
          <w:marRight w:val="0"/>
          <w:marTop w:val="0"/>
          <w:marBottom w:val="0"/>
          <w:divBdr>
            <w:top w:val="none" w:sz="0" w:space="0" w:color="auto"/>
            <w:left w:val="none" w:sz="0" w:space="0" w:color="auto"/>
            <w:bottom w:val="none" w:sz="0" w:space="0" w:color="auto"/>
            <w:right w:val="none" w:sz="0" w:space="0" w:color="auto"/>
          </w:divBdr>
          <w:divsChild>
            <w:div w:id="1639842359">
              <w:marLeft w:val="0"/>
              <w:marRight w:val="0"/>
              <w:marTop w:val="0"/>
              <w:marBottom w:val="0"/>
              <w:divBdr>
                <w:top w:val="none" w:sz="0" w:space="0" w:color="auto"/>
                <w:left w:val="none" w:sz="0" w:space="0" w:color="auto"/>
                <w:bottom w:val="none" w:sz="0" w:space="0" w:color="auto"/>
                <w:right w:val="none" w:sz="0" w:space="0" w:color="auto"/>
              </w:divBdr>
            </w:div>
          </w:divsChild>
        </w:div>
        <w:div w:id="69432270">
          <w:marLeft w:val="0"/>
          <w:marRight w:val="0"/>
          <w:marTop w:val="0"/>
          <w:marBottom w:val="0"/>
          <w:divBdr>
            <w:top w:val="none" w:sz="0" w:space="0" w:color="auto"/>
            <w:left w:val="none" w:sz="0" w:space="0" w:color="auto"/>
            <w:bottom w:val="none" w:sz="0" w:space="0" w:color="auto"/>
            <w:right w:val="none" w:sz="0" w:space="0" w:color="auto"/>
          </w:divBdr>
          <w:divsChild>
            <w:div w:id="285696494">
              <w:marLeft w:val="0"/>
              <w:marRight w:val="0"/>
              <w:marTop w:val="0"/>
              <w:marBottom w:val="0"/>
              <w:divBdr>
                <w:top w:val="none" w:sz="0" w:space="0" w:color="auto"/>
                <w:left w:val="none" w:sz="0" w:space="0" w:color="auto"/>
                <w:bottom w:val="none" w:sz="0" w:space="0" w:color="auto"/>
                <w:right w:val="none" w:sz="0" w:space="0" w:color="auto"/>
              </w:divBdr>
            </w:div>
          </w:divsChild>
        </w:div>
        <w:div w:id="75324650">
          <w:marLeft w:val="0"/>
          <w:marRight w:val="0"/>
          <w:marTop w:val="0"/>
          <w:marBottom w:val="0"/>
          <w:divBdr>
            <w:top w:val="none" w:sz="0" w:space="0" w:color="auto"/>
            <w:left w:val="none" w:sz="0" w:space="0" w:color="auto"/>
            <w:bottom w:val="none" w:sz="0" w:space="0" w:color="auto"/>
            <w:right w:val="none" w:sz="0" w:space="0" w:color="auto"/>
          </w:divBdr>
          <w:divsChild>
            <w:div w:id="2106262768">
              <w:marLeft w:val="0"/>
              <w:marRight w:val="0"/>
              <w:marTop w:val="0"/>
              <w:marBottom w:val="0"/>
              <w:divBdr>
                <w:top w:val="none" w:sz="0" w:space="0" w:color="auto"/>
                <w:left w:val="none" w:sz="0" w:space="0" w:color="auto"/>
                <w:bottom w:val="none" w:sz="0" w:space="0" w:color="auto"/>
                <w:right w:val="none" w:sz="0" w:space="0" w:color="auto"/>
              </w:divBdr>
            </w:div>
          </w:divsChild>
        </w:div>
        <w:div w:id="96144304">
          <w:marLeft w:val="0"/>
          <w:marRight w:val="0"/>
          <w:marTop w:val="0"/>
          <w:marBottom w:val="0"/>
          <w:divBdr>
            <w:top w:val="none" w:sz="0" w:space="0" w:color="auto"/>
            <w:left w:val="none" w:sz="0" w:space="0" w:color="auto"/>
            <w:bottom w:val="none" w:sz="0" w:space="0" w:color="auto"/>
            <w:right w:val="none" w:sz="0" w:space="0" w:color="auto"/>
          </w:divBdr>
          <w:divsChild>
            <w:div w:id="960385423">
              <w:marLeft w:val="0"/>
              <w:marRight w:val="0"/>
              <w:marTop w:val="0"/>
              <w:marBottom w:val="0"/>
              <w:divBdr>
                <w:top w:val="none" w:sz="0" w:space="0" w:color="auto"/>
                <w:left w:val="none" w:sz="0" w:space="0" w:color="auto"/>
                <w:bottom w:val="none" w:sz="0" w:space="0" w:color="auto"/>
                <w:right w:val="none" w:sz="0" w:space="0" w:color="auto"/>
              </w:divBdr>
            </w:div>
          </w:divsChild>
        </w:div>
        <w:div w:id="243926472">
          <w:marLeft w:val="0"/>
          <w:marRight w:val="0"/>
          <w:marTop w:val="0"/>
          <w:marBottom w:val="0"/>
          <w:divBdr>
            <w:top w:val="none" w:sz="0" w:space="0" w:color="auto"/>
            <w:left w:val="none" w:sz="0" w:space="0" w:color="auto"/>
            <w:bottom w:val="none" w:sz="0" w:space="0" w:color="auto"/>
            <w:right w:val="none" w:sz="0" w:space="0" w:color="auto"/>
          </w:divBdr>
          <w:divsChild>
            <w:div w:id="935408040">
              <w:marLeft w:val="0"/>
              <w:marRight w:val="0"/>
              <w:marTop w:val="0"/>
              <w:marBottom w:val="0"/>
              <w:divBdr>
                <w:top w:val="none" w:sz="0" w:space="0" w:color="auto"/>
                <w:left w:val="none" w:sz="0" w:space="0" w:color="auto"/>
                <w:bottom w:val="none" w:sz="0" w:space="0" w:color="auto"/>
                <w:right w:val="none" w:sz="0" w:space="0" w:color="auto"/>
              </w:divBdr>
            </w:div>
          </w:divsChild>
        </w:div>
        <w:div w:id="273096397">
          <w:marLeft w:val="0"/>
          <w:marRight w:val="0"/>
          <w:marTop w:val="0"/>
          <w:marBottom w:val="0"/>
          <w:divBdr>
            <w:top w:val="none" w:sz="0" w:space="0" w:color="auto"/>
            <w:left w:val="none" w:sz="0" w:space="0" w:color="auto"/>
            <w:bottom w:val="none" w:sz="0" w:space="0" w:color="auto"/>
            <w:right w:val="none" w:sz="0" w:space="0" w:color="auto"/>
          </w:divBdr>
          <w:divsChild>
            <w:div w:id="204218981">
              <w:marLeft w:val="0"/>
              <w:marRight w:val="0"/>
              <w:marTop w:val="0"/>
              <w:marBottom w:val="0"/>
              <w:divBdr>
                <w:top w:val="none" w:sz="0" w:space="0" w:color="auto"/>
                <w:left w:val="none" w:sz="0" w:space="0" w:color="auto"/>
                <w:bottom w:val="none" w:sz="0" w:space="0" w:color="auto"/>
                <w:right w:val="none" w:sz="0" w:space="0" w:color="auto"/>
              </w:divBdr>
            </w:div>
          </w:divsChild>
        </w:div>
        <w:div w:id="293799673">
          <w:marLeft w:val="0"/>
          <w:marRight w:val="0"/>
          <w:marTop w:val="0"/>
          <w:marBottom w:val="0"/>
          <w:divBdr>
            <w:top w:val="none" w:sz="0" w:space="0" w:color="auto"/>
            <w:left w:val="none" w:sz="0" w:space="0" w:color="auto"/>
            <w:bottom w:val="none" w:sz="0" w:space="0" w:color="auto"/>
            <w:right w:val="none" w:sz="0" w:space="0" w:color="auto"/>
          </w:divBdr>
          <w:divsChild>
            <w:div w:id="896160614">
              <w:marLeft w:val="0"/>
              <w:marRight w:val="0"/>
              <w:marTop w:val="0"/>
              <w:marBottom w:val="0"/>
              <w:divBdr>
                <w:top w:val="none" w:sz="0" w:space="0" w:color="auto"/>
                <w:left w:val="none" w:sz="0" w:space="0" w:color="auto"/>
                <w:bottom w:val="none" w:sz="0" w:space="0" w:color="auto"/>
                <w:right w:val="none" w:sz="0" w:space="0" w:color="auto"/>
              </w:divBdr>
            </w:div>
          </w:divsChild>
        </w:div>
        <w:div w:id="361323003">
          <w:marLeft w:val="0"/>
          <w:marRight w:val="0"/>
          <w:marTop w:val="0"/>
          <w:marBottom w:val="0"/>
          <w:divBdr>
            <w:top w:val="none" w:sz="0" w:space="0" w:color="auto"/>
            <w:left w:val="none" w:sz="0" w:space="0" w:color="auto"/>
            <w:bottom w:val="none" w:sz="0" w:space="0" w:color="auto"/>
            <w:right w:val="none" w:sz="0" w:space="0" w:color="auto"/>
          </w:divBdr>
          <w:divsChild>
            <w:div w:id="1313145473">
              <w:marLeft w:val="0"/>
              <w:marRight w:val="0"/>
              <w:marTop w:val="0"/>
              <w:marBottom w:val="0"/>
              <w:divBdr>
                <w:top w:val="none" w:sz="0" w:space="0" w:color="auto"/>
                <w:left w:val="none" w:sz="0" w:space="0" w:color="auto"/>
                <w:bottom w:val="none" w:sz="0" w:space="0" w:color="auto"/>
                <w:right w:val="none" w:sz="0" w:space="0" w:color="auto"/>
              </w:divBdr>
            </w:div>
          </w:divsChild>
        </w:div>
        <w:div w:id="370150525">
          <w:marLeft w:val="0"/>
          <w:marRight w:val="0"/>
          <w:marTop w:val="0"/>
          <w:marBottom w:val="0"/>
          <w:divBdr>
            <w:top w:val="none" w:sz="0" w:space="0" w:color="auto"/>
            <w:left w:val="none" w:sz="0" w:space="0" w:color="auto"/>
            <w:bottom w:val="none" w:sz="0" w:space="0" w:color="auto"/>
            <w:right w:val="none" w:sz="0" w:space="0" w:color="auto"/>
          </w:divBdr>
          <w:divsChild>
            <w:div w:id="1965039018">
              <w:marLeft w:val="0"/>
              <w:marRight w:val="0"/>
              <w:marTop w:val="0"/>
              <w:marBottom w:val="0"/>
              <w:divBdr>
                <w:top w:val="none" w:sz="0" w:space="0" w:color="auto"/>
                <w:left w:val="none" w:sz="0" w:space="0" w:color="auto"/>
                <w:bottom w:val="none" w:sz="0" w:space="0" w:color="auto"/>
                <w:right w:val="none" w:sz="0" w:space="0" w:color="auto"/>
              </w:divBdr>
            </w:div>
          </w:divsChild>
        </w:div>
        <w:div w:id="370613869">
          <w:marLeft w:val="0"/>
          <w:marRight w:val="0"/>
          <w:marTop w:val="0"/>
          <w:marBottom w:val="0"/>
          <w:divBdr>
            <w:top w:val="none" w:sz="0" w:space="0" w:color="auto"/>
            <w:left w:val="none" w:sz="0" w:space="0" w:color="auto"/>
            <w:bottom w:val="none" w:sz="0" w:space="0" w:color="auto"/>
            <w:right w:val="none" w:sz="0" w:space="0" w:color="auto"/>
          </w:divBdr>
          <w:divsChild>
            <w:div w:id="986863539">
              <w:marLeft w:val="0"/>
              <w:marRight w:val="0"/>
              <w:marTop w:val="0"/>
              <w:marBottom w:val="0"/>
              <w:divBdr>
                <w:top w:val="none" w:sz="0" w:space="0" w:color="auto"/>
                <w:left w:val="none" w:sz="0" w:space="0" w:color="auto"/>
                <w:bottom w:val="none" w:sz="0" w:space="0" w:color="auto"/>
                <w:right w:val="none" w:sz="0" w:space="0" w:color="auto"/>
              </w:divBdr>
            </w:div>
          </w:divsChild>
        </w:div>
        <w:div w:id="392773578">
          <w:marLeft w:val="0"/>
          <w:marRight w:val="0"/>
          <w:marTop w:val="0"/>
          <w:marBottom w:val="0"/>
          <w:divBdr>
            <w:top w:val="none" w:sz="0" w:space="0" w:color="auto"/>
            <w:left w:val="none" w:sz="0" w:space="0" w:color="auto"/>
            <w:bottom w:val="none" w:sz="0" w:space="0" w:color="auto"/>
            <w:right w:val="none" w:sz="0" w:space="0" w:color="auto"/>
          </w:divBdr>
          <w:divsChild>
            <w:div w:id="700471920">
              <w:marLeft w:val="0"/>
              <w:marRight w:val="0"/>
              <w:marTop w:val="0"/>
              <w:marBottom w:val="0"/>
              <w:divBdr>
                <w:top w:val="none" w:sz="0" w:space="0" w:color="auto"/>
                <w:left w:val="none" w:sz="0" w:space="0" w:color="auto"/>
                <w:bottom w:val="none" w:sz="0" w:space="0" w:color="auto"/>
                <w:right w:val="none" w:sz="0" w:space="0" w:color="auto"/>
              </w:divBdr>
            </w:div>
          </w:divsChild>
        </w:div>
        <w:div w:id="483737339">
          <w:marLeft w:val="0"/>
          <w:marRight w:val="0"/>
          <w:marTop w:val="0"/>
          <w:marBottom w:val="0"/>
          <w:divBdr>
            <w:top w:val="none" w:sz="0" w:space="0" w:color="auto"/>
            <w:left w:val="none" w:sz="0" w:space="0" w:color="auto"/>
            <w:bottom w:val="none" w:sz="0" w:space="0" w:color="auto"/>
            <w:right w:val="none" w:sz="0" w:space="0" w:color="auto"/>
          </w:divBdr>
          <w:divsChild>
            <w:div w:id="1841582683">
              <w:marLeft w:val="0"/>
              <w:marRight w:val="0"/>
              <w:marTop w:val="0"/>
              <w:marBottom w:val="0"/>
              <w:divBdr>
                <w:top w:val="none" w:sz="0" w:space="0" w:color="auto"/>
                <w:left w:val="none" w:sz="0" w:space="0" w:color="auto"/>
                <w:bottom w:val="none" w:sz="0" w:space="0" w:color="auto"/>
                <w:right w:val="none" w:sz="0" w:space="0" w:color="auto"/>
              </w:divBdr>
            </w:div>
          </w:divsChild>
        </w:div>
        <w:div w:id="496311720">
          <w:marLeft w:val="0"/>
          <w:marRight w:val="0"/>
          <w:marTop w:val="0"/>
          <w:marBottom w:val="0"/>
          <w:divBdr>
            <w:top w:val="none" w:sz="0" w:space="0" w:color="auto"/>
            <w:left w:val="none" w:sz="0" w:space="0" w:color="auto"/>
            <w:bottom w:val="none" w:sz="0" w:space="0" w:color="auto"/>
            <w:right w:val="none" w:sz="0" w:space="0" w:color="auto"/>
          </w:divBdr>
          <w:divsChild>
            <w:div w:id="365836419">
              <w:marLeft w:val="0"/>
              <w:marRight w:val="0"/>
              <w:marTop w:val="0"/>
              <w:marBottom w:val="0"/>
              <w:divBdr>
                <w:top w:val="none" w:sz="0" w:space="0" w:color="auto"/>
                <w:left w:val="none" w:sz="0" w:space="0" w:color="auto"/>
                <w:bottom w:val="none" w:sz="0" w:space="0" w:color="auto"/>
                <w:right w:val="none" w:sz="0" w:space="0" w:color="auto"/>
              </w:divBdr>
            </w:div>
          </w:divsChild>
        </w:div>
        <w:div w:id="514270447">
          <w:marLeft w:val="0"/>
          <w:marRight w:val="0"/>
          <w:marTop w:val="0"/>
          <w:marBottom w:val="0"/>
          <w:divBdr>
            <w:top w:val="none" w:sz="0" w:space="0" w:color="auto"/>
            <w:left w:val="none" w:sz="0" w:space="0" w:color="auto"/>
            <w:bottom w:val="none" w:sz="0" w:space="0" w:color="auto"/>
            <w:right w:val="none" w:sz="0" w:space="0" w:color="auto"/>
          </w:divBdr>
          <w:divsChild>
            <w:div w:id="1418357101">
              <w:marLeft w:val="0"/>
              <w:marRight w:val="0"/>
              <w:marTop w:val="0"/>
              <w:marBottom w:val="0"/>
              <w:divBdr>
                <w:top w:val="none" w:sz="0" w:space="0" w:color="auto"/>
                <w:left w:val="none" w:sz="0" w:space="0" w:color="auto"/>
                <w:bottom w:val="none" w:sz="0" w:space="0" w:color="auto"/>
                <w:right w:val="none" w:sz="0" w:space="0" w:color="auto"/>
              </w:divBdr>
            </w:div>
          </w:divsChild>
        </w:div>
        <w:div w:id="554046490">
          <w:marLeft w:val="0"/>
          <w:marRight w:val="0"/>
          <w:marTop w:val="0"/>
          <w:marBottom w:val="0"/>
          <w:divBdr>
            <w:top w:val="none" w:sz="0" w:space="0" w:color="auto"/>
            <w:left w:val="none" w:sz="0" w:space="0" w:color="auto"/>
            <w:bottom w:val="none" w:sz="0" w:space="0" w:color="auto"/>
            <w:right w:val="none" w:sz="0" w:space="0" w:color="auto"/>
          </w:divBdr>
          <w:divsChild>
            <w:div w:id="235818781">
              <w:marLeft w:val="0"/>
              <w:marRight w:val="0"/>
              <w:marTop w:val="0"/>
              <w:marBottom w:val="0"/>
              <w:divBdr>
                <w:top w:val="none" w:sz="0" w:space="0" w:color="auto"/>
                <w:left w:val="none" w:sz="0" w:space="0" w:color="auto"/>
                <w:bottom w:val="none" w:sz="0" w:space="0" w:color="auto"/>
                <w:right w:val="none" w:sz="0" w:space="0" w:color="auto"/>
              </w:divBdr>
            </w:div>
          </w:divsChild>
        </w:div>
        <w:div w:id="579758751">
          <w:marLeft w:val="0"/>
          <w:marRight w:val="0"/>
          <w:marTop w:val="0"/>
          <w:marBottom w:val="0"/>
          <w:divBdr>
            <w:top w:val="none" w:sz="0" w:space="0" w:color="auto"/>
            <w:left w:val="none" w:sz="0" w:space="0" w:color="auto"/>
            <w:bottom w:val="none" w:sz="0" w:space="0" w:color="auto"/>
            <w:right w:val="none" w:sz="0" w:space="0" w:color="auto"/>
          </w:divBdr>
          <w:divsChild>
            <w:div w:id="1665204408">
              <w:marLeft w:val="0"/>
              <w:marRight w:val="0"/>
              <w:marTop w:val="0"/>
              <w:marBottom w:val="0"/>
              <w:divBdr>
                <w:top w:val="none" w:sz="0" w:space="0" w:color="auto"/>
                <w:left w:val="none" w:sz="0" w:space="0" w:color="auto"/>
                <w:bottom w:val="none" w:sz="0" w:space="0" w:color="auto"/>
                <w:right w:val="none" w:sz="0" w:space="0" w:color="auto"/>
              </w:divBdr>
            </w:div>
          </w:divsChild>
        </w:div>
        <w:div w:id="596600684">
          <w:marLeft w:val="0"/>
          <w:marRight w:val="0"/>
          <w:marTop w:val="0"/>
          <w:marBottom w:val="0"/>
          <w:divBdr>
            <w:top w:val="none" w:sz="0" w:space="0" w:color="auto"/>
            <w:left w:val="none" w:sz="0" w:space="0" w:color="auto"/>
            <w:bottom w:val="none" w:sz="0" w:space="0" w:color="auto"/>
            <w:right w:val="none" w:sz="0" w:space="0" w:color="auto"/>
          </w:divBdr>
          <w:divsChild>
            <w:div w:id="984163788">
              <w:marLeft w:val="0"/>
              <w:marRight w:val="0"/>
              <w:marTop w:val="0"/>
              <w:marBottom w:val="0"/>
              <w:divBdr>
                <w:top w:val="none" w:sz="0" w:space="0" w:color="auto"/>
                <w:left w:val="none" w:sz="0" w:space="0" w:color="auto"/>
                <w:bottom w:val="none" w:sz="0" w:space="0" w:color="auto"/>
                <w:right w:val="none" w:sz="0" w:space="0" w:color="auto"/>
              </w:divBdr>
            </w:div>
          </w:divsChild>
        </w:div>
        <w:div w:id="600842717">
          <w:marLeft w:val="0"/>
          <w:marRight w:val="0"/>
          <w:marTop w:val="0"/>
          <w:marBottom w:val="0"/>
          <w:divBdr>
            <w:top w:val="none" w:sz="0" w:space="0" w:color="auto"/>
            <w:left w:val="none" w:sz="0" w:space="0" w:color="auto"/>
            <w:bottom w:val="none" w:sz="0" w:space="0" w:color="auto"/>
            <w:right w:val="none" w:sz="0" w:space="0" w:color="auto"/>
          </w:divBdr>
          <w:divsChild>
            <w:div w:id="1226141411">
              <w:marLeft w:val="0"/>
              <w:marRight w:val="0"/>
              <w:marTop w:val="0"/>
              <w:marBottom w:val="0"/>
              <w:divBdr>
                <w:top w:val="none" w:sz="0" w:space="0" w:color="auto"/>
                <w:left w:val="none" w:sz="0" w:space="0" w:color="auto"/>
                <w:bottom w:val="none" w:sz="0" w:space="0" w:color="auto"/>
                <w:right w:val="none" w:sz="0" w:space="0" w:color="auto"/>
              </w:divBdr>
            </w:div>
          </w:divsChild>
        </w:div>
        <w:div w:id="617957549">
          <w:marLeft w:val="0"/>
          <w:marRight w:val="0"/>
          <w:marTop w:val="0"/>
          <w:marBottom w:val="0"/>
          <w:divBdr>
            <w:top w:val="none" w:sz="0" w:space="0" w:color="auto"/>
            <w:left w:val="none" w:sz="0" w:space="0" w:color="auto"/>
            <w:bottom w:val="none" w:sz="0" w:space="0" w:color="auto"/>
            <w:right w:val="none" w:sz="0" w:space="0" w:color="auto"/>
          </w:divBdr>
          <w:divsChild>
            <w:div w:id="1004670668">
              <w:marLeft w:val="0"/>
              <w:marRight w:val="0"/>
              <w:marTop w:val="0"/>
              <w:marBottom w:val="0"/>
              <w:divBdr>
                <w:top w:val="none" w:sz="0" w:space="0" w:color="auto"/>
                <w:left w:val="none" w:sz="0" w:space="0" w:color="auto"/>
                <w:bottom w:val="none" w:sz="0" w:space="0" w:color="auto"/>
                <w:right w:val="none" w:sz="0" w:space="0" w:color="auto"/>
              </w:divBdr>
            </w:div>
          </w:divsChild>
        </w:div>
        <w:div w:id="628442103">
          <w:marLeft w:val="0"/>
          <w:marRight w:val="0"/>
          <w:marTop w:val="0"/>
          <w:marBottom w:val="0"/>
          <w:divBdr>
            <w:top w:val="none" w:sz="0" w:space="0" w:color="auto"/>
            <w:left w:val="none" w:sz="0" w:space="0" w:color="auto"/>
            <w:bottom w:val="none" w:sz="0" w:space="0" w:color="auto"/>
            <w:right w:val="none" w:sz="0" w:space="0" w:color="auto"/>
          </w:divBdr>
          <w:divsChild>
            <w:div w:id="693502026">
              <w:marLeft w:val="0"/>
              <w:marRight w:val="0"/>
              <w:marTop w:val="0"/>
              <w:marBottom w:val="0"/>
              <w:divBdr>
                <w:top w:val="none" w:sz="0" w:space="0" w:color="auto"/>
                <w:left w:val="none" w:sz="0" w:space="0" w:color="auto"/>
                <w:bottom w:val="none" w:sz="0" w:space="0" w:color="auto"/>
                <w:right w:val="none" w:sz="0" w:space="0" w:color="auto"/>
              </w:divBdr>
            </w:div>
          </w:divsChild>
        </w:div>
        <w:div w:id="649288033">
          <w:marLeft w:val="0"/>
          <w:marRight w:val="0"/>
          <w:marTop w:val="0"/>
          <w:marBottom w:val="0"/>
          <w:divBdr>
            <w:top w:val="none" w:sz="0" w:space="0" w:color="auto"/>
            <w:left w:val="none" w:sz="0" w:space="0" w:color="auto"/>
            <w:bottom w:val="none" w:sz="0" w:space="0" w:color="auto"/>
            <w:right w:val="none" w:sz="0" w:space="0" w:color="auto"/>
          </w:divBdr>
          <w:divsChild>
            <w:div w:id="679164302">
              <w:marLeft w:val="0"/>
              <w:marRight w:val="0"/>
              <w:marTop w:val="0"/>
              <w:marBottom w:val="0"/>
              <w:divBdr>
                <w:top w:val="none" w:sz="0" w:space="0" w:color="auto"/>
                <w:left w:val="none" w:sz="0" w:space="0" w:color="auto"/>
                <w:bottom w:val="none" w:sz="0" w:space="0" w:color="auto"/>
                <w:right w:val="none" w:sz="0" w:space="0" w:color="auto"/>
              </w:divBdr>
            </w:div>
          </w:divsChild>
        </w:div>
        <w:div w:id="735393581">
          <w:marLeft w:val="0"/>
          <w:marRight w:val="0"/>
          <w:marTop w:val="0"/>
          <w:marBottom w:val="0"/>
          <w:divBdr>
            <w:top w:val="none" w:sz="0" w:space="0" w:color="auto"/>
            <w:left w:val="none" w:sz="0" w:space="0" w:color="auto"/>
            <w:bottom w:val="none" w:sz="0" w:space="0" w:color="auto"/>
            <w:right w:val="none" w:sz="0" w:space="0" w:color="auto"/>
          </w:divBdr>
          <w:divsChild>
            <w:div w:id="1067922126">
              <w:marLeft w:val="0"/>
              <w:marRight w:val="0"/>
              <w:marTop w:val="0"/>
              <w:marBottom w:val="0"/>
              <w:divBdr>
                <w:top w:val="none" w:sz="0" w:space="0" w:color="auto"/>
                <w:left w:val="none" w:sz="0" w:space="0" w:color="auto"/>
                <w:bottom w:val="none" w:sz="0" w:space="0" w:color="auto"/>
                <w:right w:val="none" w:sz="0" w:space="0" w:color="auto"/>
              </w:divBdr>
            </w:div>
          </w:divsChild>
        </w:div>
        <w:div w:id="807018780">
          <w:marLeft w:val="0"/>
          <w:marRight w:val="0"/>
          <w:marTop w:val="0"/>
          <w:marBottom w:val="0"/>
          <w:divBdr>
            <w:top w:val="none" w:sz="0" w:space="0" w:color="auto"/>
            <w:left w:val="none" w:sz="0" w:space="0" w:color="auto"/>
            <w:bottom w:val="none" w:sz="0" w:space="0" w:color="auto"/>
            <w:right w:val="none" w:sz="0" w:space="0" w:color="auto"/>
          </w:divBdr>
          <w:divsChild>
            <w:div w:id="1436175320">
              <w:marLeft w:val="0"/>
              <w:marRight w:val="0"/>
              <w:marTop w:val="0"/>
              <w:marBottom w:val="0"/>
              <w:divBdr>
                <w:top w:val="none" w:sz="0" w:space="0" w:color="auto"/>
                <w:left w:val="none" w:sz="0" w:space="0" w:color="auto"/>
                <w:bottom w:val="none" w:sz="0" w:space="0" w:color="auto"/>
                <w:right w:val="none" w:sz="0" w:space="0" w:color="auto"/>
              </w:divBdr>
            </w:div>
          </w:divsChild>
        </w:div>
        <w:div w:id="823618688">
          <w:marLeft w:val="0"/>
          <w:marRight w:val="0"/>
          <w:marTop w:val="0"/>
          <w:marBottom w:val="0"/>
          <w:divBdr>
            <w:top w:val="none" w:sz="0" w:space="0" w:color="auto"/>
            <w:left w:val="none" w:sz="0" w:space="0" w:color="auto"/>
            <w:bottom w:val="none" w:sz="0" w:space="0" w:color="auto"/>
            <w:right w:val="none" w:sz="0" w:space="0" w:color="auto"/>
          </w:divBdr>
          <w:divsChild>
            <w:div w:id="429551084">
              <w:marLeft w:val="0"/>
              <w:marRight w:val="0"/>
              <w:marTop w:val="0"/>
              <w:marBottom w:val="0"/>
              <w:divBdr>
                <w:top w:val="none" w:sz="0" w:space="0" w:color="auto"/>
                <w:left w:val="none" w:sz="0" w:space="0" w:color="auto"/>
                <w:bottom w:val="none" w:sz="0" w:space="0" w:color="auto"/>
                <w:right w:val="none" w:sz="0" w:space="0" w:color="auto"/>
              </w:divBdr>
            </w:div>
          </w:divsChild>
        </w:div>
        <w:div w:id="848829996">
          <w:marLeft w:val="0"/>
          <w:marRight w:val="0"/>
          <w:marTop w:val="0"/>
          <w:marBottom w:val="0"/>
          <w:divBdr>
            <w:top w:val="none" w:sz="0" w:space="0" w:color="auto"/>
            <w:left w:val="none" w:sz="0" w:space="0" w:color="auto"/>
            <w:bottom w:val="none" w:sz="0" w:space="0" w:color="auto"/>
            <w:right w:val="none" w:sz="0" w:space="0" w:color="auto"/>
          </w:divBdr>
          <w:divsChild>
            <w:div w:id="663532">
              <w:marLeft w:val="0"/>
              <w:marRight w:val="0"/>
              <w:marTop w:val="0"/>
              <w:marBottom w:val="0"/>
              <w:divBdr>
                <w:top w:val="none" w:sz="0" w:space="0" w:color="auto"/>
                <w:left w:val="none" w:sz="0" w:space="0" w:color="auto"/>
                <w:bottom w:val="none" w:sz="0" w:space="0" w:color="auto"/>
                <w:right w:val="none" w:sz="0" w:space="0" w:color="auto"/>
              </w:divBdr>
            </w:div>
          </w:divsChild>
        </w:div>
        <w:div w:id="856386383">
          <w:marLeft w:val="0"/>
          <w:marRight w:val="0"/>
          <w:marTop w:val="0"/>
          <w:marBottom w:val="0"/>
          <w:divBdr>
            <w:top w:val="none" w:sz="0" w:space="0" w:color="auto"/>
            <w:left w:val="none" w:sz="0" w:space="0" w:color="auto"/>
            <w:bottom w:val="none" w:sz="0" w:space="0" w:color="auto"/>
            <w:right w:val="none" w:sz="0" w:space="0" w:color="auto"/>
          </w:divBdr>
          <w:divsChild>
            <w:div w:id="91359591">
              <w:marLeft w:val="0"/>
              <w:marRight w:val="0"/>
              <w:marTop w:val="0"/>
              <w:marBottom w:val="0"/>
              <w:divBdr>
                <w:top w:val="none" w:sz="0" w:space="0" w:color="auto"/>
                <w:left w:val="none" w:sz="0" w:space="0" w:color="auto"/>
                <w:bottom w:val="none" w:sz="0" w:space="0" w:color="auto"/>
                <w:right w:val="none" w:sz="0" w:space="0" w:color="auto"/>
              </w:divBdr>
            </w:div>
          </w:divsChild>
        </w:div>
        <w:div w:id="870340225">
          <w:marLeft w:val="0"/>
          <w:marRight w:val="0"/>
          <w:marTop w:val="0"/>
          <w:marBottom w:val="0"/>
          <w:divBdr>
            <w:top w:val="none" w:sz="0" w:space="0" w:color="auto"/>
            <w:left w:val="none" w:sz="0" w:space="0" w:color="auto"/>
            <w:bottom w:val="none" w:sz="0" w:space="0" w:color="auto"/>
            <w:right w:val="none" w:sz="0" w:space="0" w:color="auto"/>
          </w:divBdr>
          <w:divsChild>
            <w:div w:id="442500958">
              <w:marLeft w:val="0"/>
              <w:marRight w:val="0"/>
              <w:marTop w:val="0"/>
              <w:marBottom w:val="0"/>
              <w:divBdr>
                <w:top w:val="none" w:sz="0" w:space="0" w:color="auto"/>
                <w:left w:val="none" w:sz="0" w:space="0" w:color="auto"/>
                <w:bottom w:val="none" w:sz="0" w:space="0" w:color="auto"/>
                <w:right w:val="none" w:sz="0" w:space="0" w:color="auto"/>
              </w:divBdr>
            </w:div>
          </w:divsChild>
        </w:div>
        <w:div w:id="876549688">
          <w:marLeft w:val="0"/>
          <w:marRight w:val="0"/>
          <w:marTop w:val="0"/>
          <w:marBottom w:val="0"/>
          <w:divBdr>
            <w:top w:val="none" w:sz="0" w:space="0" w:color="auto"/>
            <w:left w:val="none" w:sz="0" w:space="0" w:color="auto"/>
            <w:bottom w:val="none" w:sz="0" w:space="0" w:color="auto"/>
            <w:right w:val="none" w:sz="0" w:space="0" w:color="auto"/>
          </w:divBdr>
          <w:divsChild>
            <w:div w:id="754935917">
              <w:marLeft w:val="0"/>
              <w:marRight w:val="0"/>
              <w:marTop w:val="0"/>
              <w:marBottom w:val="0"/>
              <w:divBdr>
                <w:top w:val="none" w:sz="0" w:space="0" w:color="auto"/>
                <w:left w:val="none" w:sz="0" w:space="0" w:color="auto"/>
                <w:bottom w:val="none" w:sz="0" w:space="0" w:color="auto"/>
                <w:right w:val="none" w:sz="0" w:space="0" w:color="auto"/>
              </w:divBdr>
            </w:div>
          </w:divsChild>
        </w:div>
        <w:div w:id="890503595">
          <w:marLeft w:val="0"/>
          <w:marRight w:val="0"/>
          <w:marTop w:val="0"/>
          <w:marBottom w:val="0"/>
          <w:divBdr>
            <w:top w:val="none" w:sz="0" w:space="0" w:color="auto"/>
            <w:left w:val="none" w:sz="0" w:space="0" w:color="auto"/>
            <w:bottom w:val="none" w:sz="0" w:space="0" w:color="auto"/>
            <w:right w:val="none" w:sz="0" w:space="0" w:color="auto"/>
          </w:divBdr>
          <w:divsChild>
            <w:div w:id="1063675222">
              <w:marLeft w:val="0"/>
              <w:marRight w:val="0"/>
              <w:marTop w:val="0"/>
              <w:marBottom w:val="0"/>
              <w:divBdr>
                <w:top w:val="none" w:sz="0" w:space="0" w:color="auto"/>
                <w:left w:val="none" w:sz="0" w:space="0" w:color="auto"/>
                <w:bottom w:val="none" w:sz="0" w:space="0" w:color="auto"/>
                <w:right w:val="none" w:sz="0" w:space="0" w:color="auto"/>
              </w:divBdr>
            </w:div>
          </w:divsChild>
        </w:div>
        <w:div w:id="933367659">
          <w:marLeft w:val="0"/>
          <w:marRight w:val="0"/>
          <w:marTop w:val="0"/>
          <w:marBottom w:val="0"/>
          <w:divBdr>
            <w:top w:val="none" w:sz="0" w:space="0" w:color="auto"/>
            <w:left w:val="none" w:sz="0" w:space="0" w:color="auto"/>
            <w:bottom w:val="none" w:sz="0" w:space="0" w:color="auto"/>
            <w:right w:val="none" w:sz="0" w:space="0" w:color="auto"/>
          </w:divBdr>
          <w:divsChild>
            <w:div w:id="1692141953">
              <w:marLeft w:val="0"/>
              <w:marRight w:val="0"/>
              <w:marTop w:val="0"/>
              <w:marBottom w:val="0"/>
              <w:divBdr>
                <w:top w:val="none" w:sz="0" w:space="0" w:color="auto"/>
                <w:left w:val="none" w:sz="0" w:space="0" w:color="auto"/>
                <w:bottom w:val="none" w:sz="0" w:space="0" w:color="auto"/>
                <w:right w:val="none" w:sz="0" w:space="0" w:color="auto"/>
              </w:divBdr>
            </w:div>
          </w:divsChild>
        </w:div>
        <w:div w:id="967011303">
          <w:marLeft w:val="0"/>
          <w:marRight w:val="0"/>
          <w:marTop w:val="0"/>
          <w:marBottom w:val="0"/>
          <w:divBdr>
            <w:top w:val="none" w:sz="0" w:space="0" w:color="auto"/>
            <w:left w:val="none" w:sz="0" w:space="0" w:color="auto"/>
            <w:bottom w:val="none" w:sz="0" w:space="0" w:color="auto"/>
            <w:right w:val="none" w:sz="0" w:space="0" w:color="auto"/>
          </w:divBdr>
          <w:divsChild>
            <w:div w:id="404450340">
              <w:marLeft w:val="0"/>
              <w:marRight w:val="0"/>
              <w:marTop w:val="0"/>
              <w:marBottom w:val="0"/>
              <w:divBdr>
                <w:top w:val="none" w:sz="0" w:space="0" w:color="auto"/>
                <w:left w:val="none" w:sz="0" w:space="0" w:color="auto"/>
                <w:bottom w:val="none" w:sz="0" w:space="0" w:color="auto"/>
                <w:right w:val="none" w:sz="0" w:space="0" w:color="auto"/>
              </w:divBdr>
            </w:div>
          </w:divsChild>
        </w:div>
        <w:div w:id="981155975">
          <w:marLeft w:val="0"/>
          <w:marRight w:val="0"/>
          <w:marTop w:val="0"/>
          <w:marBottom w:val="0"/>
          <w:divBdr>
            <w:top w:val="none" w:sz="0" w:space="0" w:color="auto"/>
            <w:left w:val="none" w:sz="0" w:space="0" w:color="auto"/>
            <w:bottom w:val="none" w:sz="0" w:space="0" w:color="auto"/>
            <w:right w:val="none" w:sz="0" w:space="0" w:color="auto"/>
          </w:divBdr>
          <w:divsChild>
            <w:div w:id="1037582442">
              <w:marLeft w:val="0"/>
              <w:marRight w:val="0"/>
              <w:marTop w:val="0"/>
              <w:marBottom w:val="0"/>
              <w:divBdr>
                <w:top w:val="none" w:sz="0" w:space="0" w:color="auto"/>
                <w:left w:val="none" w:sz="0" w:space="0" w:color="auto"/>
                <w:bottom w:val="none" w:sz="0" w:space="0" w:color="auto"/>
                <w:right w:val="none" w:sz="0" w:space="0" w:color="auto"/>
              </w:divBdr>
            </w:div>
          </w:divsChild>
        </w:div>
        <w:div w:id="1005521790">
          <w:marLeft w:val="0"/>
          <w:marRight w:val="0"/>
          <w:marTop w:val="0"/>
          <w:marBottom w:val="0"/>
          <w:divBdr>
            <w:top w:val="none" w:sz="0" w:space="0" w:color="auto"/>
            <w:left w:val="none" w:sz="0" w:space="0" w:color="auto"/>
            <w:bottom w:val="none" w:sz="0" w:space="0" w:color="auto"/>
            <w:right w:val="none" w:sz="0" w:space="0" w:color="auto"/>
          </w:divBdr>
          <w:divsChild>
            <w:div w:id="2004431503">
              <w:marLeft w:val="0"/>
              <w:marRight w:val="0"/>
              <w:marTop w:val="0"/>
              <w:marBottom w:val="0"/>
              <w:divBdr>
                <w:top w:val="none" w:sz="0" w:space="0" w:color="auto"/>
                <w:left w:val="none" w:sz="0" w:space="0" w:color="auto"/>
                <w:bottom w:val="none" w:sz="0" w:space="0" w:color="auto"/>
                <w:right w:val="none" w:sz="0" w:space="0" w:color="auto"/>
              </w:divBdr>
            </w:div>
          </w:divsChild>
        </w:div>
        <w:div w:id="1084645290">
          <w:marLeft w:val="0"/>
          <w:marRight w:val="0"/>
          <w:marTop w:val="0"/>
          <w:marBottom w:val="0"/>
          <w:divBdr>
            <w:top w:val="none" w:sz="0" w:space="0" w:color="auto"/>
            <w:left w:val="none" w:sz="0" w:space="0" w:color="auto"/>
            <w:bottom w:val="none" w:sz="0" w:space="0" w:color="auto"/>
            <w:right w:val="none" w:sz="0" w:space="0" w:color="auto"/>
          </w:divBdr>
          <w:divsChild>
            <w:div w:id="1606110922">
              <w:marLeft w:val="0"/>
              <w:marRight w:val="0"/>
              <w:marTop w:val="0"/>
              <w:marBottom w:val="0"/>
              <w:divBdr>
                <w:top w:val="none" w:sz="0" w:space="0" w:color="auto"/>
                <w:left w:val="none" w:sz="0" w:space="0" w:color="auto"/>
                <w:bottom w:val="none" w:sz="0" w:space="0" w:color="auto"/>
                <w:right w:val="none" w:sz="0" w:space="0" w:color="auto"/>
              </w:divBdr>
            </w:div>
          </w:divsChild>
        </w:div>
        <w:div w:id="1105273552">
          <w:marLeft w:val="0"/>
          <w:marRight w:val="0"/>
          <w:marTop w:val="0"/>
          <w:marBottom w:val="0"/>
          <w:divBdr>
            <w:top w:val="none" w:sz="0" w:space="0" w:color="auto"/>
            <w:left w:val="none" w:sz="0" w:space="0" w:color="auto"/>
            <w:bottom w:val="none" w:sz="0" w:space="0" w:color="auto"/>
            <w:right w:val="none" w:sz="0" w:space="0" w:color="auto"/>
          </w:divBdr>
          <w:divsChild>
            <w:div w:id="1181437192">
              <w:marLeft w:val="0"/>
              <w:marRight w:val="0"/>
              <w:marTop w:val="0"/>
              <w:marBottom w:val="0"/>
              <w:divBdr>
                <w:top w:val="none" w:sz="0" w:space="0" w:color="auto"/>
                <w:left w:val="none" w:sz="0" w:space="0" w:color="auto"/>
                <w:bottom w:val="none" w:sz="0" w:space="0" w:color="auto"/>
                <w:right w:val="none" w:sz="0" w:space="0" w:color="auto"/>
              </w:divBdr>
            </w:div>
          </w:divsChild>
        </w:div>
        <w:div w:id="1116873518">
          <w:marLeft w:val="0"/>
          <w:marRight w:val="0"/>
          <w:marTop w:val="0"/>
          <w:marBottom w:val="0"/>
          <w:divBdr>
            <w:top w:val="none" w:sz="0" w:space="0" w:color="auto"/>
            <w:left w:val="none" w:sz="0" w:space="0" w:color="auto"/>
            <w:bottom w:val="none" w:sz="0" w:space="0" w:color="auto"/>
            <w:right w:val="none" w:sz="0" w:space="0" w:color="auto"/>
          </w:divBdr>
          <w:divsChild>
            <w:div w:id="254172478">
              <w:marLeft w:val="0"/>
              <w:marRight w:val="0"/>
              <w:marTop w:val="0"/>
              <w:marBottom w:val="0"/>
              <w:divBdr>
                <w:top w:val="none" w:sz="0" w:space="0" w:color="auto"/>
                <w:left w:val="none" w:sz="0" w:space="0" w:color="auto"/>
                <w:bottom w:val="none" w:sz="0" w:space="0" w:color="auto"/>
                <w:right w:val="none" w:sz="0" w:space="0" w:color="auto"/>
              </w:divBdr>
            </w:div>
          </w:divsChild>
        </w:div>
        <w:div w:id="1128626799">
          <w:marLeft w:val="0"/>
          <w:marRight w:val="0"/>
          <w:marTop w:val="0"/>
          <w:marBottom w:val="0"/>
          <w:divBdr>
            <w:top w:val="none" w:sz="0" w:space="0" w:color="auto"/>
            <w:left w:val="none" w:sz="0" w:space="0" w:color="auto"/>
            <w:bottom w:val="none" w:sz="0" w:space="0" w:color="auto"/>
            <w:right w:val="none" w:sz="0" w:space="0" w:color="auto"/>
          </w:divBdr>
          <w:divsChild>
            <w:div w:id="1129782936">
              <w:marLeft w:val="0"/>
              <w:marRight w:val="0"/>
              <w:marTop w:val="0"/>
              <w:marBottom w:val="0"/>
              <w:divBdr>
                <w:top w:val="none" w:sz="0" w:space="0" w:color="auto"/>
                <w:left w:val="none" w:sz="0" w:space="0" w:color="auto"/>
                <w:bottom w:val="none" w:sz="0" w:space="0" w:color="auto"/>
                <w:right w:val="none" w:sz="0" w:space="0" w:color="auto"/>
              </w:divBdr>
            </w:div>
          </w:divsChild>
        </w:div>
        <w:div w:id="1246264999">
          <w:marLeft w:val="0"/>
          <w:marRight w:val="0"/>
          <w:marTop w:val="0"/>
          <w:marBottom w:val="0"/>
          <w:divBdr>
            <w:top w:val="none" w:sz="0" w:space="0" w:color="auto"/>
            <w:left w:val="none" w:sz="0" w:space="0" w:color="auto"/>
            <w:bottom w:val="none" w:sz="0" w:space="0" w:color="auto"/>
            <w:right w:val="none" w:sz="0" w:space="0" w:color="auto"/>
          </w:divBdr>
          <w:divsChild>
            <w:div w:id="1586453856">
              <w:marLeft w:val="0"/>
              <w:marRight w:val="0"/>
              <w:marTop w:val="0"/>
              <w:marBottom w:val="0"/>
              <w:divBdr>
                <w:top w:val="none" w:sz="0" w:space="0" w:color="auto"/>
                <w:left w:val="none" w:sz="0" w:space="0" w:color="auto"/>
                <w:bottom w:val="none" w:sz="0" w:space="0" w:color="auto"/>
                <w:right w:val="none" w:sz="0" w:space="0" w:color="auto"/>
              </w:divBdr>
            </w:div>
          </w:divsChild>
        </w:div>
        <w:div w:id="1268348181">
          <w:marLeft w:val="0"/>
          <w:marRight w:val="0"/>
          <w:marTop w:val="0"/>
          <w:marBottom w:val="0"/>
          <w:divBdr>
            <w:top w:val="none" w:sz="0" w:space="0" w:color="auto"/>
            <w:left w:val="none" w:sz="0" w:space="0" w:color="auto"/>
            <w:bottom w:val="none" w:sz="0" w:space="0" w:color="auto"/>
            <w:right w:val="none" w:sz="0" w:space="0" w:color="auto"/>
          </w:divBdr>
          <w:divsChild>
            <w:div w:id="576987110">
              <w:marLeft w:val="0"/>
              <w:marRight w:val="0"/>
              <w:marTop w:val="0"/>
              <w:marBottom w:val="0"/>
              <w:divBdr>
                <w:top w:val="none" w:sz="0" w:space="0" w:color="auto"/>
                <w:left w:val="none" w:sz="0" w:space="0" w:color="auto"/>
                <w:bottom w:val="none" w:sz="0" w:space="0" w:color="auto"/>
                <w:right w:val="none" w:sz="0" w:space="0" w:color="auto"/>
              </w:divBdr>
            </w:div>
          </w:divsChild>
        </w:div>
        <w:div w:id="1271203447">
          <w:marLeft w:val="0"/>
          <w:marRight w:val="0"/>
          <w:marTop w:val="0"/>
          <w:marBottom w:val="0"/>
          <w:divBdr>
            <w:top w:val="none" w:sz="0" w:space="0" w:color="auto"/>
            <w:left w:val="none" w:sz="0" w:space="0" w:color="auto"/>
            <w:bottom w:val="none" w:sz="0" w:space="0" w:color="auto"/>
            <w:right w:val="none" w:sz="0" w:space="0" w:color="auto"/>
          </w:divBdr>
          <w:divsChild>
            <w:div w:id="1803384836">
              <w:marLeft w:val="0"/>
              <w:marRight w:val="0"/>
              <w:marTop w:val="0"/>
              <w:marBottom w:val="0"/>
              <w:divBdr>
                <w:top w:val="none" w:sz="0" w:space="0" w:color="auto"/>
                <w:left w:val="none" w:sz="0" w:space="0" w:color="auto"/>
                <w:bottom w:val="none" w:sz="0" w:space="0" w:color="auto"/>
                <w:right w:val="none" w:sz="0" w:space="0" w:color="auto"/>
              </w:divBdr>
            </w:div>
          </w:divsChild>
        </w:div>
        <w:div w:id="1285036863">
          <w:marLeft w:val="0"/>
          <w:marRight w:val="0"/>
          <w:marTop w:val="0"/>
          <w:marBottom w:val="0"/>
          <w:divBdr>
            <w:top w:val="none" w:sz="0" w:space="0" w:color="auto"/>
            <w:left w:val="none" w:sz="0" w:space="0" w:color="auto"/>
            <w:bottom w:val="none" w:sz="0" w:space="0" w:color="auto"/>
            <w:right w:val="none" w:sz="0" w:space="0" w:color="auto"/>
          </w:divBdr>
          <w:divsChild>
            <w:div w:id="386684199">
              <w:marLeft w:val="0"/>
              <w:marRight w:val="0"/>
              <w:marTop w:val="0"/>
              <w:marBottom w:val="0"/>
              <w:divBdr>
                <w:top w:val="none" w:sz="0" w:space="0" w:color="auto"/>
                <w:left w:val="none" w:sz="0" w:space="0" w:color="auto"/>
                <w:bottom w:val="none" w:sz="0" w:space="0" w:color="auto"/>
                <w:right w:val="none" w:sz="0" w:space="0" w:color="auto"/>
              </w:divBdr>
            </w:div>
          </w:divsChild>
        </w:div>
        <w:div w:id="1304896113">
          <w:marLeft w:val="0"/>
          <w:marRight w:val="0"/>
          <w:marTop w:val="0"/>
          <w:marBottom w:val="0"/>
          <w:divBdr>
            <w:top w:val="none" w:sz="0" w:space="0" w:color="auto"/>
            <w:left w:val="none" w:sz="0" w:space="0" w:color="auto"/>
            <w:bottom w:val="none" w:sz="0" w:space="0" w:color="auto"/>
            <w:right w:val="none" w:sz="0" w:space="0" w:color="auto"/>
          </w:divBdr>
          <w:divsChild>
            <w:div w:id="1234925565">
              <w:marLeft w:val="0"/>
              <w:marRight w:val="0"/>
              <w:marTop w:val="0"/>
              <w:marBottom w:val="0"/>
              <w:divBdr>
                <w:top w:val="none" w:sz="0" w:space="0" w:color="auto"/>
                <w:left w:val="none" w:sz="0" w:space="0" w:color="auto"/>
                <w:bottom w:val="none" w:sz="0" w:space="0" w:color="auto"/>
                <w:right w:val="none" w:sz="0" w:space="0" w:color="auto"/>
              </w:divBdr>
            </w:div>
          </w:divsChild>
        </w:div>
        <w:div w:id="1312520221">
          <w:marLeft w:val="0"/>
          <w:marRight w:val="0"/>
          <w:marTop w:val="0"/>
          <w:marBottom w:val="0"/>
          <w:divBdr>
            <w:top w:val="none" w:sz="0" w:space="0" w:color="auto"/>
            <w:left w:val="none" w:sz="0" w:space="0" w:color="auto"/>
            <w:bottom w:val="none" w:sz="0" w:space="0" w:color="auto"/>
            <w:right w:val="none" w:sz="0" w:space="0" w:color="auto"/>
          </w:divBdr>
          <w:divsChild>
            <w:div w:id="1813017133">
              <w:marLeft w:val="0"/>
              <w:marRight w:val="0"/>
              <w:marTop w:val="0"/>
              <w:marBottom w:val="0"/>
              <w:divBdr>
                <w:top w:val="none" w:sz="0" w:space="0" w:color="auto"/>
                <w:left w:val="none" w:sz="0" w:space="0" w:color="auto"/>
                <w:bottom w:val="none" w:sz="0" w:space="0" w:color="auto"/>
                <w:right w:val="none" w:sz="0" w:space="0" w:color="auto"/>
              </w:divBdr>
            </w:div>
          </w:divsChild>
        </w:div>
        <w:div w:id="1346443349">
          <w:marLeft w:val="0"/>
          <w:marRight w:val="0"/>
          <w:marTop w:val="0"/>
          <w:marBottom w:val="0"/>
          <w:divBdr>
            <w:top w:val="none" w:sz="0" w:space="0" w:color="auto"/>
            <w:left w:val="none" w:sz="0" w:space="0" w:color="auto"/>
            <w:bottom w:val="none" w:sz="0" w:space="0" w:color="auto"/>
            <w:right w:val="none" w:sz="0" w:space="0" w:color="auto"/>
          </w:divBdr>
          <w:divsChild>
            <w:div w:id="888876291">
              <w:marLeft w:val="0"/>
              <w:marRight w:val="0"/>
              <w:marTop w:val="0"/>
              <w:marBottom w:val="0"/>
              <w:divBdr>
                <w:top w:val="none" w:sz="0" w:space="0" w:color="auto"/>
                <w:left w:val="none" w:sz="0" w:space="0" w:color="auto"/>
                <w:bottom w:val="none" w:sz="0" w:space="0" w:color="auto"/>
                <w:right w:val="none" w:sz="0" w:space="0" w:color="auto"/>
              </w:divBdr>
            </w:div>
          </w:divsChild>
        </w:div>
        <w:div w:id="1373263776">
          <w:marLeft w:val="0"/>
          <w:marRight w:val="0"/>
          <w:marTop w:val="0"/>
          <w:marBottom w:val="0"/>
          <w:divBdr>
            <w:top w:val="none" w:sz="0" w:space="0" w:color="auto"/>
            <w:left w:val="none" w:sz="0" w:space="0" w:color="auto"/>
            <w:bottom w:val="none" w:sz="0" w:space="0" w:color="auto"/>
            <w:right w:val="none" w:sz="0" w:space="0" w:color="auto"/>
          </w:divBdr>
          <w:divsChild>
            <w:div w:id="226428120">
              <w:marLeft w:val="0"/>
              <w:marRight w:val="0"/>
              <w:marTop w:val="0"/>
              <w:marBottom w:val="0"/>
              <w:divBdr>
                <w:top w:val="none" w:sz="0" w:space="0" w:color="auto"/>
                <w:left w:val="none" w:sz="0" w:space="0" w:color="auto"/>
                <w:bottom w:val="none" w:sz="0" w:space="0" w:color="auto"/>
                <w:right w:val="none" w:sz="0" w:space="0" w:color="auto"/>
              </w:divBdr>
            </w:div>
          </w:divsChild>
        </w:div>
        <w:div w:id="1381322087">
          <w:marLeft w:val="0"/>
          <w:marRight w:val="0"/>
          <w:marTop w:val="0"/>
          <w:marBottom w:val="0"/>
          <w:divBdr>
            <w:top w:val="none" w:sz="0" w:space="0" w:color="auto"/>
            <w:left w:val="none" w:sz="0" w:space="0" w:color="auto"/>
            <w:bottom w:val="none" w:sz="0" w:space="0" w:color="auto"/>
            <w:right w:val="none" w:sz="0" w:space="0" w:color="auto"/>
          </w:divBdr>
          <w:divsChild>
            <w:div w:id="1228030042">
              <w:marLeft w:val="0"/>
              <w:marRight w:val="0"/>
              <w:marTop w:val="0"/>
              <w:marBottom w:val="0"/>
              <w:divBdr>
                <w:top w:val="none" w:sz="0" w:space="0" w:color="auto"/>
                <w:left w:val="none" w:sz="0" w:space="0" w:color="auto"/>
                <w:bottom w:val="none" w:sz="0" w:space="0" w:color="auto"/>
                <w:right w:val="none" w:sz="0" w:space="0" w:color="auto"/>
              </w:divBdr>
            </w:div>
          </w:divsChild>
        </w:div>
        <w:div w:id="1384450567">
          <w:marLeft w:val="0"/>
          <w:marRight w:val="0"/>
          <w:marTop w:val="0"/>
          <w:marBottom w:val="0"/>
          <w:divBdr>
            <w:top w:val="none" w:sz="0" w:space="0" w:color="auto"/>
            <w:left w:val="none" w:sz="0" w:space="0" w:color="auto"/>
            <w:bottom w:val="none" w:sz="0" w:space="0" w:color="auto"/>
            <w:right w:val="none" w:sz="0" w:space="0" w:color="auto"/>
          </w:divBdr>
          <w:divsChild>
            <w:div w:id="631904777">
              <w:marLeft w:val="0"/>
              <w:marRight w:val="0"/>
              <w:marTop w:val="0"/>
              <w:marBottom w:val="0"/>
              <w:divBdr>
                <w:top w:val="none" w:sz="0" w:space="0" w:color="auto"/>
                <w:left w:val="none" w:sz="0" w:space="0" w:color="auto"/>
                <w:bottom w:val="none" w:sz="0" w:space="0" w:color="auto"/>
                <w:right w:val="none" w:sz="0" w:space="0" w:color="auto"/>
              </w:divBdr>
            </w:div>
          </w:divsChild>
        </w:div>
        <w:div w:id="1430542526">
          <w:marLeft w:val="0"/>
          <w:marRight w:val="0"/>
          <w:marTop w:val="0"/>
          <w:marBottom w:val="0"/>
          <w:divBdr>
            <w:top w:val="none" w:sz="0" w:space="0" w:color="auto"/>
            <w:left w:val="none" w:sz="0" w:space="0" w:color="auto"/>
            <w:bottom w:val="none" w:sz="0" w:space="0" w:color="auto"/>
            <w:right w:val="none" w:sz="0" w:space="0" w:color="auto"/>
          </w:divBdr>
          <w:divsChild>
            <w:div w:id="2060593190">
              <w:marLeft w:val="0"/>
              <w:marRight w:val="0"/>
              <w:marTop w:val="0"/>
              <w:marBottom w:val="0"/>
              <w:divBdr>
                <w:top w:val="none" w:sz="0" w:space="0" w:color="auto"/>
                <w:left w:val="none" w:sz="0" w:space="0" w:color="auto"/>
                <w:bottom w:val="none" w:sz="0" w:space="0" w:color="auto"/>
                <w:right w:val="none" w:sz="0" w:space="0" w:color="auto"/>
              </w:divBdr>
            </w:div>
          </w:divsChild>
        </w:div>
        <w:div w:id="1437093245">
          <w:marLeft w:val="0"/>
          <w:marRight w:val="0"/>
          <w:marTop w:val="0"/>
          <w:marBottom w:val="0"/>
          <w:divBdr>
            <w:top w:val="none" w:sz="0" w:space="0" w:color="auto"/>
            <w:left w:val="none" w:sz="0" w:space="0" w:color="auto"/>
            <w:bottom w:val="none" w:sz="0" w:space="0" w:color="auto"/>
            <w:right w:val="none" w:sz="0" w:space="0" w:color="auto"/>
          </w:divBdr>
          <w:divsChild>
            <w:div w:id="641736805">
              <w:marLeft w:val="0"/>
              <w:marRight w:val="0"/>
              <w:marTop w:val="0"/>
              <w:marBottom w:val="0"/>
              <w:divBdr>
                <w:top w:val="none" w:sz="0" w:space="0" w:color="auto"/>
                <w:left w:val="none" w:sz="0" w:space="0" w:color="auto"/>
                <w:bottom w:val="none" w:sz="0" w:space="0" w:color="auto"/>
                <w:right w:val="none" w:sz="0" w:space="0" w:color="auto"/>
              </w:divBdr>
            </w:div>
          </w:divsChild>
        </w:div>
        <w:div w:id="1448423581">
          <w:marLeft w:val="0"/>
          <w:marRight w:val="0"/>
          <w:marTop w:val="0"/>
          <w:marBottom w:val="0"/>
          <w:divBdr>
            <w:top w:val="none" w:sz="0" w:space="0" w:color="auto"/>
            <w:left w:val="none" w:sz="0" w:space="0" w:color="auto"/>
            <w:bottom w:val="none" w:sz="0" w:space="0" w:color="auto"/>
            <w:right w:val="none" w:sz="0" w:space="0" w:color="auto"/>
          </w:divBdr>
          <w:divsChild>
            <w:div w:id="573904436">
              <w:marLeft w:val="0"/>
              <w:marRight w:val="0"/>
              <w:marTop w:val="0"/>
              <w:marBottom w:val="0"/>
              <w:divBdr>
                <w:top w:val="none" w:sz="0" w:space="0" w:color="auto"/>
                <w:left w:val="none" w:sz="0" w:space="0" w:color="auto"/>
                <w:bottom w:val="none" w:sz="0" w:space="0" w:color="auto"/>
                <w:right w:val="none" w:sz="0" w:space="0" w:color="auto"/>
              </w:divBdr>
            </w:div>
          </w:divsChild>
        </w:div>
        <w:div w:id="1487934060">
          <w:marLeft w:val="0"/>
          <w:marRight w:val="0"/>
          <w:marTop w:val="0"/>
          <w:marBottom w:val="0"/>
          <w:divBdr>
            <w:top w:val="none" w:sz="0" w:space="0" w:color="auto"/>
            <w:left w:val="none" w:sz="0" w:space="0" w:color="auto"/>
            <w:bottom w:val="none" w:sz="0" w:space="0" w:color="auto"/>
            <w:right w:val="none" w:sz="0" w:space="0" w:color="auto"/>
          </w:divBdr>
          <w:divsChild>
            <w:div w:id="561597808">
              <w:marLeft w:val="0"/>
              <w:marRight w:val="0"/>
              <w:marTop w:val="0"/>
              <w:marBottom w:val="0"/>
              <w:divBdr>
                <w:top w:val="none" w:sz="0" w:space="0" w:color="auto"/>
                <w:left w:val="none" w:sz="0" w:space="0" w:color="auto"/>
                <w:bottom w:val="none" w:sz="0" w:space="0" w:color="auto"/>
                <w:right w:val="none" w:sz="0" w:space="0" w:color="auto"/>
              </w:divBdr>
            </w:div>
          </w:divsChild>
        </w:div>
        <w:div w:id="1493908702">
          <w:marLeft w:val="0"/>
          <w:marRight w:val="0"/>
          <w:marTop w:val="0"/>
          <w:marBottom w:val="0"/>
          <w:divBdr>
            <w:top w:val="none" w:sz="0" w:space="0" w:color="auto"/>
            <w:left w:val="none" w:sz="0" w:space="0" w:color="auto"/>
            <w:bottom w:val="none" w:sz="0" w:space="0" w:color="auto"/>
            <w:right w:val="none" w:sz="0" w:space="0" w:color="auto"/>
          </w:divBdr>
          <w:divsChild>
            <w:div w:id="1333878553">
              <w:marLeft w:val="0"/>
              <w:marRight w:val="0"/>
              <w:marTop w:val="0"/>
              <w:marBottom w:val="0"/>
              <w:divBdr>
                <w:top w:val="none" w:sz="0" w:space="0" w:color="auto"/>
                <w:left w:val="none" w:sz="0" w:space="0" w:color="auto"/>
                <w:bottom w:val="none" w:sz="0" w:space="0" w:color="auto"/>
                <w:right w:val="none" w:sz="0" w:space="0" w:color="auto"/>
              </w:divBdr>
            </w:div>
          </w:divsChild>
        </w:div>
        <w:div w:id="1545823290">
          <w:marLeft w:val="0"/>
          <w:marRight w:val="0"/>
          <w:marTop w:val="0"/>
          <w:marBottom w:val="0"/>
          <w:divBdr>
            <w:top w:val="none" w:sz="0" w:space="0" w:color="auto"/>
            <w:left w:val="none" w:sz="0" w:space="0" w:color="auto"/>
            <w:bottom w:val="none" w:sz="0" w:space="0" w:color="auto"/>
            <w:right w:val="none" w:sz="0" w:space="0" w:color="auto"/>
          </w:divBdr>
          <w:divsChild>
            <w:div w:id="340817624">
              <w:marLeft w:val="0"/>
              <w:marRight w:val="0"/>
              <w:marTop w:val="0"/>
              <w:marBottom w:val="0"/>
              <w:divBdr>
                <w:top w:val="none" w:sz="0" w:space="0" w:color="auto"/>
                <w:left w:val="none" w:sz="0" w:space="0" w:color="auto"/>
                <w:bottom w:val="none" w:sz="0" w:space="0" w:color="auto"/>
                <w:right w:val="none" w:sz="0" w:space="0" w:color="auto"/>
              </w:divBdr>
            </w:div>
          </w:divsChild>
        </w:div>
        <w:div w:id="1560362326">
          <w:marLeft w:val="0"/>
          <w:marRight w:val="0"/>
          <w:marTop w:val="0"/>
          <w:marBottom w:val="0"/>
          <w:divBdr>
            <w:top w:val="none" w:sz="0" w:space="0" w:color="auto"/>
            <w:left w:val="none" w:sz="0" w:space="0" w:color="auto"/>
            <w:bottom w:val="none" w:sz="0" w:space="0" w:color="auto"/>
            <w:right w:val="none" w:sz="0" w:space="0" w:color="auto"/>
          </w:divBdr>
          <w:divsChild>
            <w:div w:id="1414547527">
              <w:marLeft w:val="0"/>
              <w:marRight w:val="0"/>
              <w:marTop w:val="0"/>
              <w:marBottom w:val="0"/>
              <w:divBdr>
                <w:top w:val="none" w:sz="0" w:space="0" w:color="auto"/>
                <w:left w:val="none" w:sz="0" w:space="0" w:color="auto"/>
                <w:bottom w:val="none" w:sz="0" w:space="0" w:color="auto"/>
                <w:right w:val="none" w:sz="0" w:space="0" w:color="auto"/>
              </w:divBdr>
            </w:div>
          </w:divsChild>
        </w:div>
        <w:div w:id="1572735588">
          <w:marLeft w:val="0"/>
          <w:marRight w:val="0"/>
          <w:marTop w:val="0"/>
          <w:marBottom w:val="0"/>
          <w:divBdr>
            <w:top w:val="none" w:sz="0" w:space="0" w:color="auto"/>
            <w:left w:val="none" w:sz="0" w:space="0" w:color="auto"/>
            <w:bottom w:val="none" w:sz="0" w:space="0" w:color="auto"/>
            <w:right w:val="none" w:sz="0" w:space="0" w:color="auto"/>
          </w:divBdr>
          <w:divsChild>
            <w:div w:id="301884258">
              <w:marLeft w:val="0"/>
              <w:marRight w:val="0"/>
              <w:marTop w:val="0"/>
              <w:marBottom w:val="0"/>
              <w:divBdr>
                <w:top w:val="none" w:sz="0" w:space="0" w:color="auto"/>
                <w:left w:val="none" w:sz="0" w:space="0" w:color="auto"/>
                <w:bottom w:val="none" w:sz="0" w:space="0" w:color="auto"/>
                <w:right w:val="none" w:sz="0" w:space="0" w:color="auto"/>
              </w:divBdr>
            </w:div>
          </w:divsChild>
        </w:div>
        <w:div w:id="1582445780">
          <w:marLeft w:val="0"/>
          <w:marRight w:val="0"/>
          <w:marTop w:val="0"/>
          <w:marBottom w:val="0"/>
          <w:divBdr>
            <w:top w:val="none" w:sz="0" w:space="0" w:color="auto"/>
            <w:left w:val="none" w:sz="0" w:space="0" w:color="auto"/>
            <w:bottom w:val="none" w:sz="0" w:space="0" w:color="auto"/>
            <w:right w:val="none" w:sz="0" w:space="0" w:color="auto"/>
          </w:divBdr>
          <w:divsChild>
            <w:div w:id="377973136">
              <w:marLeft w:val="0"/>
              <w:marRight w:val="0"/>
              <w:marTop w:val="0"/>
              <w:marBottom w:val="0"/>
              <w:divBdr>
                <w:top w:val="none" w:sz="0" w:space="0" w:color="auto"/>
                <w:left w:val="none" w:sz="0" w:space="0" w:color="auto"/>
                <w:bottom w:val="none" w:sz="0" w:space="0" w:color="auto"/>
                <w:right w:val="none" w:sz="0" w:space="0" w:color="auto"/>
              </w:divBdr>
            </w:div>
          </w:divsChild>
        </w:div>
        <w:div w:id="1601987172">
          <w:marLeft w:val="0"/>
          <w:marRight w:val="0"/>
          <w:marTop w:val="0"/>
          <w:marBottom w:val="0"/>
          <w:divBdr>
            <w:top w:val="none" w:sz="0" w:space="0" w:color="auto"/>
            <w:left w:val="none" w:sz="0" w:space="0" w:color="auto"/>
            <w:bottom w:val="none" w:sz="0" w:space="0" w:color="auto"/>
            <w:right w:val="none" w:sz="0" w:space="0" w:color="auto"/>
          </w:divBdr>
          <w:divsChild>
            <w:div w:id="48845592">
              <w:marLeft w:val="0"/>
              <w:marRight w:val="0"/>
              <w:marTop w:val="0"/>
              <w:marBottom w:val="0"/>
              <w:divBdr>
                <w:top w:val="none" w:sz="0" w:space="0" w:color="auto"/>
                <w:left w:val="none" w:sz="0" w:space="0" w:color="auto"/>
                <w:bottom w:val="none" w:sz="0" w:space="0" w:color="auto"/>
                <w:right w:val="none" w:sz="0" w:space="0" w:color="auto"/>
              </w:divBdr>
            </w:div>
          </w:divsChild>
        </w:div>
        <w:div w:id="1606231132">
          <w:marLeft w:val="0"/>
          <w:marRight w:val="0"/>
          <w:marTop w:val="0"/>
          <w:marBottom w:val="0"/>
          <w:divBdr>
            <w:top w:val="none" w:sz="0" w:space="0" w:color="auto"/>
            <w:left w:val="none" w:sz="0" w:space="0" w:color="auto"/>
            <w:bottom w:val="none" w:sz="0" w:space="0" w:color="auto"/>
            <w:right w:val="none" w:sz="0" w:space="0" w:color="auto"/>
          </w:divBdr>
          <w:divsChild>
            <w:div w:id="857087854">
              <w:marLeft w:val="0"/>
              <w:marRight w:val="0"/>
              <w:marTop w:val="0"/>
              <w:marBottom w:val="0"/>
              <w:divBdr>
                <w:top w:val="none" w:sz="0" w:space="0" w:color="auto"/>
                <w:left w:val="none" w:sz="0" w:space="0" w:color="auto"/>
                <w:bottom w:val="none" w:sz="0" w:space="0" w:color="auto"/>
                <w:right w:val="none" w:sz="0" w:space="0" w:color="auto"/>
              </w:divBdr>
            </w:div>
          </w:divsChild>
        </w:div>
        <w:div w:id="1606763653">
          <w:marLeft w:val="0"/>
          <w:marRight w:val="0"/>
          <w:marTop w:val="0"/>
          <w:marBottom w:val="0"/>
          <w:divBdr>
            <w:top w:val="none" w:sz="0" w:space="0" w:color="auto"/>
            <w:left w:val="none" w:sz="0" w:space="0" w:color="auto"/>
            <w:bottom w:val="none" w:sz="0" w:space="0" w:color="auto"/>
            <w:right w:val="none" w:sz="0" w:space="0" w:color="auto"/>
          </w:divBdr>
          <w:divsChild>
            <w:div w:id="1205481638">
              <w:marLeft w:val="0"/>
              <w:marRight w:val="0"/>
              <w:marTop w:val="0"/>
              <w:marBottom w:val="0"/>
              <w:divBdr>
                <w:top w:val="none" w:sz="0" w:space="0" w:color="auto"/>
                <w:left w:val="none" w:sz="0" w:space="0" w:color="auto"/>
                <w:bottom w:val="none" w:sz="0" w:space="0" w:color="auto"/>
                <w:right w:val="none" w:sz="0" w:space="0" w:color="auto"/>
              </w:divBdr>
            </w:div>
          </w:divsChild>
        </w:div>
        <w:div w:id="1628926183">
          <w:marLeft w:val="0"/>
          <w:marRight w:val="0"/>
          <w:marTop w:val="0"/>
          <w:marBottom w:val="0"/>
          <w:divBdr>
            <w:top w:val="none" w:sz="0" w:space="0" w:color="auto"/>
            <w:left w:val="none" w:sz="0" w:space="0" w:color="auto"/>
            <w:bottom w:val="none" w:sz="0" w:space="0" w:color="auto"/>
            <w:right w:val="none" w:sz="0" w:space="0" w:color="auto"/>
          </w:divBdr>
          <w:divsChild>
            <w:div w:id="1081179140">
              <w:marLeft w:val="0"/>
              <w:marRight w:val="0"/>
              <w:marTop w:val="0"/>
              <w:marBottom w:val="0"/>
              <w:divBdr>
                <w:top w:val="none" w:sz="0" w:space="0" w:color="auto"/>
                <w:left w:val="none" w:sz="0" w:space="0" w:color="auto"/>
                <w:bottom w:val="none" w:sz="0" w:space="0" w:color="auto"/>
                <w:right w:val="none" w:sz="0" w:space="0" w:color="auto"/>
              </w:divBdr>
            </w:div>
          </w:divsChild>
        </w:div>
        <w:div w:id="1634676283">
          <w:marLeft w:val="0"/>
          <w:marRight w:val="0"/>
          <w:marTop w:val="0"/>
          <w:marBottom w:val="0"/>
          <w:divBdr>
            <w:top w:val="none" w:sz="0" w:space="0" w:color="auto"/>
            <w:left w:val="none" w:sz="0" w:space="0" w:color="auto"/>
            <w:bottom w:val="none" w:sz="0" w:space="0" w:color="auto"/>
            <w:right w:val="none" w:sz="0" w:space="0" w:color="auto"/>
          </w:divBdr>
          <w:divsChild>
            <w:div w:id="388310368">
              <w:marLeft w:val="0"/>
              <w:marRight w:val="0"/>
              <w:marTop w:val="0"/>
              <w:marBottom w:val="0"/>
              <w:divBdr>
                <w:top w:val="none" w:sz="0" w:space="0" w:color="auto"/>
                <w:left w:val="none" w:sz="0" w:space="0" w:color="auto"/>
                <w:bottom w:val="none" w:sz="0" w:space="0" w:color="auto"/>
                <w:right w:val="none" w:sz="0" w:space="0" w:color="auto"/>
              </w:divBdr>
            </w:div>
          </w:divsChild>
        </w:div>
        <w:div w:id="1680809420">
          <w:marLeft w:val="0"/>
          <w:marRight w:val="0"/>
          <w:marTop w:val="0"/>
          <w:marBottom w:val="0"/>
          <w:divBdr>
            <w:top w:val="none" w:sz="0" w:space="0" w:color="auto"/>
            <w:left w:val="none" w:sz="0" w:space="0" w:color="auto"/>
            <w:bottom w:val="none" w:sz="0" w:space="0" w:color="auto"/>
            <w:right w:val="none" w:sz="0" w:space="0" w:color="auto"/>
          </w:divBdr>
          <w:divsChild>
            <w:div w:id="260843448">
              <w:marLeft w:val="0"/>
              <w:marRight w:val="0"/>
              <w:marTop w:val="0"/>
              <w:marBottom w:val="0"/>
              <w:divBdr>
                <w:top w:val="none" w:sz="0" w:space="0" w:color="auto"/>
                <w:left w:val="none" w:sz="0" w:space="0" w:color="auto"/>
                <w:bottom w:val="none" w:sz="0" w:space="0" w:color="auto"/>
                <w:right w:val="none" w:sz="0" w:space="0" w:color="auto"/>
              </w:divBdr>
            </w:div>
          </w:divsChild>
        </w:div>
        <w:div w:id="1686328579">
          <w:marLeft w:val="0"/>
          <w:marRight w:val="0"/>
          <w:marTop w:val="0"/>
          <w:marBottom w:val="0"/>
          <w:divBdr>
            <w:top w:val="none" w:sz="0" w:space="0" w:color="auto"/>
            <w:left w:val="none" w:sz="0" w:space="0" w:color="auto"/>
            <w:bottom w:val="none" w:sz="0" w:space="0" w:color="auto"/>
            <w:right w:val="none" w:sz="0" w:space="0" w:color="auto"/>
          </w:divBdr>
          <w:divsChild>
            <w:div w:id="743726212">
              <w:marLeft w:val="0"/>
              <w:marRight w:val="0"/>
              <w:marTop w:val="0"/>
              <w:marBottom w:val="0"/>
              <w:divBdr>
                <w:top w:val="none" w:sz="0" w:space="0" w:color="auto"/>
                <w:left w:val="none" w:sz="0" w:space="0" w:color="auto"/>
                <w:bottom w:val="none" w:sz="0" w:space="0" w:color="auto"/>
                <w:right w:val="none" w:sz="0" w:space="0" w:color="auto"/>
              </w:divBdr>
            </w:div>
          </w:divsChild>
        </w:div>
        <w:div w:id="1701734626">
          <w:marLeft w:val="0"/>
          <w:marRight w:val="0"/>
          <w:marTop w:val="0"/>
          <w:marBottom w:val="0"/>
          <w:divBdr>
            <w:top w:val="none" w:sz="0" w:space="0" w:color="auto"/>
            <w:left w:val="none" w:sz="0" w:space="0" w:color="auto"/>
            <w:bottom w:val="none" w:sz="0" w:space="0" w:color="auto"/>
            <w:right w:val="none" w:sz="0" w:space="0" w:color="auto"/>
          </w:divBdr>
          <w:divsChild>
            <w:div w:id="852500595">
              <w:marLeft w:val="0"/>
              <w:marRight w:val="0"/>
              <w:marTop w:val="0"/>
              <w:marBottom w:val="0"/>
              <w:divBdr>
                <w:top w:val="none" w:sz="0" w:space="0" w:color="auto"/>
                <w:left w:val="none" w:sz="0" w:space="0" w:color="auto"/>
                <w:bottom w:val="none" w:sz="0" w:space="0" w:color="auto"/>
                <w:right w:val="none" w:sz="0" w:space="0" w:color="auto"/>
              </w:divBdr>
            </w:div>
          </w:divsChild>
        </w:div>
        <w:div w:id="1707565452">
          <w:marLeft w:val="0"/>
          <w:marRight w:val="0"/>
          <w:marTop w:val="0"/>
          <w:marBottom w:val="0"/>
          <w:divBdr>
            <w:top w:val="none" w:sz="0" w:space="0" w:color="auto"/>
            <w:left w:val="none" w:sz="0" w:space="0" w:color="auto"/>
            <w:bottom w:val="none" w:sz="0" w:space="0" w:color="auto"/>
            <w:right w:val="none" w:sz="0" w:space="0" w:color="auto"/>
          </w:divBdr>
          <w:divsChild>
            <w:div w:id="2123260437">
              <w:marLeft w:val="0"/>
              <w:marRight w:val="0"/>
              <w:marTop w:val="0"/>
              <w:marBottom w:val="0"/>
              <w:divBdr>
                <w:top w:val="none" w:sz="0" w:space="0" w:color="auto"/>
                <w:left w:val="none" w:sz="0" w:space="0" w:color="auto"/>
                <w:bottom w:val="none" w:sz="0" w:space="0" w:color="auto"/>
                <w:right w:val="none" w:sz="0" w:space="0" w:color="auto"/>
              </w:divBdr>
            </w:div>
          </w:divsChild>
        </w:div>
        <w:div w:id="1714698219">
          <w:marLeft w:val="0"/>
          <w:marRight w:val="0"/>
          <w:marTop w:val="0"/>
          <w:marBottom w:val="0"/>
          <w:divBdr>
            <w:top w:val="none" w:sz="0" w:space="0" w:color="auto"/>
            <w:left w:val="none" w:sz="0" w:space="0" w:color="auto"/>
            <w:bottom w:val="none" w:sz="0" w:space="0" w:color="auto"/>
            <w:right w:val="none" w:sz="0" w:space="0" w:color="auto"/>
          </w:divBdr>
          <w:divsChild>
            <w:div w:id="816730664">
              <w:marLeft w:val="0"/>
              <w:marRight w:val="0"/>
              <w:marTop w:val="0"/>
              <w:marBottom w:val="0"/>
              <w:divBdr>
                <w:top w:val="none" w:sz="0" w:space="0" w:color="auto"/>
                <w:left w:val="none" w:sz="0" w:space="0" w:color="auto"/>
                <w:bottom w:val="none" w:sz="0" w:space="0" w:color="auto"/>
                <w:right w:val="none" w:sz="0" w:space="0" w:color="auto"/>
              </w:divBdr>
            </w:div>
          </w:divsChild>
        </w:div>
        <w:div w:id="1774859735">
          <w:marLeft w:val="0"/>
          <w:marRight w:val="0"/>
          <w:marTop w:val="0"/>
          <w:marBottom w:val="0"/>
          <w:divBdr>
            <w:top w:val="none" w:sz="0" w:space="0" w:color="auto"/>
            <w:left w:val="none" w:sz="0" w:space="0" w:color="auto"/>
            <w:bottom w:val="none" w:sz="0" w:space="0" w:color="auto"/>
            <w:right w:val="none" w:sz="0" w:space="0" w:color="auto"/>
          </w:divBdr>
          <w:divsChild>
            <w:div w:id="1136141874">
              <w:marLeft w:val="0"/>
              <w:marRight w:val="0"/>
              <w:marTop w:val="0"/>
              <w:marBottom w:val="0"/>
              <w:divBdr>
                <w:top w:val="none" w:sz="0" w:space="0" w:color="auto"/>
                <w:left w:val="none" w:sz="0" w:space="0" w:color="auto"/>
                <w:bottom w:val="none" w:sz="0" w:space="0" w:color="auto"/>
                <w:right w:val="none" w:sz="0" w:space="0" w:color="auto"/>
              </w:divBdr>
            </w:div>
          </w:divsChild>
        </w:div>
        <w:div w:id="1840581273">
          <w:marLeft w:val="0"/>
          <w:marRight w:val="0"/>
          <w:marTop w:val="0"/>
          <w:marBottom w:val="0"/>
          <w:divBdr>
            <w:top w:val="none" w:sz="0" w:space="0" w:color="auto"/>
            <w:left w:val="none" w:sz="0" w:space="0" w:color="auto"/>
            <w:bottom w:val="none" w:sz="0" w:space="0" w:color="auto"/>
            <w:right w:val="none" w:sz="0" w:space="0" w:color="auto"/>
          </w:divBdr>
          <w:divsChild>
            <w:div w:id="1512721269">
              <w:marLeft w:val="0"/>
              <w:marRight w:val="0"/>
              <w:marTop w:val="0"/>
              <w:marBottom w:val="0"/>
              <w:divBdr>
                <w:top w:val="none" w:sz="0" w:space="0" w:color="auto"/>
                <w:left w:val="none" w:sz="0" w:space="0" w:color="auto"/>
                <w:bottom w:val="none" w:sz="0" w:space="0" w:color="auto"/>
                <w:right w:val="none" w:sz="0" w:space="0" w:color="auto"/>
              </w:divBdr>
            </w:div>
          </w:divsChild>
        </w:div>
        <w:div w:id="1882354526">
          <w:marLeft w:val="0"/>
          <w:marRight w:val="0"/>
          <w:marTop w:val="0"/>
          <w:marBottom w:val="0"/>
          <w:divBdr>
            <w:top w:val="none" w:sz="0" w:space="0" w:color="auto"/>
            <w:left w:val="none" w:sz="0" w:space="0" w:color="auto"/>
            <w:bottom w:val="none" w:sz="0" w:space="0" w:color="auto"/>
            <w:right w:val="none" w:sz="0" w:space="0" w:color="auto"/>
          </w:divBdr>
          <w:divsChild>
            <w:div w:id="683243992">
              <w:marLeft w:val="0"/>
              <w:marRight w:val="0"/>
              <w:marTop w:val="0"/>
              <w:marBottom w:val="0"/>
              <w:divBdr>
                <w:top w:val="none" w:sz="0" w:space="0" w:color="auto"/>
                <w:left w:val="none" w:sz="0" w:space="0" w:color="auto"/>
                <w:bottom w:val="none" w:sz="0" w:space="0" w:color="auto"/>
                <w:right w:val="none" w:sz="0" w:space="0" w:color="auto"/>
              </w:divBdr>
            </w:div>
          </w:divsChild>
        </w:div>
        <w:div w:id="1909345190">
          <w:marLeft w:val="0"/>
          <w:marRight w:val="0"/>
          <w:marTop w:val="0"/>
          <w:marBottom w:val="0"/>
          <w:divBdr>
            <w:top w:val="none" w:sz="0" w:space="0" w:color="auto"/>
            <w:left w:val="none" w:sz="0" w:space="0" w:color="auto"/>
            <w:bottom w:val="none" w:sz="0" w:space="0" w:color="auto"/>
            <w:right w:val="none" w:sz="0" w:space="0" w:color="auto"/>
          </w:divBdr>
          <w:divsChild>
            <w:div w:id="1011362">
              <w:marLeft w:val="0"/>
              <w:marRight w:val="0"/>
              <w:marTop w:val="0"/>
              <w:marBottom w:val="0"/>
              <w:divBdr>
                <w:top w:val="none" w:sz="0" w:space="0" w:color="auto"/>
                <w:left w:val="none" w:sz="0" w:space="0" w:color="auto"/>
                <w:bottom w:val="none" w:sz="0" w:space="0" w:color="auto"/>
                <w:right w:val="none" w:sz="0" w:space="0" w:color="auto"/>
              </w:divBdr>
            </w:div>
          </w:divsChild>
        </w:div>
        <w:div w:id="1912109850">
          <w:marLeft w:val="0"/>
          <w:marRight w:val="0"/>
          <w:marTop w:val="0"/>
          <w:marBottom w:val="0"/>
          <w:divBdr>
            <w:top w:val="none" w:sz="0" w:space="0" w:color="auto"/>
            <w:left w:val="none" w:sz="0" w:space="0" w:color="auto"/>
            <w:bottom w:val="none" w:sz="0" w:space="0" w:color="auto"/>
            <w:right w:val="none" w:sz="0" w:space="0" w:color="auto"/>
          </w:divBdr>
          <w:divsChild>
            <w:div w:id="430201575">
              <w:marLeft w:val="0"/>
              <w:marRight w:val="0"/>
              <w:marTop w:val="0"/>
              <w:marBottom w:val="0"/>
              <w:divBdr>
                <w:top w:val="none" w:sz="0" w:space="0" w:color="auto"/>
                <w:left w:val="none" w:sz="0" w:space="0" w:color="auto"/>
                <w:bottom w:val="none" w:sz="0" w:space="0" w:color="auto"/>
                <w:right w:val="none" w:sz="0" w:space="0" w:color="auto"/>
              </w:divBdr>
            </w:div>
          </w:divsChild>
        </w:div>
        <w:div w:id="1931503105">
          <w:marLeft w:val="0"/>
          <w:marRight w:val="0"/>
          <w:marTop w:val="0"/>
          <w:marBottom w:val="0"/>
          <w:divBdr>
            <w:top w:val="none" w:sz="0" w:space="0" w:color="auto"/>
            <w:left w:val="none" w:sz="0" w:space="0" w:color="auto"/>
            <w:bottom w:val="none" w:sz="0" w:space="0" w:color="auto"/>
            <w:right w:val="none" w:sz="0" w:space="0" w:color="auto"/>
          </w:divBdr>
          <w:divsChild>
            <w:div w:id="564878132">
              <w:marLeft w:val="0"/>
              <w:marRight w:val="0"/>
              <w:marTop w:val="0"/>
              <w:marBottom w:val="0"/>
              <w:divBdr>
                <w:top w:val="none" w:sz="0" w:space="0" w:color="auto"/>
                <w:left w:val="none" w:sz="0" w:space="0" w:color="auto"/>
                <w:bottom w:val="none" w:sz="0" w:space="0" w:color="auto"/>
                <w:right w:val="none" w:sz="0" w:space="0" w:color="auto"/>
              </w:divBdr>
            </w:div>
          </w:divsChild>
        </w:div>
        <w:div w:id="1952659564">
          <w:marLeft w:val="0"/>
          <w:marRight w:val="0"/>
          <w:marTop w:val="0"/>
          <w:marBottom w:val="0"/>
          <w:divBdr>
            <w:top w:val="none" w:sz="0" w:space="0" w:color="auto"/>
            <w:left w:val="none" w:sz="0" w:space="0" w:color="auto"/>
            <w:bottom w:val="none" w:sz="0" w:space="0" w:color="auto"/>
            <w:right w:val="none" w:sz="0" w:space="0" w:color="auto"/>
          </w:divBdr>
          <w:divsChild>
            <w:div w:id="1997494781">
              <w:marLeft w:val="0"/>
              <w:marRight w:val="0"/>
              <w:marTop w:val="0"/>
              <w:marBottom w:val="0"/>
              <w:divBdr>
                <w:top w:val="none" w:sz="0" w:space="0" w:color="auto"/>
                <w:left w:val="none" w:sz="0" w:space="0" w:color="auto"/>
                <w:bottom w:val="none" w:sz="0" w:space="0" w:color="auto"/>
                <w:right w:val="none" w:sz="0" w:space="0" w:color="auto"/>
              </w:divBdr>
            </w:div>
          </w:divsChild>
        </w:div>
        <w:div w:id="1956477414">
          <w:marLeft w:val="0"/>
          <w:marRight w:val="0"/>
          <w:marTop w:val="0"/>
          <w:marBottom w:val="0"/>
          <w:divBdr>
            <w:top w:val="none" w:sz="0" w:space="0" w:color="auto"/>
            <w:left w:val="none" w:sz="0" w:space="0" w:color="auto"/>
            <w:bottom w:val="none" w:sz="0" w:space="0" w:color="auto"/>
            <w:right w:val="none" w:sz="0" w:space="0" w:color="auto"/>
          </w:divBdr>
          <w:divsChild>
            <w:div w:id="1334991237">
              <w:marLeft w:val="0"/>
              <w:marRight w:val="0"/>
              <w:marTop w:val="0"/>
              <w:marBottom w:val="0"/>
              <w:divBdr>
                <w:top w:val="none" w:sz="0" w:space="0" w:color="auto"/>
                <w:left w:val="none" w:sz="0" w:space="0" w:color="auto"/>
                <w:bottom w:val="none" w:sz="0" w:space="0" w:color="auto"/>
                <w:right w:val="none" w:sz="0" w:space="0" w:color="auto"/>
              </w:divBdr>
            </w:div>
          </w:divsChild>
        </w:div>
        <w:div w:id="1967004959">
          <w:marLeft w:val="0"/>
          <w:marRight w:val="0"/>
          <w:marTop w:val="0"/>
          <w:marBottom w:val="0"/>
          <w:divBdr>
            <w:top w:val="none" w:sz="0" w:space="0" w:color="auto"/>
            <w:left w:val="none" w:sz="0" w:space="0" w:color="auto"/>
            <w:bottom w:val="none" w:sz="0" w:space="0" w:color="auto"/>
            <w:right w:val="none" w:sz="0" w:space="0" w:color="auto"/>
          </w:divBdr>
          <w:divsChild>
            <w:div w:id="538278653">
              <w:marLeft w:val="0"/>
              <w:marRight w:val="0"/>
              <w:marTop w:val="0"/>
              <w:marBottom w:val="0"/>
              <w:divBdr>
                <w:top w:val="none" w:sz="0" w:space="0" w:color="auto"/>
                <w:left w:val="none" w:sz="0" w:space="0" w:color="auto"/>
                <w:bottom w:val="none" w:sz="0" w:space="0" w:color="auto"/>
                <w:right w:val="none" w:sz="0" w:space="0" w:color="auto"/>
              </w:divBdr>
            </w:div>
          </w:divsChild>
        </w:div>
        <w:div w:id="1988315894">
          <w:marLeft w:val="0"/>
          <w:marRight w:val="0"/>
          <w:marTop w:val="0"/>
          <w:marBottom w:val="0"/>
          <w:divBdr>
            <w:top w:val="none" w:sz="0" w:space="0" w:color="auto"/>
            <w:left w:val="none" w:sz="0" w:space="0" w:color="auto"/>
            <w:bottom w:val="none" w:sz="0" w:space="0" w:color="auto"/>
            <w:right w:val="none" w:sz="0" w:space="0" w:color="auto"/>
          </w:divBdr>
          <w:divsChild>
            <w:div w:id="298656874">
              <w:marLeft w:val="0"/>
              <w:marRight w:val="0"/>
              <w:marTop w:val="0"/>
              <w:marBottom w:val="0"/>
              <w:divBdr>
                <w:top w:val="none" w:sz="0" w:space="0" w:color="auto"/>
                <w:left w:val="none" w:sz="0" w:space="0" w:color="auto"/>
                <w:bottom w:val="none" w:sz="0" w:space="0" w:color="auto"/>
                <w:right w:val="none" w:sz="0" w:space="0" w:color="auto"/>
              </w:divBdr>
            </w:div>
          </w:divsChild>
        </w:div>
        <w:div w:id="2010673655">
          <w:marLeft w:val="0"/>
          <w:marRight w:val="0"/>
          <w:marTop w:val="0"/>
          <w:marBottom w:val="0"/>
          <w:divBdr>
            <w:top w:val="none" w:sz="0" w:space="0" w:color="auto"/>
            <w:left w:val="none" w:sz="0" w:space="0" w:color="auto"/>
            <w:bottom w:val="none" w:sz="0" w:space="0" w:color="auto"/>
            <w:right w:val="none" w:sz="0" w:space="0" w:color="auto"/>
          </w:divBdr>
          <w:divsChild>
            <w:div w:id="967316521">
              <w:marLeft w:val="0"/>
              <w:marRight w:val="0"/>
              <w:marTop w:val="0"/>
              <w:marBottom w:val="0"/>
              <w:divBdr>
                <w:top w:val="none" w:sz="0" w:space="0" w:color="auto"/>
                <w:left w:val="none" w:sz="0" w:space="0" w:color="auto"/>
                <w:bottom w:val="none" w:sz="0" w:space="0" w:color="auto"/>
                <w:right w:val="none" w:sz="0" w:space="0" w:color="auto"/>
              </w:divBdr>
            </w:div>
          </w:divsChild>
        </w:div>
        <w:div w:id="2037928302">
          <w:marLeft w:val="0"/>
          <w:marRight w:val="0"/>
          <w:marTop w:val="0"/>
          <w:marBottom w:val="0"/>
          <w:divBdr>
            <w:top w:val="none" w:sz="0" w:space="0" w:color="auto"/>
            <w:left w:val="none" w:sz="0" w:space="0" w:color="auto"/>
            <w:bottom w:val="none" w:sz="0" w:space="0" w:color="auto"/>
            <w:right w:val="none" w:sz="0" w:space="0" w:color="auto"/>
          </w:divBdr>
          <w:divsChild>
            <w:div w:id="277832344">
              <w:marLeft w:val="0"/>
              <w:marRight w:val="0"/>
              <w:marTop w:val="0"/>
              <w:marBottom w:val="0"/>
              <w:divBdr>
                <w:top w:val="none" w:sz="0" w:space="0" w:color="auto"/>
                <w:left w:val="none" w:sz="0" w:space="0" w:color="auto"/>
                <w:bottom w:val="none" w:sz="0" w:space="0" w:color="auto"/>
                <w:right w:val="none" w:sz="0" w:space="0" w:color="auto"/>
              </w:divBdr>
            </w:div>
          </w:divsChild>
        </w:div>
        <w:div w:id="2090618200">
          <w:marLeft w:val="0"/>
          <w:marRight w:val="0"/>
          <w:marTop w:val="0"/>
          <w:marBottom w:val="0"/>
          <w:divBdr>
            <w:top w:val="none" w:sz="0" w:space="0" w:color="auto"/>
            <w:left w:val="none" w:sz="0" w:space="0" w:color="auto"/>
            <w:bottom w:val="none" w:sz="0" w:space="0" w:color="auto"/>
            <w:right w:val="none" w:sz="0" w:space="0" w:color="auto"/>
          </w:divBdr>
          <w:divsChild>
            <w:div w:id="1222524368">
              <w:marLeft w:val="0"/>
              <w:marRight w:val="0"/>
              <w:marTop w:val="0"/>
              <w:marBottom w:val="0"/>
              <w:divBdr>
                <w:top w:val="none" w:sz="0" w:space="0" w:color="auto"/>
                <w:left w:val="none" w:sz="0" w:space="0" w:color="auto"/>
                <w:bottom w:val="none" w:sz="0" w:space="0" w:color="auto"/>
                <w:right w:val="none" w:sz="0" w:space="0" w:color="auto"/>
              </w:divBdr>
            </w:div>
          </w:divsChild>
        </w:div>
        <w:div w:id="2098211150">
          <w:marLeft w:val="0"/>
          <w:marRight w:val="0"/>
          <w:marTop w:val="0"/>
          <w:marBottom w:val="0"/>
          <w:divBdr>
            <w:top w:val="none" w:sz="0" w:space="0" w:color="auto"/>
            <w:left w:val="none" w:sz="0" w:space="0" w:color="auto"/>
            <w:bottom w:val="none" w:sz="0" w:space="0" w:color="auto"/>
            <w:right w:val="none" w:sz="0" w:space="0" w:color="auto"/>
          </w:divBdr>
          <w:divsChild>
            <w:div w:id="199899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14735">
      <w:bodyDiv w:val="1"/>
      <w:marLeft w:val="0"/>
      <w:marRight w:val="0"/>
      <w:marTop w:val="0"/>
      <w:marBottom w:val="0"/>
      <w:divBdr>
        <w:top w:val="none" w:sz="0" w:space="0" w:color="auto"/>
        <w:left w:val="none" w:sz="0" w:space="0" w:color="auto"/>
        <w:bottom w:val="none" w:sz="0" w:space="0" w:color="auto"/>
        <w:right w:val="none" w:sz="0" w:space="0" w:color="auto"/>
      </w:divBdr>
    </w:div>
    <w:div w:id="1018891953">
      <w:bodyDiv w:val="1"/>
      <w:marLeft w:val="0"/>
      <w:marRight w:val="0"/>
      <w:marTop w:val="0"/>
      <w:marBottom w:val="0"/>
      <w:divBdr>
        <w:top w:val="none" w:sz="0" w:space="0" w:color="auto"/>
        <w:left w:val="none" w:sz="0" w:space="0" w:color="auto"/>
        <w:bottom w:val="none" w:sz="0" w:space="0" w:color="auto"/>
        <w:right w:val="none" w:sz="0" w:space="0" w:color="auto"/>
      </w:divBdr>
    </w:div>
    <w:div w:id="1042948087">
      <w:bodyDiv w:val="1"/>
      <w:marLeft w:val="0"/>
      <w:marRight w:val="0"/>
      <w:marTop w:val="0"/>
      <w:marBottom w:val="0"/>
      <w:divBdr>
        <w:top w:val="none" w:sz="0" w:space="0" w:color="auto"/>
        <w:left w:val="none" w:sz="0" w:space="0" w:color="auto"/>
        <w:bottom w:val="none" w:sz="0" w:space="0" w:color="auto"/>
        <w:right w:val="none" w:sz="0" w:space="0" w:color="auto"/>
      </w:divBdr>
    </w:div>
    <w:div w:id="1073821209">
      <w:bodyDiv w:val="1"/>
      <w:marLeft w:val="0"/>
      <w:marRight w:val="0"/>
      <w:marTop w:val="0"/>
      <w:marBottom w:val="0"/>
      <w:divBdr>
        <w:top w:val="none" w:sz="0" w:space="0" w:color="auto"/>
        <w:left w:val="none" w:sz="0" w:space="0" w:color="auto"/>
        <w:bottom w:val="none" w:sz="0" w:space="0" w:color="auto"/>
        <w:right w:val="none" w:sz="0" w:space="0" w:color="auto"/>
      </w:divBdr>
    </w:div>
    <w:div w:id="1081023907">
      <w:bodyDiv w:val="1"/>
      <w:marLeft w:val="0"/>
      <w:marRight w:val="0"/>
      <w:marTop w:val="0"/>
      <w:marBottom w:val="0"/>
      <w:divBdr>
        <w:top w:val="none" w:sz="0" w:space="0" w:color="auto"/>
        <w:left w:val="none" w:sz="0" w:space="0" w:color="auto"/>
        <w:bottom w:val="none" w:sz="0" w:space="0" w:color="auto"/>
        <w:right w:val="none" w:sz="0" w:space="0" w:color="auto"/>
      </w:divBdr>
    </w:div>
    <w:div w:id="1104226333">
      <w:bodyDiv w:val="1"/>
      <w:marLeft w:val="0"/>
      <w:marRight w:val="0"/>
      <w:marTop w:val="0"/>
      <w:marBottom w:val="0"/>
      <w:divBdr>
        <w:top w:val="none" w:sz="0" w:space="0" w:color="auto"/>
        <w:left w:val="none" w:sz="0" w:space="0" w:color="auto"/>
        <w:bottom w:val="none" w:sz="0" w:space="0" w:color="auto"/>
        <w:right w:val="none" w:sz="0" w:space="0" w:color="auto"/>
      </w:divBdr>
    </w:div>
    <w:div w:id="1105996290">
      <w:bodyDiv w:val="1"/>
      <w:marLeft w:val="0"/>
      <w:marRight w:val="0"/>
      <w:marTop w:val="0"/>
      <w:marBottom w:val="0"/>
      <w:divBdr>
        <w:top w:val="none" w:sz="0" w:space="0" w:color="auto"/>
        <w:left w:val="none" w:sz="0" w:space="0" w:color="auto"/>
        <w:bottom w:val="none" w:sz="0" w:space="0" w:color="auto"/>
        <w:right w:val="none" w:sz="0" w:space="0" w:color="auto"/>
      </w:divBdr>
    </w:div>
    <w:div w:id="1157569608">
      <w:bodyDiv w:val="1"/>
      <w:marLeft w:val="0"/>
      <w:marRight w:val="0"/>
      <w:marTop w:val="0"/>
      <w:marBottom w:val="0"/>
      <w:divBdr>
        <w:top w:val="none" w:sz="0" w:space="0" w:color="auto"/>
        <w:left w:val="none" w:sz="0" w:space="0" w:color="auto"/>
        <w:bottom w:val="none" w:sz="0" w:space="0" w:color="auto"/>
        <w:right w:val="none" w:sz="0" w:space="0" w:color="auto"/>
      </w:divBdr>
    </w:div>
    <w:div w:id="1169561165">
      <w:bodyDiv w:val="1"/>
      <w:marLeft w:val="0"/>
      <w:marRight w:val="0"/>
      <w:marTop w:val="0"/>
      <w:marBottom w:val="0"/>
      <w:divBdr>
        <w:top w:val="none" w:sz="0" w:space="0" w:color="auto"/>
        <w:left w:val="none" w:sz="0" w:space="0" w:color="auto"/>
        <w:bottom w:val="none" w:sz="0" w:space="0" w:color="auto"/>
        <w:right w:val="none" w:sz="0" w:space="0" w:color="auto"/>
      </w:divBdr>
    </w:div>
    <w:div w:id="1177773923">
      <w:bodyDiv w:val="1"/>
      <w:marLeft w:val="0"/>
      <w:marRight w:val="0"/>
      <w:marTop w:val="0"/>
      <w:marBottom w:val="0"/>
      <w:divBdr>
        <w:top w:val="none" w:sz="0" w:space="0" w:color="auto"/>
        <w:left w:val="none" w:sz="0" w:space="0" w:color="auto"/>
        <w:bottom w:val="none" w:sz="0" w:space="0" w:color="auto"/>
        <w:right w:val="none" w:sz="0" w:space="0" w:color="auto"/>
      </w:divBdr>
    </w:div>
    <w:div w:id="1187449813">
      <w:bodyDiv w:val="1"/>
      <w:marLeft w:val="0"/>
      <w:marRight w:val="0"/>
      <w:marTop w:val="0"/>
      <w:marBottom w:val="0"/>
      <w:divBdr>
        <w:top w:val="none" w:sz="0" w:space="0" w:color="auto"/>
        <w:left w:val="none" w:sz="0" w:space="0" w:color="auto"/>
        <w:bottom w:val="none" w:sz="0" w:space="0" w:color="auto"/>
        <w:right w:val="none" w:sz="0" w:space="0" w:color="auto"/>
      </w:divBdr>
    </w:div>
    <w:div w:id="1194615135">
      <w:bodyDiv w:val="1"/>
      <w:marLeft w:val="0"/>
      <w:marRight w:val="0"/>
      <w:marTop w:val="0"/>
      <w:marBottom w:val="0"/>
      <w:divBdr>
        <w:top w:val="none" w:sz="0" w:space="0" w:color="auto"/>
        <w:left w:val="none" w:sz="0" w:space="0" w:color="auto"/>
        <w:bottom w:val="none" w:sz="0" w:space="0" w:color="auto"/>
        <w:right w:val="none" w:sz="0" w:space="0" w:color="auto"/>
      </w:divBdr>
    </w:div>
    <w:div w:id="1205363366">
      <w:bodyDiv w:val="1"/>
      <w:marLeft w:val="0"/>
      <w:marRight w:val="0"/>
      <w:marTop w:val="0"/>
      <w:marBottom w:val="0"/>
      <w:divBdr>
        <w:top w:val="none" w:sz="0" w:space="0" w:color="auto"/>
        <w:left w:val="none" w:sz="0" w:space="0" w:color="auto"/>
        <w:bottom w:val="none" w:sz="0" w:space="0" w:color="auto"/>
        <w:right w:val="none" w:sz="0" w:space="0" w:color="auto"/>
      </w:divBdr>
    </w:div>
    <w:div w:id="1249197330">
      <w:bodyDiv w:val="1"/>
      <w:marLeft w:val="0"/>
      <w:marRight w:val="0"/>
      <w:marTop w:val="0"/>
      <w:marBottom w:val="0"/>
      <w:divBdr>
        <w:top w:val="none" w:sz="0" w:space="0" w:color="auto"/>
        <w:left w:val="none" w:sz="0" w:space="0" w:color="auto"/>
        <w:bottom w:val="none" w:sz="0" w:space="0" w:color="auto"/>
        <w:right w:val="none" w:sz="0" w:space="0" w:color="auto"/>
      </w:divBdr>
    </w:div>
    <w:div w:id="1266420388">
      <w:bodyDiv w:val="1"/>
      <w:marLeft w:val="0"/>
      <w:marRight w:val="0"/>
      <w:marTop w:val="0"/>
      <w:marBottom w:val="0"/>
      <w:divBdr>
        <w:top w:val="none" w:sz="0" w:space="0" w:color="auto"/>
        <w:left w:val="none" w:sz="0" w:space="0" w:color="auto"/>
        <w:bottom w:val="none" w:sz="0" w:space="0" w:color="auto"/>
        <w:right w:val="none" w:sz="0" w:space="0" w:color="auto"/>
      </w:divBdr>
    </w:div>
    <w:div w:id="1278223688">
      <w:bodyDiv w:val="1"/>
      <w:marLeft w:val="0"/>
      <w:marRight w:val="0"/>
      <w:marTop w:val="0"/>
      <w:marBottom w:val="0"/>
      <w:divBdr>
        <w:top w:val="none" w:sz="0" w:space="0" w:color="auto"/>
        <w:left w:val="none" w:sz="0" w:space="0" w:color="auto"/>
        <w:bottom w:val="none" w:sz="0" w:space="0" w:color="auto"/>
        <w:right w:val="none" w:sz="0" w:space="0" w:color="auto"/>
      </w:divBdr>
    </w:div>
    <w:div w:id="1312641682">
      <w:bodyDiv w:val="1"/>
      <w:marLeft w:val="0"/>
      <w:marRight w:val="0"/>
      <w:marTop w:val="0"/>
      <w:marBottom w:val="0"/>
      <w:divBdr>
        <w:top w:val="none" w:sz="0" w:space="0" w:color="auto"/>
        <w:left w:val="none" w:sz="0" w:space="0" w:color="auto"/>
        <w:bottom w:val="none" w:sz="0" w:space="0" w:color="auto"/>
        <w:right w:val="none" w:sz="0" w:space="0" w:color="auto"/>
      </w:divBdr>
    </w:div>
    <w:div w:id="1379433658">
      <w:bodyDiv w:val="1"/>
      <w:marLeft w:val="0"/>
      <w:marRight w:val="0"/>
      <w:marTop w:val="0"/>
      <w:marBottom w:val="0"/>
      <w:divBdr>
        <w:top w:val="none" w:sz="0" w:space="0" w:color="auto"/>
        <w:left w:val="none" w:sz="0" w:space="0" w:color="auto"/>
        <w:bottom w:val="none" w:sz="0" w:space="0" w:color="auto"/>
        <w:right w:val="none" w:sz="0" w:space="0" w:color="auto"/>
      </w:divBdr>
    </w:div>
    <w:div w:id="1404640622">
      <w:bodyDiv w:val="1"/>
      <w:marLeft w:val="0"/>
      <w:marRight w:val="0"/>
      <w:marTop w:val="0"/>
      <w:marBottom w:val="0"/>
      <w:divBdr>
        <w:top w:val="none" w:sz="0" w:space="0" w:color="auto"/>
        <w:left w:val="none" w:sz="0" w:space="0" w:color="auto"/>
        <w:bottom w:val="none" w:sz="0" w:space="0" w:color="auto"/>
        <w:right w:val="none" w:sz="0" w:space="0" w:color="auto"/>
      </w:divBdr>
    </w:div>
    <w:div w:id="1429277968">
      <w:bodyDiv w:val="1"/>
      <w:marLeft w:val="0"/>
      <w:marRight w:val="0"/>
      <w:marTop w:val="0"/>
      <w:marBottom w:val="0"/>
      <w:divBdr>
        <w:top w:val="none" w:sz="0" w:space="0" w:color="auto"/>
        <w:left w:val="none" w:sz="0" w:space="0" w:color="auto"/>
        <w:bottom w:val="none" w:sz="0" w:space="0" w:color="auto"/>
        <w:right w:val="none" w:sz="0" w:space="0" w:color="auto"/>
      </w:divBdr>
    </w:div>
    <w:div w:id="1437409553">
      <w:bodyDiv w:val="1"/>
      <w:marLeft w:val="0"/>
      <w:marRight w:val="0"/>
      <w:marTop w:val="0"/>
      <w:marBottom w:val="0"/>
      <w:divBdr>
        <w:top w:val="none" w:sz="0" w:space="0" w:color="auto"/>
        <w:left w:val="none" w:sz="0" w:space="0" w:color="auto"/>
        <w:bottom w:val="none" w:sz="0" w:space="0" w:color="auto"/>
        <w:right w:val="none" w:sz="0" w:space="0" w:color="auto"/>
      </w:divBdr>
    </w:div>
    <w:div w:id="1447694899">
      <w:bodyDiv w:val="1"/>
      <w:marLeft w:val="0"/>
      <w:marRight w:val="0"/>
      <w:marTop w:val="0"/>
      <w:marBottom w:val="0"/>
      <w:divBdr>
        <w:top w:val="none" w:sz="0" w:space="0" w:color="auto"/>
        <w:left w:val="none" w:sz="0" w:space="0" w:color="auto"/>
        <w:bottom w:val="none" w:sz="0" w:space="0" w:color="auto"/>
        <w:right w:val="none" w:sz="0" w:space="0" w:color="auto"/>
      </w:divBdr>
    </w:div>
    <w:div w:id="1476485873">
      <w:bodyDiv w:val="1"/>
      <w:marLeft w:val="0"/>
      <w:marRight w:val="0"/>
      <w:marTop w:val="0"/>
      <w:marBottom w:val="0"/>
      <w:divBdr>
        <w:top w:val="none" w:sz="0" w:space="0" w:color="auto"/>
        <w:left w:val="none" w:sz="0" w:space="0" w:color="auto"/>
        <w:bottom w:val="none" w:sz="0" w:space="0" w:color="auto"/>
        <w:right w:val="none" w:sz="0" w:space="0" w:color="auto"/>
      </w:divBdr>
    </w:div>
    <w:div w:id="1497768159">
      <w:bodyDiv w:val="1"/>
      <w:marLeft w:val="0"/>
      <w:marRight w:val="0"/>
      <w:marTop w:val="0"/>
      <w:marBottom w:val="0"/>
      <w:divBdr>
        <w:top w:val="none" w:sz="0" w:space="0" w:color="auto"/>
        <w:left w:val="none" w:sz="0" w:space="0" w:color="auto"/>
        <w:bottom w:val="none" w:sz="0" w:space="0" w:color="auto"/>
        <w:right w:val="none" w:sz="0" w:space="0" w:color="auto"/>
      </w:divBdr>
    </w:div>
    <w:div w:id="1510606664">
      <w:bodyDiv w:val="1"/>
      <w:marLeft w:val="0"/>
      <w:marRight w:val="0"/>
      <w:marTop w:val="0"/>
      <w:marBottom w:val="0"/>
      <w:divBdr>
        <w:top w:val="none" w:sz="0" w:space="0" w:color="auto"/>
        <w:left w:val="none" w:sz="0" w:space="0" w:color="auto"/>
        <w:bottom w:val="none" w:sz="0" w:space="0" w:color="auto"/>
        <w:right w:val="none" w:sz="0" w:space="0" w:color="auto"/>
      </w:divBdr>
    </w:div>
    <w:div w:id="1599022269">
      <w:bodyDiv w:val="1"/>
      <w:marLeft w:val="0"/>
      <w:marRight w:val="0"/>
      <w:marTop w:val="0"/>
      <w:marBottom w:val="0"/>
      <w:divBdr>
        <w:top w:val="none" w:sz="0" w:space="0" w:color="auto"/>
        <w:left w:val="none" w:sz="0" w:space="0" w:color="auto"/>
        <w:bottom w:val="none" w:sz="0" w:space="0" w:color="auto"/>
        <w:right w:val="none" w:sz="0" w:space="0" w:color="auto"/>
      </w:divBdr>
    </w:div>
    <w:div w:id="1602369594">
      <w:bodyDiv w:val="1"/>
      <w:marLeft w:val="0"/>
      <w:marRight w:val="0"/>
      <w:marTop w:val="0"/>
      <w:marBottom w:val="0"/>
      <w:divBdr>
        <w:top w:val="none" w:sz="0" w:space="0" w:color="auto"/>
        <w:left w:val="none" w:sz="0" w:space="0" w:color="auto"/>
        <w:bottom w:val="none" w:sz="0" w:space="0" w:color="auto"/>
        <w:right w:val="none" w:sz="0" w:space="0" w:color="auto"/>
      </w:divBdr>
    </w:div>
    <w:div w:id="1625848990">
      <w:bodyDiv w:val="1"/>
      <w:marLeft w:val="0"/>
      <w:marRight w:val="0"/>
      <w:marTop w:val="0"/>
      <w:marBottom w:val="0"/>
      <w:divBdr>
        <w:top w:val="none" w:sz="0" w:space="0" w:color="auto"/>
        <w:left w:val="none" w:sz="0" w:space="0" w:color="auto"/>
        <w:bottom w:val="none" w:sz="0" w:space="0" w:color="auto"/>
        <w:right w:val="none" w:sz="0" w:space="0" w:color="auto"/>
      </w:divBdr>
    </w:div>
    <w:div w:id="1632903202">
      <w:bodyDiv w:val="1"/>
      <w:marLeft w:val="0"/>
      <w:marRight w:val="0"/>
      <w:marTop w:val="0"/>
      <w:marBottom w:val="0"/>
      <w:divBdr>
        <w:top w:val="none" w:sz="0" w:space="0" w:color="auto"/>
        <w:left w:val="none" w:sz="0" w:space="0" w:color="auto"/>
        <w:bottom w:val="none" w:sz="0" w:space="0" w:color="auto"/>
        <w:right w:val="none" w:sz="0" w:space="0" w:color="auto"/>
      </w:divBdr>
    </w:div>
    <w:div w:id="1635136567">
      <w:bodyDiv w:val="1"/>
      <w:marLeft w:val="0"/>
      <w:marRight w:val="0"/>
      <w:marTop w:val="0"/>
      <w:marBottom w:val="0"/>
      <w:divBdr>
        <w:top w:val="none" w:sz="0" w:space="0" w:color="auto"/>
        <w:left w:val="none" w:sz="0" w:space="0" w:color="auto"/>
        <w:bottom w:val="none" w:sz="0" w:space="0" w:color="auto"/>
        <w:right w:val="none" w:sz="0" w:space="0" w:color="auto"/>
      </w:divBdr>
    </w:div>
    <w:div w:id="1662343881">
      <w:bodyDiv w:val="1"/>
      <w:marLeft w:val="0"/>
      <w:marRight w:val="0"/>
      <w:marTop w:val="0"/>
      <w:marBottom w:val="0"/>
      <w:divBdr>
        <w:top w:val="none" w:sz="0" w:space="0" w:color="auto"/>
        <w:left w:val="none" w:sz="0" w:space="0" w:color="auto"/>
        <w:bottom w:val="none" w:sz="0" w:space="0" w:color="auto"/>
        <w:right w:val="none" w:sz="0" w:space="0" w:color="auto"/>
      </w:divBdr>
    </w:div>
    <w:div w:id="1667829248">
      <w:bodyDiv w:val="1"/>
      <w:marLeft w:val="0"/>
      <w:marRight w:val="0"/>
      <w:marTop w:val="0"/>
      <w:marBottom w:val="0"/>
      <w:divBdr>
        <w:top w:val="none" w:sz="0" w:space="0" w:color="auto"/>
        <w:left w:val="none" w:sz="0" w:space="0" w:color="auto"/>
        <w:bottom w:val="none" w:sz="0" w:space="0" w:color="auto"/>
        <w:right w:val="none" w:sz="0" w:space="0" w:color="auto"/>
      </w:divBdr>
    </w:div>
    <w:div w:id="1675105037">
      <w:bodyDiv w:val="1"/>
      <w:marLeft w:val="0"/>
      <w:marRight w:val="0"/>
      <w:marTop w:val="0"/>
      <w:marBottom w:val="0"/>
      <w:divBdr>
        <w:top w:val="none" w:sz="0" w:space="0" w:color="auto"/>
        <w:left w:val="none" w:sz="0" w:space="0" w:color="auto"/>
        <w:bottom w:val="none" w:sz="0" w:space="0" w:color="auto"/>
        <w:right w:val="none" w:sz="0" w:space="0" w:color="auto"/>
      </w:divBdr>
    </w:div>
    <w:div w:id="1704550511">
      <w:bodyDiv w:val="1"/>
      <w:marLeft w:val="0"/>
      <w:marRight w:val="0"/>
      <w:marTop w:val="0"/>
      <w:marBottom w:val="0"/>
      <w:divBdr>
        <w:top w:val="none" w:sz="0" w:space="0" w:color="auto"/>
        <w:left w:val="none" w:sz="0" w:space="0" w:color="auto"/>
        <w:bottom w:val="none" w:sz="0" w:space="0" w:color="auto"/>
        <w:right w:val="none" w:sz="0" w:space="0" w:color="auto"/>
      </w:divBdr>
    </w:div>
    <w:div w:id="1709988078">
      <w:bodyDiv w:val="1"/>
      <w:marLeft w:val="0"/>
      <w:marRight w:val="0"/>
      <w:marTop w:val="0"/>
      <w:marBottom w:val="0"/>
      <w:divBdr>
        <w:top w:val="none" w:sz="0" w:space="0" w:color="auto"/>
        <w:left w:val="none" w:sz="0" w:space="0" w:color="auto"/>
        <w:bottom w:val="none" w:sz="0" w:space="0" w:color="auto"/>
        <w:right w:val="none" w:sz="0" w:space="0" w:color="auto"/>
      </w:divBdr>
    </w:div>
    <w:div w:id="1714500304">
      <w:bodyDiv w:val="1"/>
      <w:marLeft w:val="0"/>
      <w:marRight w:val="0"/>
      <w:marTop w:val="0"/>
      <w:marBottom w:val="0"/>
      <w:divBdr>
        <w:top w:val="none" w:sz="0" w:space="0" w:color="auto"/>
        <w:left w:val="none" w:sz="0" w:space="0" w:color="auto"/>
        <w:bottom w:val="none" w:sz="0" w:space="0" w:color="auto"/>
        <w:right w:val="none" w:sz="0" w:space="0" w:color="auto"/>
      </w:divBdr>
    </w:div>
    <w:div w:id="1726445870">
      <w:bodyDiv w:val="1"/>
      <w:marLeft w:val="0"/>
      <w:marRight w:val="0"/>
      <w:marTop w:val="0"/>
      <w:marBottom w:val="0"/>
      <w:divBdr>
        <w:top w:val="none" w:sz="0" w:space="0" w:color="auto"/>
        <w:left w:val="none" w:sz="0" w:space="0" w:color="auto"/>
        <w:bottom w:val="none" w:sz="0" w:space="0" w:color="auto"/>
        <w:right w:val="none" w:sz="0" w:space="0" w:color="auto"/>
      </w:divBdr>
    </w:div>
    <w:div w:id="1739981333">
      <w:bodyDiv w:val="1"/>
      <w:marLeft w:val="0"/>
      <w:marRight w:val="0"/>
      <w:marTop w:val="0"/>
      <w:marBottom w:val="0"/>
      <w:divBdr>
        <w:top w:val="none" w:sz="0" w:space="0" w:color="auto"/>
        <w:left w:val="none" w:sz="0" w:space="0" w:color="auto"/>
        <w:bottom w:val="none" w:sz="0" w:space="0" w:color="auto"/>
        <w:right w:val="none" w:sz="0" w:space="0" w:color="auto"/>
      </w:divBdr>
    </w:div>
    <w:div w:id="1782457158">
      <w:bodyDiv w:val="1"/>
      <w:marLeft w:val="0"/>
      <w:marRight w:val="0"/>
      <w:marTop w:val="0"/>
      <w:marBottom w:val="0"/>
      <w:divBdr>
        <w:top w:val="none" w:sz="0" w:space="0" w:color="auto"/>
        <w:left w:val="none" w:sz="0" w:space="0" w:color="auto"/>
        <w:bottom w:val="none" w:sz="0" w:space="0" w:color="auto"/>
        <w:right w:val="none" w:sz="0" w:space="0" w:color="auto"/>
      </w:divBdr>
    </w:div>
    <w:div w:id="1824927056">
      <w:bodyDiv w:val="1"/>
      <w:marLeft w:val="0"/>
      <w:marRight w:val="0"/>
      <w:marTop w:val="0"/>
      <w:marBottom w:val="0"/>
      <w:divBdr>
        <w:top w:val="none" w:sz="0" w:space="0" w:color="auto"/>
        <w:left w:val="none" w:sz="0" w:space="0" w:color="auto"/>
        <w:bottom w:val="none" w:sz="0" w:space="0" w:color="auto"/>
        <w:right w:val="none" w:sz="0" w:space="0" w:color="auto"/>
      </w:divBdr>
    </w:div>
    <w:div w:id="1825315648">
      <w:bodyDiv w:val="1"/>
      <w:marLeft w:val="0"/>
      <w:marRight w:val="0"/>
      <w:marTop w:val="0"/>
      <w:marBottom w:val="0"/>
      <w:divBdr>
        <w:top w:val="none" w:sz="0" w:space="0" w:color="auto"/>
        <w:left w:val="none" w:sz="0" w:space="0" w:color="auto"/>
        <w:bottom w:val="none" w:sz="0" w:space="0" w:color="auto"/>
        <w:right w:val="none" w:sz="0" w:space="0" w:color="auto"/>
      </w:divBdr>
    </w:div>
    <w:div w:id="1877236211">
      <w:bodyDiv w:val="1"/>
      <w:marLeft w:val="0"/>
      <w:marRight w:val="0"/>
      <w:marTop w:val="0"/>
      <w:marBottom w:val="0"/>
      <w:divBdr>
        <w:top w:val="none" w:sz="0" w:space="0" w:color="auto"/>
        <w:left w:val="none" w:sz="0" w:space="0" w:color="auto"/>
        <w:bottom w:val="none" w:sz="0" w:space="0" w:color="auto"/>
        <w:right w:val="none" w:sz="0" w:space="0" w:color="auto"/>
      </w:divBdr>
    </w:div>
    <w:div w:id="1879657826">
      <w:bodyDiv w:val="1"/>
      <w:marLeft w:val="0"/>
      <w:marRight w:val="0"/>
      <w:marTop w:val="0"/>
      <w:marBottom w:val="0"/>
      <w:divBdr>
        <w:top w:val="none" w:sz="0" w:space="0" w:color="auto"/>
        <w:left w:val="none" w:sz="0" w:space="0" w:color="auto"/>
        <w:bottom w:val="none" w:sz="0" w:space="0" w:color="auto"/>
        <w:right w:val="none" w:sz="0" w:space="0" w:color="auto"/>
      </w:divBdr>
    </w:div>
    <w:div w:id="1894735891">
      <w:bodyDiv w:val="1"/>
      <w:marLeft w:val="0"/>
      <w:marRight w:val="0"/>
      <w:marTop w:val="0"/>
      <w:marBottom w:val="0"/>
      <w:divBdr>
        <w:top w:val="none" w:sz="0" w:space="0" w:color="auto"/>
        <w:left w:val="none" w:sz="0" w:space="0" w:color="auto"/>
        <w:bottom w:val="none" w:sz="0" w:space="0" w:color="auto"/>
        <w:right w:val="none" w:sz="0" w:space="0" w:color="auto"/>
      </w:divBdr>
    </w:div>
    <w:div w:id="1943147414">
      <w:bodyDiv w:val="1"/>
      <w:marLeft w:val="0"/>
      <w:marRight w:val="0"/>
      <w:marTop w:val="0"/>
      <w:marBottom w:val="0"/>
      <w:divBdr>
        <w:top w:val="none" w:sz="0" w:space="0" w:color="auto"/>
        <w:left w:val="none" w:sz="0" w:space="0" w:color="auto"/>
        <w:bottom w:val="none" w:sz="0" w:space="0" w:color="auto"/>
        <w:right w:val="none" w:sz="0" w:space="0" w:color="auto"/>
      </w:divBdr>
    </w:div>
    <w:div w:id="1944067879">
      <w:bodyDiv w:val="1"/>
      <w:marLeft w:val="0"/>
      <w:marRight w:val="0"/>
      <w:marTop w:val="0"/>
      <w:marBottom w:val="0"/>
      <w:divBdr>
        <w:top w:val="none" w:sz="0" w:space="0" w:color="auto"/>
        <w:left w:val="none" w:sz="0" w:space="0" w:color="auto"/>
        <w:bottom w:val="none" w:sz="0" w:space="0" w:color="auto"/>
        <w:right w:val="none" w:sz="0" w:space="0" w:color="auto"/>
      </w:divBdr>
    </w:div>
    <w:div w:id="2016490642">
      <w:bodyDiv w:val="1"/>
      <w:marLeft w:val="0"/>
      <w:marRight w:val="0"/>
      <w:marTop w:val="0"/>
      <w:marBottom w:val="0"/>
      <w:divBdr>
        <w:top w:val="none" w:sz="0" w:space="0" w:color="auto"/>
        <w:left w:val="none" w:sz="0" w:space="0" w:color="auto"/>
        <w:bottom w:val="none" w:sz="0" w:space="0" w:color="auto"/>
        <w:right w:val="none" w:sz="0" w:space="0" w:color="auto"/>
      </w:divBdr>
    </w:div>
    <w:div w:id="2020307860">
      <w:bodyDiv w:val="1"/>
      <w:marLeft w:val="0"/>
      <w:marRight w:val="0"/>
      <w:marTop w:val="0"/>
      <w:marBottom w:val="0"/>
      <w:divBdr>
        <w:top w:val="none" w:sz="0" w:space="0" w:color="auto"/>
        <w:left w:val="none" w:sz="0" w:space="0" w:color="auto"/>
        <w:bottom w:val="none" w:sz="0" w:space="0" w:color="auto"/>
        <w:right w:val="none" w:sz="0" w:space="0" w:color="auto"/>
      </w:divBdr>
    </w:div>
    <w:div w:id="2032024240">
      <w:bodyDiv w:val="1"/>
      <w:marLeft w:val="0"/>
      <w:marRight w:val="0"/>
      <w:marTop w:val="0"/>
      <w:marBottom w:val="0"/>
      <w:divBdr>
        <w:top w:val="none" w:sz="0" w:space="0" w:color="auto"/>
        <w:left w:val="none" w:sz="0" w:space="0" w:color="auto"/>
        <w:bottom w:val="none" w:sz="0" w:space="0" w:color="auto"/>
        <w:right w:val="none" w:sz="0" w:space="0" w:color="auto"/>
      </w:divBdr>
    </w:div>
    <w:div w:id="2041398713">
      <w:bodyDiv w:val="1"/>
      <w:marLeft w:val="0"/>
      <w:marRight w:val="0"/>
      <w:marTop w:val="0"/>
      <w:marBottom w:val="0"/>
      <w:divBdr>
        <w:top w:val="none" w:sz="0" w:space="0" w:color="auto"/>
        <w:left w:val="none" w:sz="0" w:space="0" w:color="auto"/>
        <w:bottom w:val="none" w:sz="0" w:space="0" w:color="auto"/>
        <w:right w:val="none" w:sz="0" w:space="0" w:color="auto"/>
      </w:divBdr>
    </w:div>
    <w:div w:id="2088913264">
      <w:bodyDiv w:val="1"/>
      <w:marLeft w:val="0"/>
      <w:marRight w:val="0"/>
      <w:marTop w:val="0"/>
      <w:marBottom w:val="0"/>
      <w:divBdr>
        <w:top w:val="none" w:sz="0" w:space="0" w:color="auto"/>
        <w:left w:val="none" w:sz="0" w:space="0" w:color="auto"/>
        <w:bottom w:val="none" w:sz="0" w:space="0" w:color="auto"/>
        <w:right w:val="none" w:sz="0" w:space="0" w:color="auto"/>
      </w:divBdr>
    </w:div>
    <w:div w:id="2092772706">
      <w:bodyDiv w:val="1"/>
      <w:marLeft w:val="0"/>
      <w:marRight w:val="0"/>
      <w:marTop w:val="0"/>
      <w:marBottom w:val="0"/>
      <w:divBdr>
        <w:top w:val="none" w:sz="0" w:space="0" w:color="auto"/>
        <w:left w:val="none" w:sz="0" w:space="0" w:color="auto"/>
        <w:bottom w:val="none" w:sz="0" w:space="0" w:color="auto"/>
        <w:right w:val="none" w:sz="0" w:space="0" w:color="auto"/>
      </w:divBdr>
    </w:div>
    <w:div w:id="2093431888">
      <w:bodyDiv w:val="1"/>
      <w:marLeft w:val="0"/>
      <w:marRight w:val="0"/>
      <w:marTop w:val="0"/>
      <w:marBottom w:val="0"/>
      <w:divBdr>
        <w:top w:val="none" w:sz="0" w:space="0" w:color="auto"/>
        <w:left w:val="none" w:sz="0" w:space="0" w:color="auto"/>
        <w:bottom w:val="none" w:sz="0" w:space="0" w:color="auto"/>
        <w:right w:val="none" w:sz="0" w:space="0" w:color="auto"/>
      </w:divBdr>
    </w:div>
    <w:div w:id="2093506222">
      <w:bodyDiv w:val="1"/>
      <w:marLeft w:val="0"/>
      <w:marRight w:val="0"/>
      <w:marTop w:val="0"/>
      <w:marBottom w:val="0"/>
      <w:divBdr>
        <w:top w:val="none" w:sz="0" w:space="0" w:color="auto"/>
        <w:left w:val="none" w:sz="0" w:space="0" w:color="auto"/>
        <w:bottom w:val="none" w:sz="0" w:space="0" w:color="auto"/>
        <w:right w:val="none" w:sz="0" w:space="0" w:color="auto"/>
      </w:divBdr>
    </w:div>
    <w:div w:id="2131389541">
      <w:bodyDiv w:val="1"/>
      <w:marLeft w:val="0"/>
      <w:marRight w:val="0"/>
      <w:marTop w:val="0"/>
      <w:marBottom w:val="0"/>
      <w:divBdr>
        <w:top w:val="none" w:sz="0" w:space="0" w:color="auto"/>
        <w:left w:val="none" w:sz="0" w:space="0" w:color="auto"/>
        <w:bottom w:val="none" w:sz="0" w:space="0" w:color="auto"/>
        <w:right w:val="none" w:sz="0" w:space="0" w:color="auto"/>
      </w:divBdr>
    </w:div>
    <w:div w:id="2131588003">
      <w:bodyDiv w:val="1"/>
      <w:marLeft w:val="0"/>
      <w:marRight w:val="0"/>
      <w:marTop w:val="0"/>
      <w:marBottom w:val="0"/>
      <w:divBdr>
        <w:top w:val="none" w:sz="0" w:space="0" w:color="auto"/>
        <w:left w:val="none" w:sz="0" w:space="0" w:color="auto"/>
        <w:bottom w:val="none" w:sz="0" w:space="0" w:color="auto"/>
        <w:right w:val="none" w:sz="0" w:space="0" w:color="auto"/>
      </w:divBdr>
    </w:div>
    <w:div w:id="2134666408">
      <w:bodyDiv w:val="1"/>
      <w:marLeft w:val="0"/>
      <w:marRight w:val="0"/>
      <w:marTop w:val="0"/>
      <w:marBottom w:val="0"/>
      <w:divBdr>
        <w:top w:val="none" w:sz="0" w:space="0" w:color="auto"/>
        <w:left w:val="none" w:sz="0" w:space="0" w:color="auto"/>
        <w:bottom w:val="none" w:sz="0" w:space="0" w:color="auto"/>
        <w:right w:val="none" w:sz="0" w:space="0" w:color="auto"/>
      </w:divBdr>
    </w:div>
    <w:div w:id="2146970696">
      <w:bodyDiv w:val="1"/>
      <w:marLeft w:val="0"/>
      <w:marRight w:val="0"/>
      <w:marTop w:val="0"/>
      <w:marBottom w:val="0"/>
      <w:divBdr>
        <w:top w:val="none" w:sz="0" w:space="0" w:color="auto"/>
        <w:left w:val="none" w:sz="0" w:space="0" w:color="auto"/>
        <w:bottom w:val="none" w:sz="0" w:space="0" w:color="auto"/>
        <w:right w:val="none" w:sz="0" w:space="0" w:color="auto"/>
      </w:divBdr>
      <w:divsChild>
        <w:div w:id="55134203">
          <w:marLeft w:val="0"/>
          <w:marRight w:val="0"/>
          <w:marTop w:val="0"/>
          <w:marBottom w:val="0"/>
          <w:divBdr>
            <w:top w:val="none" w:sz="0" w:space="0" w:color="auto"/>
            <w:left w:val="none" w:sz="0" w:space="0" w:color="auto"/>
            <w:bottom w:val="none" w:sz="0" w:space="0" w:color="auto"/>
            <w:right w:val="none" w:sz="0" w:space="0" w:color="auto"/>
          </w:divBdr>
          <w:divsChild>
            <w:div w:id="186600280">
              <w:marLeft w:val="0"/>
              <w:marRight w:val="0"/>
              <w:marTop w:val="0"/>
              <w:marBottom w:val="0"/>
              <w:divBdr>
                <w:top w:val="none" w:sz="0" w:space="0" w:color="auto"/>
                <w:left w:val="none" w:sz="0" w:space="0" w:color="auto"/>
                <w:bottom w:val="none" w:sz="0" w:space="0" w:color="auto"/>
                <w:right w:val="none" w:sz="0" w:space="0" w:color="auto"/>
              </w:divBdr>
            </w:div>
          </w:divsChild>
        </w:div>
        <w:div w:id="57097910">
          <w:marLeft w:val="0"/>
          <w:marRight w:val="0"/>
          <w:marTop w:val="0"/>
          <w:marBottom w:val="0"/>
          <w:divBdr>
            <w:top w:val="none" w:sz="0" w:space="0" w:color="auto"/>
            <w:left w:val="none" w:sz="0" w:space="0" w:color="auto"/>
            <w:bottom w:val="none" w:sz="0" w:space="0" w:color="auto"/>
            <w:right w:val="none" w:sz="0" w:space="0" w:color="auto"/>
          </w:divBdr>
          <w:divsChild>
            <w:div w:id="228419728">
              <w:marLeft w:val="0"/>
              <w:marRight w:val="0"/>
              <w:marTop w:val="0"/>
              <w:marBottom w:val="0"/>
              <w:divBdr>
                <w:top w:val="none" w:sz="0" w:space="0" w:color="auto"/>
                <w:left w:val="none" w:sz="0" w:space="0" w:color="auto"/>
                <w:bottom w:val="none" w:sz="0" w:space="0" w:color="auto"/>
                <w:right w:val="none" w:sz="0" w:space="0" w:color="auto"/>
              </w:divBdr>
            </w:div>
          </w:divsChild>
        </w:div>
        <w:div w:id="62148614">
          <w:marLeft w:val="0"/>
          <w:marRight w:val="0"/>
          <w:marTop w:val="0"/>
          <w:marBottom w:val="0"/>
          <w:divBdr>
            <w:top w:val="none" w:sz="0" w:space="0" w:color="auto"/>
            <w:left w:val="none" w:sz="0" w:space="0" w:color="auto"/>
            <w:bottom w:val="none" w:sz="0" w:space="0" w:color="auto"/>
            <w:right w:val="none" w:sz="0" w:space="0" w:color="auto"/>
          </w:divBdr>
          <w:divsChild>
            <w:div w:id="47803623">
              <w:marLeft w:val="0"/>
              <w:marRight w:val="0"/>
              <w:marTop w:val="0"/>
              <w:marBottom w:val="0"/>
              <w:divBdr>
                <w:top w:val="none" w:sz="0" w:space="0" w:color="auto"/>
                <w:left w:val="none" w:sz="0" w:space="0" w:color="auto"/>
                <w:bottom w:val="none" w:sz="0" w:space="0" w:color="auto"/>
                <w:right w:val="none" w:sz="0" w:space="0" w:color="auto"/>
              </w:divBdr>
            </w:div>
          </w:divsChild>
        </w:div>
        <w:div w:id="72514965">
          <w:marLeft w:val="0"/>
          <w:marRight w:val="0"/>
          <w:marTop w:val="0"/>
          <w:marBottom w:val="0"/>
          <w:divBdr>
            <w:top w:val="none" w:sz="0" w:space="0" w:color="auto"/>
            <w:left w:val="none" w:sz="0" w:space="0" w:color="auto"/>
            <w:bottom w:val="none" w:sz="0" w:space="0" w:color="auto"/>
            <w:right w:val="none" w:sz="0" w:space="0" w:color="auto"/>
          </w:divBdr>
          <w:divsChild>
            <w:div w:id="1754543578">
              <w:marLeft w:val="0"/>
              <w:marRight w:val="0"/>
              <w:marTop w:val="0"/>
              <w:marBottom w:val="0"/>
              <w:divBdr>
                <w:top w:val="none" w:sz="0" w:space="0" w:color="auto"/>
                <w:left w:val="none" w:sz="0" w:space="0" w:color="auto"/>
                <w:bottom w:val="none" w:sz="0" w:space="0" w:color="auto"/>
                <w:right w:val="none" w:sz="0" w:space="0" w:color="auto"/>
              </w:divBdr>
            </w:div>
          </w:divsChild>
        </w:div>
        <w:div w:id="79495763">
          <w:marLeft w:val="0"/>
          <w:marRight w:val="0"/>
          <w:marTop w:val="0"/>
          <w:marBottom w:val="0"/>
          <w:divBdr>
            <w:top w:val="none" w:sz="0" w:space="0" w:color="auto"/>
            <w:left w:val="none" w:sz="0" w:space="0" w:color="auto"/>
            <w:bottom w:val="none" w:sz="0" w:space="0" w:color="auto"/>
            <w:right w:val="none" w:sz="0" w:space="0" w:color="auto"/>
          </w:divBdr>
          <w:divsChild>
            <w:div w:id="1381780315">
              <w:marLeft w:val="0"/>
              <w:marRight w:val="0"/>
              <w:marTop w:val="0"/>
              <w:marBottom w:val="0"/>
              <w:divBdr>
                <w:top w:val="none" w:sz="0" w:space="0" w:color="auto"/>
                <w:left w:val="none" w:sz="0" w:space="0" w:color="auto"/>
                <w:bottom w:val="none" w:sz="0" w:space="0" w:color="auto"/>
                <w:right w:val="none" w:sz="0" w:space="0" w:color="auto"/>
              </w:divBdr>
            </w:div>
          </w:divsChild>
        </w:div>
        <w:div w:id="127474278">
          <w:marLeft w:val="0"/>
          <w:marRight w:val="0"/>
          <w:marTop w:val="0"/>
          <w:marBottom w:val="0"/>
          <w:divBdr>
            <w:top w:val="none" w:sz="0" w:space="0" w:color="auto"/>
            <w:left w:val="none" w:sz="0" w:space="0" w:color="auto"/>
            <w:bottom w:val="none" w:sz="0" w:space="0" w:color="auto"/>
            <w:right w:val="none" w:sz="0" w:space="0" w:color="auto"/>
          </w:divBdr>
          <w:divsChild>
            <w:div w:id="6371712">
              <w:marLeft w:val="0"/>
              <w:marRight w:val="0"/>
              <w:marTop w:val="0"/>
              <w:marBottom w:val="0"/>
              <w:divBdr>
                <w:top w:val="none" w:sz="0" w:space="0" w:color="auto"/>
                <w:left w:val="none" w:sz="0" w:space="0" w:color="auto"/>
                <w:bottom w:val="none" w:sz="0" w:space="0" w:color="auto"/>
                <w:right w:val="none" w:sz="0" w:space="0" w:color="auto"/>
              </w:divBdr>
            </w:div>
          </w:divsChild>
        </w:div>
        <w:div w:id="134570483">
          <w:marLeft w:val="0"/>
          <w:marRight w:val="0"/>
          <w:marTop w:val="0"/>
          <w:marBottom w:val="0"/>
          <w:divBdr>
            <w:top w:val="none" w:sz="0" w:space="0" w:color="auto"/>
            <w:left w:val="none" w:sz="0" w:space="0" w:color="auto"/>
            <w:bottom w:val="none" w:sz="0" w:space="0" w:color="auto"/>
            <w:right w:val="none" w:sz="0" w:space="0" w:color="auto"/>
          </w:divBdr>
          <w:divsChild>
            <w:div w:id="1070350437">
              <w:marLeft w:val="0"/>
              <w:marRight w:val="0"/>
              <w:marTop w:val="0"/>
              <w:marBottom w:val="0"/>
              <w:divBdr>
                <w:top w:val="none" w:sz="0" w:space="0" w:color="auto"/>
                <w:left w:val="none" w:sz="0" w:space="0" w:color="auto"/>
                <w:bottom w:val="none" w:sz="0" w:space="0" w:color="auto"/>
                <w:right w:val="none" w:sz="0" w:space="0" w:color="auto"/>
              </w:divBdr>
            </w:div>
          </w:divsChild>
        </w:div>
        <w:div w:id="153886592">
          <w:marLeft w:val="0"/>
          <w:marRight w:val="0"/>
          <w:marTop w:val="0"/>
          <w:marBottom w:val="0"/>
          <w:divBdr>
            <w:top w:val="none" w:sz="0" w:space="0" w:color="auto"/>
            <w:left w:val="none" w:sz="0" w:space="0" w:color="auto"/>
            <w:bottom w:val="none" w:sz="0" w:space="0" w:color="auto"/>
            <w:right w:val="none" w:sz="0" w:space="0" w:color="auto"/>
          </w:divBdr>
          <w:divsChild>
            <w:div w:id="106587590">
              <w:marLeft w:val="0"/>
              <w:marRight w:val="0"/>
              <w:marTop w:val="0"/>
              <w:marBottom w:val="0"/>
              <w:divBdr>
                <w:top w:val="none" w:sz="0" w:space="0" w:color="auto"/>
                <w:left w:val="none" w:sz="0" w:space="0" w:color="auto"/>
                <w:bottom w:val="none" w:sz="0" w:space="0" w:color="auto"/>
                <w:right w:val="none" w:sz="0" w:space="0" w:color="auto"/>
              </w:divBdr>
            </w:div>
          </w:divsChild>
        </w:div>
        <w:div w:id="172696118">
          <w:marLeft w:val="0"/>
          <w:marRight w:val="0"/>
          <w:marTop w:val="0"/>
          <w:marBottom w:val="0"/>
          <w:divBdr>
            <w:top w:val="none" w:sz="0" w:space="0" w:color="auto"/>
            <w:left w:val="none" w:sz="0" w:space="0" w:color="auto"/>
            <w:bottom w:val="none" w:sz="0" w:space="0" w:color="auto"/>
            <w:right w:val="none" w:sz="0" w:space="0" w:color="auto"/>
          </w:divBdr>
          <w:divsChild>
            <w:div w:id="899098437">
              <w:marLeft w:val="0"/>
              <w:marRight w:val="0"/>
              <w:marTop w:val="0"/>
              <w:marBottom w:val="0"/>
              <w:divBdr>
                <w:top w:val="none" w:sz="0" w:space="0" w:color="auto"/>
                <w:left w:val="none" w:sz="0" w:space="0" w:color="auto"/>
                <w:bottom w:val="none" w:sz="0" w:space="0" w:color="auto"/>
                <w:right w:val="none" w:sz="0" w:space="0" w:color="auto"/>
              </w:divBdr>
            </w:div>
          </w:divsChild>
        </w:div>
        <w:div w:id="189954234">
          <w:marLeft w:val="0"/>
          <w:marRight w:val="0"/>
          <w:marTop w:val="0"/>
          <w:marBottom w:val="0"/>
          <w:divBdr>
            <w:top w:val="none" w:sz="0" w:space="0" w:color="auto"/>
            <w:left w:val="none" w:sz="0" w:space="0" w:color="auto"/>
            <w:bottom w:val="none" w:sz="0" w:space="0" w:color="auto"/>
            <w:right w:val="none" w:sz="0" w:space="0" w:color="auto"/>
          </w:divBdr>
          <w:divsChild>
            <w:div w:id="858079046">
              <w:marLeft w:val="0"/>
              <w:marRight w:val="0"/>
              <w:marTop w:val="0"/>
              <w:marBottom w:val="0"/>
              <w:divBdr>
                <w:top w:val="none" w:sz="0" w:space="0" w:color="auto"/>
                <w:left w:val="none" w:sz="0" w:space="0" w:color="auto"/>
                <w:bottom w:val="none" w:sz="0" w:space="0" w:color="auto"/>
                <w:right w:val="none" w:sz="0" w:space="0" w:color="auto"/>
              </w:divBdr>
            </w:div>
          </w:divsChild>
        </w:div>
        <w:div w:id="213931596">
          <w:marLeft w:val="0"/>
          <w:marRight w:val="0"/>
          <w:marTop w:val="0"/>
          <w:marBottom w:val="0"/>
          <w:divBdr>
            <w:top w:val="none" w:sz="0" w:space="0" w:color="auto"/>
            <w:left w:val="none" w:sz="0" w:space="0" w:color="auto"/>
            <w:bottom w:val="none" w:sz="0" w:space="0" w:color="auto"/>
            <w:right w:val="none" w:sz="0" w:space="0" w:color="auto"/>
          </w:divBdr>
          <w:divsChild>
            <w:div w:id="1453593728">
              <w:marLeft w:val="0"/>
              <w:marRight w:val="0"/>
              <w:marTop w:val="0"/>
              <w:marBottom w:val="0"/>
              <w:divBdr>
                <w:top w:val="none" w:sz="0" w:space="0" w:color="auto"/>
                <w:left w:val="none" w:sz="0" w:space="0" w:color="auto"/>
                <w:bottom w:val="none" w:sz="0" w:space="0" w:color="auto"/>
                <w:right w:val="none" w:sz="0" w:space="0" w:color="auto"/>
              </w:divBdr>
            </w:div>
          </w:divsChild>
        </w:div>
        <w:div w:id="220555620">
          <w:marLeft w:val="0"/>
          <w:marRight w:val="0"/>
          <w:marTop w:val="0"/>
          <w:marBottom w:val="0"/>
          <w:divBdr>
            <w:top w:val="none" w:sz="0" w:space="0" w:color="auto"/>
            <w:left w:val="none" w:sz="0" w:space="0" w:color="auto"/>
            <w:bottom w:val="none" w:sz="0" w:space="0" w:color="auto"/>
            <w:right w:val="none" w:sz="0" w:space="0" w:color="auto"/>
          </w:divBdr>
          <w:divsChild>
            <w:div w:id="181625993">
              <w:marLeft w:val="0"/>
              <w:marRight w:val="0"/>
              <w:marTop w:val="0"/>
              <w:marBottom w:val="0"/>
              <w:divBdr>
                <w:top w:val="none" w:sz="0" w:space="0" w:color="auto"/>
                <w:left w:val="none" w:sz="0" w:space="0" w:color="auto"/>
                <w:bottom w:val="none" w:sz="0" w:space="0" w:color="auto"/>
                <w:right w:val="none" w:sz="0" w:space="0" w:color="auto"/>
              </w:divBdr>
            </w:div>
          </w:divsChild>
        </w:div>
        <w:div w:id="221982589">
          <w:marLeft w:val="0"/>
          <w:marRight w:val="0"/>
          <w:marTop w:val="0"/>
          <w:marBottom w:val="0"/>
          <w:divBdr>
            <w:top w:val="none" w:sz="0" w:space="0" w:color="auto"/>
            <w:left w:val="none" w:sz="0" w:space="0" w:color="auto"/>
            <w:bottom w:val="none" w:sz="0" w:space="0" w:color="auto"/>
            <w:right w:val="none" w:sz="0" w:space="0" w:color="auto"/>
          </w:divBdr>
          <w:divsChild>
            <w:div w:id="1455710185">
              <w:marLeft w:val="0"/>
              <w:marRight w:val="0"/>
              <w:marTop w:val="0"/>
              <w:marBottom w:val="0"/>
              <w:divBdr>
                <w:top w:val="none" w:sz="0" w:space="0" w:color="auto"/>
                <w:left w:val="none" w:sz="0" w:space="0" w:color="auto"/>
                <w:bottom w:val="none" w:sz="0" w:space="0" w:color="auto"/>
                <w:right w:val="none" w:sz="0" w:space="0" w:color="auto"/>
              </w:divBdr>
            </w:div>
          </w:divsChild>
        </w:div>
        <w:div w:id="263853718">
          <w:marLeft w:val="0"/>
          <w:marRight w:val="0"/>
          <w:marTop w:val="0"/>
          <w:marBottom w:val="0"/>
          <w:divBdr>
            <w:top w:val="none" w:sz="0" w:space="0" w:color="auto"/>
            <w:left w:val="none" w:sz="0" w:space="0" w:color="auto"/>
            <w:bottom w:val="none" w:sz="0" w:space="0" w:color="auto"/>
            <w:right w:val="none" w:sz="0" w:space="0" w:color="auto"/>
          </w:divBdr>
          <w:divsChild>
            <w:div w:id="935871870">
              <w:marLeft w:val="0"/>
              <w:marRight w:val="0"/>
              <w:marTop w:val="0"/>
              <w:marBottom w:val="0"/>
              <w:divBdr>
                <w:top w:val="none" w:sz="0" w:space="0" w:color="auto"/>
                <w:left w:val="none" w:sz="0" w:space="0" w:color="auto"/>
                <w:bottom w:val="none" w:sz="0" w:space="0" w:color="auto"/>
                <w:right w:val="none" w:sz="0" w:space="0" w:color="auto"/>
              </w:divBdr>
            </w:div>
          </w:divsChild>
        </w:div>
        <w:div w:id="291521044">
          <w:marLeft w:val="0"/>
          <w:marRight w:val="0"/>
          <w:marTop w:val="0"/>
          <w:marBottom w:val="0"/>
          <w:divBdr>
            <w:top w:val="none" w:sz="0" w:space="0" w:color="auto"/>
            <w:left w:val="none" w:sz="0" w:space="0" w:color="auto"/>
            <w:bottom w:val="none" w:sz="0" w:space="0" w:color="auto"/>
            <w:right w:val="none" w:sz="0" w:space="0" w:color="auto"/>
          </w:divBdr>
          <w:divsChild>
            <w:div w:id="302198017">
              <w:marLeft w:val="0"/>
              <w:marRight w:val="0"/>
              <w:marTop w:val="0"/>
              <w:marBottom w:val="0"/>
              <w:divBdr>
                <w:top w:val="none" w:sz="0" w:space="0" w:color="auto"/>
                <w:left w:val="none" w:sz="0" w:space="0" w:color="auto"/>
                <w:bottom w:val="none" w:sz="0" w:space="0" w:color="auto"/>
                <w:right w:val="none" w:sz="0" w:space="0" w:color="auto"/>
              </w:divBdr>
            </w:div>
          </w:divsChild>
        </w:div>
        <w:div w:id="368066444">
          <w:marLeft w:val="0"/>
          <w:marRight w:val="0"/>
          <w:marTop w:val="0"/>
          <w:marBottom w:val="0"/>
          <w:divBdr>
            <w:top w:val="none" w:sz="0" w:space="0" w:color="auto"/>
            <w:left w:val="none" w:sz="0" w:space="0" w:color="auto"/>
            <w:bottom w:val="none" w:sz="0" w:space="0" w:color="auto"/>
            <w:right w:val="none" w:sz="0" w:space="0" w:color="auto"/>
          </w:divBdr>
          <w:divsChild>
            <w:div w:id="372733507">
              <w:marLeft w:val="0"/>
              <w:marRight w:val="0"/>
              <w:marTop w:val="0"/>
              <w:marBottom w:val="0"/>
              <w:divBdr>
                <w:top w:val="none" w:sz="0" w:space="0" w:color="auto"/>
                <w:left w:val="none" w:sz="0" w:space="0" w:color="auto"/>
                <w:bottom w:val="none" w:sz="0" w:space="0" w:color="auto"/>
                <w:right w:val="none" w:sz="0" w:space="0" w:color="auto"/>
              </w:divBdr>
            </w:div>
          </w:divsChild>
        </w:div>
        <w:div w:id="369035925">
          <w:marLeft w:val="0"/>
          <w:marRight w:val="0"/>
          <w:marTop w:val="0"/>
          <w:marBottom w:val="0"/>
          <w:divBdr>
            <w:top w:val="none" w:sz="0" w:space="0" w:color="auto"/>
            <w:left w:val="none" w:sz="0" w:space="0" w:color="auto"/>
            <w:bottom w:val="none" w:sz="0" w:space="0" w:color="auto"/>
            <w:right w:val="none" w:sz="0" w:space="0" w:color="auto"/>
          </w:divBdr>
          <w:divsChild>
            <w:div w:id="41296902">
              <w:marLeft w:val="0"/>
              <w:marRight w:val="0"/>
              <w:marTop w:val="0"/>
              <w:marBottom w:val="0"/>
              <w:divBdr>
                <w:top w:val="none" w:sz="0" w:space="0" w:color="auto"/>
                <w:left w:val="none" w:sz="0" w:space="0" w:color="auto"/>
                <w:bottom w:val="none" w:sz="0" w:space="0" w:color="auto"/>
                <w:right w:val="none" w:sz="0" w:space="0" w:color="auto"/>
              </w:divBdr>
            </w:div>
          </w:divsChild>
        </w:div>
        <w:div w:id="383018996">
          <w:marLeft w:val="0"/>
          <w:marRight w:val="0"/>
          <w:marTop w:val="0"/>
          <w:marBottom w:val="0"/>
          <w:divBdr>
            <w:top w:val="none" w:sz="0" w:space="0" w:color="auto"/>
            <w:left w:val="none" w:sz="0" w:space="0" w:color="auto"/>
            <w:bottom w:val="none" w:sz="0" w:space="0" w:color="auto"/>
            <w:right w:val="none" w:sz="0" w:space="0" w:color="auto"/>
          </w:divBdr>
          <w:divsChild>
            <w:div w:id="1883319206">
              <w:marLeft w:val="0"/>
              <w:marRight w:val="0"/>
              <w:marTop w:val="0"/>
              <w:marBottom w:val="0"/>
              <w:divBdr>
                <w:top w:val="none" w:sz="0" w:space="0" w:color="auto"/>
                <w:left w:val="none" w:sz="0" w:space="0" w:color="auto"/>
                <w:bottom w:val="none" w:sz="0" w:space="0" w:color="auto"/>
                <w:right w:val="none" w:sz="0" w:space="0" w:color="auto"/>
              </w:divBdr>
            </w:div>
          </w:divsChild>
        </w:div>
        <w:div w:id="429473015">
          <w:marLeft w:val="0"/>
          <w:marRight w:val="0"/>
          <w:marTop w:val="0"/>
          <w:marBottom w:val="0"/>
          <w:divBdr>
            <w:top w:val="none" w:sz="0" w:space="0" w:color="auto"/>
            <w:left w:val="none" w:sz="0" w:space="0" w:color="auto"/>
            <w:bottom w:val="none" w:sz="0" w:space="0" w:color="auto"/>
            <w:right w:val="none" w:sz="0" w:space="0" w:color="auto"/>
          </w:divBdr>
          <w:divsChild>
            <w:div w:id="837961847">
              <w:marLeft w:val="0"/>
              <w:marRight w:val="0"/>
              <w:marTop w:val="0"/>
              <w:marBottom w:val="0"/>
              <w:divBdr>
                <w:top w:val="none" w:sz="0" w:space="0" w:color="auto"/>
                <w:left w:val="none" w:sz="0" w:space="0" w:color="auto"/>
                <w:bottom w:val="none" w:sz="0" w:space="0" w:color="auto"/>
                <w:right w:val="none" w:sz="0" w:space="0" w:color="auto"/>
              </w:divBdr>
            </w:div>
          </w:divsChild>
        </w:div>
        <w:div w:id="469782893">
          <w:marLeft w:val="0"/>
          <w:marRight w:val="0"/>
          <w:marTop w:val="0"/>
          <w:marBottom w:val="0"/>
          <w:divBdr>
            <w:top w:val="none" w:sz="0" w:space="0" w:color="auto"/>
            <w:left w:val="none" w:sz="0" w:space="0" w:color="auto"/>
            <w:bottom w:val="none" w:sz="0" w:space="0" w:color="auto"/>
            <w:right w:val="none" w:sz="0" w:space="0" w:color="auto"/>
          </w:divBdr>
          <w:divsChild>
            <w:div w:id="684133471">
              <w:marLeft w:val="0"/>
              <w:marRight w:val="0"/>
              <w:marTop w:val="0"/>
              <w:marBottom w:val="0"/>
              <w:divBdr>
                <w:top w:val="none" w:sz="0" w:space="0" w:color="auto"/>
                <w:left w:val="none" w:sz="0" w:space="0" w:color="auto"/>
                <w:bottom w:val="none" w:sz="0" w:space="0" w:color="auto"/>
                <w:right w:val="none" w:sz="0" w:space="0" w:color="auto"/>
              </w:divBdr>
            </w:div>
          </w:divsChild>
        </w:div>
        <w:div w:id="477843141">
          <w:marLeft w:val="0"/>
          <w:marRight w:val="0"/>
          <w:marTop w:val="0"/>
          <w:marBottom w:val="0"/>
          <w:divBdr>
            <w:top w:val="none" w:sz="0" w:space="0" w:color="auto"/>
            <w:left w:val="none" w:sz="0" w:space="0" w:color="auto"/>
            <w:bottom w:val="none" w:sz="0" w:space="0" w:color="auto"/>
            <w:right w:val="none" w:sz="0" w:space="0" w:color="auto"/>
          </w:divBdr>
          <w:divsChild>
            <w:div w:id="2024623120">
              <w:marLeft w:val="0"/>
              <w:marRight w:val="0"/>
              <w:marTop w:val="0"/>
              <w:marBottom w:val="0"/>
              <w:divBdr>
                <w:top w:val="none" w:sz="0" w:space="0" w:color="auto"/>
                <w:left w:val="none" w:sz="0" w:space="0" w:color="auto"/>
                <w:bottom w:val="none" w:sz="0" w:space="0" w:color="auto"/>
                <w:right w:val="none" w:sz="0" w:space="0" w:color="auto"/>
              </w:divBdr>
            </w:div>
          </w:divsChild>
        </w:div>
        <w:div w:id="525827573">
          <w:marLeft w:val="0"/>
          <w:marRight w:val="0"/>
          <w:marTop w:val="0"/>
          <w:marBottom w:val="0"/>
          <w:divBdr>
            <w:top w:val="none" w:sz="0" w:space="0" w:color="auto"/>
            <w:left w:val="none" w:sz="0" w:space="0" w:color="auto"/>
            <w:bottom w:val="none" w:sz="0" w:space="0" w:color="auto"/>
            <w:right w:val="none" w:sz="0" w:space="0" w:color="auto"/>
          </w:divBdr>
          <w:divsChild>
            <w:div w:id="1076054632">
              <w:marLeft w:val="0"/>
              <w:marRight w:val="0"/>
              <w:marTop w:val="0"/>
              <w:marBottom w:val="0"/>
              <w:divBdr>
                <w:top w:val="none" w:sz="0" w:space="0" w:color="auto"/>
                <w:left w:val="none" w:sz="0" w:space="0" w:color="auto"/>
                <w:bottom w:val="none" w:sz="0" w:space="0" w:color="auto"/>
                <w:right w:val="none" w:sz="0" w:space="0" w:color="auto"/>
              </w:divBdr>
            </w:div>
          </w:divsChild>
        </w:div>
        <w:div w:id="546379120">
          <w:marLeft w:val="0"/>
          <w:marRight w:val="0"/>
          <w:marTop w:val="0"/>
          <w:marBottom w:val="0"/>
          <w:divBdr>
            <w:top w:val="none" w:sz="0" w:space="0" w:color="auto"/>
            <w:left w:val="none" w:sz="0" w:space="0" w:color="auto"/>
            <w:bottom w:val="none" w:sz="0" w:space="0" w:color="auto"/>
            <w:right w:val="none" w:sz="0" w:space="0" w:color="auto"/>
          </w:divBdr>
          <w:divsChild>
            <w:div w:id="154535066">
              <w:marLeft w:val="0"/>
              <w:marRight w:val="0"/>
              <w:marTop w:val="0"/>
              <w:marBottom w:val="0"/>
              <w:divBdr>
                <w:top w:val="none" w:sz="0" w:space="0" w:color="auto"/>
                <w:left w:val="none" w:sz="0" w:space="0" w:color="auto"/>
                <w:bottom w:val="none" w:sz="0" w:space="0" w:color="auto"/>
                <w:right w:val="none" w:sz="0" w:space="0" w:color="auto"/>
              </w:divBdr>
            </w:div>
          </w:divsChild>
        </w:div>
        <w:div w:id="551158926">
          <w:marLeft w:val="0"/>
          <w:marRight w:val="0"/>
          <w:marTop w:val="0"/>
          <w:marBottom w:val="0"/>
          <w:divBdr>
            <w:top w:val="none" w:sz="0" w:space="0" w:color="auto"/>
            <w:left w:val="none" w:sz="0" w:space="0" w:color="auto"/>
            <w:bottom w:val="none" w:sz="0" w:space="0" w:color="auto"/>
            <w:right w:val="none" w:sz="0" w:space="0" w:color="auto"/>
          </w:divBdr>
          <w:divsChild>
            <w:div w:id="1669675486">
              <w:marLeft w:val="0"/>
              <w:marRight w:val="0"/>
              <w:marTop w:val="0"/>
              <w:marBottom w:val="0"/>
              <w:divBdr>
                <w:top w:val="none" w:sz="0" w:space="0" w:color="auto"/>
                <w:left w:val="none" w:sz="0" w:space="0" w:color="auto"/>
                <w:bottom w:val="none" w:sz="0" w:space="0" w:color="auto"/>
                <w:right w:val="none" w:sz="0" w:space="0" w:color="auto"/>
              </w:divBdr>
            </w:div>
          </w:divsChild>
        </w:div>
        <w:div w:id="575556740">
          <w:marLeft w:val="0"/>
          <w:marRight w:val="0"/>
          <w:marTop w:val="0"/>
          <w:marBottom w:val="0"/>
          <w:divBdr>
            <w:top w:val="none" w:sz="0" w:space="0" w:color="auto"/>
            <w:left w:val="none" w:sz="0" w:space="0" w:color="auto"/>
            <w:bottom w:val="none" w:sz="0" w:space="0" w:color="auto"/>
            <w:right w:val="none" w:sz="0" w:space="0" w:color="auto"/>
          </w:divBdr>
          <w:divsChild>
            <w:div w:id="425537443">
              <w:marLeft w:val="0"/>
              <w:marRight w:val="0"/>
              <w:marTop w:val="0"/>
              <w:marBottom w:val="0"/>
              <w:divBdr>
                <w:top w:val="none" w:sz="0" w:space="0" w:color="auto"/>
                <w:left w:val="none" w:sz="0" w:space="0" w:color="auto"/>
                <w:bottom w:val="none" w:sz="0" w:space="0" w:color="auto"/>
                <w:right w:val="none" w:sz="0" w:space="0" w:color="auto"/>
              </w:divBdr>
            </w:div>
          </w:divsChild>
        </w:div>
        <w:div w:id="631325374">
          <w:marLeft w:val="0"/>
          <w:marRight w:val="0"/>
          <w:marTop w:val="0"/>
          <w:marBottom w:val="0"/>
          <w:divBdr>
            <w:top w:val="none" w:sz="0" w:space="0" w:color="auto"/>
            <w:left w:val="none" w:sz="0" w:space="0" w:color="auto"/>
            <w:bottom w:val="none" w:sz="0" w:space="0" w:color="auto"/>
            <w:right w:val="none" w:sz="0" w:space="0" w:color="auto"/>
          </w:divBdr>
          <w:divsChild>
            <w:div w:id="2069448680">
              <w:marLeft w:val="0"/>
              <w:marRight w:val="0"/>
              <w:marTop w:val="0"/>
              <w:marBottom w:val="0"/>
              <w:divBdr>
                <w:top w:val="none" w:sz="0" w:space="0" w:color="auto"/>
                <w:left w:val="none" w:sz="0" w:space="0" w:color="auto"/>
                <w:bottom w:val="none" w:sz="0" w:space="0" w:color="auto"/>
                <w:right w:val="none" w:sz="0" w:space="0" w:color="auto"/>
              </w:divBdr>
            </w:div>
          </w:divsChild>
        </w:div>
        <w:div w:id="654450697">
          <w:marLeft w:val="0"/>
          <w:marRight w:val="0"/>
          <w:marTop w:val="0"/>
          <w:marBottom w:val="0"/>
          <w:divBdr>
            <w:top w:val="none" w:sz="0" w:space="0" w:color="auto"/>
            <w:left w:val="none" w:sz="0" w:space="0" w:color="auto"/>
            <w:bottom w:val="none" w:sz="0" w:space="0" w:color="auto"/>
            <w:right w:val="none" w:sz="0" w:space="0" w:color="auto"/>
          </w:divBdr>
          <w:divsChild>
            <w:div w:id="1097946185">
              <w:marLeft w:val="0"/>
              <w:marRight w:val="0"/>
              <w:marTop w:val="0"/>
              <w:marBottom w:val="0"/>
              <w:divBdr>
                <w:top w:val="none" w:sz="0" w:space="0" w:color="auto"/>
                <w:left w:val="none" w:sz="0" w:space="0" w:color="auto"/>
                <w:bottom w:val="none" w:sz="0" w:space="0" w:color="auto"/>
                <w:right w:val="none" w:sz="0" w:space="0" w:color="auto"/>
              </w:divBdr>
            </w:div>
          </w:divsChild>
        </w:div>
        <w:div w:id="725952582">
          <w:marLeft w:val="0"/>
          <w:marRight w:val="0"/>
          <w:marTop w:val="0"/>
          <w:marBottom w:val="0"/>
          <w:divBdr>
            <w:top w:val="none" w:sz="0" w:space="0" w:color="auto"/>
            <w:left w:val="none" w:sz="0" w:space="0" w:color="auto"/>
            <w:bottom w:val="none" w:sz="0" w:space="0" w:color="auto"/>
            <w:right w:val="none" w:sz="0" w:space="0" w:color="auto"/>
          </w:divBdr>
          <w:divsChild>
            <w:div w:id="1110049253">
              <w:marLeft w:val="0"/>
              <w:marRight w:val="0"/>
              <w:marTop w:val="0"/>
              <w:marBottom w:val="0"/>
              <w:divBdr>
                <w:top w:val="none" w:sz="0" w:space="0" w:color="auto"/>
                <w:left w:val="none" w:sz="0" w:space="0" w:color="auto"/>
                <w:bottom w:val="none" w:sz="0" w:space="0" w:color="auto"/>
                <w:right w:val="none" w:sz="0" w:space="0" w:color="auto"/>
              </w:divBdr>
            </w:div>
          </w:divsChild>
        </w:div>
        <w:div w:id="763914908">
          <w:marLeft w:val="0"/>
          <w:marRight w:val="0"/>
          <w:marTop w:val="0"/>
          <w:marBottom w:val="0"/>
          <w:divBdr>
            <w:top w:val="none" w:sz="0" w:space="0" w:color="auto"/>
            <w:left w:val="none" w:sz="0" w:space="0" w:color="auto"/>
            <w:bottom w:val="none" w:sz="0" w:space="0" w:color="auto"/>
            <w:right w:val="none" w:sz="0" w:space="0" w:color="auto"/>
          </w:divBdr>
          <w:divsChild>
            <w:div w:id="1354765111">
              <w:marLeft w:val="0"/>
              <w:marRight w:val="0"/>
              <w:marTop w:val="0"/>
              <w:marBottom w:val="0"/>
              <w:divBdr>
                <w:top w:val="none" w:sz="0" w:space="0" w:color="auto"/>
                <w:left w:val="none" w:sz="0" w:space="0" w:color="auto"/>
                <w:bottom w:val="none" w:sz="0" w:space="0" w:color="auto"/>
                <w:right w:val="none" w:sz="0" w:space="0" w:color="auto"/>
              </w:divBdr>
            </w:div>
          </w:divsChild>
        </w:div>
        <w:div w:id="788473048">
          <w:marLeft w:val="0"/>
          <w:marRight w:val="0"/>
          <w:marTop w:val="0"/>
          <w:marBottom w:val="0"/>
          <w:divBdr>
            <w:top w:val="none" w:sz="0" w:space="0" w:color="auto"/>
            <w:left w:val="none" w:sz="0" w:space="0" w:color="auto"/>
            <w:bottom w:val="none" w:sz="0" w:space="0" w:color="auto"/>
            <w:right w:val="none" w:sz="0" w:space="0" w:color="auto"/>
          </w:divBdr>
          <w:divsChild>
            <w:div w:id="1018849492">
              <w:marLeft w:val="0"/>
              <w:marRight w:val="0"/>
              <w:marTop w:val="0"/>
              <w:marBottom w:val="0"/>
              <w:divBdr>
                <w:top w:val="none" w:sz="0" w:space="0" w:color="auto"/>
                <w:left w:val="none" w:sz="0" w:space="0" w:color="auto"/>
                <w:bottom w:val="none" w:sz="0" w:space="0" w:color="auto"/>
                <w:right w:val="none" w:sz="0" w:space="0" w:color="auto"/>
              </w:divBdr>
            </w:div>
          </w:divsChild>
        </w:div>
        <w:div w:id="790443809">
          <w:marLeft w:val="0"/>
          <w:marRight w:val="0"/>
          <w:marTop w:val="0"/>
          <w:marBottom w:val="0"/>
          <w:divBdr>
            <w:top w:val="none" w:sz="0" w:space="0" w:color="auto"/>
            <w:left w:val="none" w:sz="0" w:space="0" w:color="auto"/>
            <w:bottom w:val="none" w:sz="0" w:space="0" w:color="auto"/>
            <w:right w:val="none" w:sz="0" w:space="0" w:color="auto"/>
          </w:divBdr>
          <w:divsChild>
            <w:div w:id="260987725">
              <w:marLeft w:val="0"/>
              <w:marRight w:val="0"/>
              <w:marTop w:val="0"/>
              <w:marBottom w:val="0"/>
              <w:divBdr>
                <w:top w:val="none" w:sz="0" w:space="0" w:color="auto"/>
                <w:left w:val="none" w:sz="0" w:space="0" w:color="auto"/>
                <w:bottom w:val="none" w:sz="0" w:space="0" w:color="auto"/>
                <w:right w:val="none" w:sz="0" w:space="0" w:color="auto"/>
              </w:divBdr>
            </w:div>
          </w:divsChild>
        </w:div>
        <w:div w:id="832524578">
          <w:marLeft w:val="0"/>
          <w:marRight w:val="0"/>
          <w:marTop w:val="0"/>
          <w:marBottom w:val="0"/>
          <w:divBdr>
            <w:top w:val="none" w:sz="0" w:space="0" w:color="auto"/>
            <w:left w:val="none" w:sz="0" w:space="0" w:color="auto"/>
            <w:bottom w:val="none" w:sz="0" w:space="0" w:color="auto"/>
            <w:right w:val="none" w:sz="0" w:space="0" w:color="auto"/>
          </w:divBdr>
          <w:divsChild>
            <w:div w:id="1331568203">
              <w:marLeft w:val="0"/>
              <w:marRight w:val="0"/>
              <w:marTop w:val="0"/>
              <w:marBottom w:val="0"/>
              <w:divBdr>
                <w:top w:val="none" w:sz="0" w:space="0" w:color="auto"/>
                <w:left w:val="none" w:sz="0" w:space="0" w:color="auto"/>
                <w:bottom w:val="none" w:sz="0" w:space="0" w:color="auto"/>
                <w:right w:val="none" w:sz="0" w:space="0" w:color="auto"/>
              </w:divBdr>
            </w:div>
          </w:divsChild>
        </w:div>
        <w:div w:id="833305620">
          <w:marLeft w:val="0"/>
          <w:marRight w:val="0"/>
          <w:marTop w:val="0"/>
          <w:marBottom w:val="0"/>
          <w:divBdr>
            <w:top w:val="none" w:sz="0" w:space="0" w:color="auto"/>
            <w:left w:val="none" w:sz="0" w:space="0" w:color="auto"/>
            <w:bottom w:val="none" w:sz="0" w:space="0" w:color="auto"/>
            <w:right w:val="none" w:sz="0" w:space="0" w:color="auto"/>
          </w:divBdr>
          <w:divsChild>
            <w:div w:id="195629078">
              <w:marLeft w:val="0"/>
              <w:marRight w:val="0"/>
              <w:marTop w:val="0"/>
              <w:marBottom w:val="0"/>
              <w:divBdr>
                <w:top w:val="none" w:sz="0" w:space="0" w:color="auto"/>
                <w:left w:val="none" w:sz="0" w:space="0" w:color="auto"/>
                <w:bottom w:val="none" w:sz="0" w:space="0" w:color="auto"/>
                <w:right w:val="none" w:sz="0" w:space="0" w:color="auto"/>
              </w:divBdr>
            </w:div>
          </w:divsChild>
        </w:div>
        <w:div w:id="836187038">
          <w:marLeft w:val="0"/>
          <w:marRight w:val="0"/>
          <w:marTop w:val="0"/>
          <w:marBottom w:val="0"/>
          <w:divBdr>
            <w:top w:val="none" w:sz="0" w:space="0" w:color="auto"/>
            <w:left w:val="none" w:sz="0" w:space="0" w:color="auto"/>
            <w:bottom w:val="none" w:sz="0" w:space="0" w:color="auto"/>
            <w:right w:val="none" w:sz="0" w:space="0" w:color="auto"/>
          </w:divBdr>
          <w:divsChild>
            <w:div w:id="748500106">
              <w:marLeft w:val="0"/>
              <w:marRight w:val="0"/>
              <w:marTop w:val="0"/>
              <w:marBottom w:val="0"/>
              <w:divBdr>
                <w:top w:val="none" w:sz="0" w:space="0" w:color="auto"/>
                <w:left w:val="none" w:sz="0" w:space="0" w:color="auto"/>
                <w:bottom w:val="none" w:sz="0" w:space="0" w:color="auto"/>
                <w:right w:val="none" w:sz="0" w:space="0" w:color="auto"/>
              </w:divBdr>
            </w:div>
          </w:divsChild>
        </w:div>
        <w:div w:id="848914362">
          <w:marLeft w:val="0"/>
          <w:marRight w:val="0"/>
          <w:marTop w:val="0"/>
          <w:marBottom w:val="0"/>
          <w:divBdr>
            <w:top w:val="none" w:sz="0" w:space="0" w:color="auto"/>
            <w:left w:val="none" w:sz="0" w:space="0" w:color="auto"/>
            <w:bottom w:val="none" w:sz="0" w:space="0" w:color="auto"/>
            <w:right w:val="none" w:sz="0" w:space="0" w:color="auto"/>
          </w:divBdr>
          <w:divsChild>
            <w:div w:id="1759985526">
              <w:marLeft w:val="0"/>
              <w:marRight w:val="0"/>
              <w:marTop w:val="0"/>
              <w:marBottom w:val="0"/>
              <w:divBdr>
                <w:top w:val="none" w:sz="0" w:space="0" w:color="auto"/>
                <w:left w:val="none" w:sz="0" w:space="0" w:color="auto"/>
                <w:bottom w:val="none" w:sz="0" w:space="0" w:color="auto"/>
                <w:right w:val="none" w:sz="0" w:space="0" w:color="auto"/>
              </w:divBdr>
            </w:div>
          </w:divsChild>
        </w:div>
        <w:div w:id="879048504">
          <w:marLeft w:val="0"/>
          <w:marRight w:val="0"/>
          <w:marTop w:val="0"/>
          <w:marBottom w:val="0"/>
          <w:divBdr>
            <w:top w:val="none" w:sz="0" w:space="0" w:color="auto"/>
            <w:left w:val="none" w:sz="0" w:space="0" w:color="auto"/>
            <w:bottom w:val="none" w:sz="0" w:space="0" w:color="auto"/>
            <w:right w:val="none" w:sz="0" w:space="0" w:color="auto"/>
          </w:divBdr>
          <w:divsChild>
            <w:div w:id="1658075358">
              <w:marLeft w:val="0"/>
              <w:marRight w:val="0"/>
              <w:marTop w:val="0"/>
              <w:marBottom w:val="0"/>
              <w:divBdr>
                <w:top w:val="none" w:sz="0" w:space="0" w:color="auto"/>
                <w:left w:val="none" w:sz="0" w:space="0" w:color="auto"/>
                <w:bottom w:val="none" w:sz="0" w:space="0" w:color="auto"/>
                <w:right w:val="none" w:sz="0" w:space="0" w:color="auto"/>
              </w:divBdr>
            </w:div>
          </w:divsChild>
        </w:div>
        <w:div w:id="887882503">
          <w:marLeft w:val="0"/>
          <w:marRight w:val="0"/>
          <w:marTop w:val="0"/>
          <w:marBottom w:val="0"/>
          <w:divBdr>
            <w:top w:val="none" w:sz="0" w:space="0" w:color="auto"/>
            <w:left w:val="none" w:sz="0" w:space="0" w:color="auto"/>
            <w:bottom w:val="none" w:sz="0" w:space="0" w:color="auto"/>
            <w:right w:val="none" w:sz="0" w:space="0" w:color="auto"/>
          </w:divBdr>
          <w:divsChild>
            <w:div w:id="1627546432">
              <w:marLeft w:val="0"/>
              <w:marRight w:val="0"/>
              <w:marTop w:val="0"/>
              <w:marBottom w:val="0"/>
              <w:divBdr>
                <w:top w:val="none" w:sz="0" w:space="0" w:color="auto"/>
                <w:left w:val="none" w:sz="0" w:space="0" w:color="auto"/>
                <w:bottom w:val="none" w:sz="0" w:space="0" w:color="auto"/>
                <w:right w:val="none" w:sz="0" w:space="0" w:color="auto"/>
              </w:divBdr>
            </w:div>
          </w:divsChild>
        </w:div>
        <w:div w:id="960960973">
          <w:marLeft w:val="0"/>
          <w:marRight w:val="0"/>
          <w:marTop w:val="0"/>
          <w:marBottom w:val="0"/>
          <w:divBdr>
            <w:top w:val="none" w:sz="0" w:space="0" w:color="auto"/>
            <w:left w:val="none" w:sz="0" w:space="0" w:color="auto"/>
            <w:bottom w:val="none" w:sz="0" w:space="0" w:color="auto"/>
            <w:right w:val="none" w:sz="0" w:space="0" w:color="auto"/>
          </w:divBdr>
          <w:divsChild>
            <w:div w:id="1240945147">
              <w:marLeft w:val="0"/>
              <w:marRight w:val="0"/>
              <w:marTop w:val="0"/>
              <w:marBottom w:val="0"/>
              <w:divBdr>
                <w:top w:val="none" w:sz="0" w:space="0" w:color="auto"/>
                <w:left w:val="none" w:sz="0" w:space="0" w:color="auto"/>
                <w:bottom w:val="none" w:sz="0" w:space="0" w:color="auto"/>
                <w:right w:val="none" w:sz="0" w:space="0" w:color="auto"/>
              </w:divBdr>
            </w:div>
          </w:divsChild>
        </w:div>
        <w:div w:id="966859402">
          <w:marLeft w:val="0"/>
          <w:marRight w:val="0"/>
          <w:marTop w:val="0"/>
          <w:marBottom w:val="0"/>
          <w:divBdr>
            <w:top w:val="none" w:sz="0" w:space="0" w:color="auto"/>
            <w:left w:val="none" w:sz="0" w:space="0" w:color="auto"/>
            <w:bottom w:val="none" w:sz="0" w:space="0" w:color="auto"/>
            <w:right w:val="none" w:sz="0" w:space="0" w:color="auto"/>
          </w:divBdr>
          <w:divsChild>
            <w:div w:id="362831957">
              <w:marLeft w:val="0"/>
              <w:marRight w:val="0"/>
              <w:marTop w:val="0"/>
              <w:marBottom w:val="0"/>
              <w:divBdr>
                <w:top w:val="none" w:sz="0" w:space="0" w:color="auto"/>
                <w:left w:val="none" w:sz="0" w:space="0" w:color="auto"/>
                <w:bottom w:val="none" w:sz="0" w:space="0" w:color="auto"/>
                <w:right w:val="none" w:sz="0" w:space="0" w:color="auto"/>
              </w:divBdr>
            </w:div>
          </w:divsChild>
        </w:div>
        <w:div w:id="974062153">
          <w:marLeft w:val="0"/>
          <w:marRight w:val="0"/>
          <w:marTop w:val="0"/>
          <w:marBottom w:val="0"/>
          <w:divBdr>
            <w:top w:val="none" w:sz="0" w:space="0" w:color="auto"/>
            <w:left w:val="none" w:sz="0" w:space="0" w:color="auto"/>
            <w:bottom w:val="none" w:sz="0" w:space="0" w:color="auto"/>
            <w:right w:val="none" w:sz="0" w:space="0" w:color="auto"/>
          </w:divBdr>
          <w:divsChild>
            <w:div w:id="267658447">
              <w:marLeft w:val="0"/>
              <w:marRight w:val="0"/>
              <w:marTop w:val="0"/>
              <w:marBottom w:val="0"/>
              <w:divBdr>
                <w:top w:val="none" w:sz="0" w:space="0" w:color="auto"/>
                <w:left w:val="none" w:sz="0" w:space="0" w:color="auto"/>
                <w:bottom w:val="none" w:sz="0" w:space="0" w:color="auto"/>
                <w:right w:val="none" w:sz="0" w:space="0" w:color="auto"/>
              </w:divBdr>
            </w:div>
          </w:divsChild>
        </w:div>
        <w:div w:id="1028987777">
          <w:marLeft w:val="0"/>
          <w:marRight w:val="0"/>
          <w:marTop w:val="0"/>
          <w:marBottom w:val="0"/>
          <w:divBdr>
            <w:top w:val="none" w:sz="0" w:space="0" w:color="auto"/>
            <w:left w:val="none" w:sz="0" w:space="0" w:color="auto"/>
            <w:bottom w:val="none" w:sz="0" w:space="0" w:color="auto"/>
            <w:right w:val="none" w:sz="0" w:space="0" w:color="auto"/>
          </w:divBdr>
          <w:divsChild>
            <w:div w:id="1464614434">
              <w:marLeft w:val="0"/>
              <w:marRight w:val="0"/>
              <w:marTop w:val="0"/>
              <w:marBottom w:val="0"/>
              <w:divBdr>
                <w:top w:val="none" w:sz="0" w:space="0" w:color="auto"/>
                <w:left w:val="none" w:sz="0" w:space="0" w:color="auto"/>
                <w:bottom w:val="none" w:sz="0" w:space="0" w:color="auto"/>
                <w:right w:val="none" w:sz="0" w:space="0" w:color="auto"/>
              </w:divBdr>
            </w:div>
          </w:divsChild>
        </w:div>
        <w:div w:id="1099906818">
          <w:marLeft w:val="0"/>
          <w:marRight w:val="0"/>
          <w:marTop w:val="0"/>
          <w:marBottom w:val="0"/>
          <w:divBdr>
            <w:top w:val="none" w:sz="0" w:space="0" w:color="auto"/>
            <w:left w:val="none" w:sz="0" w:space="0" w:color="auto"/>
            <w:bottom w:val="none" w:sz="0" w:space="0" w:color="auto"/>
            <w:right w:val="none" w:sz="0" w:space="0" w:color="auto"/>
          </w:divBdr>
          <w:divsChild>
            <w:div w:id="101531631">
              <w:marLeft w:val="0"/>
              <w:marRight w:val="0"/>
              <w:marTop w:val="0"/>
              <w:marBottom w:val="0"/>
              <w:divBdr>
                <w:top w:val="none" w:sz="0" w:space="0" w:color="auto"/>
                <w:left w:val="none" w:sz="0" w:space="0" w:color="auto"/>
                <w:bottom w:val="none" w:sz="0" w:space="0" w:color="auto"/>
                <w:right w:val="none" w:sz="0" w:space="0" w:color="auto"/>
              </w:divBdr>
            </w:div>
          </w:divsChild>
        </w:div>
        <w:div w:id="1120224480">
          <w:marLeft w:val="0"/>
          <w:marRight w:val="0"/>
          <w:marTop w:val="0"/>
          <w:marBottom w:val="0"/>
          <w:divBdr>
            <w:top w:val="none" w:sz="0" w:space="0" w:color="auto"/>
            <w:left w:val="none" w:sz="0" w:space="0" w:color="auto"/>
            <w:bottom w:val="none" w:sz="0" w:space="0" w:color="auto"/>
            <w:right w:val="none" w:sz="0" w:space="0" w:color="auto"/>
          </w:divBdr>
          <w:divsChild>
            <w:div w:id="1714690315">
              <w:marLeft w:val="0"/>
              <w:marRight w:val="0"/>
              <w:marTop w:val="0"/>
              <w:marBottom w:val="0"/>
              <w:divBdr>
                <w:top w:val="none" w:sz="0" w:space="0" w:color="auto"/>
                <w:left w:val="none" w:sz="0" w:space="0" w:color="auto"/>
                <w:bottom w:val="none" w:sz="0" w:space="0" w:color="auto"/>
                <w:right w:val="none" w:sz="0" w:space="0" w:color="auto"/>
              </w:divBdr>
            </w:div>
          </w:divsChild>
        </w:div>
        <w:div w:id="1122846924">
          <w:marLeft w:val="0"/>
          <w:marRight w:val="0"/>
          <w:marTop w:val="0"/>
          <w:marBottom w:val="0"/>
          <w:divBdr>
            <w:top w:val="none" w:sz="0" w:space="0" w:color="auto"/>
            <w:left w:val="none" w:sz="0" w:space="0" w:color="auto"/>
            <w:bottom w:val="none" w:sz="0" w:space="0" w:color="auto"/>
            <w:right w:val="none" w:sz="0" w:space="0" w:color="auto"/>
          </w:divBdr>
          <w:divsChild>
            <w:div w:id="1807432960">
              <w:marLeft w:val="0"/>
              <w:marRight w:val="0"/>
              <w:marTop w:val="0"/>
              <w:marBottom w:val="0"/>
              <w:divBdr>
                <w:top w:val="none" w:sz="0" w:space="0" w:color="auto"/>
                <w:left w:val="none" w:sz="0" w:space="0" w:color="auto"/>
                <w:bottom w:val="none" w:sz="0" w:space="0" w:color="auto"/>
                <w:right w:val="none" w:sz="0" w:space="0" w:color="auto"/>
              </w:divBdr>
            </w:div>
          </w:divsChild>
        </w:div>
        <w:div w:id="1123379621">
          <w:marLeft w:val="0"/>
          <w:marRight w:val="0"/>
          <w:marTop w:val="0"/>
          <w:marBottom w:val="0"/>
          <w:divBdr>
            <w:top w:val="none" w:sz="0" w:space="0" w:color="auto"/>
            <w:left w:val="none" w:sz="0" w:space="0" w:color="auto"/>
            <w:bottom w:val="none" w:sz="0" w:space="0" w:color="auto"/>
            <w:right w:val="none" w:sz="0" w:space="0" w:color="auto"/>
          </w:divBdr>
          <w:divsChild>
            <w:div w:id="1401097338">
              <w:marLeft w:val="0"/>
              <w:marRight w:val="0"/>
              <w:marTop w:val="0"/>
              <w:marBottom w:val="0"/>
              <w:divBdr>
                <w:top w:val="none" w:sz="0" w:space="0" w:color="auto"/>
                <w:left w:val="none" w:sz="0" w:space="0" w:color="auto"/>
                <w:bottom w:val="none" w:sz="0" w:space="0" w:color="auto"/>
                <w:right w:val="none" w:sz="0" w:space="0" w:color="auto"/>
              </w:divBdr>
            </w:div>
          </w:divsChild>
        </w:div>
        <w:div w:id="1125271163">
          <w:marLeft w:val="0"/>
          <w:marRight w:val="0"/>
          <w:marTop w:val="0"/>
          <w:marBottom w:val="0"/>
          <w:divBdr>
            <w:top w:val="none" w:sz="0" w:space="0" w:color="auto"/>
            <w:left w:val="none" w:sz="0" w:space="0" w:color="auto"/>
            <w:bottom w:val="none" w:sz="0" w:space="0" w:color="auto"/>
            <w:right w:val="none" w:sz="0" w:space="0" w:color="auto"/>
          </w:divBdr>
          <w:divsChild>
            <w:div w:id="1296183221">
              <w:marLeft w:val="0"/>
              <w:marRight w:val="0"/>
              <w:marTop w:val="0"/>
              <w:marBottom w:val="0"/>
              <w:divBdr>
                <w:top w:val="none" w:sz="0" w:space="0" w:color="auto"/>
                <w:left w:val="none" w:sz="0" w:space="0" w:color="auto"/>
                <w:bottom w:val="none" w:sz="0" w:space="0" w:color="auto"/>
                <w:right w:val="none" w:sz="0" w:space="0" w:color="auto"/>
              </w:divBdr>
            </w:div>
          </w:divsChild>
        </w:div>
        <w:div w:id="1135760176">
          <w:marLeft w:val="0"/>
          <w:marRight w:val="0"/>
          <w:marTop w:val="0"/>
          <w:marBottom w:val="0"/>
          <w:divBdr>
            <w:top w:val="none" w:sz="0" w:space="0" w:color="auto"/>
            <w:left w:val="none" w:sz="0" w:space="0" w:color="auto"/>
            <w:bottom w:val="none" w:sz="0" w:space="0" w:color="auto"/>
            <w:right w:val="none" w:sz="0" w:space="0" w:color="auto"/>
          </w:divBdr>
          <w:divsChild>
            <w:div w:id="597637456">
              <w:marLeft w:val="0"/>
              <w:marRight w:val="0"/>
              <w:marTop w:val="0"/>
              <w:marBottom w:val="0"/>
              <w:divBdr>
                <w:top w:val="none" w:sz="0" w:space="0" w:color="auto"/>
                <w:left w:val="none" w:sz="0" w:space="0" w:color="auto"/>
                <w:bottom w:val="none" w:sz="0" w:space="0" w:color="auto"/>
                <w:right w:val="none" w:sz="0" w:space="0" w:color="auto"/>
              </w:divBdr>
            </w:div>
          </w:divsChild>
        </w:div>
        <w:div w:id="1137187067">
          <w:marLeft w:val="0"/>
          <w:marRight w:val="0"/>
          <w:marTop w:val="0"/>
          <w:marBottom w:val="0"/>
          <w:divBdr>
            <w:top w:val="none" w:sz="0" w:space="0" w:color="auto"/>
            <w:left w:val="none" w:sz="0" w:space="0" w:color="auto"/>
            <w:bottom w:val="none" w:sz="0" w:space="0" w:color="auto"/>
            <w:right w:val="none" w:sz="0" w:space="0" w:color="auto"/>
          </w:divBdr>
          <w:divsChild>
            <w:div w:id="1600092747">
              <w:marLeft w:val="0"/>
              <w:marRight w:val="0"/>
              <w:marTop w:val="0"/>
              <w:marBottom w:val="0"/>
              <w:divBdr>
                <w:top w:val="none" w:sz="0" w:space="0" w:color="auto"/>
                <w:left w:val="none" w:sz="0" w:space="0" w:color="auto"/>
                <w:bottom w:val="none" w:sz="0" w:space="0" w:color="auto"/>
                <w:right w:val="none" w:sz="0" w:space="0" w:color="auto"/>
              </w:divBdr>
            </w:div>
          </w:divsChild>
        </w:div>
        <w:div w:id="1201164257">
          <w:marLeft w:val="0"/>
          <w:marRight w:val="0"/>
          <w:marTop w:val="0"/>
          <w:marBottom w:val="0"/>
          <w:divBdr>
            <w:top w:val="none" w:sz="0" w:space="0" w:color="auto"/>
            <w:left w:val="none" w:sz="0" w:space="0" w:color="auto"/>
            <w:bottom w:val="none" w:sz="0" w:space="0" w:color="auto"/>
            <w:right w:val="none" w:sz="0" w:space="0" w:color="auto"/>
          </w:divBdr>
          <w:divsChild>
            <w:div w:id="1730496122">
              <w:marLeft w:val="0"/>
              <w:marRight w:val="0"/>
              <w:marTop w:val="0"/>
              <w:marBottom w:val="0"/>
              <w:divBdr>
                <w:top w:val="none" w:sz="0" w:space="0" w:color="auto"/>
                <w:left w:val="none" w:sz="0" w:space="0" w:color="auto"/>
                <w:bottom w:val="none" w:sz="0" w:space="0" w:color="auto"/>
                <w:right w:val="none" w:sz="0" w:space="0" w:color="auto"/>
              </w:divBdr>
            </w:div>
          </w:divsChild>
        </w:div>
        <w:div w:id="1216308465">
          <w:marLeft w:val="0"/>
          <w:marRight w:val="0"/>
          <w:marTop w:val="0"/>
          <w:marBottom w:val="0"/>
          <w:divBdr>
            <w:top w:val="none" w:sz="0" w:space="0" w:color="auto"/>
            <w:left w:val="none" w:sz="0" w:space="0" w:color="auto"/>
            <w:bottom w:val="none" w:sz="0" w:space="0" w:color="auto"/>
            <w:right w:val="none" w:sz="0" w:space="0" w:color="auto"/>
          </w:divBdr>
          <w:divsChild>
            <w:div w:id="762608887">
              <w:marLeft w:val="0"/>
              <w:marRight w:val="0"/>
              <w:marTop w:val="0"/>
              <w:marBottom w:val="0"/>
              <w:divBdr>
                <w:top w:val="none" w:sz="0" w:space="0" w:color="auto"/>
                <w:left w:val="none" w:sz="0" w:space="0" w:color="auto"/>
                <w:bottom w:val="none" w:sz="0" w:space="0" w:color="auto"/>
                <w:right w:val="none" w:sz="0" w:space="0" w:color="auto"/>
              </w:divBdr>
            </w:div>
          </w:divsChild>
        </w:div>
        <w:div w:id="1217859649">
          <w:marLeft w:val="0"/>
          <w:marRight w:val="0"/>
          <w:marTop w:val="0"/>
          <w:marBottom w:val="0"/>
          <w:divBdr>
            <w:top w:val="none" w:sz="0" w:space="0" w:color="auto"/>
            <w:left w:val="none" w:sz="0" w:space="0" w:color="auto"/>
            <w:bottom w:val="none" w:sz="0" w:space="0" w:color="auto"/>
            <w:right w:val="none" w:sz="0" w:space="0" w:color="auto"/>
          </w:divBdr>
          <w:divsChild>
            <w:div w:id="449589740">
              <w:marLeft w:val="0"/>
              <w:marRight w:val="0"/>
              <w:marTop w:val="0"/>
              <w:marBottom w:val="0"/>
              <w:divBdr>
                <w:top w:val="none" w:sz="0" w:space="0" w:color="auto"/>
                <w:left w:val="none" w:sz="0" w:space="0" w:color="auto"/>
                <w:bottom w:val="none" w:sz="0" w:space="0" w:color="auto"/>
                <w:right w:val="none" w:sz="0" w:space="0" w:color="auto"/>
              </w:divBdr>
            </w:div>
          </w:divsChild>
        </w:div>
        <w:div w:id="1238982468">
          <w:marLeft w:val="0"/>
          <w:marRight w:val="0"/>
          <w:marTop w:val="0"/>
          <w:marBottom w:val="0"/>
          <w:divBdr>
            <w:top w:val="none" w:sz="0" w:space="0" w:color="auto"/>
            <w:left w:val="none" w:sz="0" w:space="0" w:color="auto"/>
            <w:bottom w:val="none" w:sz="0" w:space="0" w:color="auto"/>
            <w:right w:val="none" w:sz="0" w:space="0" w:color="auto"/>
          </w:divBdr>
          <w:divsChild>
            <w:div w:id="159581827">
              <w:marLeft w:val="0"/>
              <w:marRight w:val="0"/>
              <w:marTop w:val="0"/>
              <w:marBottom w:val="0"/>
              <w:divBdr>
                <w:top w:val="none" w:sz="0" w:space="0" w:color="auto"/>
                <w:left w:val="none" w:sz="0" w:space="0" w:color="auto"/>
                <w:bottom w:val="none" w:sz="0" w:space="0" w:color="auto"/>
                <w:right w:val="none" w:sz="0" w:space="0" w:color="auto"/>
              </w:divBdr>
            </w:div>
          </w:divsChild>
        </w:div>
        <w:div w:id="1264605597">
          <w:marLeft w:val="0"/>
          <w:marRight w:val="0"/>
          <w:marTop w:val="0"/>
          <w:marBottom w:val="0"/>
          <w:divBdr>
            <w:top w:val="none" w:sz="0" w:space="0" w:color="auto"/>
            <w:left w:val="none" w:sz="0" w:space="0" w:color="auto"/>
            <w:bottom w:val="none" w:sz="0" w:space="0" w:color="auto"/>
            <w:right w:val="none" w:sz="0" w:space="0" w:color="auto"/>
          </w:divBdr>
          <w:divsChild>
            <w:div w:id="2050106009">
              <w:marLeft w:val="0"/>
              <w:marRight w:val="0"/>
              <w:marTop w:val="0"/>
              <w:marBottom w:val="0"/>
              <w:divBdr>
                <w:top w:val="none" w:sz="0" w:space="0" w:color="auto"/>
                <w:left w:val="none" w:sz="0" w:space="0" w:color="auto"/>
                <w:bottom w:val="none" w:sz="0" w:space="0" w:color="auto"/>
                <w:right w:val="none" w:sz="0" w:space="0" w:color="auto"/>
              </w:divBdr>
            </w:div>
          </w:divsChild>
        </w:div>
        <w:div w:id="1293832132">
          <w:marLeft w:val="0"/>
          <w:marRight w:val="0"/>
          <w:marTop w:val="0"/>
          <w:marBottom w:val="0"/>
          <w:divBdr>
            <w:top w:val="none" w:sz="0" w:space="0" w:color="auto"/>
            <w:left w:val="none" w:sz="0" w:space="0" w:color="auto"/>
            <w:bottom w:val="none" w:sz="0" w:space="0" w:color="auto"/>
            <w:right w:val="none" w:sz="0" w:space="0" w:color="auto"/>
          </w:divBdr>
          <w:divsChild>
            <w:div w:id="734548052">
              <w:marLeft w:val="0"/>
              <w:marRight w:val="0"/>
              <w:marTop w:val="0"/>
              <w:marBottom w:val="0"/>
              <w:divBdr>
                <w:top w:val="none" w:sz="0" w:space="0" w:color="auto"/>
                <w:left w:val="none" w:sz="0" w:space="0" w:color="auto"/>
                <w:bottom w:val="none" w:sz="0" w:space="0" w:color="auto"/>
                <w:right w:val="none" w:sz="0" w:space="0" w:color="auto"/>
              </w:divBdr>
            </w:div>
          </w:divsChild>
        </w:div>
        <w:div w:id="1299382991">
          <w:marLeft w:val="0"/>
          <w:marRight w:val="0"/>
          <w:marTop w:val="0"/>
          <w:marBottom w:val="0"/>
          <w:divBdr>
            <w:top w:val="none" w:sz="0" w:space="0" w:color="auto"/>
            <w:left w:val="none" w:sz="0" w:space="0" w:color="auto"/>
            <w:bottom w:val="none" w:sz="0" w:space="0" w:color="auto"/>
            <w:right w:val="none" w:sz="0" w:space="0" w:color="auto"/>
          </w:divBdr>
          <w:divsChild>
            <w:div w:id="1478915062">
              <w:marLeft w:val="0"/>
              <w:marRight w:val="0"/>
              <w:marTop w:val="0"/>
              <w:marBottom w:val="0"/>
              <w:divBdr>
                <w:top w:val="none" w:sz="0" w:space="0" w:color="auto"/>
                <w:left w:val="none" w:sz="0" w:space="0" w:color="auto"/>
                <w:bottom w:val="none" w:sz="0" w:space="0" w:color="auto"/>
                <w:right w:val="none" w:sz="0" w:space="0" w:color="auto"/>
              </w:divBdr>
            </w:div>
          </w:divsChild>
        </w:div>
        <w:div w:id="1316644206">
          <w:marLeft w:val="0"/>
          <w:marRight w:val="0"/>
          <w:marTop w:val="0"/>
          <w:marBottom w:val="0"/>
          <w:divBdr>
            <w:top w:val="none" w:sz="0" w:space="0" w:color="auto"/>
            <w:left w:val="none" w:sz="0" w:space="0" w:color="auto"/>
            <w:bottom w:val="none" w:sz="0" w:space="0" w:color="auto"/>
            <w:right w:val="none" w:sz="0" w:space="0" w:color="auto"/>
          </w:divBdr>
          <w:divsChild>
            <w:div w:id="1474516843">
              <w:marLeft w:val="0"/>
              <w:marRight w:val="0"/>
              <w:marTop w:val="0"/>
              <w:marBottom w:val="0"/>
              <w:divBdr>
                <w:top w:val="none" w:sz="0" w:space="0" w:color="auto"/>
                <w:left w:val="none" w:sz="0" w:space="0" w:color="auto"/>
                <w:bottom w:val="none" w:sz="0" w:space="0" w:color="auto"/>
                <w:right w:val="none" w:sz="0" w:space="0" w:color="auto"/>
              </w:divBdr>
            </w:div>
          </w:divsChild>
        </w:div>
        <w:div w:id="1320115574">
          <w:marLeft w:val="0"/>
          <w:marRight w:val="0"/>
          <w:marTop w:val="0"/>
          <w:marBottom w:val="0"/>
          <w:divBdr>
            <w:top w:val="none" w:sz="0" w:space="0" w:color="auto"/>
            <w:left w:val="none" w:sz="0" w:space="0" w:color="auto"/>
            <w:bottom w:val="none" w:sz="0" w:space="0" w:color="auto"/>
            <w:right w:val="none" w:sz="0" w:space="0" w:color="auto"/>
          </w:divBdr>
          <w:divsChild>
            <w:div w:id="570577307">
              <w:marLeft w:val="0"/>
              <w:marRight w:val="0"/>
              <w:marTop w:val="0"/>
              <w:marBottom w:val="0"/>
              <w:divBdr>
                <w:top w:val="none" w:sz="0" w:space="0" w:color="auto"/>
                <w:left w:val="none" w:sz="0" w:space="0" w:color="auto"/>
                <w:bottom w:val="none" w:sz="0" w:space="0" w:color="auto"/>
                <w:right w:val="none" w:sz="0" w:space="0" w:color="auto"/>
              </w:divBdr>
            </w:div>
          </w:divsChild>
        </w:div>
        <w:div w:id="1363050472">
          <w:marLeft w:val="0"/>
          <w:marRight w:val="0"/>
          <w:marTop w:val="0"/>
          <w:marBottom w:val="0"/>
          <w:divBdr>
            <w:top w:val="none" w:sz="0" w:space="0" w:color="auto"/>
            <w:left w:val="none" w:sz="0" w:space="0" w:color="auto"/>
            <w:bottom w:val="none" w:sz="0" w:space="0" w:color="auto"/>
            <w:right w:val="none" w:sz="0" w:space="0" w:color="auto"/>
          </w:divBdr>
          <w:divsChild>
            <w:div w:id="549004252">
              <w:marLeft w:val="0"/>
              <w:marRight w:val="0"/>
              <w:marTop w:val="0"/>
              <w:marBottom w:val="0"/>
              <w:divBdr>
                <w:top w:val="none" w:sz="0" w:space="0" w:color="auto"/>
                <w:left w:val="none" w:sz="0" w:space="0" w:color="auto"/>
                <w:bottom w:val="none" w:sz="0" w:space="0" w:color="auto"/>
                <w:right w:val="none" w:sz="0" w:space="0" w:color="auto"/>
              </w:divBdr>
            </w:div>
          </w:divsChild>
        </w:div>
        <w:div w:id="1372994238">
          <w:marLeft w:val="0"/>
          <w:marRight w:val="0"/>
          <w:marTop w:val="0"/>
          <w:marBottom w:val="0"/>
          <w:divBdr>
            <w:top w:val="none" w:sz="0" w:space="0" w:color="auto"/>
            <w:left w:val="none" w:sz="0" w:space="0" w:color="auto"/>
            <w:bottom w:val="none" w:sz="0" w:space="0" w:color="auto"/>
            <w:right w:val="none" w:sz="0" w:space="0" w:color="auto"/>
          </w:divBdr>
          <w:divsChild>
            <w:div w:id="221252114">
              <w:marLeft w:val="0"/>
              <w:marRight w:val="0"/>
              <w:marTop w:val="0"/>
              <w:marBottom w:val="0"/>
              <w:divBdr>
                <w:top w:val="none" w:sz="0" w:space="0" w:color="auto"/>
                <w:left w:val="none" w:sz="0" w:space="0" w:color="auto"/>
                <w:bottom w:val="none" w:sz="0" w:space="0" w:color="auto"/>
                <w:right w:val="none" w:sz="0" w:space="0" w:color="auto"/>
              </w:divBdr>
            </w:div>
          </w:divsChild>
        </w:div>
        <w:div w:id="1411348656">
          <w:marLeft w:val="0"/>
          <w:marRight w:val="0"/>
          <w:marTop w:val="0"/>
          <w:marBottom w:val="0"/>
          <w:divBdr>
            <w:top w:val="none" w:sz="0" w:space="0" w:color="auto"/>
            <w:left w:val="none" w:sz="0" w:space="0" w:color="auto"/>
            <w:bottom w:val="none" w:sz="0" w:space="0" w:color="auto"/>
            <w:right w:val="none" w:sz="0" w:space="0" w:color="auto"/>
          </w:divBdr>
          <w:divsChild>
            <w:div w:id="676810316">
              <w:marLeft w:val="0"/>
              <w:marRight w:val="0"/>
              <w:marTop w:val="0"/>
              <w:marBottom w:val="0"/>
              <w:divBdr>
                <w:top w:val="none" w:sz="0" w:space="0" w:color="auto"/>
                <w:left w:val="none" w:sz="0" w:space="0" w:color="auto"/>
                <w:bottom w:val="none" w:sz="0" w:space="0" w:color="auto"/>
                <w:right w:val="none" w:sz="0" w:space="0" w:color="auto"/>
              </w:divBdr>
            </w:div>
          </w:divsChild>
        </w:div>
        <w:div w:id="1414548617">
          <w:marLeft w:val="0"/>
          <w:marRight w:val="0"/>
          <w:marTop w:val="0"/>
          <w:marBottom w:val="0"/>
          <w:divBdr>
            <w:top w:val="none" w:sz="0" w:space="0" w:color="auto"/>
            <w:left w:val="none" w:sz="0" w:space="0" w:color="auto"/>
            <w:bottom w:val="none" w:sz="0" w:space="0" w:color="auto"/>
            <w:right w:val="none" w:sz="0" w:space="0" w:color="auto"/>
          </w:divBdr>
          <w:divsChild>
            <w:div w:id="924385689">
              <w:marLeft w:val="0"/>
              <w:marRight w:val="0"/>
              <w:marTop w:val="0"/>
              <w:marBottom w:val="0"/>
              <w:divBdr>
                <w:top w:val="none" w:sz="0" w:space="0" w:color="auto"/>
                <w:left w:val="none" w:sz="0" w:space="0" w:color="auto"/>
                <w:bottom w:val="none" w:sz="0" w:space="0" w:color="auto"/>
                <w:right w:val="none" w:sz="0" w:space="0" w:color="auto"/>
              </w:divBdr>
            </w:div>
          </w:divsChild>
        </w:div>
        <w:div w:id="1417633611">
          <w:marLeft w:val="0"/>
          <w:marRight w:val="0"/>
          <w:marTop w:val="0"/>
          <w:marBottom w:val="0"/>
          <w:divBdr>
            <w:top w:val="none" w:sz="0" w:space="0" w:color="auto"/>
            <w:left w:val="none" w:sz="0" w:space="0" w:color="auto"/>
            <w:bottom w:val="none" w:sz="0" w:space="0" w:color="auto"/>
            <w:right w:val="none" w:sz="0" w:space="0" w:color="auto"/>
          </w:divBdr>
          <w:divsChild>
            <w:div w:id="742873610">
              <w:marLeft w:val="0"/>
              <w:marRight w:val="0"/>
              <w:marTop w:val="0"/>
              <w:marBottom w:val="0"/>
              <w:divBdr>
                <w:top w:val="none" w:sz="0" w:space="0" w:color="auto"/>
                <w:left w:val="none" w:sz="0" w:space="0" w:color="auto"/>
                <w:bottom w:val="none" w:sz="0" w:space="0" w:color="auto"/>
                <w:right w:val="none" w:sz="0" w:space="0" w:color="auto"/>
              </w:divBdr>
            </w:div>
          </w:divsChild>
        </w:div>
        <w:div w:id="1487237034">
          <w:marLeft w:val="0"/>
          <w:marRight w:val="0"/>
          <w:marTop w:val="0"/>
          <w:marBottom w:val="0"/>
          <w:divBdr>
            <w:top w:val="none" w:sz="0" w:space="0" w:color="auto"/>
            <w:left w:val="none" w:sz="0" w:space="0" w:color="auto"/>
            <w:bottom w:val="none" w:sz="0" w:space="0" w:color="auto"/>
            <w:right w:val="none" w:sz="0" w:space="0" w:color="auto"/>
          </w:divBdr>
          <w:divsChild>
            <w:div w:id="564725416">
              <w:marLeft w:val="0"/>
              <w:marRight w:val="0"/>
              <w:marTop w:val="0"/>
              <w:marBottom w:val="0"/>
              <w:divBdr>
                <w:top w:val="none" w:sz="0" w:space="0" w:color="auto"/>
                <w:left w:val="none" w:sz="0" w:space="0" w:color="auto"/>
                <w:bottom w:val="none" w:sz="0" w:space="0" w:color="auto"/>
                <w:right w:val="none" w:sz="0" w:space="0" w:color="auto"/>
              </w:divBdr>
            </w:div>
          </w:divsChild>
        </w:div>
        <w:div w:id="1609964660">
          <w:marLeft w:val="0"/>
          <w:marRight w:val="0"/>
          <w:marTop w:val="0"/>
          <w:marBottom w:val="0"/>
          <w:divBdr>
            <w:top w:val="none" w:sz="0" w:space="0" w:color="auto"/>
            <w:left w:val="none" w:sz="0" w:space="0" w:color="auto"/>
            <w:bottom w:val="none" w:sz="0" w:space="0" w:color="auto"/>
            <w:right w:val="none" w:sz="0" w:space="0" w:color="auto"/>
          </w:divBdr>
          <w:divsChild>
            <w:div w:id="481116877">
              <w:marLeft w:val="0"/>
              <w:marRight w:val="0"/>
              <w:marTop w:val="0"/>
              <w:marBottom w:val="0"/>
              <w:divBdr>
                <w:top w:val="none" w:sz="0" w:space="0" w:color="auto"/>
                <w:left w:val="none" w:sz="0" w:space="0" w:color="auto"/>
                <w:bottom w:val="none" w:sz="0" w:space="0" w:color="auto"/>
                <w:right w:val="none" w:sz="0" w:space="0" w:color="auto"/>
              </w:divBdr>
            </w:div>
          </w:divsChild>
        </w:div>
        <w:div w:id="1698969296">
          <w:marLeft w:val="0"/>
          <w:marRight w:val="0"/>
          <w:marTop w:val="0"/>
          <w:marBottom w:val="0"/>
          <w:divBdr>
            <w:top w:val="none" w:sz="0" w:space="0" w:color="auto"/>
            <w:left w:val="none" w:sz="0" w:space="0" w:color="auto"/>
            <w:bottom w:val="none" w:sz="0" w:space="0" w:color="auto"/>
            <w:right w:val="none" w:sz="0" w:space="0" w:color="auto"/>
          </w:divBdr>
          <w:divsChild>
            <w:div w:id="1455904183">
              <w:marLeft w:val="0"/>
              <w:marRight w:val="0"/>
              <w:marTop w:val="0"/>
              <w:marBottom w:val="0"/>
              <w:divBdr>
                <w:top w:val="none" w:sz="0" w:space="0" w:color="auto"/>
                <w:left w:val="none" w:sz="0" w:space="0" w:color="auto"/>
                <w:bottom w:val="none" w:sz="0" w:space="0" w:color="auto"/>
                <w:right w:val="none" w:sz="0" w:space="0" w:color="auto"/>
              </w:divBdr>
            </w:div>
          </w:divsChild>
        </w:div>
        <w:div w:id="1799058739">
          <w:marLeft w:val="0"/>
          <w:marRight w:val="0"/>
          <w:marTop w:val="0"/>
          <w:marBottom w:val="0"/>
          <w:divBdr>
            <w:top w:val="none" w:sz="0" w:space="0" w:color="auto"/>
            <w:left w:val="none" w:sz="0" w:space="0" w:color="auto"/>
            <w:bottom w:val="none" w:sz="0" w:space="0" w:color="auto"/>
            <w:right w:val="none" w:sz="0" w:space="0" w:color="auto"/>
          </w:divBdr>
          <w:divsChild>
            <w:div w:id="695346148">
              <w:marLeft w:val="0"/>
              <w:marRight w:val="0"/>
              <w:marTop w:val="0"/>
              <w:marBottom w:val="0"/>
              <w:divBdr>
                <w:top w:val="none" w:sz="0" w:space="0" w:color="auto"/>
                <w:left w:val="none" w:sz="0" w:space="0" w:color="auto"/>
                <w:bottom w:val="none" w:sz="0" w:space="0" w:color="auto"/>
                <w:right w:val="none" w:sz="0" w:space="0" w:color="auto"/>
              </w:divBdr>
            </w:div>
          </w:divsChild>
        </w:div>
        <w:div w:id="1827166788">
          <w:marLeft w:val="0"/>
          <w:marRight w:val="0"/>
          <w:marTop w:val="0"/>
          <w:marBottom w:val="0"/>
          <w:divBdr>
            <w:top w:val="none" w:sz="0" w:space="0" w:color="auto"/>
            <w:left w:val="none" w:sz="0" w:space="0" w:color="auto"/>
            <w:bottom w:val="none" w:sz="0" w:space="0" w:color="auto"/>
            <w:right w:val="none" w:sz="0" w:space="0" w:color="auto"/>
          </w:divBdr>
          <w:divsChild>
            <w:div w:id="1777822206">
              <w:marLeft w:val="0"/>
              <w:marRight w:val="0"/>
              <w:marTop w:val="0"/>
              <w:marBottom w:val="0"/>
              <w:divBdr>
                <w:top w:val="none" w:sz="0" w:space="0" w:color="auto"/>
                <w:left w:val="none" w:sz="0" w:space="0" w:color="auto"/>
                <w:bottom w:val="none" w:sz="0" w:space="0" w:color="auto"/>
                <w:right w:val="none" w:sz="0" w:space="0" w:color="auto"/>
              </w:divBdr>
            </w:div>
          </w:divsChild>
        </w:div>
        <w:div w:id="1845977176">
          <w:marLeft w:val="0"/>
          <w:marRight w:val="0"/>
          <w:marTop w:val="0"/>
          <w:marBottom w:val="0"/>
          <w:divBdr>
            <w:top w:val="none" w:sz="0" w:space="0" w:color="auto"/>
            <w:left w:val="none" w:sz="0" w:space="0" w:color="auto"/>
            <w:bottom w:val="none" w:sz="0" w:space="0" w:color="auto"/>
            <w:right w:val="none" w:sz="0" w:space="0" w:color="auto"/>
          </w:divBdr>
          <w:divsChild>
            <w:div w:id="1374112716">
              <w:marLeft w:val="0"/>
              <w:marRight w:val="0"/>
              <w:marTop w:val="0"/>
              <w:marBottom w:val="0"/>
              <w:divBdr>
                <w:top w:val="none" w:sz="0" w:space="0" w:color="auto"/>
                <w:left w:val="none" w:sz="0" w:space="0" w:color="auto"/>
                <w:bottom w:val="none" w:sz="0" w:space="0" w:color="auto"/>
                <w:right w:val="none" w:sz="0" w:space="0" w:color="auto"/>
              </w:divBdr>
            </w:div>
          </w:divsChild>
        </w:div>
        <w:div w:id="1862623413">
          <w:marLeft w:val="0"/>
          <w:marRight w:val="0"/>
          <w:marTop w:val="0"/>
          <w:marBottom w:val="0"/>
          <w:divBdr>
            <w:top w:val="none" w:sz="0" w:space="0" w:color="auto"/>
            <w:left w:val="none" w:sz="0" w:space="0" w:color="auto"/>
            <w:bottom w:val="none" w:sz="0" w:space="0" w:color="auto"/>
            <w:right w:val="none" w:sz="0" w:space="0" w:color="auto"/>
          </w:divBdr>
          <w:divsChild>
            <w:div w:id="1380323739">
              <w:marLeft w:val="0"/>
              <w:marRight w:val="0"/>
              <w:marTop w:val="0"/>
              <w:marBottom w:val="0"/>
              <w:divBdr>
                <w:top w:val="none" w:sz="0" w:space="0" w:color="auto"/>
                <w:left w:val="none" w:sz="0" w:space="0" w:color="auto"/>
                <w:bottom w:val="none" w:sz="0" w:space="0" w:color="auto"/>
                <w:right w:val="none" w:sz="0" w:space="0" w:color="auto"/>
              </w:divBdr>
            </w:div>
          </w:divsChild>
        </w:div>
        <w:div w:id="1872104611">
          <w:marLeft w:val="0"/>
          <w:marRight w:val="0"/>
          <w:marTop w:val="0"/>
          <w:marBottom w:val="0"/>
          <w:divBdr>
            <w:top w:val="none" w:sz="0" w:space="0" w:color="auto"/>
            <w:left w:val="none" w:sz="0" w:space="0" w:color="auto"/>
            <w:bottom w:val="none" w:sz="0" w:space="0" w:color="auto"/>
            <w:right w:val="none" w:sz="0" w:space="0" w:color="auto"/>
          </w:divBdr>
          <w:divsChild>
            <w:div w:id="534730194">
              <w:marLeft w:val="0"/>
              <w:marRight w:val="0"/>
              <w:marTop w:val="0"/>
              <w:marBottom w:val="0"/>
              <w:divBdr>
                <w:top w:val="none" w:sz="0" w:space="0" w:color="auto"/>
                <w:left w:val="none" w:sz="0" w:space="0" w:color="auto"/>
                <w:bottom w:val="none" w:sz="0" w:space="0" w:color="auto"/>
                <w:right w:val="none" w:sz="0" w:space="0" w:color="auto"/>
              </w:divBdr>
            </w:div>
          </w:divsChild>
        </w:div>
        <w:div w:id="1882159931">
          <w:marLeft w:val="0"/>
          <w:marRight w:val="0"/>
          <w:marTop w:val="0"/>
          <w:marBottom w:val="0"/>
          <w:divBdr>
            <w:top w:val="none" w:sz="0" w:space="0" w:color="auto"/>
            <w:left w:val="none" w:sz="0" w:space="0" w:color="auto"/>
            <w:bottom w:val="none" w:sz="0" w:space="0" w:color="auto"/>
            <w:right w:val="none" w:sz="0" w:space="0" w:color="auto"/>
          </w:divBdr>
          <w:divsChild>
            <w:div w:id="1910770348">
              <w:marLeft w:val="0"/>
              <w:marRight w:val="0"/>
              <w:marTop w:val="0"/>
              <w:marBottom w:val="0"/>
              <w:divBdr>
                <w:top w:val="none" w:sz="0" w:space="0" w:color="auto"/>
                <w:left w:val="none" w:sz="0" w:space="0" w:color="auto"/>
                <w:bottom w:val="none" w:sz="0" w:space="0" w:color="auto"/>
                <w:right w:val="none" w:sz="0" w:space="0" w:color="auto"/>
              </w:divBdr>
            </w:div>
          </w:divsChild>
        </w:div>
        <w:div w:id="1892307037">
          <w:marLeft w:val="0"/>
          <w:marRight w:val="0"/>
          <w:marTop w:val="0"/>
          <w:marBottom w:val="0"/>
          <w:divBdr>
            <w:top w:val="none" w:sz="0" w:space="0" w:color="auto"/>
            <w:left w:val="none" w:sz="0" w:space="0" w:color="auto"/>
            <w:bottom w:val="none" w:sz="0" w:space="0" w:color="auto"/>
            <w:right w:val="none" w:sz="0" w:space="0" w:color="auto"/>
          </w:divBdr>
          <w:divsChild>
            <w:div w:id="1788694830">
              <w:marLeft w:val="0"/>
              <w:marRight w:val="0"/>
              <w:marTop w:val="0"/>
              <w:marBottom w:val="0"/>
              <w:divBdr>
                <w:top w:val="none" w:sz="0" w:space="0" w:color="auto"/>
                <w:left w:val="none" w:sz="0" w:space="0" w:color="auto"/>
                <w:bottom w:val="none" w:sz="0" w:space="0" w:color="auto"/>
                <w:right w:val="none" w:sz="0" w:space="0" w:color="auto"/>
              </w:divBdr>
            </w:div>
          </w:divsChild>
        </w:div>
        <w:div w:id="1946426114">
          <w:marLeft w:val="0"/>
          <w:marRight w:val="0"/>
          <w:marTop w:val="0"/>
          <w:marBottom w:val="0"/>
          <w:divBdr>
            <w:top w:val="none" w:sz="0" w:space="0" w:color="auto"/>
            <w:left w:val="none" w:sz="0" w:space="0" w:color="auto"/>
            <w:bottom w:val="none" w:sz="0" w:space="0" w:color="auto"/>
            <w:right w:val="none" w:sz="0" w:space="0" w:color="auto"/>
          </w:divBdr>
          <w:divsChild>
            <w:div w:id="208418">
              <w:marLeft w:val="0"/>
              <w:marRight w:val="0"/>
              <w:marTop w:val="0"/>
              <w:marBottom w:val="0"/>
              <w:divBdr>
                <w:top w:val="none" w:sz="0" w:space="0" w:color="auto"/>
                <w:left w:val="none" w:sz="0" w:space="0" w:color="auto"/>
                <w:bottom w:val="none" w:sz="0" w:space="0" w:color="auto"/>
                <w:right w:val="none" w:sz="0" w:space="0" w:color="auto"/>
              </w:divBdr>
            </w:div>
          </w:divsChild>
        </w:div>
        <w:div w:id="1979533546">
          <w:marLeft w:val="0"/>
          <w:marRight w:val="0"/>
          <w:marTop w:val="0"/>
          <w:marBottom w:val="0"/>
          <w:divBdr>
            <w:top w:val="none" w:sz="0" w:space="0" w:color="auto"/>
            <w:left w:val="none" w:sz="0" w:space="0" w:color="auto"/>
            <w:bottom w:val="none" w:sz="0" w:space="0" w:color="auto"/>
            <w:right w:val="none" w:sz="0" w:space="0" w:color="auto"/>
          </w:divBdr>
          <w:divsChild>
            <w:div w:id="53354635">
              <w:marLeft w:val="0"/>
              <w:marRight w:val="0"/>
              <w:marTop w:val="0"/>
              <w:marBottom w:val="0"/>
              <w:divBdr>
                <w:top w:val="none" w:sz="0" w:space="0" w:color="auto"/>
                <w:left w:val="none" w:sz="0" w:space="0" w:color="auto"/>
                <w:bottom w:val="none" w:sz="0" w:space="0" w:color="auto"/>
                <w:right w:val="none" w:sz="0" w:space="0" w:color="auto"/>
              </w:divBdr>
            </w:div>
          </w:divsChild>
        </w:div>
        <w:div w:id="2003729866">
          <w:marLeft w:val="0"/>
          <w:marRight w:val="0"/>
          <w:marTop w:val="0"/>
          <w:marBottom w:val="0"/>
          <w:divBdr>
            <w:top w:val="none" w:sz="0" w:space="0" w:color="auto"/>
            <w:left w:val="none" w:sz="0" w:space="0" w:color="auto"/>
            <w:bottom w:val="none" w:sz="0" w:space="0" w:color="auto"/>
            <w:right w:val="none" w:sz="0" w:space="0" w:color="auto"/>
          </w:divBdr>
          <w:divsChild>
            <w:div w:id="233512758">
              <w:marLeft w:val="0"/>
              <w:marRight w:val="0"/>
              <w:marTop w:val="0"/>
              <w:marBottom w:val="0"/>
              <w:divBdr>
                <w:top w:val="none" w:sz="0" w:space="0" w:color="auto"/>
                <w:left w:val="none" w:sz="0" w:space="0" w:color="auto"/>
                <w:bottom w:val="none" w:sz="0" w:space="0" w:color="auto"/>
                <w:right w:val="none" w:sz="0" w:space="0" w:color="auto"/>
              </w:divBdr>
            </w:div>
          </w:divsChild>
        </w:div>
        <w:div w:id="2005428245">
          <w:marLeft w:val="0"/>
          <w:marRight w:val="0"/>
          <w:marTop w:val="0"/>
          <w:marBottom w:val="0"/>
          <w:divBdr>
            <w:top w:val="none" w:sz="0" w:space="0" w:color="auto"/>
            <w:left w:val="none" w:sz="0" w:space="0" w:color="auto"/>
            <w:bottom w:val="none" w:sz="0" w:space="0" w:color="auto"/>
            <w:right w:val="none" w:sz="0" w:space="0" w:color="auto"/>
          </w:divBdr>
          <w:divsChild>
            <w:div w:id="358354274">
              <w:marLeft w:val="0"/>
              <w:marRight w:val="0"/>
              <w:marTop w:val="0"/>
              <w:marBottom w:val="0"/>
              <w:divBdr>
                <w:top w:val="none" w:sz="0" w:space="0" w:color="auto"/>
                <w:left w:val="none" w:sz="0" w:space="0" w:color="auto"/>
                <w:bottom w:val="none" w:sz="0" w:space="0" w:color="auto"/>
                <w:right w:val="none" w:sz="0" w:space="0" w:color="auto"/>
              </w:divBdr>
            </w:div>
          </w:divsChild>
        </w:div>
        <w:div w:id="2052218780">
          <w:marLeft w:val="0"/>
          <w:marRight w:val="0"/>
          <w:marTop w:val="0"/>
          <w:marBottom w:val="0"/>
          <w:divBdr>
            <w:top w:val="none" w:sz="0" w:space="0" w:color="auto"/>
            <w:left w:val="none" w:sz="0" w:space="0" w:color="auto"/>
            <w:bottom w:val="none" w:sz="0" w:space="0" w:color="auto"/>
            <w:right w:val="none" w:sz="0" w:space="0" w:color="auto"/>
          </w:divBdr>
          <w:divsChild>
            <w:div w:id="298927189">
              <w:marLeft w:val="0"/>
              <w:marRight w:val="0"/>
              <w:marTop w:val="0"/>
              <w:marBottom w:val="0"/>
              <w:divBdr>
                <w:top w:val="none" w:sz="0" w:space="0" w:color="auto"/>
                <w:left w:val="none" w:sz="0" w:space="0" w:color="auto"/>
                <w:bottom w:val="none" w:sz="0" w:space="0" w:color="auto"/>
                <w:right w:val="none" w:sz="0" w:space="0" w:color="auto"/>
              </w:divBdr>
            </w:div>
          </w:divsChild>
        </w:div>
        <w:div w:id="2058049251">
          <w:marLeft w:val="0"/>
          <w:marRight w:val="0"/>
          <w:marTop w:val="0"/>
          <w:marBottom w:val="0"/>
          <w:divBdr>
            <w:top w:val="none" w:sz="0" w:space="0" w:color="auto"/>
            <w:left w:val="none" w:sz="0" w:space="0" w:color="auto"/>
            <w:bottom w:val="none" w:sz="0" w:space="0" w:color="auto"/>
            <w:right w:val="none" w:sz="0" w:space="0" w:color="auto"/>
          </w:divBdr>
          <w:divsChild>
            <w:div w:id="1483886948">
              <w:marLeft w:val="0"/>
              <w:marRight w:val="0"/>
              <w:marTop w:val="0"/>
              <w:marBottom w:val="0"/>
              <w:divBdr>
                <w:top w:val="none" w:sz="0" w:space="0" w:color="auto"/>
                <w:left w:val="none" w:sz="0" w:space="0" w:color="auto"/>
                <w:bottom w:val="none" w:sz="0" w:space="0" w:color="auto"/>
                <w:right w:val="none" w:sz="0" w:space="0" w:color="auto"/>
              </w:divBdr>
            </w:div>
          </w:divsChild>
        </w:div>
        <w:div w:id="2101757493">
          <w:marLeft w:val="0"/>
          <w:marRight w:val="0"/>
          <w:marTop w:val="0"/>
          <w:marBottom w:val="0"/>
          <w:divBdr>
            <w:top w:val="none" w:sz="0" w:space="0" w:color="auto"/>
            <w:left w:val="none" w:sz="0" w:space="0" w:color="auto"/>
            <w:bottom w:val="none" w:sz="0" w:space="0" w:color="auto"/>
            <w:right w:val="none" w:sz="0" w:space="0" w:color="auto"/>
          </w:divBdr>
          <w:divsChild>
            <w:div w:id="2070221431">
              <w:marLeft w:val="0"/>
              <w:marRight w:val="0"/>
              <w:marTop w:val="0"/>
              <w:marBottom w:val="0"/>
              <w:divBdr>
                <w:top w:val="none" w:sz="0" w:space="0" w:color="auto"/>
                <w:left w:val="none" w:sz="0" w:space="0" w:color="auto"/>
                <w:bottom w:val="none" w:sz="0" w:space="0" w:color="auto"/>
                <w:right w:val="none" w:sz="0" w:space="0" w:color="auto"/>
              </w:divBdr>
            </w:div>
          </w:divsChild>
        </w:div>
        <w:div w:id="2103605373">
          <w:marLeft w:val="0"/>
          <w:marRight w:val="0"/>
          <w:marTop w:val="0"/>
          <w:marBottom w:val="0"/>
          <w:divBdr>
            <w:top w:val="none" w:sz="0" w:space="0" w:color="auto"/>
            <w:left w:val="none" w:sz="0" w:space="0" w:color="auto"/>
            <w:bottom w:val="none" w:sz="0" w:space="0" w:color="auto"/>
            <w:right w:val="none" w:sz="0" w:space="0" w:color="auto"/>
          </w:divBdr>
          <w:divsChild>
            <w:div w:id="11269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cbd.int/doc/decisions/np-mop-03/np-mop-03-dec-16-fr.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p-mop-09/cp-mop-09-dec-16-f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74B7468A474E95A42F0152231BC5DB"/>
        <w:category>
          <w:name w:val="General"/>
          <w:gallery w:val="placeholder"/>
        </w:category>
        <w:types>
          <w:type w:val="bbPlcHdr"/>
        </w:types>
        <w:behaviors>
          <w:behavior w:val="content"/>
        </w:behaviors>
        <w:guid w:val="{B2865D43-5880-406B-9EC9-A4AE200BBE31}"/>
      </w:docPartPr>
      <w:docPartBody>
        <w:p w:rsidR="0050662C" w:rsidRDefault="00821B57">
          <w:r w:rsidRPr="00FD577A">
            <w:rPr>
              <w:rStyle w:val="PlaceholderText"/>
            </w:rPr>
            <w:t>[Title]</w:t>
          </w:r>
        </w:p>
      </w:docPartBody>
    </w:docPart>
    <w:docPart>
      <w:docPartPr>
        <w:name w:val="764C5A76988D43BBB5720B3112B3D5FA"/>
        <w:category>
          <w:name w:val="General"/>
          <w:gallery w:val="placeholder"/>
        </w:category>
        <w:types>
          <w:type w:val="bbPlcHdr"/>
        </w:types>
        <w:behaviors>
          <w:behavior w:val="content"/>
        </w:behaviors>
        <w:guid w:val="{972ADE9E-55A0-4E0B-BE55-3D9242C5BCC5}"/>
      </w:docPartPr>
      <w:docPartBody>
        <w:p w:rsidR="00A542E9" w:rsidRDefault="00E5572D">
          <w:r w:rsidRPr="006542C1">
            <w:rPr>
              <w:rStyle w:val="PlaceholderText"/>
            </w:rPr>
            <w:t>[Subject]</w:t>
          </w:r>
        </w:p>
      </w:docPartBody>
    </w:docPart>
    <w:docPart>
      <w:docPartPr>
        <w:name w:val="2CBCDA5C90124183A1D851C7358FE896"/>
        <w:category>
          <w:name w:val="General"/>
          <w:gallery w:val="placeholder"/>
        </w:category>
        <w:types>
          <w:type w:val="bbPlcHdr"/>
        </w:types>
        <w:behaviors>
          <w:behavior w:val="content"/>
        </w:behaviors>
        <w:guid w:val="{AEF91C12-695A-4AD6-AD57-D0C28AB56833}"/>
      </w:docPartPr>
      <w:docPartBody>
        <w:p w:rsidR="00A542E9" w:rsidRDefault="00E5572D">
          <w:r w:rsidRPr="006542C1">
            <w:rPr>
              <w:rStyle w:val="PlaceholderText"/>
            </w:rPr>
            <w:t>[Subject]</w:t>
          </w:r>
        </w:p>
      </w:docPartBody>
    </w:docPart>
    <w:docPart>
      <w:docPartPr>
        <w:name w:val="0E3BFE5273874DAABEC2B133C3E878CD"/>
        <w:category>
          <w:name w:val="General"/>
          <w:gallery w:val="placeholder"/>
        </w:category>
        <w:types>
          <w:type w:val="bbPlcHdr"/>
        </w:types>
        <w:behaviors>
          <w:behavior w:val="content"/>
        </w:behaviors>
        <w:guid w:val="{A8F9CFF6-7BBC-4879-BC05-F00EF687787B}"/>
      </w:docPartPr>
      <w:docPartBody>
        <w:p w:rsidR="00A542E9" w:rsidRDefault="00E5572D" w:rsidP="00E5572D">
          <w:pPr>
            <w:pStyle w:val="0E3BFE5273874DAABEC2B133C3E878CD"/>
          </w:pPr>
          <w:r w:rsidRPr="006542C1">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Lucida Grande"/>
    <w:charset w:val="00"/>
    <w:family w:val="auto"/>
    <w:pitch w:val="variable"/>
    <w:sig w:usb0="E1000AEF" w:usb1="5000A1FF" w:usb2="00000000" w:usb3="00000000" w:csb0="000001BF" w:csb1="00000000"/>
  </w:font>
  <w:font w:name="Angsana New">
    <w:panose1 w:val="02020603050405020304"/>
    <w:charset w:val="00"/>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287"/>
    <w:rsid w:val="00013C19"/>
    <w:rsid w:val="0005639D"/>
    <w:rsid w:val="000675F8"/>
    <w:rsid w:val="000719AC"/>
    <w:rsid w:val="000A6B3E"/>
    <w:rsid w:val="000C0D94"/>
    <w:rsid w:val="000D5B16"/>
    <w:rsid w:val="000E09B5"/>
    <w:rsid w:val="00131AC6"/>
    <w:rsid w:val="00141BCF"/>
    <w:rsid w:val="001928BE"/>
    <w:rsid w:val="001A04F8"/>
    <w:rsid w:val="001A68F9"/>
    <w:rsid w:val="001E3492"/>
    <w:rsid w:val="001F13AC"/>
    <w:rsid w:val="002308D1"/>
    <w:rsid w:val="00261379"/>
    <w:rsid w:val="0026180A"/>
    <w:rsid w:val="002707EC"/>
    <w:rsid w:val="00294621"/>
    <w:rsid w:val="002E7D99"/>
    <w:rsid w:val="002F3E5D"/>
    <w:rsid w:val="002F6C69"/>
    <w:rsid w:val="00362C2A"/>
    <w:rsid w:val="00392B5E"/>
    <w:rsid w:val="00396263"/>
    <w:rsid w:val="003B1AB2"/>
    <w:rsid w:val="003B35E9"/>
    <w:rsid w:val="003C0FB5"/>
    <w:rsid w:val="00405D71"/>
    <w:rsid w:val="00443124"/>
    <w:rsid w:val="00456EC7"/>
    <w:rsid w:val="004672ED"/>
    <w:rsid w:val="00474990"/>
    <w:rsid w:val="004940E2"/>
    <w:rsid w:val="004A66BF"/>
    <w:rsid w:val="004B0F59"/>
    <w:rsid w:val="0050662C"/>
    <w:rsid w:val="005431BF"/>
    <w:rsid w:val="005518E5"/>
    <w:rsid w:val="00586B8A"/>
    <w:rsid w:val="005A4725"/>
    <w:rsid w:val="005A5AB5"/>
    <w:rsid w:val="005A67F6"/>
    <w:rsid w:val="005C077A"/>
    <w:rsid w:val="00614AA5"/>
    <w:rsid w:val="00620EAE"/>
    <w:rsid w:val="00655455"/>
    <w:rsid w:val="00656B15"/>
    <w:rsid w:val="006620F6"/>
    <w:rsid w:val="00687EB5"/>
    <w:rsid w:val="00693D57"/>
    <w:rsid w:val="006A6532"/>
    <w:rsid w:val="006D2ECB"/>
    <w:rsid w:val="006D4384"/>
    <w:rsid w:val="0072782C"/>
    <w:rsid w:val="007570B5"/>
    <w:rsid w:val="007A1FB5"/>
    <w:rsid w:val="007A5767"/>
    <w:rsid w:val="007C6D8E"/>
    <w:rsid w:val="00821B57"/>
    <w:rsid w:val="00843A25"/>
    <w:rsid w:val="00854F5D"/>
    <w:rsid w:val="00890EC3"/>
    <w:rsid w:val="00902675"/>
    <w:rsid w:val="00907F2A"/>
    <w:rsid w:val="00934988"/>
    <w:rsid w:val="0094071B"/>
    <w:rsid w:val="009730A3"/>
    <w:rsid w:val="00982A65"/>
    <w:rsid w:val="009A0018"/>
    <w:rsid w:val="009B54C1"/>
    <w:rsid w:val="009C1B69"/>
    <w:rsid w:val="009C36BA"/>
    <w:rsid w:val="009C4449"/>
    <w:rsid w:val="009D67A5"/>
    <w:rsid w:val="009F271E"/>
    <w:rsid w:val="00A01219"/>
    <w:rsid w:val="00A20EDC"/>
    <w:rsid w:val="00A343CC"/>
    <w:rsid w:val="00A542E9"/>
    <w:rsid w:val="00A93287"/>
    <w:rsid w:val="00AE58B1"/>
    <w:rsid w:val="00B47579"/>
    <w:rsid w:val="00B703A1"/>
    <w:rsid w:val="00BF5047"/>
    <w:rsid w:val="00C1098E"/>
    <w:rsid w:val="00C17BF8"/>
    <w:rsid w:val="00C2320C"/>
    <w:rsid w:val="00C31730"/>
    <w:rsid w:val="00C725BC"/>
    <w:rsid w:val="00CB1FEB"/>
    <w:rsid w:val="00CC18BD"/>
    <w:rsid w:val="00CC3F2C"/>
    <w:rsid w:val="00CE0CC0"/>
    <w:rsid w:val="00D56826"/>
    <w:rsid w:val="00D852CE"/>
    <w:rsid w:val="00DB7964"/>
    <w:rsid w:val="00DF32E1"/>
    <w:rsid w:val="00DF3820"/>
    <w:rsid w:val="00E036DC"/>
    <w:rsid w:val="00E338C9"/>
    <w:rsid w:val="00E44D43"/>
    <w:rsid w:val="00E54A1E"/>
    <w:rsid w:val="00E5572D"/>
    <w:rsid w:val="00E72777"/>
    <w:rsid w:val="00E80355"/>
    <w:rsid w:val="00E8517D"/>
    <w:rsid w:val="00E87DD9"/>
    <w:rsid w:val="00EB11E6"/>
    <w:rsid w:val="00EE3C2F"/>
    <w:rsid w:val="00EF3032"/>
    <w:rsid w:val="00F05071"/>
    <w:rsid w:val="00F837C1"/>
    <w:rsid w:val="00FC242C"/>
    <w:rsid w:val="00FD69C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5572D"/>
    <w:rPr>
      <w:color w:val="808080"/>
    </w:rPr>
  </w:style>
  <w:style w:type="paragraph" w:customStyle="1" w:styleId="0E3BFE5273874DAABEC2B133C3E878CD">
    <w:name w:val="0E3BFE5273874DAABEC2B133C3E878CD"/>
    <w:rsid w:val="00E557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A05EC-8242-41F3-BCE8-9A9AC9E14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47A16-9062-4D1B-A676-2042859233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10CFEE-0425-4BAB-87D0-EE56115F0C9B}">
  <ds:schemaRefs>
    <ds:schemaRef ds:uri="http://schemas.microsoft.com/sharepoint/v3/contenttype/forms"/>
  </ds:schemaRefs>
</ds:datastoreItem>
</file>

<file path=customXml/itemProps4.xml><?xml version="1.0" encoding="utf-8"?>
<ds:datastoreItem xmlns:ds="http://schemas.openxmlformats.org/officeDocument/2006/customXml" ds:itemID="{9447FCB8-1609-48D4-93DA-5E1F32459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27</Pages>
  <Words>7908</Words>
  <Characters>45078</Characters>
  <Application>Microsoft Office Word</Application>
  <DocSecurity>0</DocSecurity>
  <Lines>375</Lines>
  <Paragraphs>105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BUDGET PROVISOIRE proposé POUR LE PROGRAMME DE TRAVAIL DE LA CONVENTION SUR LA DIVERSITÉ BIOLOGIQUE, du PROTOCOLE DE CARTAGENA SUR LA PRÉVENTION DES RISQUES BIOTECHNOLOGIQUES ET du PROTOCOLE DE NAGOYA SUR L’ACCÈS ET LE PARTAGE DES AVANTAGES POUR L’ANNE 20</vt:lpstr>
      <vt:lpstr>Proposed interim budget for the programme of work of the Convention on Biological Diversity, the Cartagena Protocol on Biosafety and the Nagoya Protocol on Access and Benefit-sharing for the year 2022</vt:lpstr>
    </vt:vector>
  </TitlesOfParts>
  <Company>United Nations</Company>
  <LinksUpToDate>false</LinksUpToDate>
  <CharactersWithSpaces>52881</CharactersWithSpaces>
  <SharedDoc>false</SharedDoc>
  <HyperlinkBase>https://www.cbd.int/</HyperlinkBase>
  <HLinks>
    <vt:vector size="24" baseType="variant">
      <vt:variant>
        <vt:i4>7471152</vt:i4>
      </vt:variant>
      <vt:variant>
        <vt:i4>18</vt:i4>
      </vt:variant>
      <vt:variant>
        <vt:i4>0</vt:i4>
      </vt:variant>
      <vt:variant>
        <vt:i4>5</vt:i4>
      </vt:variant>
      <vt:variant>
        <vt:lpwstr>https://www.cbd.int/doc/decisions/np-mop-03/np-mop-03-dec-16-en.pdf</vt:lpwstr>
      </vt:variant>
      <vt:variant>
        <vt:lpwstr/>
      </vt:variant>
      <vt:variant>
        <vt:i4>7471152</vt:i4>
      </vt:variant>
      <vt:variant>
        <vt:i4>12</vt:i4>
      </vt:variant>
      <vt:variant>
        <vt:i4>0</vt:i4>
      </vt:variant>
      <vt:variant>
        <vt:i4>5</vt:i4>
      </vt:variant>
      <vt:variant>
        <vt:lpwstr>https://www.cbd.int/doc/decisions/cp-mop-09/cp-mop-09-dec-16-en.pdf</vt:lpwstr>
      </vt:variant>
      <vt:variant>
        <vt:lpwstr/>
      </vt:variant>
      <vt:variant>
        <vt:i4>7340086</vt:i4>
      </vt:variant>
      <vt:variant>
        <vt:i4>0</vt:i4>
      </vt:variant>
      <vt:variant>
        <vt:i4>0</vt:i4>
      </vt:variant>
      <vt:variant>
        <vt:i4>5</vt:i4>
      </vt:variant>
      <vt:variant>
        <vt:lpwstr>https://www.cbd.int/doc/c/4be1/2ab4/297c5f2ce56318d560f0a12d/excop-02-03-en.pdf</vt:lpwstr>
      </vt:variant>
      <vt:variant>
        <vt:lpwstr/>
      </vt:variant>
      <vt:variant>
        <vt:i4>852046</vt:i4>
      </vt:variant>
      <vt:variant>
        <vt:i4>0</vt:i4>
      </vt:variant>
      <vt:variant>
        <vt:i4>0</vt:i4>
      </vt:variant>
      <vt:variant>
        <vt:i4>5</vt:i4>
      </vt:variant>
      <vt:variant>
        <vt:lpwstr>https://www.cbd.int/doc/decisions/cop-01/cop-01-dec-06-en.pdf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PROVISOIRE proposé POUR LE PROGRAMME DE TRAVAIL DE LA CONVENTION SUR LA DIVERSITÉ BIOLOGIQUE, du PROTOCOLE DE CARTAGENA SUR LA PRÉVENTION DES RISQUES BIOTECHNOLOGIQUES ET du PROTOCOLE DE NAGOYA SUR L’ACCÈS ET LE PARTAGE DES AVANTAGES POUR L’ANNE 2022</dc:title>
  <dc:subject>CBD/COP/15/3 CBD/CP/MOP/10/3 CBD/NP/MOP/4/3</dc:subject>
  <dc:creator>Secretariat of the Convention on Biological Diversity</dc:creator>
  <cp:keywords>Administration of the Convention and budget for the trust funds, Convention on Biological Diversity, Cartagena Protocol on Biosafety, Nagoya Protocol on Access and Benefit-sharing</cp:keywords>
  <dc:description/>
  <cp:lastModifiedBy>Angela Xuehe Yan</cp:lastModifiedBy>
  <cp:revision>21</cp:revision>
  <cp:lastPrinted>2021-09-02T15:02:00Z</cp:lastPrinted>
  <dcterms:created xsi:type="dcterms:W3CDTF">2021-08-31T10:58:00Z</dcterms:created>
  <dcterms:modified xsi:type="dcterms:W3CDTF">2021-09-03T15:05:00Z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