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B5DB" w14:textId="77777777" w:rsidR="00691212" w:rsidRDefault="00691212"/>
    <w:tbl>
      <w:tblPr>
        <w:tblW w:w="10482" w:type="dxa"/>
        <w:tblInd w:w="-283" w:type="dxa"/>
        <w:tblLayout w:type="fixed"/>
        <w:tblLook w:val="0000" w:firstRow="0" w:lastRow="0" w:firstColumn="0" w:lastColumn="0" w:noHBand="0" w:noVBand="0"/>
      </w:tblPr>
      <w:tblGrid>
        <w:gridCol w:w="975"/>
        <w:gridCol w:w="1434"/>
        <w:gridCol w:w="8073"/>
      </w:tblGrid>
      <w:tr w:rsidR="008A1499" w:rsidRPr="003C6848" w14:paraId="5FD772FB" w14:textId="77777777" w:rsidTr="008A1499">
        <w:trPr>
          <w:trHeight w:val="850"/>
        </w:trPr>
        <w:tc>
          <w:tcPr>
            <w:tcW w:w="975" w:type="dxa"/>
            <w:vAlign w:val="bottom"/>
          </w:tcPr>
          <w:p w14:paraId="4FF0B03E" w14:textId="2DD75783" w:rsidR="008A1499" w:rsidRPr="003C6848" w:rsidRDefault="00E46EB8" w:rsidP="008A1499">
            <w:pPr>
              <w:pStyle w:val="AASmallLogo"/>
            </w:pPr>
            <w:r>
              <w:t xml:space="preserve"> </w:t>
            </w:r>
            <w:r>
              <w:rPr>
                <w:noProof/>
                <w:lang w:eastAsia="ru-RU"/>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FA60B5F" w14:textId="77777777" w:rsidR="008A1499" w:rsidRPr="003C6848" w:rsidRDefault="008A1499" w:rsidP="008A1499">
            <w:pPr>
              <w:pStyle w:val="AASmallLogo"/>
            </w:pPr>
          </w:p>
        </w:tc>
        <w:tc>
          <w:tcPr>
            <w:tcW w:w="1434" w:type="dxa"/>
            <w:noWrap/>
            <w:vAlign w:val="bottom"/>
          </w:tcPr>
          <w:p w14:paraId="000F14FB" w14:textId="38357A9F" w:rsidR="008A1499" w:rsidRPr="003C6848" w:rsidRDefault="002F47AA" w:rsidP="008A1499">
            <w:pPr>
              <w:pStyle w:val="AASmallLogo"/>
            </w:pPr>
            <w:r w:rsidRPr="007B256F">
              <w:rPr>
                <w:noProof/>
                <w:lang w:eastAsia="ru-RU"/>
              </w:rPr>
              <w:drawing>
                <wp:inline distT="0" distB="0" distL="0" distR="0" wp14:anchorId="76ADF8C7" wp14:editId="0B2DF464">
                  <wp:extent cx="825600" cy="386344"/>
                  <wp:effectExtent l="0" t="0" r="0" b="0"/>
                  <wp:docPr id="1"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t xml:space="preserve"> </w:t>
            </w:r>
          </w:p>
          <w:p w14:paraId="5DA49003" w14:textId="77777777" w:rsidR="008A1499" w:rsidRPr="003C6848" w:rsidRDefault="008A1499" w:rsidP="008A1499">
            <w:pPr>
              <w:pStyle w:val="AASmallLogo"/>
            </w:pPr>
          </w:p>
        </w:tc>
        <w:tc>
          <w:tcPr>
            <w:tcW w:w="8073" w:type="dxa"/>
            <w:vAlign w:val="bottom"/>
          </w:tcPr>
          <w:p w14:paraId="0D35B117" w14:textId="410CB286" w:rsidR="008A1499" w:rsidRPr="003C6848" w:rsidRDefault="008A1499" w:rsidP="000E4EE5">
            <w:pPr>
              <w:pStyle w:val="ABSymbol"/>
            </w:pPr>
            <w:r>
              <w:rPr>
                <w:sz w:val="40"/>
              </w:rPr>
              <w:t>CBD</w:t>
            </w:r>
            <w:r>
              <w:t>/SBI/7/3/Add.1</w:t>
            </w:r>
          </w:p>
        </w:tc>
      </w:tr>
    </w:tbl>
    <w:p w14:paraId="6762E6CA" w14:textId="77777777" w:rsidR="008A1499" w:rsidRPr="003C684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B08E9" w14:paraId="6534970E" w14:textId="77777777" w:rsidTr="008A1499">
        <w:trPr>
          <w:trHeight w:val="1814"/>
        </w:trPr>
        <w:tc>
          <w:tcPr>
            <w:tcW w:w="7370" w:type="dxa"/>
          </w:tcPr>
          <w:p w14:paraId="583CCAE4" w14:textId="7EEB41AD" w:rsidR="008A1499" w:rsidRPr="003C6848" w:rsidRDefault="002F47AA" w:rsidP="008A1499">
            <w:pPr>
              <w:pStyle w:val="ACLargeLogo"/>
            </w:pPr>
            <w:r w:rsidRPr="007B256F">
              <w:rPr>
                <w:noProof/>
                <w:snapToGrid w:val="0"/>
                <w:kern w:val="22"/>
                <w:lang w:eastAsia="ru-RU"/>
              </w:rPr>
              <w:drawing>
                <wp:inline distT="0" distB="0" distL="0" distR="0" wp14:anchorId="22438256" wp14:editId="12EBD3B8">
                  <wp:extent cx="2623185" cy="1077595"/>
                  <wp:effectExtent l="19050" t="0" r="5715" b="0"/>
                  <wp:docPr id="2"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t xml:space="preserve"> </w:t>
            </w:r>
          </w:p>
          <w:p w14:paraId="2F40822B" w14:textId="77777777" w:rsidR="008A1499" w:rsidRPr="003C6848" w:rsidRDefault="008A1499" w:rsidP="008A1499">
            <w:pPr>
              <w:pStyle w:val="ACLargeLogo"/>
            </w:pPr>
          </w:p>
        </w:tc>
        <w:tc>
          <w:tcPr>
            <w:tcW w:w="3112" w:type="dxa"/>
          </w:tcPr>
          <w:p w14:paraId="58CE7054" w14:textId="77777777" w:rsidR="008A1499" w:rsidRPr="001B08E9" w:rsidRDefault="008A1499" w:rsidP="008A1499">
            <w:pPr>
              <w:pStyle w:val="AEDistrNormal"/>
              <w:rPr>
                <w:lang w:val="en-US"/>
              </w:rPr>
            </w:pPr>
            <w:r w:rsidRPr="001B08E9">
              <w:rPr>
                <w:lang w:val="en-US"/>
              </w:rPr>
              <w:t xml:space="preserve">Distr.: General </w:t>
            </w:r>
          </w:p>
          <w:p w14:paraId="09B799B2" w14:textId="77777777" w:rsidR="002F47AA" w:rsidRDefault="007873B7" w:rsidP="002F47AA">
            <w:pPr>
              <w:pStyle w:val="AEDistrNormal"/>
              <w:rPr>
                <w:lang w:val="en-US"/>
              </w:rPr>
            </w:pPr>
            <w:r w:rsidRPr="001B08E9">
              <w:rPr>
                <w:lang w:val="en-US"/>
              </w:rPr>
              <w:t>12 June 2026</w:t>
            </w:r>
          </w:p>
          <w:p w14:paraId="582B24A6" w14:textId="77777777" w:rsidR="002F47AA" w:rsidRDefault="008A1499" w:rsidP="002F47AA">
            <w:pPr>
              <w:pStyle w:val="AEDistrNormal"/>
              <w:rPr>
                <w:lang w:val="en-US"/>
              </w:rPr>
            </w:pPr>
            <w:r w:rsidRPr="001B08E9">
              <w:rPr>
                <w:lang w:val="en-US"/>
              </w:rPr>
              <w:t>Russian</w:t>
            </w:r>
          </w:p>
          <w:p w14:paraId="6FFCCF5A" w14:textId="0A29D6B0" w:rsidR="008A1499" w:rsidRPr="001B08E9" w:rsidRDefault="008A1499" w:rsidP="002F47AA">
            <w:pPr>
              <w:pStyle w:val="AEDistrNormal"/>
              <w:rPr>
                <w:lang w:val="en-US"/>
              </w:rPr>
            </w:pPr>
            <w:r w:rsidRPr="001B08E9">
              <w:rPr>
                <w:lang w:val="en-US"/>
              </w:rPr>
              <w:t xml:space="preserve">Original: English </w:t>
            </w:r>
          </w:p>
          <w:p w14:paraId="50ABADBA" w14:textId="77777777" w:rsidR="008A1499" w:rsidRPr="001B08E9" w:rsidRDefault="008A1499" w:rsidP="008A1499">
            <w:pPr>
              <w:pStyle w:val="AEDistrNormal6pt"/>
              <w:rPr>
                <w:lang w:val="en-US"/>
              </w:rPr>
            </w:pPr>
          </w:p>
        </w:tc>
      </w:tr>
    </w:tbl>
    <w:p w14:paraId="2D93CFCD" w14:textId="77777777" w:rsidR="008A1499" w:rsidRPr="001B08E9"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3C6848" w:rsidRDefault="00C4348A" w:rsidP="008A1499">
            <w:pPr>
              <w:pStyle w:val="AFCorN12Bold"/>
            </w:pPr>
            <w:r>
              <w:t xml:space="preserve">Вспомогательный орган по осуществлению </w:t>
            </w:r>
          </w:p>
          <w:p w14:paraId="479C8C39" w14:textId="18FA1536" w:rsidR="008A1499" w:rsidRPr="003C6848" w:rsidRDefault="00C4348A" w:rsidP="008A1499">
            <w:pPr>
              <w:pStyle w:val="AFCorNBold"/>
            </w:pPr>
            <w:r>
              <w:t xml:space="preserve">Седьмое совещание </w:t>
            </w:r>
          </w:p>
          <w:p w14:paraId="5BBC3E4C" w14:textId="40BC8178" w:rsidR="008A1499" w:rsidRPr="003C6848" w:rsidRDefault="00BA498A" w:rsidP="008A1499">
            <w:pPr>
              <w:pStyle w:val="AFCorNNormal"/>
            </w:pPr>
            <w:r>
              <w:t xml:space="preserve">Найроби, </w:t>
            </w:r>
            <w:r>
              <w:rPr>
                <w:snapToGrid w:val="0"/>
              </w:rPr>
              <w:t>4–12 августа 2026 года</w:t>
            </w:r>
          </w:p>
          <w:p w14:paraId="5FAED069" w14:textId="284BE77C" w:rsidR="008A1499" w:rsidRPr="003C6848" w:rsidRDefault="008A1499" w:rsidP="008A1499">
            <w:pPr>
              <w:pStyle w:val="AFCorNNormal"/>
            </w:pPr>
            <w:r>
              <w:t>Пункт 4 (а) предварительной повестки дня</w:t>
            </w:r>
            <w:r>
              <w:rPr>
                <w:rStyle w:val="FootnoteReference"/>
              </w:rPr>
              <w:footnoteReference w:customMarkFollows="1" w:id="1"/>
              <w:t>*</w:t>
            </w:r>
            <w:r>
              <w:t xml:space="preserve">  </w:t>
            </w:r>
          </w:p>
          <w:p w14:paraId="507E2E13" w14:textId="617A5A23" w:rsidR="008A1499" w:rsidRPr="00866063" w:rsidRDefault="000D7717" w:rsidP="000E4EE5">
            <w:pPr>
              <w:pStyle w:val="AFCorNBold"/>
              <w:spacing w:after="120"/>
            </w:pPr>
            <w:r>
              <w:t xml:space="preserve">Мобилизация ресурсов и механизм </w:t>
            </w:r>
            <w:r>
              <w:br/>
              <w:t xml:space="preserve">финансирования: мобилизация ресурсов </w:t>
            </w:r>
          </w:p>
        </w:tc>
        <w:tc>
          <w:tcPr>
            <w:tcW w:w="4388" w:type="dxa"/>
          </w:tcPr>
          <w:p w14:paraId="13BA7841" w14:textId="77777777" w:rsidR="008A1499" w:rsidRPr="00866063" w:rsidRDefault="008A1499" w:rsidP="008A1499">
            <w:pPr>
              <w:pStyle w:val="CBDNormal"/>
              <w:jc w:val="left"/>
            </w:pPr>
          </w:p>
        </w:tc>
      </w:tr>
    </w:tbl>
    <w:p w14:paraId="78DC84C0" w14:textId="136A8AD7" w:rsidR="005E7725" w:rsidRPr="001B08E9" w:rsidRDefault="003F2281" w:rsidP="00A111D1">
      <w:pPr>
        <w:pStyle w:val="CBDTitle"/>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1B08E9" w:rsidRPr="001B08E9">
            <w:t>Предложения относительно оптимальной периодичности рассылки уведомлений в целях проведения обзора перечня, установленного в соответствии с пунктом 2 статьи 20 Конвенции, и внесения в него изменений с учетом потенциальных возможностей расширения базы доноров</w:t>
          </w:r>
        </w:sdtContent>
      </w:sdt>
      <w:r w:rsidR="00834665" w:rsidRPr="001B08E9">
        <w:rPr>
          <w:rStyle w:val="FootnoteReference"/>
        </w:rPr>
        <w:footnoteReference w:customMarkFollows="1" w:id="2"/>
        <w:t>**</w:t>
      </w:r>
    </w:p>
    <w:p w14:paraId="41F49149" w14:textId="77777777" w:rsidR="00F6586C" w:rsidRPr="00866063" w:rsidRDefault="0030169D" w:rsidP="00A111D1">
      <w:pPr>
        <w:pStyle w:val="CBDSubTitle"/>
      </w:pPr>
      <w:r>
        <w:t>Записка секретариата</w:t>
      </w:r>
    </w:p>
    <w:p w14:paraId="5E766945" w14:textId="2F21FAAE" w:rsidR="00C9161D" w:rsidRPr="00866063" w:rsidRDefault="00A111D1" w:rsidP="00A111D1">
      <w:pPr>
        <w:pStyle w:val="CBDH1"/>
      </w:pPr>
      <w:r>
        <w:t>I.</w:t>
      </w:r>
      <w:r>
        <w:tab/>
        <w:t>Введение</w:t>
      </w:r>
    </w:p>
    <w:p w14:paraId="489784AB" w14:textId="3E7A2F24" w:rsidR="00CB0032" w:rsidRPr="003C6848" w:rsidRDefault="001241A5" w:rsidP="0049250F">
      <w:pPr>
        <w:pStyle w:val="CBDNormalNumber"/>
      </w:pPr>
      <w:r>
        <w:t xml:space="preserve">В соответствии с поручением, изложенным в пункте 47 (b) решения </w:t>
      </w:r>
      <w:hyperlink r:id="rId15" w:history="1">
        <w:r>
          <w:rPr>
            <w:rStyle w:val="Hyperlink"/>
          </w:rPr>
          <w:t>15/7</w:t>
        </w:r>
      </w:hyperlink>
      <w:r>
        <w:t xml:space="preserve"> о мобилизации ресурсов, Исполнительный секретарь выпустил уведомление для Сторон из числа развивающихся стран и Сторон с переходной экономикой с предложением рассмотреть, принимая во внимание национальные условия, вопрос о том, в состоянии ли они добровольно взять на себя обязательства, принятые Сторонами из числа развитых стран, в соответствии со статьей 20 Конвенции, и в случае положительного ответа сообщить об этом Исполнительному секретарю (см. уведомления №№ </w:t>
      </w:r>
      <w:hyperlink r:id="rId16" w:history="1">
        <w:r>
          <w:rPr>
            <w:rStyle w:val="Hyperlink"/>
          </w:rPr>
          <w:t>2023-063</w:t>
        </w:r>
      </w:hyperlink>
      <w:r>
        <w:t xml:space="preserve"> от 13 июня 2023 года и </w:t>
      </w:r>
      <w:hyperlink r:id="rId17" w:history="1">
        <w:r>
          <w:rPr>
            <w:rStyle w:val="Hyperlink"/>
          </w:rPr>
          <w:t>2023-132</w:t>
        </w:r>
      </w:hyperlink>
      <w:r>
        <w:t xml:space="preserve"> от 11 декабря 2023 года).</w:t>
      </w:r>
    </w:p>
    <w:p w14:paraId="7E439D7C" w14:textId="40A9AE1D" w:rsidR="00F6424A" w:rsidRPr="003C6848" w:rsidRDefault="00F6424A" w:rsidP="00577DD9">
      <w:pPr>
        <w:pStyle w:val="CBDNormalNumber"/>
      </w:pPr>
      <w:r>
        <w:t xml:space="preserve">В пункте 18 решения </w:t>
      </w:r>
      <w:hyperlink r:id="rId18" w:history="1">
        <w:r>
          <w:rPr>
            <w:rStyle w:val="Hyperlink"/>
          </w:rPr>
          <w:t>16/34</w:t>
        </w:r>
      </w:hyperlink>
      <w:r>
        <w:t xml:space="preserve"> о мобилизации ресурсов Конференция Сторон отметила, что ни одна из Сторон не ответила на уведомления, направленные Исполнительным секретарем во исполнение вышеуказанного поручения, и в связи с этим поручила Исполнительному секретарю рассмотреть вопрос об оптимальной периодичности рассылки новых уведомлений.</w:t>
      </w:r>
    </w:p>
    <w:p w14:paraId="4E39B8AB" w14:textId="27CD4997" w:rsidR="00987AA7" w:rsidRPr="003C6848" w:rsidRDefault="00305507" w:rsidP="00B95141">
      <w:pPr>
        <w:pStyle w:val="CBDNormalNumber"/>
      </w:pPr>
      <w:r>
        <w:t>В пункте 24 того же решения Конференция Сторон поручила Вспомогательному органу по осуществлению до 17-го совещания Конференции Сторон рассмотреть элементы, упомянутые в пунктах 22 (a) и 23 (a) данного решения, а также «продолжить обсуждение возможностей расширения базы доноров».</w:t>
      </w:r>
    </w:p>
    <w:p w14:paraId="4AB2059B" w14:textId="137FE870" w:rsidR="00B13E35" w:rsidRPr="00CC2C10" w:rsidRDefault="00C41576" w:rsidP="00B95141">
      <w:pPr>
        <w:pStyle w:val="CBDNormalNumber"/>
      </w:pPr>
      <w:r>
        <w:t xml:space="preserve">Поручения, содержащиеся в пунктах 18 и 24 решения </w:t>
      </w:r>
      <w:hyperlink r:id="rId19" w:history="1">
        <w:r>
          <w:rPr>
            <w:rStyle w:val="Hyperlink"/>
          </w:rPr>
          <w:t>16/34</w:t>
        </w:r>
      </w:hyperlink>
      <w:r>
        <w:t xml:space="preserve">, тесно связаны между собой. Хотя вопрос расширения донорской базы в концептуальном плане шире и касается не только традиционного государственного финансирования биоразнообразия, но и такого аспекта, как усиление роли (несуверенного) частного финансирования и инновационного </w:t>
      </w:r>
      <w:r>
        <w:lastRenderedPageBreak/>
        <w:t>финансирования, одним из важных элементов этого вопроса является расширение круга суверенных субъектов, предоставляющих международное финансирование в области биоразнообразия развивающимся странам и странам с переходной экономикой, в контексте необходимости предоставления новых и дополнительных финансовых ресурсов, как это предусмотрено в пункте 2 статьи 20</w:t>
      </w:r>
      <w:r w:rsidR="00544BB4" w:rsidRPr="00CC2C10">
        <w:rPr>
          <w:rStyle w:val="FootnoteReference"/>
        </w:rPr>
        <w:footnoteReference w:id="3"/>
      </w:r>
      <w:r>
        <w:t xml:space="preserve">. Учет любого такого расширения является целью перечня, устанавливаемого и подлежащего периодическому обзору и внесению в него изменений в соответствии с пунктом 2 статьи 20 Конвенции, на который приводится ссылка в поручении, содержащемся в пункте 18 решения </w:t>
      </w:r>
      <w:hyperlink r:id="rId20" w:history="1">
        <w:r>
          <w:rPr>
            <w:rStyle w:val="Hyperlink"/>
          </w:rPr>
          <w:t>16/34</w:t>
        </w:r>
      </w:hyperlink>
      <w:r>
        <w:t>.</w:t>
      </w:r>
    </w:p>
    <w:p w14:paraId="0EE199F2" w14:textId="20A86681" w:rsidR="00681F5C" w:rsidRPr="00CC2C10" w:rsidRDefault="002B4D2D" w:rsidP="00B95141">
      <w:pPr>
        <w:pStyle w:val="CBDNormalNumber"/>
      </w:pPr>
      <w:r>
        <w:t xml:space="preserve">Вопрос расширения донорской базы актуален для обоих мандатов, изложенных в пункте 19 решения </w:t>
      </w:r>
      <w:hyperlink r:id="rId21" w:history="1">
        <w:r>
          <w:rPr>
            <w:rStyle w:val="Hyperlink"/>
          </w:rPr>
          <w:t>16/34</w:t>
        </w:r>
      </w:hyperlink>
      <w:r>
        <w:t>, включая две первоначальные задачи в рамках этих мандатов, сформулированные в пунктах 22 (a) и 23 (a) этого решения:</w:t>
      </w:r>
    </w:p>
    <w:p w14:paraId="0608E4EC" w14:textId="3F703658" w:rsidR="00C41576" w:rsidRPr="00E61866" w:rsidRDefault="00CD0C17" w:rsidP="00681F5C">
      <w:pPr>
        <w:pStyle w:val="CBDNormalNumber"/>
        <w:numPr>
          <w:ilvl w:val="1"/>
          <w:numId w:val="7"/>
        </w:numPr>
      </w:pPr>
      <w:r>
        <w:t xml:space="preserve">что касается дальнейшей разработки критериев институциональной структуры для управления механизмом финансирования, следует отметить, что компиляция мнений, содержащаяся в приложении II к решению </w:t>
      </w:r>
      <w:hyperlink r:id="rId22" w:history="1">
        <w:r>
          <w:rPr>
            <w:rStyle w:val="Hyperlink"/>
          </w:rPr>
          <w:t>16/34</w:t>
        </w:r>
      </w:hyperlink>
      <w:r>
        <w:t xml:space="preserve">, также включает элемент, относящийся к </w:t>
      </w:r>
      <w:r>
        <w:rPr>
          <w:i/>
        </w:rPr>
        <w:t xml:space="preserve">«базе доноров, которая [должна быть] ориентирована на мобилизацию ресурсов из всех источников». </w:t>
      </w:r>
      <w:r>
        <w:t xml:space="preserve">Этот вопрос более подробно рассматривается в документе CBD/SBI/7/3/Add.3; </w:t>
      </w:r>
    </w:p>
    <w:p w14:paraId="4C0D5FA8" w14:textId="4EE196F3" w:rsidR="00094850" w:rsidRPr="00E61866" w:rsidRDefault="00094850" w:rsidP="00681F5C">
      <w:pPr>
        <w:pStyle w:val="CBDNormalNumber"/>
        <w:numPr>
          <w:ilvl w:val="1"/>
          <w:numId w:val="7"/>
        </w:numPr>
      </w:pPr>
      <w:r>
        <w:t>что касается определения препятствий, снижающих эффективность глобального финансирования биоразнообразия, и выработки рекомендаций по его дальнейшему совершенствованию, то одним из таких препятствий можно считать относительно узкую базу доноров, а расширение этой базы — одним из элементов, способствующих повышению эффективности финансирования биоразнообразия на глобальном уровне. Этот вопрос более подробно рассматривается в документе CBD/SBI/7/3/Add.4.</w:t>
      </w:r>
    </w:p>
    <w:p w14:paraId="2912DF65" w14:textId="3F68BEF8" w:rsidR="005C6EE4" w:rsidRDefault="00226DE6" w:rsidP="00BE64A2">
      <w:pPr>
        <w:pStyle w:val="CBDNormalNumber"/>
        <w:rPr>
          <w:snapToGrid w:val="0"/>
        </w:rPr>
      </w:pPr>
      <w:r>
        <w:rPr>
          <w:snapToGrid w:val="0"/>
        </w:rPr>
        <w:t>Далее в настоящем документе основное внимание будет уделено вопросу расширения донорской базы суверенных субъектов в контексте рассмотрения оптимальной периодичности обновления перечня, который должен вестись в соответствии с пунктом 2 статьи 20 Конвенции.</w:t>
      </w:r>
    </w:p>
    <w:p w14:paraId="37FEFB68" w14:textId="751A139D" w:rsidR="00ED6B39" w:rsidRDefault="000860E5" w:rsidP="000860E5">
      <w:pPr>
        <w:pStyle w:val="CBDH1"/>
        <w:rPr>
          <w:snapToGrid w:val="0"/>
        </w:rPr>
      </w:pPr>
      <w:r>
        <w:rPr>
          <w:snapToGrid w:val="0"/>
        </w:rPr>
        <w:t>II.</w:t>
      </w:r>
      <w:r>
        <w:rPr>
          <w:snapToGrid w:val="0"/>
        </w:rPr>
        <w:tab/>
        <w:t>Работа, проведенная в соответствии с пунктом 2 статьи 20</w:t>
      </w:r>
    </w:p>
    <w:p w14:paraId="17D8A96E" w14:textId="046F6B18" w:rsidR="000D7053" w:rsidRPr="00B628F3" w:rsidRDefault="000D7053" w:rsidP="00BE64A2">
      <w:pPr>
        <w:pStyle w:val="CBDNormalNumber"/>
        <w:rPr>
          <w:snapToGrid w:val="0"/>
        </w:rPr>
      </w:pPr>
      <w:r>
        <w:rPr>
          <w:snapToGrid w:val="0"/>
        </w:rPr>
        <w:t>Пункт 2 статьи 20 Конвенции гласит (выделение добавлено):</w:t>
      </w:r>
    </w:p>
    <w:p w14:paraId="69F609D4" w14:textId="4BD7C660" w:rsidR="00BE64A2" w:rsidRPr="004150C3" w:rsidRDefault="00A46A44" w:rsidP="00F5412E">
      <w:pPr>
        <w:pStyle w:val="ListParagraph"/>
        <w:ind w:left="1134" w:right="571"/>
        <w:rPr>
          <w:snapToGrid w:val="0"/>
        </w:rPr>
      </w:pPr>
      <w:r>
        <w:rPr>
          <w:snapToGrid w:val="0"/>
        </w:rPr>
        <w:t>«</w:t>
      </w:r>
      <w:r>
        <w:rPr>
          <w:b/>
          <w:snapToGrid w:val="0"/>
        </w:rPr>
        <w:t>Стороны, являющиеся развитыми странами, предоставляют новые и дополнительные финансовые ресурсы, с тем чтобы дать возможность Сторонам, являющимся развивающимися странами</w:t>
      </w:r>
      <w:r>
        <w:rPr>
          <w:snapToGrid w:val="0"/>
        </w:rPr>
        <w:t xml:space="preserve">, покрывать согласованные полные дополнительные расходы, которые они будут нести в ходе осуществления мер во исполнение обязательств по настоящей Конвенции, и получать выгоды от осуществления ее положений (…). </w:t>
      </w:r>
      <w:r>
        <w:rPr>
          <w:b/>
          <w:snapToGrid w:val="0"/>
        </w:rPr>
        <w:t xml:space="preserve">Другие Стороны, включая страны, находящиеся в процессе перехода к рыночной экономике, могут добровольно брать на себя обязательства Сторон, являющихся </w:t>
      </w:r>
      <w:r>
        <w:rPr>
          <w:b/>
          <w:snapToGrid w:val="0"/>
        </w:rPr>
        <w:lastRenderedPageBreak/>
        <w:t>развитыми странами</w:t>
      </w:r>
      <w:r>
        <w:rPr>
          <w:snapToGrid w:val="0"/>
        </w:rPr>
        <w:t xml:space="preserve">. Для целей настоящей статьи Конференция Сторон на своем первом совещании устанавливает </w:t>
      </w:r>
      <w:r>
        <w:rPr>
          <w:b/>
          <w:bCs/>
          <w:snapToGrid w:val="0"/>
        </w:rPr>
        <w:t>перечень Сторон, являющихся развитыми странами, и других Сторон, которые добровольно берут на себя обязательства Сторон, являющихся развитыми странами</w:t>
      </w:r>
      <w:r>
        <w:rPr>
          <w:snapToGrid w:val="0"/>
        </w:rPr>
        <w:t xml:space="preserve">. Конференция Сторон периодически проводит обзор перечня и, в случае необходимости, вносит в него изменения (…)». </w:t>
      </w:r>
    </w:p>
    <w:p w14:paraId="0E6FA1C3" w14:textId="1AF1D7DD" w:rsidR="004B52E5" w:rsidRPr="004B52E5" w:rsidRDefault="006A4428" w:rsidP="0079782D">
      <w:pPr>
        <w:pStyle w:val="CBDNormalNumber"/>
        <w:rPr>
          <w:b/>
          <w:bCs/>
          <w:snapToGrid w:val="0"/>
        </w:rPr>
      </w:pPr>
      <w:r>
        <w:t>Таким образом, эта статья:</w:t>
      </w:r>
    </w:p>
    <w:p w14:paraId="4738468B" w14:textId="175185B2" w:rsidR="00667ECA" w:rsidRPr="00667ECA" w:rsidRDefault="006C150D" w:rsidP="004B52E5">
      <w:pPr>
        <w:pStyle w:val="CBDNormalNumber"/>
        <w:numPr>
          <w:ilvl w:val="1"/>
          <w:numId w:val="7"/>
        </w:numPr>
        <w:rPr>
          <w:b/>
          <w:bCs/>
          <w:snapToGrid w:val="0"/>
        </w:rPr>
      </w:pPr>
      <w:r>
        <w:t>устанавливает обязательства для Сторон, являющихся развитыми странами, предоставлять новые и дополнительные финансовые ресурсы Сторонам, являющимся развивающимися странами;</w:t>
      </w:r>
    </w:p>
    <w:p w14:paraId="2BF7FD62" w14:textId="0AF4D6B1" w:rsidR="004E7B45" w:rsidRPr="004E7B45" w:rsidRDefault="006C150D" w:rsidP="004B52E5">
      <w:pPr>
        <w:pStyle w:val="CBDNormalNumber"/>
        <w:numPr>
          <w:ilvl w:val="1"/>
          <w:numId w:val="7"/>
        </w:numPr>
        <w:rPr>
          <w:b/>
          <w:bCs/>
          <w:snapToGrid w:val="0"/>
        </w:rPr>
      </w:pPr>
      <w:r>
        <w:t>предусматривает, что другие Стороны могут добровольно взять на себя эти обязательства;</w:t>
      </w:r>
    </w:p>
    <w:p w14:paraId="4D7D562B" w14:textId="51E675C8" w:rsidR="00286C5A" w:rsidRPr="003C6848" w:rsidRDefault="006C150D" w:rsidP="004B52E5">
      <w:pPr>
        <w:pStyle w:val="CBDNormalNumber"/>
        <w:numPr>
          <w:ilvl w:val="1"/>
          <w:numId w:val="7"/>
        </w:numPr>
        <w:rPr>
          <w:b/>
          <w:bCs/>
          <w:snapToGrid w:val="0"/>
        </w:rPr>
      </w:pPr>
      <w:r>
        <w:t>предусматривает, что Конференция Сторон установит перечень Сторон, являющихся развитыми странами, и других Сторон, которые добровольно берут на себя обязательства Сторон, являющихся развитыми странами, будет периодически проводить его обзор и, при необходимости, вносить в него изменения.</w:t>
      </w:r>
    </w:p>
    <w:p w14:paraId="352F9BB6" w14:textId="1141616F" w:rsidR="00E82B36" w:rsidRDefault="00E82B36" w:rsidP="001C320A">
      <w:pPr>
        <w:pStyle w:val="CBDNormalNumber"/>
        <w:ind w:hanging="27"/>
        <w:rPr>
          <w:kern w:val="22"/>
        </w:rPr>
      </w:pPr>
      <w:r>
        <w:t>Кроме того, в пункте 1 статьи 21 этот перечень упоминается в контексте совместного несения бремени расходов Сторонами, вносящими вклад в механизм финансирования Конвенции.</w:t>
      </w:r>
    </w:p>
    <w:p w14:paraId="6CB89ACC" w14:textId="24D00770" w:rsidR="00E67195" w:rsidRPr="003C6848" w:rsidRDefault="003145D8" w:rsidP="001C320A">
      <w:pPr>
        <w:pStyle w:val="CBDNormalNumber"/>
        <w:ind w:hanging="27"/>
        <w:rPr>
          <w:kern w:val="22"/>
        </w:rPr>
      </w:pPr>
      <w:r>
        <w:t xml:space="preserve">Соответственно, Конференция Сторон на своем первом совещании в 1994 году установила и утвердила перечень Сторон, являющихся развитыми странами, и других Сторон, которые добровольно берут на себя обязательства Сторон, являющихся развитыми странами. Этот перечень состоял из двух частей: перечня Сторон, являющихся развитыми странами, включающего 22 государства-участника, и пустого перечня Сторон, которые добровольно берут на себя обязательства Сторон, являющихся развитыми странами (см. решение </w:t>
      </w:r>
      <w:hyperlink r:id="rId23" w:history="1">
        <w:r>
          <w:rPr>
            <w:rStyle w:val="Hyperlink"/>
          </w:rPr>
          <w:t>I/2</w:t>
        </w:r>
      </w:hyperlink>
      <w:r>
        <w:t>, пункт 1 и приложение II).</w:t>
      </w:r>
    </w:p>
    <w:p w14:paraId="039D336F" w14:textId="4460D7BE" w:rsidR="003564D1" w:rsidRPr="009D2E4E" w:rsidRDefault="007645AD" w:rsidP="005C72A9">
      <w:pPr>
        <w:pStyle w:val="CBDNormalNumber"/>
        <w:tabs>
          <w:tab w:val="clear" w:pos="567"/>
        </w:tabs>
        <w:rPr>
          <w:kern w:val="22"/>
        </w:rPr>
      </w:pPr>
      <w:r>
        <w:t xml:space="preserve">На своем восьмом совещании в 2006 году Конференция Сторон утвердила этот перечень с учетом внесенных в него изменений (см. решение </w:t>
      </w:r>
      <w:hyperlink r:id="rId24" w:history="1">
        <w:r>
          <w:rPr>
            <w:rStyle w:val="Hyperlink"/>
          </w:rPr>
          <w:t>VIII/18</w:t>
        </w:r>
      </w:hyperlink>
      <w:r>
        <w:t xml:space="preserve">, пункт 1 и приложение). </w:t>
      </w:r>
      <w:r w:rsidR="009D2E4E" w:rsidRPr="009D2E4E">
        <w:t>В измененном перечне не проводится разграничения</w:t>
      </w:r>
      <w:r>
        <w:t xml:space="preserve"> между Сторонами, являющимися развитыми странами, и Сторонами, которые добровольно берут на себя обязательства Сторон, являющихся развитыми странами. В общей сложности он включает 25 государств</w:t>
      </w:r>
      <w:r w:rsidR="00ED792E">
        <w:rPr>
          <w:lang w:val="en-US"/>
        </w:rPr>
        <w:noBreakHyphen/>
      </w:r>
      <w:r>
        <w:t>участников.</w:t>
      </w:r>
    </w:p>
    <w:p w14:paraId="759DDD35" w14:textId="677E0D04" w:rsidR="003D2D74" w:rsidRPr="003C6848" w:rsidRDefault="00A75E71" w:rsidP="001C320A">
      <w:pPr>
        <w:pStyle w:val="CBDNormalNumber"/>
        <w:ind w:hanging="27"/>
        <w:rPr>
          <w:kern w:val="22"/>
        </w:rPr>
      </w:pPr>
      <w:r>
        <w:t xml:space="preserve">Как пояснялось выше, в ответ на уведомления, направленные в соответствии с пунктом 47 (b) решения </w:t>
      </w:r>
      <w:hyperlink r:id="rId25" w:history="1">
        <w:r>
          <w:rPr>
            <w:rStyle w:val="Hyperlink"/>
          </w:rPr>
          <w:t>15/7</w:t>
        </w:r>
      </w:hyperlink>
      <w:r>
        <w:t>, не поступило ни одного сообщения с выражением заинтересованности во включении в перечень. Таким образом, актуальной редакцией данного перечня остается вариант, утвержденный Конференцией Сторон на ее восьмом совещании.</w:t>
      </w:r>
    </w:p>
    <w:p w14:paraId="5083F01D" w14:textId="682ACE61" w:rsidR="00E95EF2" w:rsidRPr="003C6848" w:rsidRDefault="00024D47" w:rsidP="001C320A">
      <w:pPr>
        <w:pStyle w:val="CBDNormalNumber"/>
        <w:ind w:hanging="27"/>
        <w:rPr>
          <w:kern w:val="22"/>
        </w:rPr>
      </w:pPr>
      <w:r>
        <w:t>На концептуальном уровне существует два подхода к включению стран в этот перечень, применяемых в случаях:</w:t>
      </w:r>
    </w:p>
    <w:p w14:paraId="618A6528" w14:textId="7A84710C" w:rsidR="00682B05" w:rsidRPr="003C6848" w:rsidRDefault="00340F9E" w:rsidP="00E95EF2">
      <w:pPr>
        <w:pStyle w:val="CBDNormalNumber"/>
        <w:numPr>
          <w:ilvl w:val="1"/>
          <w:numId w:val="7"/>
        </w:numPr>
        <w:rPr>
          <w:kern w:val="22"/>
        </w:rPr>
      </w:pPr>
      <w:r>
        <w:t>если страна является развитой страной;</w:t>
      </w:r>
    </w:p>
    <w:p w14:paraId="14BC58E9" w14:textId="4B64D7F4" w:rsidR="00744932" w:rsidRPr="00B628F3" w:rsidRDefault="00E84695" w:rsidP="00E95EF2">
      <w:pPr>
        <w:pStyle w:val="CBDNormalNumber"/>
        <w:numPr>
          <w:ilvl w:val="1"/>
          <w:numId w:val="7"/>
        </w:numPr>
        <w:rPr>
          <w:kern w:val="22"/>
        </w:rPr>
      </w:pPr>
      <w:r>
        <w:t>если страна относится к другой группе стран и на добровольной основе принимает решение взять на себя обязательства Сторон, являющихся развитыми странами. Важным соображением при принятии такого решения может стать вывод директивных органов о том, насколько «близка» их страна к тому, чтобы считаться развитой страной.</w:t>
      </w:r>
    </w:p>
    <w:p w14:paraId="40138E1F" w14:textId="37169A82" w:rsidR="00170259" w:rsidRPr="00B628F3" w:rsidRDefault="003044AE" w:rsidP="001C320A">
      <w:pPr>
        <w:pStyle w:val="CBDNormalNumber"/>
        <w:ind w:hanging="27"/>
        <w:rPr>
          <w:kern w:val="22"/>
        </w:rPr>
      </w:pPr>
      <w:r>
        <w:t xml:space="preserve">При определении оптимальной периодичности направления предложений в отношении выражения заинтересованности во включении в перечень вопрос заключается в том, какое количество таких сообщений с выражением заинтересованности обоснованно </w:t>
      </w:r>
      <w:r>
        <w:lastRenderedPageBreak/>
        <w:t>ожидается получить, то есть, существует ли в определенный момент времени «критическая масса» стран, являющихся Сторонами Конвенции, которые могли бы быть или, как ожидается, будут заинтересованы во включении в перечень в соответствии с одним из двух упомянутых выше подходов. Ответ на этот вопрос будет зависеть от критериев в двух отношениях:</w:t>
      </w:r>
    </w:p>
    <w:p w14:paraId="7BC7E2C1" w14:textId="10FE4A39" w:rsidR="00741F88" w:rsidRPr="00B628F3" w:rsidRDefault="00E719EA" w:rsidP="00170259">
      <w:pPr>
        <w:pStyle w:val="CBDNormalNumber"/>
        <w:numPr>
          <w:ilvl w:val="1"/>
          <w:numId w:val="7"/>
        </w:numPr>
        <w:rPr>
          <w:kern w:val="22"/>
        </w:rPr>
      </w:pPr>
      <w:r>
        <w:t>во-первых, потребуется набор критериев, на основании которых можно будет определить, относится ли та или иная страна к группе «развитых стран», как указано в пункте 13 (а) выше;</w:t>
      </w:r>
    </w:p>
    <w:p w14:paraId="4FFB9D92" w14:textId="3CFA343E" w:rsidR="00283A89" w:rsidRPr="00B628F3" w:rsidRDefault="00741F88" w:rsidP="00CA556F">
      <w:pPr>
        <w:pStyle w:val="CBDNormalNumber"/>
        <w:numPr>
          <w:ilvl w:val="1"/>
          <w:numId w:val="7"/>
        </w:numPr>
        <w:rPr>
          <w:kern w:val="22"/>
        </w:rPr>
      </w:pPr>
      <w:r>
        <w:t>во-вторых, для других стран эти критерии могли бы служить ориентиром при принятии решения о том, следует ли им на добровольной основе взять на себя обязательства развитых стран в соответствии с пунктом 13 (b) выше.</w:t>
      </w:r>
    </w:p>
    <w:p w14:paraId="41792A19" w14:textId="77C64196" w:rsidR="004629E9" w:rsidRDefault="00767B32" w:rsidP="001C320A">
      <w:pPr>
        <w:pStyle w:val="CBDNormalNumber"/>
        <w:ind w:hanging="27"/>
        <w:rPr>
          <w:kern w:val="22"/>
        </w:rPr>
      </w:pPr>
      <w:r>
        <w:t>Ситуацию, описанную в пункте (а) выше, осложняет отсутствие общепринятого на международном уровне определения (и соответствующих критериев) термина «развитые страны». Тем не менее существует несколько систем классификации стран и связанных с ними наборов критериев, которые ведутся и применяются Организацией Объединенных Наций и соответствующими международными организациями. Они потенциально могли бы служить в качестве замены или, в случае пункта (b) выше, учитываться другими странами при обосновании решений о том, следует ли им на добровольной основе взять на себя обязательства развитых стран.</w:t>
      </w:r>
    </w:p>
    <w:p w14:paraId="179DD416" w14:textId="3EC2DE13" w:rsidR="00AC32AA" w:rsidRDefault="00AC32AA" w:rsidP="00AC32AA">
      <w:pPr>
        <w:pStyle w:val="CBDH1"/>
      </w:pPr>
      <w:r>
        <w:t>III.</w:t>
      </w:r>
      <w:r>
        <w:tab/>
        <w:t xml:space="preserve">Обзор и анализ существующих систем классификации </w:t>
      </w:r>
    </w:p>
    <w:p w14:paraId="0B322292" w14:textId="12CA2FE5" w:rsidR="00CD124F" w:rsidRPr="00576DB9" w:rsidRDefault="00B01614" w:rsidP="00F5412E">
      <w:pPr>
        <w:pStyle w:val="CBDH2"/>
        <w:numPr>
          <w:ilvl w:val="0"/>
          <w:numId w:val="8"/>
        </w:numPr>
        <w:ind w:left="567" w:hanging="567"/>
      </w:pPr>
      <w:r>
        <w:t>Обзор</w:t>
      </w:r>
    </w:p>
    <w:p w14:paraId="55C57442" w14:textId="0B4F683E" w:rsidR="003A7DD1" w:rsidRPr="003C6848" w:rsidRDefault="00494124" w:rsidP="001C320A">
      <w:pPr>
        <w:pStyle w:val="CBDNormalNumber"/>
        <w:ind w:hanging="27"/>
        <w:rPr>
          <w:kern w:val="22"/>
        </w:rPr>
      </w:pPr>
      <w:r>
        <w:t>В рамках всей системы Организации Объединенных Наций не существует официальных перечней «развитых стран» или «развивающихся стран». Что касается официальных перечней и связанных с ними процессов, наиболее близкими к данной теме являются перечень наименее развитых стран, который ведется Комитетом по политике в области развития Организации Объединенных Наций с 1971 года с целью выявления стран, сталкивающихся со структурными препятствиями на пути к устойчивому развитию, и перечень стран, имеющих право на получение субсидий или кредитов на крайне льготных условиях от Всемирного банка, который ведется Международной ассоциацией развития. В других классификациях, описание которых приводится ниже, используются показатели дохода или косвенные качественные показатели. Составленные на основании этого обзора перечни стран представлены в информационном документе.</w:t>
      </w:r>
    </w:p>
    <w:p w14:paraId="758317ED" w14:textId="39F041C6" w:rsidR="00AC32AA" w:rsidRPr="003C6848" w:rsidRDefault="00015B48" w:rsidP="0043298D">
      <w:pPr>
        <w:pStyle w:val="CBDNormalNumber"/>
      </w:pPr>
      <w:r>
        <w:rPr>
          <w:i/>
        </w:rPr>
        <w:t>Перечень наименее развитых стран</w:t>
      </w:r>
      <w:r w:rsidR="009D6EEA" w:rsidRPr="003C6848">
        <w:rPr>
          <w:rStyle w:val="FootnoteReference"/>
          <w:i/>
          <w:iCs/>
          <w:kern w:val="22"/>
        </w:rPr>
        <w:footnoteReference w:id="4"/>
      </w:r>
      <w:r>
        <w:rPr>
          <w:i/>
        </w:rPr>
        <w:t xml:space="preserve">. </w:t>
      </w:r>
      <w:r>
        <w:t xml:space="preserve">Перечень наименее развитых стран пересматривается раз в три года (следующий пересмотр в 2027 году) с использованием критериев, основанных на трех следующих индексах: (a) валовой национальный доход (ВНД) на душу населения, (b) индекс человеческого капитала (совокупный показатель (0–100) состояния здоровья и уровня образования), и (c) индекс экономической и экологической уязвимости (совокупный показатель (0–100) экономической и экологической уязвимости). Чтобы получить статус наименее развитой страны, страна должна соответствовать всем трем критериям или быть рекомендована в порядке исключения с учетом следующих текущих пороговых значений: ВНД на душу населения (среднее значение за три года) ≤ 1088 долл. США; индекс человеческого капитала &lt; 60 (что свидетельствует о низком уровне человеческого капитала); индекс экономической и экологической уязвимости &gt; 36 (что свидетельствует о высокой уязвимости). Пороговое значение для исключения из перечня установлено на 20 процентов выше порогового значения ВНД для включения в него (то есть ВНД на душу населения ≥ 1306 долл. США). Для исключения страна должна отвечать по меньшей мере двум критериям в течение двух </w:t>
      </w:r>
      <w:r>
        <w:lastRenderedPageBreak/>
        <w:t>трехгодичных обзоров подряд или, в порядке исключения, — только одному критерию дохода, если ВНД более чем в три раза превышает пороговый показатель для исключения (3918 долл. США) и считается устойчивым. Исключение не происходит автоматически; для этого требуется рекомендация Комитета по политике в области развития, одобрение Экономического и Социального Совета и резолюция Генеральной Ассамблеи Организации Объединенных Наций. Для стран, отвечающих критериям исключения, устанавливается подготовительный период от 3 до 6 лет, который может быть продлен при наличии факторов уязвимости. По состоянию на март 2026 года в мире насчитывалось 44 наименее развитые страны. С 1992 года из перечня наименее развитых стран было исключено в общей сложности восемь стран. Первый случай исключения имел место в 1994 году.</w:t>
      </w:r>
    </w:p>
    <w:p w14:paraId="1D0EFB48" w14:textId="40AAFFA0" w:rsidR="00AB78A9" w:rsidRPr="00B628F3" w:rsidRDefault="00464463" w:rsidP="0043298D">
      <w:pPr>
        <w:pStyle w:val="CBDNormalNumber"/>
      </w:pPr>
      <w:r>
        <w:rPr>
          <w:i/>
        </w:rPr>
        <w:t>Перечень Международной ассоциации развития</w:t>
      </w:r>
      <w:r w:rsidR="00F53D81" w:rsidRPr="00B628F3">
        <w:rPr>
          <w:rStyle w:val="FootnoteReference"/>
          <w:i/>
          <w:iCs/>
        </w:rPr>
        <w:footnoteReference w:id="5"/>
      </w:r>
      <w:r>
        <w:rPr>
          <w:i/>
        </w:rPr>
        <w:t>.</w:t>
      </w:r>
      <w:r>
        <w:t xml:space="preserve"> Международная ассоциация развития ведет официальный перечень стран, имеющих право на получение субсидий и кредитов на крайне льготных условиях от Всемирного банка. К числу квалификационных критериев в первую очередь относится показатель ВНД на душу населения, который должен быть менее 1325 долл. США (по состоянию на 2026 год). Вместе с тем также учитывается статус страны с небольшим объемом экономики и кредитное положение для получения стандартных займов от Всемирного банка. По состоянию на 2026 год в этот перечень входят 78 стран. В течение весьма продолжительного времени общее число отвечающих квалификационным критериям стран колебалось в диапазоне примерно ближе к 80, причем число исключаемых стран компенсировалось появлением новых независимых государств и периодическими случаями возвращения стран в перечень. С 1992 года из перечня было исключено 20 стран (за исключением случаев возвращения в перечень); из них 13 — после 2006 года.</w:t>
      </w:r>
    </w:p>
    <w:p w14:paraId="574226EF" w14:textId="2796A79D" w:rsidR="008642DD" w:rsidRPr="00B628F3" w:rsidRDefault="00433E4B" w:rsidP="00433E4B">
      <w:pPr>
        <w:pStyle w:val="CBDNormalNumber"/>
      </w:pPr>
      <w:r>
        <w:rPr>
          <w:i/>
        </w:rPr>
        <w:t>Классификация Всемирного банка</w:t>
      </w:r>
      <w:r w:rsidR="00AA2E68" w:rsidRPr="00B628F3">
        <w:rPr>
          <w:rStyle w:val="FootnoteReference"/>
          <w:i/>
          <w:iCs/>
        </w:rPr>
        <w:footnoteReference w:id="6"/>
      </w:r>
      <w:r>
        <w:rPr>
          <w:i/>
        </w:rPr>
        <w:t>.</w:t>
      </w:r>
      <w:r>
        <w:t xml:space="preserve"> Всемирный банк ежегодно подразделяет экономики стран (217 по состоянию на 2026 год) на группы по уровню дохода, используя такой критерий, как ВНД на душу населения. В настоящее время пороговые значения составляют: (a) низкий уровень дохода: ≤ 1135 долл. США; (b) уровень дохода ниже среднего: от 1136 до 4495 долл. США; (c) уровень дохода выше среднего: от 4496 до 13 935 долл. США; (d) высокий уровень дохода: &gt; 13 935 долл. США</w:t>
      </w:r>
      <w:r w:rsidR="00F03BDC" w:rsidRPr="00B628F3">
        <w:rPr>
          <w:rStyle w:val="FootnoteReference"/>
        </w:rPr>
        <w:footnoteReference w:id="7"/>
      </w:r>
      <w:r>
        <w:t>. В отличие от рассмотренных выше перечней, здесь отсутствует официальная процедура исключения: реклассификация происходит автоматически при превышении порогового значения ВНД, причем некоторые страны, находящиеся в «приграничной области», со временем могут перемещаться из одной группы в другую. По состоянию на 2024 год (по последним имеющимся данным) насчитывалось 25 стран с низким уровнем дохода, 50 стран с уровнем дохода ниже среднего, 53 страны с уровнем дохода выше среднего и 63 страны с высоким уровнем дохода, являющихся Сторонами Конвенции</w:t>
      </w:r>
      <w:r w:rsidRPr="00B628F3">
        <w:rPr>
          <w:rStyle w:val="FootnoteReference"/>
        </w:rPr>
        <w:footnoteReference w:id="8"/>
      </w:r>
      <w:r>
        <w:t>. С 1992 года в категорию стран с высоким уровнем дохода вошли в общей сложности 32 страны, являющиеся Сторонами Конвенции, 19 из которых — после 2006 года (за исключением случаев последующего снижения уровня дохода или пробелов в данных). Все страны, включенные в перечень Сторон, установленный в соответствии с пунктом 2 статьи 20 Конвенции, относятся к категории стран с высоким уровнем дохода; не входят в перечень Конвенции в общей сложности 38 стран с высоким уровнем дохода, являющихся Сторонами Конвенции.</w:t>
      </w:r>
    </w:p>
    <w:p w14:paraId="1B4698AE" w14:textId="59A90581" w:rsidR="00786198" w:rsidRPr="00367112" w:rsidRDefault="00786198" w:rsidP="005E5914">
      <w:pPr>
        <w:pStyle w:val="CBDNormalNumber"/>
      </w:pPr>
      <w:r>
        <w:rPr>
          <w:i/>
          <w:iCs/>
        </w:rPr>
        <w:t>Классификация Международного валютного фонда (МВФ)</w:t>
      </w:r>
      <w:r w:rsidR="000D275D" w:rsidRPr="00B628F3">
        <w:rPr>
          <w:rStyle w:val="FootnoteReference"/>
          <w:i/>
          <w:iCs/>
        </w:rPr>
        <w:footnoteReference w:id="9"/>
      </w:r>
      <w:r>
        <w:t xml:space="preserve">. В своем докладе «Перспективы развития мировой экономики» МВФ в аналитических целях подразделяет страны на «страны с развитой экономикой» и «страны с формирующейся рыночной </w:t>
      </w:r>
      <w:r>
        <w:lastRenderedPageBreak/>
        <w:t>экономикой и развивающиеся страны». Некоторые страны, не являющиеся членами МВФ, не включены в эту классификацию</w:t>
      </w:r>
      <w:r w:rsidRPr="00B628F3">
        <w:rPr>
          <w:rStyle w:val="FootnoteReference"/>
        </w:rPr>
        <w:footnoteReference w:id="10"/>
      </w:r>
      <w:r>
        <w:t>. Классификация не основана на строгих правилах; в ней учитываются доход на душу населения, диверсификация экспорта и степень интеграции в глобальную финансовую систему. Соответственно, она не предусматривает официальную процедуру исключения или переходный процесс. Случаи реклассификации относительно редки и имеют место при наличии устойчивого экономического прогресса. По состоянию на октябрь 2025 года (по последним имеющимся данным) Сторонами Конвенции являлись 37 стран с развитой экономикой и 153 страны с формирующейся рыночной и развивающейся экономикой. В 1992 году (и вплоть до публикации в мае 1997 года доклада «Перспективы развития мировой экономики») группа была известна как «промышленно развитые страны» и состояла из 22 стран; таким образом, с 1992 года в нее вошли 15 стран, из которых 11 — с 2006 года. Все страны, включенные в перечень Конвенции и являющиеся членами МВФ, относятся к категории стран с развитой экономикой; в этот перечень не включены в общей сложности 13 стран с развитой экономикой, являющихся Сторонами Конвенции.</w:t>
      </w:r>
    </w:p>
    <w:p w14:paraId="7E183C68" w14:textId="75DB3122" w:rsidR="00705EAB" w:rsidRPr="00B628F3" w:rsidRDefault="00A35421" w:rsidP="001C320A">
      <w:pPr>
        <w:pStyle w:val="CBDNormalNumber"/>
        <w:ind w:hanging="27"/>
        <w:rPr>
          <w:kern w:val="22"/>
        </w:rPr>
      </w:pPr>
      <w:r>
        <w:rPr>
          <w:i/>
        </w:rPr>
        <w:t>Членство в Комитете содействия развитию Организации экономического сотрудничества и развития (ОЭСР)</w:t>
      </w:r>
      <w:r w:rsidR="003C366E" w:rsidRPr="00B628F3">
        <w:rPr>
          <w:rStyle w:val="FootnoteReference"/>
          <w:i/>
          <w:iCs/>
          <w:kern w:val="22"/>
        </w:rPr>
        <w:footnoteReference w:id="11"/>
      </w:r>
      <w:r>
        <w:rPr>
          <w:i/>
        </w:rPr>
        <w:t>.</w:t>
      </w:r>
      <w:r>
        <w:t xml:space="preserve"> Комитет содействия развитию (КСР) ОЭСР является основным международным форумом субъектов, оказывающих на двусторонней основе помощь в целях развития и уделяющих особое внимание вопросам сотрудничества в области развития, эффективности помощи, сокращения бедности и устойчивого развития. В отличие от ранее представленных систем, членство в КСР не определяется фиксированными количественными пороговыми показателями, такими как ВНД на душу населения или объем официальной помощи в целях развития (ОПР). В рамках этой системы используется процесс качественной оценки, осуществляемый непосредственно под руководством КСР. Субъекты, предоставляющие помощь на двусторонней основе (независимо от того, являются ли они членами ОЭСР или нет), могут заявить о своей заинтересованности, а кандидаты оцениваются с точки зрения их готовности внести свой вклад. Основными критериями оценки являются: (a) наличие политической и институциональной структуры и механизма подотчетности, обеспечивающих приверженность страны делу содействия устойчивому развитию в партнерстве с развивающимися странами и странами с переходной экономикой с использованием государственных ресурсов; (b) подтвержденное участие в Комитете и согласованность с его работой; (c) готовность и способность добиваться прогресса и в конечном итоге соответствовать нормам КСР, в частности в области отчетности по ОПР. Процесс присоединения осуществляется по приглашению и путем одобрения КСР на основе консенсуса. С 1992 года в состав КСР вошло 13 новых членов, 9 из которых присоединились к нему после 2006 года. В настоящее время насчитывается 32 полноправных члена, которые являются Сторонами Конвенции (31 страна-член и Европейский союз).</w:t>
      </w:r>
    </w:p>
    <w:p w14:paraId="63CEE675" w14:textId="3942A8AC" w:rsidR="00705EAB" w:rsidRPr="00B628F3" w:rsidRDefault="00705EAB" w:rsidP="00705EAB">
      <w:pPr>
        <w:pStyle w:val="CBDNormalNumber"/>
        <w:ind w:hanging="27"/>
        <w:rPr>
          <w:i/>
          <w:iCs/>
          <w:kern w:val="22"/>
        </w:rPr>
      </w:pPr>
      <w:r>
        <w:t xml:space="preserve">На сегодняшний день все страны, включенные в последний перечень Конвенции, являются полноправными членами КСР, за исключением Монако, которое тем не менее признано страной-донором, не входящей в состав КСР, и представляет с 2022 года ОЭСР доклады о своей деятельности на уровне мероприятий. В общей сложности в перечень не входят восемь полноправных членов КСР, являющихся Сторонами Конвенции. </w:t>
      </w:r>
    </w:p>
    <w:p w14:paraId="24971514" w14:textId="5248C63D" w:rsidR="00AC32AA" w:rsidRPr="00B628F3" w:rsidRDefault="002C6D0A" w:rsidP="00705EAB">
      <w:pPr>
        <w:pStyle w:val="CBDNormalNumber"/>
        <w:ind w:hanging="27"/>
        <w:rPr>
          <w:i/>
          <w:iCs/>
          <w:kern w:val="22"/>
        </w:rPr>
      </w:pPr>
      <w:r>
        <w:rPr>
          <w:i/>
        </w:rPr>
        <w:t>Участники или ассоциированные члены КСР.</w:t>
      </w:r>
      <w:r>
        <w:t xml:space="preserve"> Помимо полноправных членов, в составе КСР есть один ассоциированный член (который также является одной из стран, находящихся в настоящее время в процессе присоединения к ОЭСР) и семь участников, которые, в отличие от полноправных или ассоциированных членов, не обладают правом принятия решений и не обязаны выполнять весь комплекс обязательств КСР. Они участвуют в этой деятельности на добровольной основе в качестве субъектов, предоставляющих ОПР, или новых доноров в этой области. Ни одна из восьми стран, которые в настоящее время </w:t>
      </w:r>
      <w:r>
        <w:lastRenderedPageBreak/>
        <w:t xml:space="preserve">являются участниками и ассоциированными членами КСР, не включена в перечень Конвенции. </w:t>
      </w:r>
    </w:p>
    <w:p w14:paraId="0D6163B0" w14:textId="0C779F34" w:rsidR="00D728B9" w:rsidRPr="00154627" w:rsidRDefault="00947AB4" w:rsidP="00F5412E">
      <w:pPr>
        <w:pStyle w:val="CBDH2"/>
        <w:numPr>
          <w:ilvl w:val="0"/>
          <w:numId w:val="8"/>
        </w:numPr>
        <w:tabs>
          <w:tab w:val="clear" w:pos="567"/>
        </w:tabs>
        <w:ind w:left="567" w:hanging="567"/>
      </w:pPr>
      <w:r>
        <w:t>Анализ</w:t>
      </w:r>
    </w:p>
    <w:p w14:paraId="740E0F3C" w14:textId="2DD0883E" w:rsidR="00D558C1" w:rsidRPr="007A5FDB" w:rsidRDefault="00404CDA" w:rsidP="007A5FDB">
      <w:pPr>
        <w:pStyle w:val="CBDNormalNumber"/>
      </w:pPr>
      <w:r>
        <w:t>В связи с представленным выше обзором можно сделать ряд замечаний. Во-первых, за исключением критериев членства в КСР ОЭСР, во всех классификациях одним из важных критериев является ВНД на душу населения. Вместе с тем в большинстве случаев этот критерий дополняется и, возможно, нивелируется другими критериями, такими как уровень образования и состояние здоровья, экономическая и экологическая уязвимость, статус страны с небольшим объемом экономики, кредитное положение, диверсификация экспорта и интеграция в глобальную финансовую систему (причем следует отметить, что последние два критерия связаны с экономической уязвимостью). Эти критерии не являются стандартными в рамках различных систем; таким образом, общепризнанного набора критериев, на который можно было бы опираться при принятии решений в соответствии с пунктом 13 выше, не существует.</w:t>
      </w:r>
    </w:p>
    <w:p w14:paraId="4156A27D" w14:textId="0B27BD33" w:rsidR="003D70E9" w:rsidRPr="003A129C" w:rsidRDefault="009D3C19" w:rsidP="007A5FDB">
      <w:pPr>
        <w:pStyle w:val="CBDNormalNumber"/>
      </w:pPr>
      <w:r>
        <w:t xml:space="preserve">Что касается определения развитых стран, то следует отметить, что в пункте 2 статьи 20 речь идет о развитых странах в контексте предоставления новых и дополнительных финансовых ресурсов развивающимся странам, то есть основное внимание в нем уделяется развитым странам в их качестве поставщиков финансовых ресурсов. В этом контексте полноправное членство страны в КСР ОЭСР само по себе является значимым показателем: оно свидетельствует о том, что данная страна считает себя частью международного сообщества, оказывающего официальную помощь в целях развития развивающимся странам и странам с переходной экономикой. </w:t>
      </w:r>
    </w:p>
    <w:p w14:paraId="06C35C9B" w14:textId="6DBCDEAA" w:rsidR="00676F99" w:rsidRPr="003A129C" w:rsidRDefault="00676F99" w:rsidP="007A5FDB">
      <w:pPr>
        <w:pStyle w:val="CBDNormalNumber"/>
      </w:pPr>
      <w:r>
        <w:t>Предыдущая практика показывает, что полноправное членство в КСР не является обязательным условием для включения в перечень Конвенции: (a) Монако было включено в перечень еще в 1996 году, однако на сегодняшний день не является членом КСР (хотя эта страна признана страной-донором в области ОПР, не входящей в состав КСР, и представляет КСР информацию на добровольной основе); (b) Исландия была включена в перечень в 1996 году, но стала членом КСР только в 2013 году. С 1990 года она имела статус наблюдателя в КСР; (c) Чехия была включена в перечень в 2006 году, однако присоединилась к КСР только в 2013 году. Она имела статус наблюдателя в КСР с момента присоединения к ОЭСР в 1995 году; (d) Словения была включена в перечень в 2006 году, однако присоединилась к КСР лишь в 2013 году. Она имела статус наблюдателя в КСР с момента присоединения к ОЭСР в 2010 году. Вместе с тем, как отмечалось выше, все страны, включенные в перечень, за исключением Монако, являются полноправными членами КСР.</w:t>
      </w:r>
    </w:p>
    <w:p w14:paraId="6355F516" w14:textId="2C9F58A8" w:rsidR="000736A5" w:rsidRPr="003A129C" w:rsidRDefault="000736A5" w:rsidP="00F5412E">
      <w:pPr>
        <w:pStyle w:val="CBDNormalNumber"/>
      </w:pPr>
      <w:r>
        <w:t>Таким образом, хотя полноправное членство в КСР не является обязательным условием для включения в перечень Конвенции, с учетом приведенного выше обоснования полноправного членства в КСР, а также с учетом того, что в пункте 2 статьи 20 речь идет о развитых странах в контексте предоставления новых и дополнительных финансовых ресурсов развивающимся странам, членство в КСР само по себе, пожалуй, может служить веским основанием для включения в перечень.</w:t>
      </w:r>
    </w:p>
    <w:p w14:paraId="3C27FE5A" w14:textId="41D6280C" w:rsidR="00EF747C" w:rsidRPr="003A129C" w:rsidRDefault="00957033" w:rsidP="00F5412E">
      <w:pPr>
        <w:pStyle w:val="CBDNormalNumber"/>
      </w:pPr>
      <w:r>
        <w:t xml:space="preserve">Что касается определения национальными директивными органами других стран того, следует ли их стране рассмотреть на добровольной основе возможность принятия на себя обязательств Сторон, являющихся развитыми странами, в соответствии с пунктом 2 статьи 20, следует отметить, что вынести такое определение может быть затруднительно, поскольку директивные органы многих стран могут считать, что их страна, с точки зрения ее «близости» к развитым странам, находится в некоей «серой зоне». По этой же причине может быть трудно отдать предпочтение какой-либо одной конкретной категории в рамках остальных рассмотренных выше систем классификации — как, например, категориям стран «с уровнем дохода выше среднего» и «с более высоким уровнем дохода» в системе </w:t>
      </w:r>
      <w:r>
        <w:lastRenderedPageBreak/>
        <w:t>Всемирного банка или категории «стран с развитой экономикой» в системе МВФ — в качестве единственного основания для вынесения такого определения. Вместе с тем остальные рассмотренные системы в совокупности все же могут стать источником полезной информации, которая поможет сориентироваться в этой «серой зоне» и послужит руководством для национальных директивных органов при рассмотрении вопроса о том, следует ли их стране, являющейся Стороной Конвенции, на добровольной основе взять на себя обязательства Сторон, являющихся развитыми странами, в соответствии с пунктом 2 статьи 20 Конвенции</w:t>
      </w:r>
      <w:r w:rsidR="00D90365" w:rsidRPr="003A129C">
        <w:rPr>
          <w:rStyle w:val="FootnoteReference"/>
          <w:kern w:val="22"/>
        </w:rPr>
        <w:footnoteReference w:id="12"/>
      </w:r>
      <w:r>
        <w:t>.</w:t>
      </w:r>
    </w:p>
    <w:p w14:paraId="0CDCD6C1" w14:textId="0D4C65C7" w:rsidR="00BA72C4" w:rsidRDefault="00095B3A" w:rsidP="00095B3A">
      <w:pPr>
        <w:pStyle w:val="CBDH1"/>
      </w:pPr>
      <w:r>
        <w:t>IV.</w:t>
      </w:r>
      <w:r>
        <w:tab/>
        <w:t>Выводы и элементы рекомендации</w:t>
      </w:r>
    </w:p>
    <w:p w14:paraId="03DBF8E7" w14:textId="6AEE5F18" w:rsidR="006B625C" w:rsidRPr="003A129C" w:rsidRDefault="0029153C" w:rsidP="000E4EE5">
      <w:pPr>
        <w:pStyle w:val="CBDNormalNumber"/>
        <w:keepNext/>
      </w:pPr>
      <w:r>
        <w:t>В 2023 году была предпринята последняя попытка обновить перечень Сторон, установленный и подлежащий ведению в соответствии с пунктом 2 статьи 20 Конвенции с уделением основного внимания странам, которые добровольно принимают на себя обязательства Сторон, являющихся развитыми странами, как это предусматривается этой статьей Конвенции. Однако в соответствии с пунктом 2 статьи 20 в перечень, устанавливаемый и подлежащий периодическому обзору и внесению в него изменений,  включаются как развитые страны, так и страны, добровольно принимающие на себя обязательства развитых стран.</w:t>
      </w:r>
    </w:p>
    <w:p w14:paraId="3B3B7965" w14:textId="55C2F9C1" w:rsidR="00393E2C" w:rsidRDefault="00C209CA" w:rsidP="000E4EE5">
      <w:pPr>
        <w:pStyle w:val="CBDNormalNumber"/>
        <w:keepNext/>
      </w:pPr>
      <w:r>
        <w:t>Что касается оптимальной периодичности направления предложений в отношении выражения заинтересованности во включении в перечень, то в разделе II выше было введено понятие «критической массы». Представленный в предыдущем разделе анализ позволяет предположить, что такая критическая масса уже существует в отношении обоих упомянутых выше концептуальных подходов:</w:t>
      </w:r>
    </w:p>
    <w:p w14:paraId="1A84A99C" w14:textId="3448DE4A" w:rsidR="00831E05" w:rsidRPr="003A129C" w:rsidRDefault="00693C99" w:rsidP="00831E05">
      <w:pPr>
        <w:pStyle w:val="CBDNormalNumber"/>
        <w:keepNext/>
        <w:numPr>
          <w:ilvl w:val="1"/>
          <w:numId w:val="7"/>
        </w:numPr>
      </w:pPr>
      <w:r>
        <w:t xml:space="preserve">что касается развитых стран, то применительно к целям пункта 2 статьи 20 даже при использовании самого узкого аналитического критерия (членство в КСР ОЭСР) в перечне Конвенции по-прежнему отсутствуют в общей сложности восемь полноправных членов КСР, являющихся Сторонами Конвенции; </w:t>
      </w:r>
    </w:p>
    <w:p w14:paraId="1F63872C" w14:textId="57DB6AE6" w:rsidR="00831E05" w:rsidRPr="003A129C" w:rsidRDefault="00831E05" w:rsidP="00831E05">
      <w:pPr>
        <w:pStyle w:val="CBDNormalNumber"/>
        <w:keepNext/>
        <w:numPr>
          <w:ilvl w:val="1"/>
          <w:numId w:val="7"/>
        </w:numPr>
      </w:pPr>
      <w:r>
        <w:t>что касается стран, которые потенциально могли бы на добровольной основе взять на себя обязательства развитых стран в соответствии с пунктом 2 статьи 20, даже в самый небольшой из оставшихся перечней (участников и ассоциированных членов КСР ОЭСР) все же включено в общей сложности восемь стран, а именно семь участников и один ассоциированный член КСР ОЭСР, которые являются Сторонами Конвенции, но не включены в перечень Конвенции.</w:t>
      </w:r>
    </w:p>
    <w:p w14:paraId="385F3515" w14:textId="1AC1D81D" w:rsidR="005151CE" w:rsidRDefault="00112E26" w:rsidP="000E4EE5">
      <w:pPr>
        <w:pStyle w:val="CBDNormalNumber"/>
        <w:keepNext/>
      </w:pPr>
      <w:r>
        <w:t xml:space="preserve">Наличие такой критической массы позволяет предположить, что можно незамедлительно разослать уведомление Сторонам из числа развитых стран и другим Сторонам, которые могут добровольно взять на себя обязательства Сторон, являющихся развитыми странами, в соответствии со статьей 20 Конвенции, с предложением выразить свою заинтересованность во включении в этот перечень. Периодичность будущих действий </w:t>
      </w:r>
      <w:r>
        <w:lastRenderedPageBreak/>
        <w:t>будет также зависеть от успеха этих немедленных мер; с самого начала повторение таких действий на каждом втором совещании Конференции Сторон может стать разумным компромиссом между необходимостью избежать «усталости от уведомлений» и желанием синхронизировать эти действия с циклом совещаний Конференции Сторон. Этот механизм может быть пересмотрен на одном из будущих совещаний Конференции Сторон.</w:t>
      </w:r>
    </w:p>
    <w:p w14:paraId="2E972779" w14:textId="02C27498" w:rsidR="00BA72C4" w:rsidRDefault="00BA72C4" w:rsidP="000E4EE5">
      <w:pPr>
        <w:pStyle w:val="CBDNormalNumber"/>
        <w:keepNext/>
      </w:pPr>
      <w:r>
        <w:t>С учетом представленной выше информации и анализа Вспомогательный орган по осуществлению, возможно, пожелает принять рекомендацию, охватывающую следующие элементы:</w:t>
      </w:r>
    </w:p>
    <w:p w14:paraId="5D0A5989" w14:textId="17A0E947" w:rsidR="007A52DD" w:rsidRPr="003A129C" w:rsidRDefault="00D45E4B" w:rsidP="00B33DE0">
      <w:pPr>
        <w:pStyle w:val="CBDNormalNumber"/>
        <w:keepNext/>
        <w:numPr>
          <w:ilvl w:val="1"/>
          <w:numId w:val="7"/>
        </w:numPr>
      </w:pPr>
      <w:r>
        <w:t>предложить Сторонам из числа развитых стран и другим Сторонам, которые могут на добровольной основе взять на себя обязательства Сторон, являющихся развитыми странами, в соответствии с пунктом 2 статьи 20 Конвенции, выразить свою заинтересованность во включении в перечень Конвенции;</w:t>
      </w:r>
    </w:p>
    <w:p w14:paraId="7CFC0E78" w14:textId="6B7A0A7E" w:rsidR="001C1D13" w:rsidRPr="003A129C" w:rsidRDefault="001C1D13" w:rsidP="00B33DE0">
      <w:pPr>
        <w:pStyle w:val="CBDNormalNumber"/>
        <w:keepNext/>
        <w:numPr>
          <w:ilvl w:val="1"/>
          <w:numId w:val="7"/>
        </w:numPr>
      </w:pPr>
      <w:r>
        <w:t>принять решение о направлении в дальнейшем соответствующих предложений на совещаниях Конференции Сторон с нечетными номерами;</w:t>
      </w:r>
    </w:p>
    <w:p w14:paraId="66671F5F" w14:textId="7D47A573" w:rsidR="006C5F0D" w:rsidRPr="003A129C" w:rsidRDefault="00844515" w:rsidP="00B33DE0">
      <w:pPr>
        <w:pStyle w:val="CBDNormalNumber"/>
        <w:keepNext/>
        <w:numPr>
          <w:ilvl w:val="1"/>
          <w:numId w:val="7"/>
        </w:numPr>
      </w:pPr>
      <w:r>
        <w:t>поручить секретариату: (i) направить Сторонам предложение, изложенное в подпункте (a) выше; (ii) направлять в будущем такие предложения в соответствии с подпунктом (b) выше; (iii) вносить изменения в перечень в соответствии с полученными сообщениями с выражением заинтересованности и представлять его для проведения обзора и утверждения на будущих совещаниях Конфер</w:t>
      </w:r>
      <w:r w:rsidR="0012094F">
        <w:t>енции Сторон с четными номерами</w:t>
      </w:r>
      <w:r>
        <w:t xml:space="preserve"> начиная с 18-го совещания Конференции Сторон;</w:t>
      </w:r>
    </w:p>
    <w:p w14:paraId="645E72CC" w14:textId="5DD713B8" w:rsidR="008012CC" w:rsidRPr="003A129C" w:rsidRDefault="0008271D" w:rsidP="00B33DE0">
      <w:pPr>
        <w:pStyle w:val="CBDNormalNumber"/>
        <w:keepNext/>
        <w:numPr>
          <w:ilvl w:val="1"/>
          <w:numId w:val="7"/>
        </w:numPr>
      </w:pPr>
      <w:r>
        <w:t xml:space="preserve">провести обзор этих организационных мероприятий на 21-м совещании Конференции Сторон.   </w:t>
      </w:r>
    </w:p>
    <w:p w14:paraId="5B777C3B" w14:textId="07A298EA" w:rsidR="00DF41DF" w:rsidRPr="003A129C" w:rsidRDefault="008C4B46" w:rsidP="000E4EE5">
      <w:pPr>
        <w:pStyle w:val="CBDNormalNumber"/>
        <w:keepNext/>
      </w:pPr>
      <w:r>
        <w:t>Формулировки, касающиеся этих элементов, будут включены в сводный проект рекомендации, представленный в документе CBD/SBI/7/3.</w:t>
      </w:r>
    </w:p>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C27EB7">
      <w:headerReference w:type="even" r:id="rId26"/>
      <w:headerReference w:type="default" r:id="rId27"/>
      <w:footerReference w:type="even" r:id="rId28"/>
      <w:footerReference w:type="default" r:id="rId29"/>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53499" w14:textId="77777777" w:rsidR="003F2281" w:rsidRPr="00866063" w:rsidRDefault="003F2281" w:rsidP="00CF1848">
      <w:r w:rsidRPr="00866063">
        <w:separator/>
      </w:r>
    </w:p>
  </w:endnote>
  <w:endnote w:type="continuationSeparator" w:id="0">
    <w:p w14:paraId="61BE9A37" w14:textId="77777777" w:rsidR="003F2281" w:rsidRPr="00866063" w:rsidRDefault="003F228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00ED792E">
              <w:rPr>
                <w:noProof/>
              </w:rPr>
              <w:t>4</w:t>
            </w:r>
            <w:r w:rsidRPr="001C3B15">
              <w:fldChar w:fldCharType="end"/>
            </w:r>
            <w:r>
              <w:t>/</w:t>
            </w:r>
            <w:fldSimple w:instr=" NUMPAGES  ">
              <w:r w:rsidR="00ED792E">
                <w:rPr>
                  <w:noProof/>
                </w:rPr>
                <w:t>9</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00ED792E">
          <w:rPr>
            <w:noProof/>
          </w:rPr>
          <w:t>5</w:t>
        </w:r>
        <w:r w:rsidRPr="00852A49">
          <w:fldChar w:fldCharType="end"/>
        </w:r>
        <w:r>
          <w:t>/</w:t>
        </w:r>
        <w:fldSimple w:instr=" NUMPAGES  ">
          <w:r w:rsidR="00ED792E">
            <w:rPr>
              <w:noProof/>
            </w:rPr>
            <w:t>9</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FC2D6" w14:textId="77777777" w:rsidR="003F2281" w:rsidRPr="00866063" w:rsidRDefault="003F2281" w:rsidP="00CF1848">
      <w:r w:rsidRPr="00866063">
        <w:separator/>
      </w:r>
    </w:p>
  </w:footnote>
  <w:footnote w:type="continuationSeparator" w:id="0">
    <w:p w14:paraId="41EAC95A" w14:textId="77777777" w:rsidR="003F2281" w:rsidRPr="00866063" w:rsidRDefault="003F2281" w:rsidP="00CF1848">
      <w:r w:rsidRPr="00866063">
        <w:continuationSeparator/>
      </w:r>
    </w:p>
  </w:footnote>
  <w:footnote w:id="1">
    <w:p w14:paraId="1728F436" w14:textId="49B9CBC7" w:rsidR="008A1499" w:rsidRPr="004872F8" w:rsidRDefault="008A1499">
      <w:pPr>
        <w:pStyle w:val="FootnoteText"/>
      </w:pPr>
      <w:r>
        <w:rPr>
          <w:rStyle w:val="FootnoteReference"/>
        </w:rPr>
        <w:t>*</w:t>
      </w:r>
      <w:r>
        <w:t xml:space="preserve"> CBD/SBI/7/1.</w:t>
      </w:r>
    </w:p>
  </w:footnote>
  <w:footnote w:id="2">
    <w:p w14:paraId="3C84FD79" w14:textId="512141B3" w:rsidR="008F695E" w:rsidRPr="008F695E" w:rsidRDefault="008F695E">
      <w:pPr>
        <w:pStyle w:val="FootnoteText"/>
      </w:pPr>
      <w:r>
        <w:rPr>
          <w:rStyle w:val="FootnoteReference"/>
        </w:rPr>
        <w:t>**</w:t>
      </w:r>
      <w:r>
        <w:t xml:space="preserve"> Настоящий документ выпускается без официального редактирования.</w:t>
      </w:r>
    </w:p>
  </w:footnote>
  <w:footnote w:id="3">
    <w:p w14:paraId="5C831C25" w14:textId="03D0F9F1" w:rsidR="00544BB4" w:rsidRPr="00544BB4" w:rsidRDefault="00544BB4" w:rsidP="00CE20C4">
      <w:pPr>
        <w:pStyle w:val="FootnoteText"/>
        <w:jc w:val="both"/>
      </w:pPr>
      <w:r>
        <w:rPr>
          <w:rStyle w:val="FootnoteReference"/>
        </w:rPr>
        <w:footnoteRef/>
      </w:r>
      <w:r>
        <w:t xml:space="preserve"> Широкий и многогранный характер этого вопроса иллюстрирует приведенная ниже цитата из доклада о Восьмой комплексной оценке Глобального экологического фонда, проведенной его Управлением независимой оценки: </w:t>
      </w:r>
      <w:r>
        <w:rPr>
          <w:i/>
        </w:rPr>
        <w:t>«Укрепить финансовую устойчивость и снизить зависимость от ограниченного круга доноров путем совершенствования практики совместного финансирования и активизации прилагаемых усилий по диверсификации базы финансирования. (…) Для обеспечения долгосрочной стабильности финансирования ГЭФ следует принять стратегический план мобилизации ресурсов, предусматривающий меры по расширению базы суверенных доноров, взаимодействие с бывшими донорами, а также расширение охвата недостаточно представленных регионов. План также должен предусматривать создание упорядоченной структуры для взаимодействия с благотворительными фондами, корпорациями и другими несуверенными донорами с использованием проверенных подходов, применяемых ведущими международными фондами. Одновременно с этим ГЭФ следует изучить возможности взаимодействия с региональными и глобальными группами, уделяющими особое внимание вопросам охраны окружающей среды, такими как Группа двадцати (Г-20), которая уже направила в адрес ГЭФ свои рекомендации и члены которой являются партнерами ГЭФ. В совокупности эти меры позволят снизить риск концентрации, расширить финансовую базу ГЭФ, а также укрепить его способность реагировать на обостряющиеся глобальные вызовы в области окружающей среды».</w:t>
      </w:r>
      <w:r>
        <w:t xml:space="preserve"> См. </w:t>
      </w:r>
      <w:hyperlink r:id="rId1" w:history="1">
        <w:r>
          <w:rPr>
            <w:rStyle w:val="Hyperlink"/>
          </w:rPr>
          <w:t>https://www.gefieo.org/content/dam/partners/ieo/docs/mgr/support-docs/OPS8-English-Executive-Summary.pdf</w:t>
        </w:r>
      </w:hyperlink>
      <w:r>
        <w:t>.</w:t>
      </w:r>
    </w:p>
  </w:footnote>
  <w:footnote w:id="4">
    <w:p w14:paraId="54675B50" w14:textId="7E3FE28A" w:rsidR="009A2143" w:rsidRPr="00B628F3" w:rsidRDefault="009A2143">
      <w:pPr>
        <w:pStyle w:val="FootnoteText"/>
      </w:pPr>
      <w:r>
        <w:rPr>
          <w:rStyle w:val="FootnoteReference"/>
        </w:rPr>
        <w:footnoteRef/>
      </w:r>
      <w:r>
        <w:t xml:space="preserve"> См. </w:t>
      </w:r>
      <w:hyperlink r:id="rId2" w:history="1">
        <w:r>
          <w:rPr>
            <w:rStyle w:val="Hyperlink"/>
          </w:rPr>
          <w:t>https://www.un.org/development/desa/dpad/wp-content/uploads/sites/45/LDC-Handbook-2024.pdf</w:t>
        </w:r>
      </w:hyperlink>
      <w:r>
        <w:t>.</w:t>
      </w:r>
    </w:p>
  </w:footnote>
  <w:footnote w:id="5">
    <w:p w14:paraId="188217F2" w14:textId="3BCBD18C" w:rsidR="00F53D81" w:rsidRPr="00B628F3" w:rsidRDefault="00F53D81" w:rsidP="00F53D81">
      <w:pPr>
        <w:pStyle w:val="FootnoteText"/>
      </w:pPr>
      <w:r>
        <w:rPr>
          <w:rStyle w:val="FootnoteReference"/>
        </w:rPr>
        <w:footnoteRef/>
      </w:r>
      <w:r>
        <w:t xml:space="preserve"> См. </w:t>
      </w:r>
      <w:hyperlink r:id="rId3" w:history="1">
        <w:r>
          <w:rPr>
            <w:rStyle w:val="Hyperlink"/>
          </w:rPr>
          <w:t>https://ida.worldbank.org/en/about/borrowing-countries</w:t>
        </w:r>
      </w:hyperlink>
      <w:r>
        <w:t xml:space="preserve"> .</w:t>
      </w:r>
    </w:p>
  </w:footnote>
  <w:footnote w:id="6">
    <w:p w14:paraId="1B7E7FF2" w14:textId="7ABB3818" w:rsidR="00AA2E68" w:rsidRPr="00B628F3" w:rsidRDefault="00AA2E68" w:rsidP="00AA2E68">
      <w:pPr>
        <w:pStyle w:val="FootnoteText"/>
      </w:pPr>
      <w:r>
        <w:rPr>
          <w:rStyle w:val="FootnoteReference"/>
        </w:rPr>
        <w:footnoteRef/>
      </w:r>
      <w:r>
        <w:t xml:space="preserve"> См. </w:t>
      </w:r>
      <w:hyperlink r:id="rId4" w:history="1">
        <w:r>
          <w:rPr>
            <w:rStyle w:val="Hyperlink"/>
          </w:rPr>
          <w:t>https://datahelpdesk.worldbank.org/knowledgebase/articles/378834-how-does-the-world-bank-classify-countries</w:t>
        </w:r>
      </w:hyperlink>
      <w:r>
        <w:t xml:space="preserve">.  </w:t>
      </w:r>
    </w:p>
  </w:footnote>
  <w:footnote w:id="7">
    <w:p w14:paraId="559BD741" w14:textId="32ECCB42" w:rsidR="00F03BDC" w:rsidRPr="00B628F3" w:rsidRDefault="00F03BDC" w:rsidP="00F03BDC">
      <w:pPr>
        <w:pStyle w:val="FootnoteText"/>
      </w:pPr>
      <w:r>
        <w:rPr>
          <w:rStyle w:val="FootnoteReference"/>
        </w:rPr>
        <w:footnoteRef/>
      </w:r>
      <w:r>
        <w:t xml:space="preserve"> См. </w:t>
      </w:r>
      <w:hyperlink r:id="rId5" w:history="1">
        <w:r>
          <w:rPr>
            <w:rStyle w:val="Hyperlink"/>
          </w:rPr>
          <w:t>https://blogs.worldbank.org/en/opendata/understanding-country-income--world-bank-group-income-classifica</w:t>
        </w:r>
      </w:hyperlink>
      <w:r>
        <w:t xml:space="preserve">. </w:t>
      </w:r>
    </w:p>
  </w:footnote>
  <w:footnote w:id="8">
    <w:p w14:paraId="14CCA041" w14:textId="7083F51B" w:rsidR="00B373E9" w:rsidRPr="00B628F3" w:rsidRDefault="00B373E9">
      <w:pPr>
        <w:pStyle w:val="FootnoteText"/>
      </w:pPr>
      <w:r>
        <w:rPr>
          <w:rStyle w:val="FootnoteReference"/>
        </w:rPr>
        <w:footnoteRef/>
      </w:r>
      <w:r>
        <w:t xml:space="preserve"> Пять Сторон Конвенции не включены в классификацию Всемирного банка. Приведенные цифры также основаны на собственных расчетах, поскольку в классификации фигурируют «экономики», а некоторые страны охватывают сразу несколько «экономик».</w:t>
      </w:r>
    </w:p>
  </w:footnote>
  <w:footnote w:id="9">
    <w:p w14:paraId="004CC4F7" w14:textId="6A1CE49A" w:rsidR="000D275D" w:rsidRPr="00047716" w:rsidRDefault="000D275D" w:rsidP="000D275D">
      <w:pPr>
        <w:pStyle w:val="FootnoteText"/>
        <w:rPr>
          <w:lang w:val="en-US"/>
        </w:rPr>
      </w:pPr>
      <w:r>
        <w:rPr>
          <w:rStyle w:val="FootnoteReference"/>
        </w:rPr>
        <w:footnoteRef/>
      </w:r>
      <w:r>
        <w:t xml:space="preserve"> См. </w:t>
      </w:r>
      <w:hyperlink r:id="rId6" w:history="1">
        <w:r w:rsidR="00047716" w:rsidRPr="006A5A1E">
          <w:rPr>
            <w:rStyle w:val="Hyperlink"/>
          </w:rPr>
          <w:t>https://www.imf.org/-/media/files/publications/weo/2025/october/Russian/text.pdf</w:t>
        </w:r>
      </w:hyperlink>
      <w:r>
        <w:t>.</w:t>
      </w:r>
      <w:r w:rsidR="00047716">
        <w:rPr>
          <w:lang w:val="en-US"/>
        </w:rPr>
        <w:t xml:space="preserve"> </w:t>
      </w:r>
    </w:p>
  </w:footnote>
  <w:footnote w:id="10">
    <w:p w14:paraId="108DCC4D" w14:textId="0311371F" w:rsidR="006308AF" w:rsidRPr="003A129C" w:rsidRDefault="006308AF" w:rsidP="006308AF">
      <w:pPr>
        <w:pStyle w:val="FootnoteText"/>
      </w:pPr>
      <w:r>
        <w:rPr>
          <w:rStyle w:val="FootnoteReference"/>
        </w:rPr>
        <w:footnoteRef/>
      </w:r>
      <w:r>
        <w:t xml:space="preserve"> Шесть Сторон Конвенции не включены в классификацию МВФ.</w:t>
      </w:r>
    </w:p>
  </w:footnote>
  <w:footnote w:id="11">
    <w:p w14:paraId="4F8E1DF1" w14:textId="19E1A8E9" w:rsidR="003C366E" w:rsidRPr="00811AAA" w:rsidRDefault="003C366E" w:rsidP="003C366E">
      <w:pPr>
        <w:pStyle w:val="FootnoteText"/>
      </w:pPr>
      <w:r>
        <w:rPr>
          <w:rStyle w:val="FootnoteReference"/>
        </w:rPr>
        <w:footnoteRef/>
      </w:r>
      <w:r>
        <w:t xml:space="preserve"> См. </w:t>
      </w:r>
      <w:hyperlink r:id="rId7" w:history="1">
        <w:r>
          <w:rPr>
            <w:rStyle w:val="Hyperlink"/>
          </w:rPr>
          <w:t>https://www.oecd.org/en/about/committees/development-assistance-committee.html</w:t>
        </w:r>
      </w:hyperlink>
      <w:r>
        <w:t xml:space="preserve">.  </w:t>
      </w:r>
    </w:p>
  </w:footnote>
  <w:footnote w:id="12">
    <w:p w14:paraId="711F9EB6" w14:textId="45C2B2CC" w:rsidR="00D90365" w:rsidRPr="003A129C" w:rsidRDefault="00D90365" w:rsidP="00D90365">
      <w:pPr>
        <w:pStyle w:val="FootnoteText"/>
      </w:pPr>
      <w:r>
        <w:rPr>
          <w:rStyle w:val="FootnoteReference"/>
        </w:rPr>
        <w:footnoteRef/>
      </w:r>
      <w:r>
        <w:t xml:space="preserve"> Для наглядности это можно представить в виде перечня ориентировочных вопросов, таких как:</w:t>
      </w:r>
    </w:p>
    <w:p w14:paraId="65188D39" w14:textId="467C45F3" w:rsidR="00D90365" w:rsidRPr="003A129C" w:rsidRDefault="00D90365" w:rsidP="00D90365">
      <w:pPr>
        <w:pStyle w:val="FootnoteText"/>
      </w:pPr>
      <w:r>
        <w:t xml:space="preserve">(a) </w:t>
      </w:r>
      <w:r>
        <w:rPr>
          <w:u w:val="single"/>
        </w:rPr>
        <w:t>не</w:t>
      </w:r>
      <w:r>
        <w:t xml:space="preserve"> входит ли страна в перечень наименее развитых стран, который ведет Комитет по политике в области развития (КПР) Организации Объединенных Наций;</w:t>
      </w:r>
    </w:p>
    <w:p w14:paraId="79EEAD21" w14:textId="5FABD063" w:rsidR="00D90365" w:rsidRPr="003A129C" w:rsidRDefault="00D90365" w:rsidP="00D90365">
      <w:pPr>
        <w:pStyle w:val="FootnoteText"/>
      </w:pPr>
      <w:r>
        <w:t xml:space="preserve">(b) </w:t>
      </w:r>
      <w:r>
        <w:rPr>
          <w:u w:val="single"/>
        </w:rPr>
        <w:t>не</w:t>
      </w:r>
      <w:r>
        <w:t xml:space="preserve"> входит ли страна в перечень стран, имеющих право на получение субсидий или кредитов на крайне льготных условиях от Всемирного банка, который ведет Международная ассоциация развития;</w:t>
      </w:r>
    </w:p>
    <w:p w14:paraId="5474BAA1" w14:textId="5D665947" w:rsidR="00D90365" w:rsidRPr="003A129C" w:rsidRDefault="00D90365" w:rsidP="00D90365">
      <w:pPr>
        <w:pStyle w:val="FootnoteText"/>
      </w:pPr>
      <w:r>
        <w:t>(c) относится ли экономика страны, согласно классификации Всемирного банка, к категории «с уровнем дохода выше среднего» или «с высоким уровнем дохода»;</w:t>
      </w:r>
    </w:p>
    <w:p w14:paraId="1D28A535" w14:textId="3A7BE78A" w:rsidR="00D90365" w:rsidRPr="003A129C" w:rsidRDefault="00D90365" w:rsidP="00D90365">
      <w:pPr>
        <w:pStyle w:val="FootnoteText"/>
      </w:pPr>
      <w:r>
        <w:t>(d) относится ли экономика страны, согласно классификации Всемирного банка, к категории «с высоким уровнем дохода»;</w:t>
      </w:r>
    </w:p>
    <w:p w14:paraId="3B569940" w14:textId="3E6E5E71" w:rsidR="00D90365" w:rsidRPr="003A129C" w:rsidRDefault="00D90365" w:rsidP="00D90365">
      <w:pPr>
        <w:pStyle w:val="FootnoteText"/>
      </w:pPr>
      <w:r>
        <w:t>(e) считается ли экономика страны, согласно классификации Международного валютного фонда, развитой экономикой;</w:t>
      </w:r>
    </w:p>
    <w:p w14:paraId="3B5FD8CE" w14:textId="2B29EF91" w:rsidR="00D90365" w:rsidRPr="003A129C" w:rsidRDefault="00D90365" w:rsidP="00D90365">
      <w:pPr>
        <w:pStyle w:val="FootnoteText"/>
      </w:pPr>
      <w:r>
        <w:t>(f) является ли страна участником или ассоциированным членом Комитета содействия развитию Организации экономического сотрудничества и развития (ОЭСР).</w:t>
      </w:r>
    </w:p>
    <w:p w14:paraId="3151081E" w14:textId="21847E0D" w:rsidR="00D448C6" w:rsidRPr="00CE20C4" w:rsidRDefault="00D448C6" w:rsidP="00D90365">
      <w:pPr>
        <w:pStyle w:val="FootnoteText"/>
      </w:pPr>
      <w:r>
        <w:t>Количество вопросов, на которые был дан утвердительный ответ, может служить одним из критериев, определяющих данное решение, наряду с другими критериями, такими как те, которые были упомянуты в пункте 24 выше.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4E0F8738" w:rsidR="00534681" w:rsidRPr="00866063" w:rsidRDefault="005E7725" w:rsidP="007C4951">
        <w:pPr>
          <w:pStyle w:val="Header"/>
          <w:spacing w:after="240"/>
          <w:rPr>
            <w:szCs w:val="20"/>
          </w:rPr>
        </w:pPr>
        <w:r>
          <w:rPr>
            <w:szCs w:val="20"/>
          </w:rPr>
          <w:t>CBD/SBI/</w:t>
        </w:r>
        <w:r w:rsidR="00B64491">
          <w:rPr>
            <w:szCs w:val="20"/>
          </w:rPr>
          <w:t>7</w:t>
        </w:r>
        <w:r>
          <w:rPr>
            <w:szCs w:val="20"/>
          </w:rPr>
          <w:t>/3/Add.1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1A972B0C" w:rsidR="009505C9" w:rsidRPr="00866063" w:rsidRDefault="00B64491" w:rsidP="007C4951">
        <w:pPr>
          <w:pStyle w:val="Header"/>
          <w:spacing w:after="240"/>
          <w:jc w:val="right"/>
        </w:pPr>
        <w:r>
          <w:t>CBD/SBI/7/3/Add.1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387799626">
    <w:abstractNumId w:val="5"/>
  </w:num>
  <w:num w:numId="2" w16cid:durableId="108362026">
    <w:abstractNumId w:val="3"/>
  </w:num>
  <w:num w:numId="3" w16cid:durableId="1436361907">
    <w:abstractNumId w:val="8"/>
  </w:num>
  <w:num w:numId="4" w16cid:durableId="583300771">
    <w:abstractNumId w:val="9"/>
  </w:num>
  <w:num w:numId="5" w16cid:durableId="360860561">
    <w:abstractNumId w:val="4"/>
  </w:num>
  <w:num w:numId="6" w16cid:durableId="987634229">
    <w:abstractNumId w:val="7"/>
  </w:num>
  <w:num w:numId="7" w16cid:durableId="116796670">
    <w:abstractNumId w:val="6"/>
    <w:lvlOverride w:ilvl="0">
      <w:lvl w:ilvl="0">
        <w:start w:val="1"/>
        <w:numFmt w:val="decimal"/>
        <w:pStyle w:val="CBDNormalNumber"/>
        <w:lvlText w:val="%1."/>
        <w:lvlJc w:val="left"/>
        <w:pPr>
          <w:ind w:left="45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347484662">
    <w:abstractNumId w:val="1"/>
  </w:num>
  <w:num w:numId="9" w16cid:durableId="1948808356">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005128651">
    <w:abstractNumId w:val="2"/>
  </w:num>
  <w:num w:numId="11" w16cid:durableId="1957250109">
    <w:abstractNumId w:val="0"/>
  </w:num>
  <w:num w:numId="12" w16cid:durableId="2028942864">
    <w:abstractNumId w:val="6"/>
    <w:lvlOverride w:ilvl="0">
      <w:startOverride w:val="1"/>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3" w16cid:durableId="1967081422">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691293220">
    <w:abstractNumId w:val="6"/>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5" w16cid:durableId="108866602">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6" w16cid:durableId="1233395078">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7" w16cid:durableId="559950434">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0A2E"/>
    <w:rsid w:val="00000C26"/>
    <w:rsid w:val="0000161D"/>
    <w:rsid w:val="00002AC0"/>
    <w:rsid w:val="00003410"/>
    <w:rsid w:val="0000404C"/>
    <w:rsid w:val="00004119"/>
    <w:rsid w:val="0000425A"/>
    <w:rsid w:val="00004357"/>
    <w:rsid w:val="00004B1B"/>
    <w:rsid w:val="0000572E"/>
    <w:rsid w:val="0000575D"/>
    <w:rsid w:val="0000589E"/>
    <w:rsid w:val="00005A8D"/>
    <w:rsid w:val="000063FD"/>
    <w:rsid w:val="000066AD"/>
    <w:rsid w:val="00006F05"/>
    <w:rsid w:val="000071A4"/>
    <w:rsid w:val="00010018"/>
    <w:rsid w:val="00010D1C"/>
    <w:rsid w:val="00011DE9"/>
    <w:rsid w:val="000129F0"/>
    <w:rsid w:val="00013517"/>
    <w:rsid w:val="00013542"/>
    <w:rsid w:val="000137B0"/>
    <w:rsid w:val="00014B48"/>
    <w:rsid w:val="00014D4F"/>
    <w:rsid w:val="00015945"/>
    <w:rsid w:val="00015B48"/>
    <w:rsid w:val="000160DA"/>
    <w:rsid w:val="00016148"/>
    <w:rsid w:val="00017CA8"/>
    <w:rsid w:val="0002103E"/>
    <w:rsid w:val="0002189B"/>
    <w:rsid w:val="000219D0"/>
    <w:rsid w:val="00021EE0"/>
    <w:rsid w:val="00023591"/>
    <w:rsid w:val="000241FE"/>
    <w:rsid w:val="000249E4"/>
    <w:rsid w:val="00024D47"/>
    <w:rsid w:val="00024EB5"/>
    <w:rsid w:val="00024FF9"/>
    <w:rsid w:val="000257D6"/>
    <w:rsid w:val="00025877"/>
    <w:rsid w:val="00025BFC"/>
    <w:rsid w:val="00026712"/>
    <w:rsid w:val="00027DAC"/>
    <w:rsid w:val="000300D6"/>
    <w:rsid w:val="00030582"/>
    <w:rsid w:val="00030749"/>
    <w:rsid w:val="00030C46"/>
    <w:rsid w:val="000311A1"/>
    <w:rsid w:val="000317B0"/>
    <w:rsid w:val="000324FD"/>
    <w:rsid w:val="00032671"/>
    <w:rsid w:val="000327C1"/>
    <w:rsid w:val="00032971"/>
    <w:rsid w:val="00032B28"/>
    <w:rsid w:val="00032BCB"/>
    <w:rsid w:val="00033507"/>
    <w:rsid w:val="000368D5"/>
    <w:rsid w:val="00040302"/>
    <w:rsid w:val="00040AC9"/>
    <w:rsid w:val="00042496"/>
    <w:rsid w:val="000427BD"/>
    <w:rsid w:val="000435DE"/>
    <w:rsid w:val="00043826"/>
    <w:rsid w:val="00044130"/>
    <w:rsid w:val="00044335"/>
    <w:rsid w:val="00045C2E"/>
    <w:rsid w:val="000467A9"/>
    <w:rsid w:val="00046E1D"/>
    <w:rsid w:val="00046EEB"/>
    <w:rsid w:val="000472E3"/>
    <w:rsid w:val="000476D7"/>
    <w:rsid w:val="00047716"/>
    <w:rsid w:val="00047DB4"/>
    <w:rsid w:val="00047F14"/>
    <w:rsid w:val="000513FE"/>
    <w:rsid w:val="00052130"/>
    <w:rsid w:val="00053291"/>
    <w:rsid w:val="00053900"/>
    <w:rsid w:val="000543E2"/>
    <w:rsid w:val="00054708"/>
    <w:rsid w:val="000554D5"/>
    <w:rsid w:val="00055779"/>
    <w:rsid w:val="00055CC6"/>
    <w:rsid w:val="0005639E"/>
    <w:rsid w:val="0005663E"/>
    <w:rsid w:val="00056C53"/>
    <w:rsid w:val="00056E81"/>
    <w:rsid w:val="00056F74"/>
    <w:rsid w:val="00057CC9"/>
    <w:rsid w:val="00057FCA"/>
    <w:rsid w:val="000600EF"/>
    <w:rsid w:val="00060364"/>
    <w:rsid w:val="00060D58"/>
    <w:rsid w:val="00061C77"/>
    <w:rsid w:val="00062317"/>
    <w:rsid w:val="000637AB"/>
    <w:rsid w:val="000641B3"/>
    <w:rsid w:val="00064DB3"/>
    <w:rsid w:val="00066357"/>
    <w:rsid w:val="00066BB4"/>
    <w:rsid w:val="0006709D"/>
    <w:rsid w:val="000676FD"/>
    <w:rsid w:val="00070E32"/>
    <w:rsid w:val="00070F70"/>
    <w:rsid w:val="000714FB"/>
    <w:rsid w:val="0007171B"/>
    <w:rsid w:val="00071C69"/>
    <w:rsid w:val="00071ED4"/>
    <w:rsid w:val="000736A5"/>
    <w:rsid w:val="00073E39"/>
    <w:rsid w:val="00074653"/>
    <w:rsid w:val="000753DB"/>
    <w:rsid w:val="000754F9"/>
    <w:rsid w:val="00076643"/>
    <w:rsid w:val="0007762C"/>
    <w:rsid w:val="000777E3"/>
    <w:rsid w:val="00077A25"/>
    <w:rsid w:val="00080ED5"/>
    <w:rsid w:val="000815D6"/>
    <w:rsid w:val="000818BD"/>
    <w:rsid w:val="0008271D"/>
    <w:rsid w:val="00082838"/>
    <w:rsid w:val="00082FB5"/>
    <w:rsid w:val="00082FF0"/>
    <w:rsid w:val="00082FF4"/>
    <w:rsid w:val="000835FD"/>
    <w:rsid w:val="00084BCE"/>
    <w:rsid w:val="00084E04"/>
    <w:rsid w:val="00085D8C"/>
    <w:rsid w:val="00085D97"/>
    <w:rsid w:val="0008604E"/>
    <w:rsid w:val="000860E5"/>
    <w:rsid w:val="00086A7A"/>
    <w:rsid w:val="000906A2"/>
    <w:rsid w:val="00090F05"/>
    <w:rsid w:val="00090F44"/>
    <w:rsid w:val="000914E1"/>
    <w:rsid w:val="00091825"/>
    <w:rsid w:val="00091849"/>
    <w:rsid w:val="00093D34"/>
    <w:rsid w:val="000946D6"/>
    <w:rsid w:val="00094850"/>
    <w:rsid w:val="000948AD"/>
    <w:rsid w:val="00094B8F"/>
    <w:rsid w:val="00095A34"/>
    <w:rsid w:val="00095B3A"/>
    <w:rsid w:val="00096330"/>
    <w:rsid w:val="00096584"/>
    <w:rsid w:val="00096650"/>
    <w:rsid w:val="000A42FB"/>
    <w:rsid w:val="000A490B"/>
    <w:rsid w:val="000A55D5"/>
    <w:rsid w:val="000A6865"/>
    <w:rsid w:val="000A6A0F"/>
    <w:rsid w:val="000A70A4"/>
    <w:rsid w:val="000B09BA"/>
    <w:rsid w:val="000B1A2E"/>
    <w:rsid w:val="000B2CBD"/>
    <w:rsid w:val="000B2FFD"/>
    <w:rsid w:val="000B3042"/>
    <w:rsid w:val="000B304F"/>
    <w:rsid w:val="000B4D92"/>
    <w:rsid w:val="000B4F64"/>
    <w:rsid w:val="000B6658"/>
    <w:rsid w:val="000B6EF2"/>
    <w:rsid w:val="000B7101"/>
    <w:rsid w:val="000C0302"/>
    <w:rsid w:val="000C06F0"/>
    <w:rsid w:val="000C2311"/>
    <w:rsid w:val="000C2371"/>
    <w:rsid w:val="000C2F14"/>
    <w:rsid w:val="000C4408"/>
    <w:rsid w:val="000C4DA4"/>
    <w:rsid w:val="000C5432"/>
    <w:rsid w:val="000C56A8"/>
    <w:rsid w:val="000C5EE9"/>
    <w:rsid w:val="000C6247"/>
    <w:rsid w:val="000C63BC"/>
    <w:rsid w:val="000C6C03"/>
    <w:rsid w:val="000D0F68"/>
    <w:rsid w:val="000D275D"/>
    <w:rsid w:val="000D27F3"/>
    <w:rsid w:val="000D4BBA"/>
    <w:rsid w:val="000D4CF7"/>
    <w:rsid w:val="000D5238"/>
    <w:rsid w:val="000D59D5"/>
    <w:rsid w:val="000D5D6D"/>
    <w:rsid w:val="000D5EA1"/>
    <w:rsid w:val="000D5F64"/>
    <w:rsid w:val="000D703B"/>
    <w:rsid w:val="000D7053"/>
    <w:rsid w:val="000D7238"/>
    <w:rsid w:val="000D7717"/>
    <w:rsid w:val="000D785D"/>
    <w:rsid w:val="000E0223"/>
    <w:rsid w:val="000E17DA"/>
    <w:rsid w:val="000E19C7"/>
    <w:rsid w:val="000E1CF9"/>
    <w:rsid w:val="000E1F94"/>
    <w:rsid w:val="000E2239"/>
    <w:rsid w:val="000E3A16"/>
    <w:rsid w:val="000E4383"/>
    <w:rsid w:val="000E4A43"/>
    <w:rsid w:val="000E4EE5"/>
    <w:rsid w:val="000E52EB"/>
    <w:rsid w:val="000E5AFE"/>
    <w:rsid w:val="000E630D"/>
    <w:rsid w:val="000E673A"/>
    <w:rsid w:val="000E688E"/>
    <w:rsid w:val="000E6B8B"/>
    <w:rsid w:val="000E6F3A"/>
    <w:rsid w:val="000E75AA"/>
    <w:rsid w:val="000E791B"/>
    <w:rsid w:val="000E7946"/>
    <w:rsid w:val="000F00D7"/>
    <w:rsid w:val="000F0B15"/>
    <w:rsid w:val="000F10DA"/>
    <w:rsid w:val="000F17A7"/>
    <w:rsid w:val="000F2F68"/>
    <w:rsid w:val="000F5762"/>
    <w:rsid w:val="000F5862"/>
    <w:rsid w:val="000F598E"/>
    <w:rsid w:val="000F5B46"/>
    <w:rsid w:val="000F6175"/>
    <w:rsid w:val="000F6259"/>
    <w:rsid w:val="000F6614"/>
    <w:rsid w:val="000F6918"/>
    <w:rsid w:val="000F6945"/>
    <w:rsid w:val="000F72AE"/>
    <w:rsid w:val="000F74D8"/>
    <w:rsid w:val="000F74F5"/>
    <w:rsid w:val="000F77A0"/>
    <w:rsid w:val="000F78FC"/>
    <w:rsid w:val="000F7FD3"/>
    <w:rsid w:val="00100762"/>
    <w:rsid w:val="00100882"/>
    <w:rsid w:val="00100B77"/>
    <w:rsid w:val="00101BDB"/>
    <w:rsid w:val="0010205B"/>
    <w:rsid w:val="00102907"/>
    <w:rsid w:val="0010292B"/>
    <w:rsid w:val="00103037"/>
    <w:rsid w:val="00103414"/>
    <w:rsid w:val="00103E29"/>
    <w:rsid w:val="00103E57"/>
    <w:rsid w:val="00105372"/>
    <w:rsid w:val="001054A6"/>
    <w:rsid w:val="00105C7C"/>
    <w:rsid w:val="00105CB7"/>
    <w:rsid w:val="00105DB8"/>
    <w:rsid w:val="00106CD2"/>
    <w:rsid w:val="001078A1"/>
    <w:rsid w:val="00107E34"/>
    <w:rsid w:val="001103FF"/>
    <w:rsid w:val="00110E16"/>
    <w:rsid w:val="001112D4"/>
    <w:rsid w:val="001117DA"/>
    <w:rsid w:val="0011198C"/>
    <w:rsid w:val="00111DBB"/>
    <w:rsid w:val="0011241D"/>
    <w:rsid w:val="001126EE"/>
    <w:rsid w:val="00112C6F"/>
    <w:rsid w:val="00112E26"/>
    <w:rsid w:val="001131F8"/>
    <w:rsid w:val="001132FC"/>
    <w:rsid w:val="00113467"/>
    <w:rsid w:val="001136E0"/>
    <w:rsid w:val="00114017"/>
    <w:rsid w:val="001147DC"/>
    <w:rsid w:val="00114A07"/>
    <w:rsid w:val="00114CE0"/>
    <w:rsid w:val="00115E4C"/>
    <w:rsid w:val="00115FCD"/>
    <w:rsid w:val="001163BB"/>
    <w:rsid w:val="001164A9"/>
    <w:rsid w:val="00117665"/>
    <w:rsid w:val="00117814"/>
    <w:rsid w:val="00117CBA"/>
    <w:rsid w:val="00117CE8"/>
    <w:rsid w:val="0012094F"/>
    <w:rsid w:val="00120FA7"/>
    <w:rsid w:val="00121244"/>
    <w:rsid w:val="0012131A"/>
    <w:rsid w:val="001214CA"/>
    <w:rsid w:val="00122088"/>
    <w:rsid w:val="001222D1"/>
    <w:rsid w:val="00124131"/>
    <w:rsid w:val="001241A5"/>
    <w:rsid w:val="00126571"/>
    <w:rsid w:val="00126E41"/>
    <w:rsid w:val="00127B92"/>
    <w:rsid w:val="00130A70"/>
    <w:rsid w:val="001312AD"/>
    <w:rsid w:val="001319EB"/>
    <w:rsid w:val="00131C4C"/>
    <w:rsid w:val="00131E7A"/>
    <w:rsid w:val="00131F82"/>
    <w:rsid w:val="00132A74"/>
    <w:rsid w:val="00132DC5"/>
    <w:rsid w:val="0013323E"/>
    <w:rsid w:val="001336FF"/>
    <w:rsid w:val="00133DB7"/>
    <w:rsid w:val="001347F1"/>
    <w:rsid w:val="00134846"/>
    <w:rsid w:val="001349E2"/>
    <w:rsid w:val="00135757"/>
    <w:rsid w:val="00135AB9"/>
    <w:rsid w:val="00136C7F"/>
    <w:rsid w:val="0013784E"/>
    <w:rsid w:val="00142180"/>
    <w:rsid w:val="001429C9"/>
    <w:rsid w:val="001433D9"/>
    <w:rsid w:val="00145988"/>
    <w:rsid w:val="00146A7F"/>
    <w:rsid w:val="001503D3"/>
    <w:rsid w:val="00151046"/>
    <w:rsid w:val="001517CB"/>
    <w:rsid w:val="001519F1"/>
    <w:rsid w:val="00152EB7"/>
    <w:rsid w:val="00153BA9"/>
    <w:rsid w:val="00153C0D"/>
    <w:rsid w:val="00153CAD"/>
    <w:rsid w:val="00154040"/>
    <w:rsid w:val="001544BF"/>
    <w:rsid w:val="00154627"/>
    <w:rsid w:val="001547C4"/>
    <w:rsid w:val="00154877"/>
    <w:rsid w:val="001552A1"/>
    <w:rsid w:val="00155382"/>
    <w:rsid w:val="001556E1"/>
    <w:rsid w:val="0015579A"/>
    <w:rsid w:val="0015613E"/>
    <w:rsid w:val="001565BD"/>
    <w:rsid w:val="0015669D"/>
    <w:rsid w:val="001567BB"/>
    <w:rsid w:val="00157AEC"/>
    <w:rsid w:val="00161E9A"/>
    <w:rsid w:val="001623C3"/>
    <w:rsid w:val="0016325B"/>
    <w:rsid w:val="00163EA8"/>
    <w:rsid w:val="001643BC"/>
    <w:rsid w:val="001646E6"/>
    <w:rsid w:val="00165F8B"/>
    <w:rsid w:val="00165FB8"/>
    <w:rsid w:val="00166096"/>
    <w:rsid w:val="00166969"/>
    <w:rsid w:val="00166CD2"/>
    <w:rsid w:val="00167302"/>
    <w:rsid w:val="00167AC2"/>
    <w:rsid w:val="00170259"/>
    <w:rsid w:val="00170DC9"/>
    <w:rsid w:val="00171139"/>
    <w:rsid w:val="0017164B"/>
    <w:rsid w:val="00171677"/>
    <w:rsid w:val="00171D66"/>
    <w:rsid w:val="00172AF6"/>
    <w:rsid w:val="00172DD6"/>
    <w:rsid w:val="00173330"/>
    <w:rsid w:val="00175C0D"/>
    <w:rsid w:val="00176736"/>
    <w:rsid w:val="00176CEE"/>
    <w:rsid w:val="00177308"/>
    <w:rsid w:val="0017790A"/>
    <w:rsid w:val="00177D41"/>
    <w:rsid w:val="00177FD3"/>
    <w:rsid w:val="0018118C"/>
    <w:rsid w:val="001811FD"/>
    <w:rsid w:val="00181336"/>
    <w:rsid w:val="00181693"/>
    <w:rsid w:val="0018233C"/>
    <w:rsid w:val="001823C9"/>
    <w:rsid w:val="0018481A"/>
    <w:rsid w:val="00184DC8"/>
    <w:rsid w:val="00184F0B"/>
    <w:rsid w:val="0018596B"/>
    <w:rsid w:val="00185FB6"/>
    <w:rsid w:val="00186297"/>
    <w:rsid w:val="001864F6"/>
    <w:rsid w:val="00186939"/>
    <w:rsid w:val="00186DD8"/>
    <w:rsid w:val="00187221"/>
    <w:rsid w:val="00187A9A"/>
    <w:rsid w:val="00187BFD"/>
    <w:rsid w:val="001907DD"/>
    <w:rsid w:val="001908D7"/>
    <w:rsid w:val="00190C4E"/>
    <w:rsid w:val="00190D8D"/>
    <w:rsid w:val="00190F5F"/>
    <w:rsid w:val="00191867"/>
    <w:rsid w:val="00191A2E"/>
    <w:rsid w:val="001927F6"/>
    <w:rsid w:val="00192C53"/>
    <w:rsid w:val="00192F6C"/>
    <w:rsid w:val="001934FD"/>
    <w:rsid w:val="00193AC7"/>
    <w:rsid w:val="00194013"/>
    <w:rsid w:val="00194AED"/>
    <w:rsid w:val="0019530E"/>
    <w:rsid w:val="00195453"/>
    <w:rsid w:val="001955D4"/>
    <w:rsid w:val="00195612"/>
    <w:rsid w:val="00195C71"/>
    <w:rsid w:val="00195D29"/>
    <w:rsid w:val="00195FD7"/>
    <w:rsid w:val="00196846"/>
    <w:rsid w:val="00197079"/>
    <w:rsid w:val="001A0581"/>
    <w:rsid w:val="001A0947"/>
    <w:rsid w:val="001A128B"/>
    <w:rsid w:val="001A195A"/>
    <w:rsid w:val="001A1BFE"/>
    <w:rsid w:val="001A1C94"/>
    <w:rsid w:val="001A2198"/>
    <w:rsid w:val="001A2E99"/>
    <w:rsid w:val="001A3477"/>
    <w:rsid w:val="001A35EC"/>
    <w:rsid w:val="001A4CBF"/>
    <w:rsid w:val="001A4CF9"/>
    <w:rsid w:val="001A5EB5"/>
    <w:rsid w:val="001A6622"/>
    <w:rsid w:val="001A6CED"/>
    <w:rsid w:val="001B02BC"/>
    <w:rsid w:val="001B08E9"/>
    <w:rsid w:val="001B0DE3"/>
    <w:rsid w:val="001B13AE"/>
    <w:rsid w:val="001B13FE"/>
    <w:rsid w:val="001B208C"/>
    <w:rsid w:val="001B24E0"/>
    <w:rsid w:val="001B41EF"/>
    <w:rsid w:val="001B422E"/>
    <w:rsid w:val="001B51B5"/>
    <w:rsid w:val="001B5703"/>
    <w:rsid w:val="001B59C7"/>
    <w:rsid w:val="001B5C8E"/>
    <w:rsid w:val="001B650F"/>
    <w:rsid w:val="001B6599"/>
    <w:rsid w:val="001B66D6"/>
    <w:rsid w:val="001B6820"/>
    <w:rsid w:val="001B748E"/>
    <w:rsid w:val="001C0441"/>
    <w:rsid w:val="001C05D6"/>
    <w:rsid w:val="001C08C9"/>
    <w:rsid w:val="001C1142"/>
    <w:rsid w:val="001C195D"/>
    <w:rsid w:val="001C1D13"/>
    <w:rsid w:val="001C1EC9"/>
    <w:rsid w:val="001C21D9"/>
    <w:rsid w:val="001C2889"/>
    <w:rsid w:val="001C2D81"/>
    <w:rsid w:val="001C320A"/>
    <w:rsid w:val="001C33F6"/>
    <w:rsid w:val="001C3A8E"/>
    <w:rsid w:val="001C3B15"/>
    <w:rsid w:val="001C4657"/>
    <w:rsid w:val="001C528D"/>
    <w:rsid w:val="001C5BB8"/>
    <w:rsid w:val="001C5E4D"/>
    <w:rsid w:val="001C6902"/>
    <w:rsid w:val="001C6971"/>
    <w:rsid w:val="001C7288"/>
    <w:rsid w:val="001C72C3"/>
    <w:rsid w:val="001C7903"/>
    <w:rsid w:val="001C7B3D"/>
    <w:rsid w:val="001C7FD2"/>
    <w:rsid w:val="001D0302"/>
    <w:rsid w:val="001D0550"/>
    <w:rsid w:val="001D0A31"/>
    <w:rsid w:val="001D0CE3"/>
    <w:rsid w:val="001D16AB"/>
    <w:rsid w:val="001D1CDB"/>
    <w:rsid w:val="001D2F92"/>
    <w:rsid w:val="001D35DA"/>
    <w:rsid w:val="001D42CC"/>
    <w:rsid w:val="001D48FD"/>
    <w:rsid w:val="001D5551"/>
    <w:rsid w:val="001D55CD"/>
    <w:rsid w:val="001D6782"/>
    <w:rsid w:val="001D69E0"/>
    <w:rsid w:val="001D734D"/>
    <w:rsid w:val="001D761C"/>
    <w:rsid w:val="001E0FDA"/>
    <w:rsid w:val="001E166B"/>
    <w:rsid w:val="001E229C"/>
    <w:rsid w:val="001E2737"/>
    <w:rsid w:val="001E28A2"/>
    <w:rsid w:val="001E2A23"/>
    <w:rsid w:val="001E3C8D"/>
    <w:rsid w:val="001E41E3"/>
    <w:rsid w:val="001E434C"/>
    <w:rsid w:val="001E4432"/>
    <w:rsid w:val="001E452E"/>
    <w:rsid w:val="001E4A7C"/>
    <w:rsid w:val="001E76DF"/>
    <w:rsid w:val="001E76FE"/>
    <w:rsid w:val="001E7A6D"/>
    <w:rsid w:val="001E7AD2"/>
    <w:rsid w:val="001F0F18"/>
    <w:rsid w:val="001F203A"/>
    <w:rsid w:val="001F23DD"/>
    <w:rsid w:val="001F261A"/>
    <w:rsid w:val="001F3341"/>
    <w:rsid w:val="001F3AD3"/>
    <w:rsid w:val="001F3AED"/>
    <w:rsid w:val="001F475D"/>
    <w:rsid w:val="001F5C4F"/>
    <w:rsid w:val="001F602A"/>
    <w:rsid w:val="001F6675"/>
    <w:rsid w:val="001F679F"/>
    <w:rsid w:val="001F69B6"/>
    <w:rsid w:val="001F6AB8"/>
    <w:rsid w:val="001F70C8"/>
    <w:rsid w:val="001F70DE"/>
    <w:rsid w:val="001F7F47"/>
    <w:rsid w:val="0020003E"/>
    <w:rsid w:val="00202229"/>
    <w:rsid w:val="00202313"/>
    <w:rsid w:val="002035DB"/>
    <w:rsid w:val="00204ED7"/>
    <w:rsid w:val="00204FFB"/>
    <w:rsid w:val="00205783"/>
    <w:rsid w:val="00205CBC"/>
    <w:rsid w:val="00206D2A"/>
    <w:rsid w:val="00206DDF"/>
    <w:rsid w:val="002075B2"/>
    <w:rsid w:val="00210534"/>
    <w:rsid w:val="002106DF"/>
    <w:rsid w:val="002108F2"/>
    <w:rsid w:val="00210B0C"/>
    <w:rsid w:val="00211AC2"/>
    <w:rsid w:val="002126BB"/>
    <w:rsid w:val="00212A3C"/>
    <w:rsid w:val="00213100"/>
    <w:rsid w:val="0021392E"/>
    <w:rsid w:val="00214F44"/>
    <w:rsid w:val="00215831"/>
    <w:rsid w:val="00220788"/>
    <w:rsid w:val="00220A53"/>
    <w:rsid w:val="00221144"/>
    <w:rsid w:val="002212E3"/>
    <w:rsid w:val="002214BC"/>
    <w:rsid w:val="0022213F"/>
    <w:rsid w:val="00222173"/>
    <w:rsid w:val="002225E2"/>
    <w:rsid w:val="00222A19"/>
    <w:rsid w:val="00223002"/>
    <w:rsid w:val="0022314E"/>
    <w:rsid w:val="00224668"/>
    <w:rsid w:val="00224B4D"/>
    <w:rsid w:val="00224FBD"/>
    <w:rsid w:val="00225182"/>
    <w:rsid w:val="00225286"/>
    <w:rsid w:val="0022530F"/>
    <w:rsid w:val="002255AA"/>
    <w:rsid w:val="002267E9"/>
    <w:rsid w:val="00226DE6"/>
    <w:rsid w:val="00230C7B"/>
    <w:rsid w:val="002310B3"/>
    <w:rsid w:val="002311BB"/>
    <w:rsid w:val="00231C3A"/>
    <w:rsid w:val="00232845"/>
    <w:rsid w:val="00233CCD"/>
    <w:rsid w:val="00234831"/>
    <w:rsid w:val="00234A20"/>
    <w:rsid w:val="00234AD6"/>
    <w:rsid w:val="00235534"/>
    <w:rsid w:val="002363E3"/>
    <w:rsid w:val="00236602"/>
    <w:rsid w:val="0023754B"/>
    <w:rsid w:val="00237BD4"/>
    <w:rsid w:val="00237D4E"/>
    <w:rsid w:val="00240312"/>
    <w:rsid w:val="00240890"/>
    <w:rsid w:val="0024127D"/>
    <w:rsid w:val="0024134B"/>
    <w:rsid w:val="00241916"/>
    <w:rsid w:val="0024193E"/>
    <w:rsid w:val="00241B40"/>
    <w:rsid w:val="002426E1"/>
    <w:rsid w:val="00243C3E"/>
    <w:rsid w:val="00244566"/>
    <w:rsid w:val="00245762"/>
    <w:rsid w:val="00247115"/>
    <w:rsid w:val="002473AD"/>
    <w:rsid w:val="002477B1"/>
    <w:rsid w:val="0024788C"/>
    <w:rsid w:val="0025006E"/>
    <w:rsid w:val="00250B2C"/>
    <w:rsid w:val="00251023"/>
    <w:rsid w:val="00251E0E"/>
    <w:rsid w:val="0025220F"/>
    <w:rsid w:val="0025278E"/>
    <w:rsid w:val="00253005"/>
    <w:rsid w:val="002531E3"/>
    <w:rsid w:val="00253E1A"/>
    <w:rsid w:val="00254695"/>
    <w:rsid w:val="00255DFA"/>
    <w:rsid w:val="00256369"/>
    <w:rsid w:val="00256652"/>
    <w:rsid w:val="002566CE"/>
    <w:rsid w:val="0025711A"/>
    <w:rsid w:val="002578D2"/>
    <w:rsid w:val="00260514"/>
    <w:rsid w:val="002617E3"/>
    <w:rsid w:val="00261FBB"/>
    <w:rsid w:val="00262A78"/>
    <w:rsid w:val="00263C5A"/>
    <w:rsid w:val="00263CC1"/>
    <w:rsid w:val="00263E91"/>
    <w:rsid w:val="00264075"/>
    <w:rsid w:val="00265560"/>
    <w:rsid w:val="00265862"/>
    <w:rsid w:val="00265B0C"/>
    <w:rsid w:val="00265F14"/>
    <w:rsid w:val="0026604E"/>
    <w:rsid w:val="002669A8"/>
    <w:rsid w:val="00266BE1"/>
    <w:rsid w:val="00266C6D"/>
    <w:rsid w:val="00267C9B"/>
    <w:rsid w:val="00270043"/>
    <w:rsid w:val="002707EA"/>
    <w:rsid w:val="002725F4"/>
    <w:rsid w:val="00272A7D"/>
    <w:rsid w:val="00272C47"/>
    <w:rsid w:val="00273552"/>
    <w:rsid w:val="00273792"/>
    <w:rsid w:val="002741D2"/>
    <w:rsid w:val="00274AC9"/>
    <w:rsid w:val="00274D1C"/>
    <w:rsid w:val="00275014"/>
    <w:rsid w:val="002752B3"/>
    <w:rsid w:val="0027554F"/>
    <w:rsid w:val="002761A1"/>
    <w:rsid w:val="00276430"/>
    <w:rsid w:val="00276EB6"/>
    <w:rsid w:val="002775CB"/>
    <w:rsid w:val="0027779D"/>
    <w:rsid w:val="00280C12"/>
    <w:rsid w:val="00281D37"/>
    <w:rsid w:val="00281DA3"/>
    <w:rsid w:val="00282A67"/>
    <w:rsid w:val="00282F91"/>
    <w:rsid w:val="00283058"/>
    <w:rsid w:val="00283237"/>
    <w:rsid w:val="00283273"/>
    <w:rsid w:val="002834D1"/>
    <w:rsid w:val="00283689"/>
    <w:rsid w:val="00283A89"/>
    <w:rsid w:val="00283F4C"/>
    <w:rsid w:val="00284CA0"/>
    <w:rsid w:val="002858F3"/>
    <w:rsid w:val="002864B9"/>
    <w:rsid w:val="002869FA"/>
    <w:rsid w:val="00286C5A"/>
    <w:rsid w:val="002872AF"/>
    <w:rsid w:val="00287727"/>
    <w:rsid w:val="002900CE"/>
    <w:rsid w:val="002908A1"/>
    <w:rsid w:val="002908E4"/>
    <w:rsid w:val="002908E9"/>
    <w:rsid w:val="00290F56"/>
    <w:rsid w:val="0029153C"/>
    <w:rsid w:val="00292292"/>
    <w:rsid w:val="002927A3"/>
    <w:rsid w:val="00293B32"/>
    <w:rsid w:val="002948F5"/>
    <w:rsid w:val="002949CC"/>
    <w:rsid w:val="00294B9C"/>
    <w:rsid w:val="0029635D"/>
    <w:rsid w:val="00296EEC"/>
    <w:rsid w:val="00297A07"/>
    <w:rsid w:val="00297DD0"/>
    <w:rsid w:val="00297F62"/>
    <w:rsid w:val="002A0900"/>
    <w:rsid w:val="002A0BCA"/>
    <w:rsid w:val="002A10D5"/>
    <w:rsid w:val="002A216E"/>
    <w:rsid w:val="002A238A"/>
    <w:rsid w:val="002A29A0"/>
    <w:rsid w:val="002A5783"/>
    <w:rsid w:val="002A5C46"/>
    <w:rsid w:val="002A5E67"/>
    <w:rsid w:val="002A6C4C"/>
    <w:rsid w:val="002A6D1C"/>
    <w:rsid w:val="002A785E"/>
    <w:rsid w:val="002A7C75"/>
    <w:rsid w:val="002B035C"/>
    <w:rsid w:val="002B0DB2"/>
    <w:rsid w:val="002B144D"/>
    <w:rsid w:val="002B14DB"/>
    <w:rsid w:val="002B36A7"/>
    <w:rsid w:val="002B3B79"/>
    <w:rsid w:val="002B3FCF"/>
    <w:rsid w:val="002B44A1"/>
    <w:rsid w:val="002B4BBE"/>
    <w:rsid w:val="002B4D2D"/>
    <w:rsid w:val="002B565C"/>
    <w:rsid w:val="002B5D5E"/>
    <w:rsid w:val="002B61D3"/>
    <w:rsid w:val="002B70D2"/>
    <w:rsid w:val="002B7DAB"/>
    <w:rsid w:val="002C06FF"/>
    <w:rsid w:val="002C0AB5"/>
    <w:rsid w:val="002C2147"/>
    <w:rsid w:val="002C2B68"/>
    <w:rsid w:val="002C4820"/>
    <w:rsid w:val="002C49FC"/>
    <w:rsid w:val="002C6618"/>
    <w:rsid w:val="002C6AC3"/>
    <w:rsid w:val="002C6B71"/>
    <w:rsid w:val="002C6D0A"/>
    <w:rsid w:val="002D0135"/>
    <w:rsid w:val="002D0DA4"/>
    <w:rsid w:val="002D1DD1"/>
    <w:rsid w:val="002D28A5"/>
    <w:rsid w:val="002D28D6"/>
    <w:rsid w:val="002D2E76"/>
    <w:rsid w:val="002D3B90"/>
    <w:rsid w:val="002D3BC4"/>
    <w:rsid w:val="002D621C"/>
    <w:rsid w:val="002D642F"/>
    <w:rsid w:val="002D6BD5"/>
    <w:rsid w:val="002D7324"/>
    <w:rsid w:val="002E0240"/>
    <w:rsid w:val="002E04E1"/>
    <w:rsid w:val="002E1949"/>
    <w:rsid w:val="002E1D55"/>
    <w:rsid w:val="002E1DCD"/>
    <w:rsid w:val="002E20A0"/>
    <w:rsid w:val="002E2930"/>
    <w:rsid w:val="002E297E"/>
    <w:rsid w:val="002E371B"/>
    <w:rsid w:val="002E3B47"/>
    <w:rsid w:val="002E42EB"/>
    <w:rsid w:val="002E435D"/>
    <w:rsid w:val="002E5565"/>
    <w:rsid w:val="002E57FA"/>
    <w:rsid w:val="002E5DCF"/>
    <w:rsid w:val="002E72E2"/>
    <w:rsid w:val="002E7705"/>
    <w:rsid w:val="002E7E93"/>
    <w:rsid w:val="002F0590"/>
    <w:rsid w:val="002F0AE3"/>
    <w:rsid w:val="002F1E28"/>
    <w:rsid w:val="002F2872"/>
    <w:rsid w:val="002F37A3"/>
    <w:rsid w:val="002F47AA"/>
    <w:rsid w:val="002F625E"/>
    <w:rsid w:val="002F6332"/>
    <w:rsid w:val="002F66B3"/>
    <w:rsid w:val="002F684F"/>
    <w:rsid w:val="002F7BA1"/>
    <w:rsid w:val="002F7DAB"/>
    <w:rsid w:val="003006C4"/>
    <w:rsid w:val="003008FE"/>
    <w:rsid w:val="00300952"/>
    <w:rsid w:val="00300DD1"/>
    <w:rsid w:val="0030169D"/>
    <w:rsid w:val="00301E78"/>
    <w:rsid w:val="00302016"/>
    <w:rsid w:val="003026A3"/>
    <w:rsid w:val="00302F4E"/>
    <w:rsid w:val="00303BB4"/>
    <w:rsid w:val="003044AE"/>
    <w:rsid w:val="00304AAA"/>
    <w:rsid w:val="00304BB5"/>
    <w:rsid w:val="00305507"/>
    <w:rsid w:val="003060EB"/>
    <w:rsid w:val="00306DC7"/>
    <w:rsid w:val="00307951"/>
    <w:rsid w:val="00311DBC"/>
    <w:rsid w:val="0031316A"/>
    <w:rsid w:val="0031345E"/>
    <w:rsid w:val="003135CC"/>
    <w:rsid w:val="00313BF6"/>
    <w:rsid w:val="00314415"/>
    <w:rsid w:val="003145D8"/>
    <w:rsid w:val="003147C5"/>
    <w:rsid w:val="00314B2D"/>
    <w:rsid w:val="003153EB"/>
    <w:rsid w:val="003167B4"/>
    <w:rsid w:val="0031693A"/>
    <w:rsid w:val="00316A12"/>
    <w:rsid w:val="00316D86"/>
    <w:rsid w:val="0031767F"/>
    <w:rsid w:val="003200E7"/>
    <w:rsid w:val="00320A42"/>
    <w:rsid w:val="00320B58"/>
    <w:rsid w:val="00321985"/>
    <w:rsid w:val="00321B1A"/>
    <w:rsid w:val="00322DC5"/>
    <w:rsid w:val="00323AC3"/>
    <w:rsid w:val="00323F82"/>
    <w:rsid w:val="00324119"/>
    <w:rsid w:val="00324151"/>
    <w:rsid w:val="003249B2"/>
    <w:rsid w:val="00324A8A"/>
    <w:rsid w:val="00324E56"/>
    <w:rsid w:val="00324F78"/>
    <w:rsid w:val="0032555A"/>
    <w:rsid w:val="00325A70"/>
    <w:rsid w:val="00325EA6"/>
    <w:rsid w:val="00326236"/>
    <w:rsid w:val="00326376"/>
    <w:rsid w:val="003266D9"/>
    <w:rsid w:val="0033009A"/>
    <w:rsid w:val="00330339"/>
    <w:rsid w:val="00330C15"/>
    <w:rsid w:val="0033149D"/>
    <w:rsid w:val="00332E15"/>
    <w:rsid w:val="00332FB5"/>
    <w:rsid w:val="00333301"/>
    <w:rsid w:val="00333738"/>
    <w:rsid w:val="003343AB"/>
    <w:rsid w:val="00334678"/>
    <w:rsid w:val="00335E93"/>
    <w:rsid w:val="0033606C"/>
    <w:rsid w:val="003361A8"/>
    <w:rsid w:val="00336870"/>
    <w:rsid w:val="00336B5A"/>
    <w:rsid w:val="00336DF4"/>
    <w:rsid w:val="003377CF"/>
    <w:rsid w:val="00337BDD"/>
    <w:rsid w:val="003400B2"/>
    <w:rsid w:val="003401CF"/>
    <w:rsid w:val="0034072E"/>
    <w:rsid w:val="00340C44"/>
    <w:rsid w:val="00340F9E"/>
    <w:rsid w:val="00341D96"/>
    <w:rsid w:val="0034247E"/>
    <w:rsid w:val="003441E6"/>
    <w:rsid w:val="00344C0C"/>
    <w:rsid w:val="003462C2"/>
    <w:rsid w:val="00346C12"/>
    <w:rsid w:val="00346D6C"/>
    <w:rsid w:val="0034756C"/>
    <w:rsid w:val="00347C7D"/>
    <w:rsid w:val="00350318"/>
    <w:rsid w:val="00351205"/>
    <w:rsid w:val="0035290F"/>
    <w:rsid w:val="00353418"/>
    <w:rsid w:val="003534B2"/>
    <w:rsid w:val="00353727"/>
    <w:rsid w:val="0035384C"/>
    <w:rsid w:val="00353881"/>
    <w:rsid w:val="003538B5"/>
    <w:rsid w:val="00353CF2"/>
    <w:rsid w:val="003543E3"/>
    <w:rsid w:val="00354F7A"/>
    <w:rsid w:val="0035513D"/>
    <w:rsid w:val="0035598E"/>
    <w:rsid w:val="00356038"/>
    <w:rsid w:val="003564D1"/>
    <w:rsid w:val="0035658E"/>
    <w:rsid w:val="003565BB"/>
    <w:rsid w:val="00356FB1"/>
    <w:rsid w:val="00357695"/>
    <w:rsid w:val="00360233"/>
    <w:rsid w:val="0036029B"/>
    <w:rsid w:val="00360D6C"/>
    <w:rsid w:val="00361E58"/>
    <w:rsid w:val="00362D8E"/>
    <w:rsid w:val="00363676"/>
    <w:rsid w:val="00365080"/>
    <w:rsid w:val="00365598"/>
    <w:rsid w:val="00365A9B"/>
    <w:rsid w:val="003660DF"/>
    <w:rsid w:val="0036616D"/>
    <w:rsid w:val="00366EE5"/>
    <w:rsid w:val="00366F2C"/>
    <w:rsid w:val="00367112"/>
    <w:rsid w:val="003672E1"/>
    <w:rsid w:val="00367E43"/>
    <w:rsid w:val="00367F11"/>
    <w:rsid w:val="00367F4C"/>
    <w:rsid w:val="003706B1"/>
    <w:rsid w:val="00370D96"/>
    <w:rsid w:val="00371429"/>
    <w:rsid w:val="0037237A"/>
    <w:rsid w:val="00372F74"/>
    <w:rsid w:val="0037373F"/>
    <w:rsid w:val="00374B90"/>
    <w:rsid w:val="0037512A"/>
    <w:rsid w:val="0037741C"/>
    <w:rsid w:val="00377726"/>
    <w:rsid w:val="00377A4E"/>
    <w:rsid w:val="00377F45"/>
    <w:rsid w:val="00380074"/>
    <w:rsid w:val="00380084"/>
    <w:rsid w:val="00380864"/>
    <w:rsid w:val="00382132"/>
    <w:rsid w:val="0038302F"/>
    <w:rsid w:val="00383530"/>
    <w:rsid w:val="003838C6"/>
    <w:rsid w:val="00383AF1"/>
    <w:rsid w:val="003844DF"/>
    <w:rsid w:val="00384A61"/>
    <w:rsid w:val="00384E98"/>
    <w:rsid w:val="003851E1"/>
    <w:rsid w:val="0038561E"/>
    <w:rsid w:val="003861CB"/>
    <w:rsid w:val="003862B6"/>
    <w:rsid w:val="00386C8D"/>
    <w:rsid w:val="00386D23"/>
    <w:rsid w:val="003878B7"/>
    <w:rsid w:val="00387CD3"/>
    <w:rsid w:val="00387EDE"/>
    <w:rsid w:val="003906ED"/>
    <w:rsid w:val="00390A54"/>
    <w:rsid w:val="00390A7A"/>
    <w:rsid w:val="00390B1B"/>
    <w:rsid w:val="00391405"/>
    <w:rsid w:val="00391744"/>
    <w:rsid w:val="00391AA4"/>
    <w:rsid w:val="00392682"/>
    <w:rsid w:val="00392B68"/>
    <w:rsid w:val="00393E2C"/>
    <w:rsid w:val="00394AB5"/>
    <w:rsid w:val="00395842"/>
    <w:rsid w:val="0039705B"/>
    <w:rsid w:val="00397838"/>
    <w:rsid w:val="00397E0A"/>
    <w:rsid w:val="003A011A"/>
    <w:rsid w:val="003A0B95"/>
    <w:rsid w:val="003A129C"/>
    <w:rsid w:val="003A1A8E"/>
    <w:rsid w:val="003A1AD4"/>
    <w:rsid w:val="003A2109"/>
    <w:rsid w:val="003A38B9"/>
    <w:rsid w:val="003A4823"/>
    <w:rsid w:val="003A4BE6"/>
    <w:rsid w:val="003A57C9"/>
    <w:rsid w:val="003A5AAF"/>
    <w:rsid w:val="003A5AC0"/>
    <w:rsid w:val="003A612C"/>
    <w:rsid w:val="003A6376"/>
    <w:rsid w:val="003A7CA8"/>
    <w:rsid w:val="003A7D99"/>
    <w:rsid w:val="003A7DD1"/>
    <w:rsid w:val="003A7E78"/>
    <w:rsid w:val="003B1811"/>
    <w:rsid w:val="003B1A65"/>
    <w:rsid w:val="003B2570"/>
    <w:rsid w:val="003B26D3"/>
    <w:rsid w:val="003B2766"/>
    <w:rsid w:val="003B2C82"/>
    <w:rsid w:val="003B2D77"/>
    <w:rsid w:val="003B3E86"/>
    <w:rsid w:val="003B3FF4"/>
    <w:rsid w:val="003B478B"/>
    <w:rsid w:val="003B4F9F"/>
    <w:rsid w:val="003B6022"/>
    <w:rsid w:val="003B61E0"/>
    <w:rsid w:val="003C1125"/>
    <w:rsid w:val="003C1810"/>
    <w:rsid w:val="003C18AD"/>
    <w:rsid w:val="003C29F2"/>
    <w:rsid w:val="003C2B84"/>
    <w:rsid w:val="003C32CC"/>
    <w:rsid w:val="003C3479"/>
    <w:rsid w:val="003C366E"/>
    <w:rsid w:val="003C4320"/>
    <w:rsid w:val="003C46A7"/>
    <w:rsid w:val="003C48A3"/>
    <w:rsid w:val="003C646A"/>
    <w:rsid w:val="003C6848"/>
    <w:rsid w:val="003C6B48"/>
    <w:rsid w:val="003C6F11"/>
    <w:rsid w:val="003C7205"/>
    <w:rsid w:val="003C72DF"/>
    <w:rsid w:val="003C7912"/>
    <w:rsid w:val="003C7916"/>
    <w:rsid w:val="003C7EA3"/>
    <w:rsid w:val="003D0EBB"/>
    <w:rsid w:val="003D1525"/>
    <w:rsid w:val="003D1D1E"/>
    <w:rsid w:val="003D21B7"/>
    <w:rsid w:val="003D2845"/>
    <w:rsid w:val="003D2D1B"/>
    <w:rsid w:val="003D2D74"/>
    <w:rsid w:val="003D3EFD"/>
    <w:rsid w:val="003D4512"/>
    <w:rsid w:val="003D4BE4"/>
    <w:rsid w:val="003D5DF8"/>
    <w:rsid w:val="003D67A0"/>
    <w:rsid w:val="003D6AC8"/>
    <w:rsid w:val="003D6F42"/>
    <w:rsid w:val="003D70E9"/>
    <w:rsid w:val="003D7F01"/>
    <w:rsid w:val="003E01B8"/>
    <w:rsid w:val="003E1074"/>
    <w:rsid w:val="003E15A4"/>
    <w:rsid w:val="003E19B4"/>
    <w:rsid w:val="003E1AA1"/>
    <w:rsid w:val="003E3422"/>
    <w:rsid w:val="003E37CA"/>
    <w:rsid w:val="003E3D80"/>
    <w:rsid w:val="003E3FAE"/>
    <w:rsid w:val="003E43E2"/>
    <w:rsid w:val="003E4AFD"/>
    <w:rsid w:val="003E5661"/>
    <w:rsid w:val="003E56D1"/>
    <w:rsid w:val="003E57B9"/>
    <w:rsid w:val="003E59B9"/>
    <w:rsid w:val="003E5F30"/>
    <w:rsid w:val="003E76FB"/>
    <w:rsid w:val="003E7A61"/>
    <w:rsid w:val="003F0EE7"/>
    <w:rsid w:val="003F209B"/>
    <w:rsid w:val="003F2281"/>
    <w:rsid w:val="003F3AF7"/>
    <w:rsid w:val="003F47B6"/>
    <w:rsid w:val="003F4B90"/>
    <w:rsid w:val="003F5737"/>
    <w:rsid w:val="003F5962"/>
    <w:rsid w:val="003F5B3A"/>
    <w:rsid w:val="003F5B6D"/>
    <w:rsid w:val="003F5CD2"/>
    <w:rsid w:val="003F5D1B"/>
    <w:rsid w:val="003F6701"/>
    <w:rsid w:val="003F67EF"/>
    <w:rsid w:val="003F7224"/>
    <w:rsid w:val="003F7A85"/>
    <w:rsid w:val="003F7EA8"/>
    <w:rsid w:val="004002BD"/>
    <w:rsid w:val="00400513"/>
    <w:rsid w:val="00400973"/>
    <w:rsid w:val="00401149"/>
    <w:rsid w:val="004011A9"/>
    <w:rsid w:val="004011C9"/>
    <w:rsid w:val="0040176C"/>
    <w:rsid w:val="00401787"/>
    <w:rsid w:val="0040236A"/>
    <w:rsid w:val="00402E4C"/>
    <w:rsid w:val="00403ADA"/>
    <w:rsid w:val="00403CE9"/>
    <w:rsid w:val="00404195"/>
    <w:rsid w:val="00404AC9"/>
    <w:rsid w:val="00404CDA"/>
    <w:rsid w:val="00405AC2"/>
    <w:rsid w:val="004075A8"/>
    <w:rsid w:val="0040775A"/>
    <w:rsid w:val="004106FD"/>
    <w:rsid w:val="0041099A"/>
    <w:rsid w:val="004116CE"/>
    <w:rsid w:val="00411DAE"/>
    <w:rsid w:val="00413408"/>
    <w:rsid w:val="00413E4D"/>
    <w:rsid w:val="004150C3"/>
    <w:rsid w:val="0041620C"/>
    <w:rsid w:val="004162AF"/>
    <w:rsid w:val="00416C2B"/>
    <w:rsid w:val="004212D9"/>
    <w:rsid w:val="004224A2"/>
    <w:rsid w:val="0042380E"/>
    <w:rsid w:val="00423F61"/>
    <w:rsid w:val="0042670E"/>
    <w:rsid w:val="00427182"/>
    <w:rsid w:val="00427812"/>
    <w:rsid w:val="00427D21"/>
    <w:rsid w:val="00427E90"/>
    <w:rsid w:val="0043002F"/>
    <w:rsid w:val="0043298D"/>
    <w:rsid w:val="00432FB6"/>
    <w:rsid w:val="00433870"/>
    <w:rsid w:val="00433BE8"/>
    <w:rsid w:val="00433E4B"/>
    <w:rsid w:val="0043443E"/>
    <w:rsid w:val="00434BA4"/>
    <w:rsid w:val="00434E92"/>
    <w:rsid w:val="0043518E"/>
    <w:rsid w:val="004355EA"/>
    <w:rsid w:val="00435C07"/>
    <w:rsid w:val="00435FC3"/>
    <w:rsid w:val="00436A57"/>
    <w:rsid w:val="004376EC"/>
    <w:rsid w:val="00437BA9"/>
    <w:rsid w:val="0044019B"/>
    <w:rsid w:val="00440368"/>
    <w:rsid w:val="0044151C"/>
    <w:rsid w:val="004417B8"/>
    <w:rsid w:val="00441AC6"/>
    <w:rsid w:val="00442045"/>
    <w:rsid w:val="004427D2"/>
    <w:rsid w:val="00442D9B"/>
    <w:rsid w:val="00443141"/>
    <w:rsid w:val="00444152"/>
    <w:rsid w:val="004445C6"/>
    <w:rsid w:val="00444AB3"/>
    <w:rsid w:val="00444C0A"/>
    <w:rsid w:val="004450FA"/>
    <w:rsid w:val="004461B2"/>
    <w:rsid w:val="004477C6"/>
    <w:rsid w:val="00447C4F"/>
    <w:rsid w:val="00447F4A"/>
    <w:rsid w:val="004500BF"/>
    <w:rsid w:val="004502F3"/>
    <w:rsid w:val="004503F9"/>
    <w:rsid w:val="004505EC"/>
    <w:rsid w:val="0045071B"/>
    <w:rsid w:val="00450E94"/>
    <w:rsid w:val="004518BA"/>
    <w:rsid w:val="00451AD6"/>
    <w:rsid w:val="00451B34"/>
    <w:rsid w:val="00452D52"/>
    <w:rsid w:val="00454C60"/>
    <w:rsid w:val="00454F21"/>
    <w:rsid w:val="00455310"/>
    <w:rsid w:val="00455781"/>
    <w:rsid w:val="00455AF2"/>
    <w:rsid w:val="004568D7"/>
    <w:rsid w:val="00456F67"/>
    <w:rsid w:val="004605D3"/>
    <w:rsid w:val="00461FCC"/>
    <w:rsid w:val="0046208E"/>
    <w:rsid w:val="0046274E"/>
    <w:rsid w:val="004629E9"/>
    <w:rsid w:val="00463865"/>
    <w:rsid w:val="00464463"/>
    <w:rsid w:val="004644C2"/>
    <w:rsid w:val="00464CC7"/>
    <w:rsid w:val="00465432"/>
    <w:rsid w:val="00466220"/>
    <w:rsid w:val="00466824"/>
    <w:rsid w:val="0046697D"/>
    <w:rsid w:val="00467B32"/>
    <w:rsid w:val="00467F9C"/>
    <w:rsid w:val="00467FD8"/>
    <w:rsid w:val="00471528"/>
    <w:rsid w:val="00472645"/>
    <w:rsid w:val="004729D1"/>
    <w:rsid w:val="00472B4B"/>
    <w:rsid w:val="00473067"/>
    <w:rsid w:val="004735F5"/>
    <w:rsid w:val="00473751"/>
    <w:rsid w:val="00474877"/>
    <w:rsid w:val="00474A0D"/>
    <w:rsid w:val="0047518F"/>
    <w:rsid w:val="00476AA8"/>
    <w:rsid w:val="0047733F"/>
    <w:rsid w:val="004773A1"/>
    <w:rsid w:val="00480048"/>
    <w:rsid w:val="00480136"/>
    <w:rsid w:val="0048051B"/>
    <w:rsid w:val="0048131D"/>
    <w:rsid w:val="004816A0"/>
    <w:rsid w:val="004816D8"/>
    <w:rsid w:val="00481C87"/>
    <w:rsid w:val="00481D91"/>
    <w:rsid w:val="00483405"/>
    <w:rsid w:val="00483C34"/>
    <w:rsid w:val="0048499F"/>
    <w:rsid w:val="00484C2F"/>
    <w:rsid w:val="00485053"/>
    <w:rsid w:val="004851C0"/>
    <w:rsid w:val="0048558B"/>
    <w:rsid w:val="004860DD"/>
    <w:rsid w:val="00486644"/>
    <w:rsid w:val="004866CD"/>
    <w:rsid w:val="00486B18"/>
    <w:rsid w:val="004872F8"/>
    <w:rsid w:val="00487518"/>
    <w:rsid w:val="00487859"/>
    <w:rsid w:val="00487BB9"/>
    <w:rsid w:val="004912C3"/>
    <w:rsid w:val="004918C9"/>
    <w:rsid w:val="00491F68"/>
    <w:rsid w:val="0049250F"/>
    <w:rsid w:val="00493062"/>
    <w:rsid w:val="004939CE"/>
    <w:rsid w:val="00493B78"/>
    <w:rsid w:val="00494124"/>
    <w:rsid w:val="004948A4"/>
    <w:rsid w:val="00494C2D"/>
    <w:rsid w:val="0049531F"/>
    <w:rsid w:val="0049581C"/>
    <w:rsid w:val="00495AA7"/>
    <w:rsid w:val="00496039"/>
    <w:rsid w:val="004A04A5"/>
    <w:rsid w:val="004A0722"/>
    <w:rsid w:val="004A1C02"/>
    <w:rsid w:val="004A286C"/>
    <w:rsid w:val="004A499B"/>
    <w:rsid w:val="004A5E89"/>
    <w:rsid w:val="004A7662"/>
    <w:rsid w:val="004A79A6"/>
    <w:rsid w:val="004A7A4A"/>
    <w:rsid w:val="004A7E0F"/>
    <w:rsid w:val="004B0F37"/>
    <w:rsid w:val="004B185A"/>
    <w:rsid w:val="004B1B4C"/>
    <w:rsid w:val="004B1C42"/>
    <w:rsid w:val="004B2F06"/>
    <w:rsid w:val="004B3226"/>
    <w:rsid w:val="004B4056"/>
    <w:rsid w:val="004B40C5"/>
    <w:rsid w:val="004B478C"/>
    <w:rsid w:val="004B52E5"/>
    <w:rsid w:val="004B6F8B"/>
    <w:rsid w:val="004C0190"/>
    <w:rsid w:val="004C0E2E"/>
    <w:rsid w:val="004C0E53"/>
    <w:rsid w:val="004C20C7"/>
    <w:rsid w:val="004C3DDF"/>
    <w:rsid w:val="004C4CBB"/>
    <w:rsid w:val="004C4F7D"/>
    <w:rsid w:val="004C50B0"/>
    <w:rsid w:val="004C51E8"/>
    <w:rsid w:val="004C71BA"/>
    <w:rsid w:val="004C735B"/>
    <w:rsid w:val="004C7673"/>
    <w:rsid w:val="004C7BD8"/>
    <w:rsid w:val="004C7D7B"/>
    <w:rsid w:val="004C7F1A"/>
    <w:rsid w:val="004D001B"/>
    <w:rsid w:val="004D0148"/>
    <w:rsid w:val="004D0BCF"/>
    <w:rsid w:val="004D2477"/>
    <w:rsid w:val="004D26EA"/>
    <w:rsid w:val="004D2892"/>
    <w:rsid w:val="004D2924"/>
    <w:rsid w:val="004D29EF"/>
    <w:rsid w:val="004D2BC6"/>
    <w:rsid w:val="004D2F8A"/>
    <w:rsid w:val="004D30ED"/>
    <w:rsid w:val="004D3736"/>
    <w:rsid w:val="004D3D99"/>
    <w:rsid w:val="004D41CF"/>
    <w:rsid w:val="004D48F0"/>
    <w:rsid w:val="004D5430"/>
    <w:rsid w:val="004D66DF"/>
    <w:rsid w:val="004D71E0"/>
    <w:rsid w:val="004D7F02"/>
    <w:rsid w:val="004D7FDE"/>
    <w:rsid w:val="004E016B"/>
    <w:rsid w:val="004E0522"/>
    <w:rsid w:val="004E05A2"/>
    <w:rsid w:val="004E146E"/>
    <w:rsid w:val="004E1628"/>
    <w:rsid w:val="004E275C"/>
    <w:rsid w:val="004E41AC"/>
    <w:rsid w:val="004E4273"/>
    <w:rsid w:val="004E456F"/>
    <w:rsid w:val="004E4837"/>
    <w:rsid w:val="004E545B"/>
    <w:rsid w:val="004E6223"/>
    <w:rsid w:val="004E7184"/>
    <w:rsid w:val="004E778C"/>
    <w:rsid w:val="004E7832"/>
    <w:rsid w:val="004E7A26"/>
    <w:rsid w:val="004E7B45"/>
    <w:rsid w:val="004E7FE9"/>
    <w:rsid w:val="004F050C"/>
    <w:rsid w:val="004F4833"/>
    <w:rsid w:val="004F49D1"/>
    <w:rsid w:val="004F4F33"/>
    <w:rsid w:val="004F501F"/>
    <w:rsid w:val="004F5257"/>
    <w:rsid w:val="004F53D8"/>
    <w:rsid w:val="004F5C2E"/>
    <w:rsid w:val="004F6D14"/>
    <w:rsid w:val="004F729A"/>
    <w:rsid w:val="00500CF2"/>
    <w:rsid w:val="00500F71"/>
    <w:rsid w:val="00501064"/>
    <w:rsid w:val="0050132B"/>
    <w:rsid w:val="005014E4"/>
    <w:rsid w:val="005025B3"/>
    <w:rsid w:val="005026BC"/>
    <w:rsid w:val="00503DE4"/>
    <w:rsid w:val="00504E9E"/>
    <w:rsid w:val="005055DF"/>
    <w:rsid w:val="00505C85"/>
    <w:rsid w:val="005062D8"/>
    <w:rsid w:val="00506D5E"/>
    <w:rsid w:val="0050702F"/>
    <w:rsid w:val="0051006C"/>
    <w:rsid w:val="00510394"/>
    <w:rsid w:val="00510A4F"/>
    <w:rsid w:val="00512C73"/>
    <w:rsid w:val="005142D0"/>
    <w:rsid w:val="00514C3F"/>
    <w:rsid w:val="00514DC9"/>
    <w:rsid w:val="005151C8"/>
    <w:rsid w:val="005151CE"/>
    <w:rsid w:val="005159DB"/>
    <w:rsid w:val="00520461"/>
    <w:rsid w:val="0052125C"/>
    <w:rsid w:val="0052126D"/>
    <w:rsid w:val="00521446"/>
    <w:rsid w:val="0052170D"/>
    <w:rsid w:val="00522A15"/>
    <w:rsid w:val="00523B44"/>
    <w:rsid w:val="00523D1B"/>
    <w:rsid w:val="00523E9D"/>
    <w:rsid w:val="005244BD"/>
    <w:rsid w:val="00524CA3"/>
    <w:rsid w:val="00525980"/>
    <w:rsid w:val="005269E5"/>
    <w:rsid w:val="00526EFE"/>
    <w:rsid w:val="0052773C"/>
    <w:rsid w:val="00527E07"/>
    <w:rsid w:val="005303CB"/>
    <w:rsid w:val="00530BDE"/>
    <w:rsid w:val="0053314D"/>
    <w:rsid w:val="00533A6D"/>
    <w:rsid w:val="00533BCA"/>
    <w:rsid w:val="00533BE0"/>
    <w:rsid w:val="00534681"/>
    <w:rsid w:val="00534EA2"/>
    <w:rsid w:val="00534FDE"/>
    <w:rsid w:val="005350EB"/>
    <w:rsid w:val="005354C1"/>
    <w:rsid w:val="005356D2"/>
    <w:rsid w:val="00535E30"/>
    <w:rsid w:val="00535F07"/>
    <w:rsid w:val="00536B6E"/>
    <w:rsid w:val="005370ED"/>
    <w:rsid w:val="005373B2"/>
    <w:rsid w:val="00537B40"/>
    <w:rsid w:val="0054065C"/>
    <w:rsid w:val="00540F81"/>
    <w:rsid w:val="00541703"/>
    <w:rsid w:val="0054191B"/>
    <w:rsid w:val="00542200"/>
    <w:rsid w:val="00542DE2"/>
    <w:rsid w:val="00543091"/>
    <w:rsid w:val="00543E58"/>
    <w:rsid w:val="00543F2C"/>
    <w:rsid w:val="005449FC"/>
    <w:rsid w:val="00544BB4"/>
    <w:rsid w:val="005450DD"/>
    <w:rsid w:val="0054541B"/>
    <w:rsid w:val="005455E1"/>
    <w:rsid w:val="00545D7D"/>
    <w:rsid w:val="00547614"/>
    <w:rsid w:val="00550407"/>
    <w:rsid w:val="00550BBC"/>
    <w:rsid w:val="00550EAE"/>
    <w:rsid w:val="005522F1"/>
    <w:rsid w:val="00552680"/>
    <w:rsid w:val="00552C8D"/>
    <w:rsid w:val="00553D33"/>
    <w:rsid w:val="0055450C"/>
    <w:rsid w:val="00554D7C"/>
    <w:rsid w:val="00555365"/>
    <w:rsid w:val="005555FC"/>
    <w:rsid w:val="00556D30"/>
    <w:rsid w:val="00557252"/>
    <w:rsid w:val="0055725F"/>
    <w:rsid w:val="0056004B"/>
    <w:rsid w:val="0056014A"/>
    <w:rsid w:val="0056068E"/>
    <w:rsid w:val="00560DFA"/>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603D"/>
    <w:rsid w:val="00566900"/>
    <w:rsid w:val="00567352"/>
    <w:rsid w:val="00567432"/>
    <w:rsid w:val="00567E95"/>
    <w:rsid w:val="005709B9"/>
    <w:rsid w:val="00570E44"/>
    <w:rsid w:val="00571218"/>
    <w:rsid w:val="005719FC"/>
    <w:rsid w:val="00571A39"/>
    <w:rsid w:val="00571B75"/>
    <w:rsid w:val="00572239"/>
    <w:rsid w:val="00572D47"/>
    <w:rsid w:val="00573198"/>
    <w:rsid w:val="0057350E"/>
    <w:rsid w:val="005747D5"/>
    <w:rsid w:val="0057500D"/>
    <w:rsid w:val="00575303"/>
    <w:rsid w:val="005753C9"/>
    <w:rsid w:val="005761F7"/>
    <w:rsid w:val="00576DB9"/>
    <w:rsid w:val="00577DD9"/>
    <w:rsid w:val="00580341"/>
    <w:rsid w:val="00580FA3"/>
    <w:rsid w:val="005815A4"/>
    <w:rsid w:val="005819D9"/>
    <w:rsid w:val="005824D2"/>
    <w:rsid w:val="005826CD"/>
    <w:rsid w:val="005838D5"/>
    <w:rsid w:val="00583C71"/>
    <w:rsid w:val="005847AE"/>
    <w:rsid w:val="005849E0"/>
    <w:rsid w:val="00584C6D"/>
    <w:rsid w:val="00585043"/>
    <w:rsid w:val="0058504C"/>
    <w:rsid w:val="005854E4"/>
    <w:rsid w:val="00585C0D"/>
    <w:rsid w:val="00586B9D"/>
    <w:rsid w:val="00587289"/>
    <w:rsid w:val="005872A9"/>
    <w:rsid w:val="00590B26"/>
    <w:rsid w:val="00590D84"/>
    <w:rsid w:val="00590EAB"/>
    <w:rsid w:val="0059122D"/>
    <w:rsid w:val="005913A2"/>
    <w:rsid w:val="005919BB"/>
    <w:rsid w:val="00591D8C"/>
    <w:rsid w:val="005929A3"/>
    <w:rsid w:val="005929FB"/>
    <w:rsid w:val="00593437"/>
    <w:rsid w:val="005939EB"/>
    <w:rsid w:val="0059417C"/>
    <w:rsid w:val="005946C4"/>
    <w:rsid w:val="00594837"/>
    <w:rsid w:val="00594FA2"/>
    <w:rsid w:val="00595245"/>
    <w:rsid w:val="005954BC"/>
    <w:rsid w:val="0059574A"/>
    <w:rsid w:val="00597DA8"/>
    <w:rsid w:val="005A0B42"/>
    <w:rsid w:val="005A0D8A"/>
    <w:rsid w:val="005A116F"/>
    <w:rsid w:val="005A13DB"/>
    <w:rsid w:val="005A1721"/>
    <w:rsid w:val="005A1C0B"/>
    <w:rsid w:val="005A2AB8"/>
    <w:rsid w:val="005A2F7D"/>
    <w:rsid w:val="005A3406"/>
    <w:rsid w:val="005A3509"/>
    <w:rsid w:val="005A358C"/>
    <w:rsid w:val="005A35C2"/>
    <w:rsid w:val="005A3C9E"/>
    <w:rsid w:val="005A3D01"/>
    <w:rsid w:val="005A4830"/>
    <w:rsid w:val="005A4E4E"/>
    <w:rsid w:val="005A52CA"/>
    <w:rsid w:val="005A6251"/>
    <w:rsid w:val="005A6FF0"/>
    <w:rsid w:val="005A77BB"/>
    <w:rsid w:val="005B0166"/>
    <w:rsid w:val="005B03AF"/>
    <w:rsid w:val="005B0701"/>
    <w:rsid w:val="005B0BA2"/>
    <w:rsid w:val="005B0CF2"/>
    <w:rsid w:val="005B1459"/>
    <w:rsid w:val="005B155B"/>
    <w:rsid w:val="005B23D6"/>
    <w:rsid w:val="005B24F5"/>
    <w:rsid w:val="005B3023"/>
    <w:rsid w:val="005B35E2"/>
    <w:rsid w:val="005B3628"/>
    <w:rsid w:val="005B3E07"/>
    <w:rsid w:val="005B3F32"/>
    <w:rsid w:val="005B42F7"/>
    <w:rsid w:val="005B4C98"/>
    <w:rsid w:val="005B4DFD"/>
    <w:rsid w:val="005B4E99"/>
    <w:rsid w:val="005B553D"/>
    <w:rsid w:val="005B5756"/>
    <w:rsid w:val="005B589F"/>
    <w:rsid w:val="005B698F"/>
    <w:rsid w:val="005B75FF"/>
    <w:rsid w:val="005B7D0B"/>
    <w:rsid w:val="005C01C3"/>
    <w:rsid w:val="005C1F36"/>
    <w:rsid w:val="005C2561"/>
    <w:rsid w:val="005C28FA"/>
    <w:rsid w:val="005C3C97"/>
    <w:rsid w:val="005C3C9B"/>
    <w:rsid w:val="005C3CC0"/>
    <w:rsid w:val="005C447A"/>
    <w:rsid w:val="005C49FB"/>
    <w:rsid w:val="005C4A88"/>
    <w:rsid w:val="005C4C98"/>
    <w:rsid w:val="005C4CE6"/>
    <w:rsid w:val="005C5A9A"/>
    <w:rsid w:val="005C5D65"/>
    <w:rsid w:val="005C5F12"/>
    <w:rsid w:val="005C6253"/>
    <w:rsid w:val="005C62C8"/>
    <w:rsid w:val="005C6BF7"/>
    <w:rsid w:val="005C6D7E"/>
    <w:rsid w:val="005C6EE4"/>
    <w:rsid w:val="005C72A9"/>
    <w:rsid w:val="005C74CB"/>
    <w:rsid w:val="005C7592"/>
    <w:rsid w:val="005C7890"/>
    <w:rsid w:val="005C7AA7"/>
    <w:rsid w:val="005D048C"/>
    <w:rsid w:val="005D1004"/>
    <w:rsid w:val="005D138A"/>
    <w:rsid w:val="005D1EC1"/>
    <w:rsid w:val="005D2938"/>
    <w:rsid w:val="005D2A41"/>
    <w:rsid w:val="005D338B"/>
    <w:rsid w:val="005D446D"/>
    <w:rsid w:val="005D4C06"/>
    <w:rsid w:val="005D4C43"/>
    <w:rsid w:val="005D4FED"/>
    <w:rsid w:val="005D5179"/>
    <w:rsid w:val="005D6440"/>
    <w:rsid w:val="005D7262"/>
    <w:rsid w:val="005E1046"/>
    <w:rsid w:val="005E158C"/>
    <w:rsid w:val="005E27A6"/>
    <w:rsid w:val="005E2F5A"/>
    <w:rsid w:val="005E45CE"/>
    <w:rsid w:val="005E4C69"/>
    <w:rsid w:val="005E511A"/>
    <w:rsid w:val="005E525C"/>
    <w:rsid w:val="005E5914"/>
    <w:rsid w:val="005E5ABC"/>
    <w:rsid w:val="005E6914"/>
    <w:rsid w:val="005E70AE"/>
    <w:rsid w:val="005E7725"/>
    <w:rsid w:val="005E7B59"/>
    <w:rsid w:val="005F0FDD"/>
    <w:rsid w:val="005F127D"/>
    <w:rsid w:val="005F1341"/>
    <w:rsid w:val="005F13AA"/>
    <w:rsid w:val="005F1B2B"/>
    <w:rsid w:val="005F20AE"/>
    <w:rsid w:val="005F26F5"/>
    <w:rsid w:val="005F2DD6"/>
    <w:rsid w:val="005F33F3"/>
    <w:rsid w:val="005F39C1"/>
    <w:rsid w:val="005F3BB2"/>
    <w:rsid w:val="005F43D6"/>
    <w:rsid w:val="005F508D"/>
    <w:rsid w:val="005F5E07"/>
    <w:rsid w:val="005F650C"/>
    <w:rsid w:val="005F6717"/>
    <w:rsid w:val="00600111"/>
    <w:rsid w:val="006009A0"/>
    <w:rsid w:val="00600BAD"/>
    <w:rsid w:val="00600E3A"/>
    <w:rsid w:val="006012E3"/>
    <w:rsid w:val="00602879"/>
    <w:rsid w:val="0060373A"/>
    <w:rsid w:val="0060377C"/>
    <w:rsid w:val="006047BA"/>
    <w:rsid w:val="0060498A"/>
    <w:rsid w:val="00604B0B"/>
    <w:rsid w:val="006054DD"/>
    <w:rsid w:val="00605DCC"/>
    <w:rsid w:val="00606199"/>
    <w:rsid w:val="00606AC3"/>
    <w:rsid w:val="0060782D"/>
    <w:rsid w:val="00607C06"/>
    <w:rsid w:val="00607CF6"/>
    <w:rsid w:val="00610101"/>
    <w:rsid w:val="006114C3"/>
    <w:rsid w:val="00611A10"/>
    <w:rsid w:val="006122BA"/>
    <w:rsid w:val="00614D04"/>
    <w:rsid w:val="006151FD"/>
    <w:rsid w:val="00615610"/>
    <w:rsid w:val="00616E30"/>
    <w:rsid w:val="00616E43"/>
    <w:rsid w:val="00616EFE"/>
    <w:rsid w:val="0061740F"/>
    <w:rsid w:val="00617680"/>
    <w:rsid w:val="00617B3B"/>
    <w:rsid w:val="00617C3D"/>
    <w:rsid w:val="00620016"/>
    <w:rsid w:val="00620CA8"/>
    <w:rsid w:val="006216B7"/>
    <w:rsid w:val="00621FF8"/>
    <w:rsid w:val="00622525"/>
    <w:rsid w:val="00622D83"/>
    <w:rsid w:val="00623293"/>
    <w:rsid w:val="00623721"/>
    <w:rsid w:val="006237B3"/>
    <w:rsid w:val="00623ACC"/>
    <w:rsid w:val="0062428F"/>
    <w:rsid w:val="0062462E"/>
    <w:rsid w:val="00624C7C"/>
    <w:rsid w:val="006256DE"/>
    <w:rsid w:val="00625782"/>
    <w:rsid w:val="006264C5"/>
    <w:rsid w:val="00626D6F"/>
    <w:rsid w:val="00626EA9"/>
    <w:rsid w:val="006300D6"/>
    <w:rsid w:val="006301EA"/>
    <w:rsid w:val="006308AF"/>
    <w:rsid w:val="00630EB5"/>
    <w:rsid w:val="00631AF7"/>
    <w:rsid w:val="00632A61"/>
    <w:rsid w:val="00633440"/>
    <w:rsid w:val="00633DF2"/>
    <w:rsid w:val="00634019"/>
    <w:rsid w:val="00634440"/>
    <w:rsid w:val="00634A29"/>
    <w:rsid w:val="00634F35"/>
    <w:rsid w:val="00635981"/>
    <w:rsid w:val="00636343"/>
    <w:rsid w:val="00636B2C"/>
    <w:rsid w:val="006376DA"/>
    <w:rsid w:val="00637DED"/>
    <w:rsid w:val="0064036B"/>
    <w:rsid w:val="00640EB7"/>
    <w:rsid w:val="00641853"/>
    <w:rsid w:val="00641D77"/>
    <w:rsid w:val="0064216F"/>
    <w:rsid w:val="00642825"/>
    <w:rsid w:val="0064286A"/>
    <w:rsid w:val="00643127"/>
    <w:rsid w:val="00643186"/>
    <w:rsid w:val="006431C5"/>
    <w:rsid w:val="006435B6"/>
    <w:rsid w:val="00643FDB"/>
    <w:rsid w:val="00644557"/>
    <w:rsid w:val="0064461B"/>
    <w:rsid w:val="006456F8"/>
    <w:rsid w:val="00645D17"/>
    <w:rsid w:val="00645E87"/>
    <w:rsid w:val="00645F05"/>
    <w:rsid w:val="00646825"/>
    <w:rsid w:val="00647809"/>
    <w:rsid w:val="006478BF"/>
    <w:rsid w:val="00650EAC"/>
    <w:rsid w:val="0065104A"/>
    <w:rsid w:val="006518BF"/>
    <w:rsid w:val="00651EF5"/>
    <w:rsid w:val="00651F77"/>
    <w:rsid w:val="0065224E"/>
    <w:rsid w:val="0065377C"/>
    <w:rsid w:val="0065407F"/>
    <w:rsid w:val="006543B5"/>
    <w:rsid w:val="00654C53"/>
    <w:rsid w:val="00655A21"/>
    <w:rsid w:val="00656977"/>
    <w:rsid w:val="00656A73"/>
    <w:rsid w:val="00656B3E"/>
    <w:rsid w:val="00656BA0"/>
    <w:rsid w:val="00656D1A"/>
    <w:rsid w:val="006603C0"/>
    <w:rsid w:val="00660B19"/>
    <w:rsid w:val="00660EB3"/>
    <w:rsid w:val="00661029"/>
    <w:rsid w:val="00661318"/>
    <w:rsid w:val="006617B1"/>
    <w:rsid w:val="00662101"/>
    <w:rsid w:val="00662FC2"/>
    <w:rsid w:val="00663796"/>
    <w:rsid w:val="006644DE"/>
    <w:rsid w:val="00664C87"/>
    <w:rsid w:val="006656B7"/>
    <w:rsid w:val="00665729"/>
    <w:rsid w:val="0066588A"/>
    <w:rsid w:val="0066657D"/>
    <w:rsid w:val="00666716"/>
    <w:rsid w:val="00666B64"/>
    <w:rsid w:val="006675E6"/>
    <w:rsid w:val="0066792A"/>
    <w:rsid w:val="0066799A"/>
    <w:rsid w:val="00667B41"/>
    <w:rsid w:val="00667D13"/>
    <w:rsid w:val="00667ECA"/>
    <w:rsid w:val="0067037E"/>
    <w:rsid w:val="006706C3"/>
    <w:rsid w:val="006708A6"/>
    <w:rsid w:val="00670C28"/>
    <w:rsid w:val="00670D1E"/>
    <w:rsid w:val="00670DA7"/>
    <w:rsid w:val="00672F8C"/>
    <w:rsid w:val="00672FA1"/>
    <w:rsid w:val="006730FA"/>
    <w:rsid w:val="0067390F"/>
    <w:rsid w:val="00674537"/>
    <w:rsid w:val="00674867"/>
    <w:rsid w:val="00674F55"/>
    <w:rsid w:val="0067572B"/>
    <w:rsid w:val="006757DA"/>
    <w:rsid w:val="00675844"/>
    <w:rsid w:val="00675F2C"/>
    <w:rsid w:val="00675FF1"/>
    <w:rsid w:val="006761ED"/>
    <w:rsid w:val="00676F99"/>
    <w:rsid w:val="0068036B"/>
    <w:rsid w:val="006807C9"/>
    <w:rsid w:val="006807DF"/>
    <w:rsid w:val="00681F5C"/>
    <w:rsid w:val="00682144"/>
    <w:rsid w:val="00682966"/>
    <w:rsid w:val="00682B05"/>
    <w:rsid w:val="00682C5E"/>
    <w:rsid w:val="00683302"/>
    <w:rsid w:val="006837F6"/>
    <w:rsid w:val="006838D5"/>
    <w:rsid w:val="00684D67"/>
    <w:rsid w:val="00686289"/>
    <w:rsid w:val="00686302"/>
    <w:rsid w:val="00686387"/>
    <w:rsid w:val="00686852"/>
    <w:rsid w:val="00686BFE"/>
    <w:rsid w:val="00686EB3"/>
    <w:rsid w:val="006876E8"/>
    <w:rsid w:val="00687D1B"/>
    <w:rsid w:val="00687DD6"/>
    <w:rsid w:val="006902EF"/>
    <w:rsid w:val="00691212"/>
    <w:rsid w:val="00691A8E"/>
    <w:rsid w:val="00692457"/>
    <w:rsid w:val="00692E89"/>
    <w:rsid w:val="006935F4"/>
    <w:rsid w:val="00693C99"/>
    <w:rsid w:val="00695297"/>
    <w:rsid w:val="00696AD4"/>
    <w:rsid w:val="006973C1"/>
    <w:rsid w:val="00697AD9"/>
    <w:rsid w:val="006A0956"/>
    <w:rsid w:val="006A0D57"/>
    <w:rsid w:val="006A15E5"/>
    <w:rsid w:val="006A17BA"/>
    <w:rsid w:val="006A2D87"/>
    <w:rsid w:val="006A4428"/>
    <w:rsid w:val="006A5063"/>
    <w:rsid w:val="006A519C"/>
    <w:rsid w:val="006A565F"/>
    <w:rsid w:val="006A648C"/>
    <w:rsid w:val="006A73C1"/>
    <w:rsid w:val="006A7C74"/>
    <w:rsid w:val="006B00DA"/>
    <w:rsid w:val="006B00E6"/>
    <w:rsid w:val="006B0449"/>
    <w:rsid w:val="006B1050"/>
    <w:rsid w:val="006B1A25"/>
    <w:rsid w:val="006B1C2D"/>
    <w:rsid w:val="006B1C4B"/>
    <w:rsid w:val="006B2290"/>
    <w:rsid w:val="006B2702"/>
    <w:rsid w:val="006B33A8"/>
    <w:rsid w:val="006B516D"/>
    <w:rsid w:val="006B570A"/>
    <w:rsid w:val="006B625C"/>
    <w:rsid w:val="006B63E5"/>
    <w:rsid w:val="006B6B2D"/>
    <w:rsid w:val="006B6D97"/>
    <w:rsid w:val="006B740E"/>
    <w:rsid w:val="006B7FBA"/>
    <w:rsid w:val="006C0446"/>
    <w:rsid w:val="006C076F"/>
    <w:rsid w:val="006C0EE3"/>
    <w:rsid w:val="006C150D"/>
    <w:rsid w:val="006C2FF4"/>
    <w:rsid w:val="006C3A5C"/>
    <w:rsid w:val="006C3B25"/>
    <w:rsid w:val="006C5357"/>
    <w:rsid w:val="006C5B9E"/>
    <w:rsid w:val="006C5E61"/>
    <w:rsid w:val="006C5EEE"/>
    <w:rsid w:val="006C5F0D"/>
    <w:rsid w:val="006C660C"/>
    <w:rsid w:val="006C76F6"/>
    <w:rsid w:val="006C79E1"/>
    <w:rsid w:val="006D0433"/>
    <w:rsid w:val="006D0DE2"/>
    <w:rsid w:val="006D1707"/>
    <w:rsid w:val="006D4258"/>
    <w:rsid w:val="006D4E72"/>
    <w:rsid w:val="006D4EF9"/>
    <w:rsid w:val="006D5364"/>
    <w:rsid w:val="006D57D3"/>
    <w:rsid w:val="006D645E"/>
    <w:rsid w:val="006D693E"/>
    <w:rsid w:val="006D78F8"/>
    <w:rsid w:val="006E0790"/>
    <w:rsid w:val="006E1938"/>
    <w:rsid w:val="006E20BB"/>
    <w:rsid w:val="006E20BC"/>
    <w:rsid w:val="006E2376"/>
    <w:rsid w:val="006E240F"/>
    <w:rsid w:val="006E2F52"/>
    <w:rsid w:val="006E331C"/>
    <w:rsid w:val="006E3F5F"/>
    <w:rsid w:val="006E5413"/>
    <w:rsid w:val="006E551A"/>
    <w:rsid w:val="006E58C9"/>
    <w:rsid w:val="006E60D6"/>
    <w:rsid w:val="006E683C"/>
    <w:rsid w:val="006E6F67"/>
    <w:rsid w:val="006E7320"/>
    <w:rsid w:val="006E7922"/>
    <w:rsid w:val="006E7BE6"/>
    <w:rsid w:val="006F0ABF"/>
    <w:rsid w:val="006F2257"/>
    <w:rsid w:val="006F2959"/>
    <w:rsid w:val="006F2F2F"/>
    <w:rsid w:val="006F3131"/>
    <w:rsid w:val="006F39BE"/>
    <w:rsid w:val="006F403E"/>
    <w:rsid w:val="006F4100"/>
    <w:rsid w:val="006F478A"/>
    <w:rsid w:val="006F5D3F"/>
    <w:rsid w:val="006F5E1E"/>
    <w:rsid w:val="006F6720"/>
    <w:rsid w:val="006F7C7A"/>
    <w:rsid w:val="006F7E4A"/>
    <w:rsid w:val="006F7E90"/>
    <w:rsid w:val="007003A1"/>
    <w:rsid w:val="00701672"/>
    <w:rsid w:val="00701947"/>
    <w:rsid w:val="00701B98"/>
    <w:rsid w:val="00701E46"/>
    <w:rsid w:val="0070276E"/>
    <w:rsid w:val="007046F6"/>
    <w:rsid w:val="00704B40"/>
    <w:rsid w:val="00704F85"/>
    <w:rsid w:val="00705579"/>
    <w:rsid w:val="0070571E"/>
    <w:rsid w:val="00705AE0"/>
    <w:rsid w:val="00705EAB"/>
    <w:rsid w:val="0070681B"/>
    <w:rsid w:val="0070695E"/>
    <w:rsid w:val="00706E38"/>
    <w:rsid w:val="00707F7A"/>
    <w:rsid w:val="00710BEF"/>
    <w:rsid w:val="007123ED"/>
    <w:rsid w:val="007127A9"/>
    <w:rsid w:val="00712B2D"/>
    <w:rsid w:val="00713AD1"/>
    <w:rsid w:val="00713C1C"/>
    <w:rsid w:val="007144DE"/>
    <w:rsid w:val="00714C48"/>
    <w:rsid w:val="00716C5D"/>
    <w:rsid w:val="00717056"/>
    <w:rsid w:val="00717CEF"/>
    <w:rsid w:val="00717D88"/>
    <w:rsid w:val="00717EC2"/>
    <w:rsid w:val="00720485"/>
    <w:rsid w:val="00720493"/>
    <w:rsid w:val="007204C8"/>
    <w:rsid w:val="00721361"/>
    <w:rsid w:val="007214B7"/>
    <w:rsid w:val="007214FE"/>
    <w:rsid w:val="0072168E"/>
    <w:rsid w:val="007217AB"/>
    <w:rsid w:val="00721B62"/>
    <w:rsid w:val="0072214B"/>
    <w:rsid w:val="00722A7D"/>
    <w:rsid w:val="00722EBD"/>
    <w:rsid w:val="0072309F"/>
    <w:rsid w:val="007232E9"/>
    <w:rsid w:val="00723AB4"/>
    <w:rsid w:val="0072500B"/>
    <w:rsid w:val="00726A43"/>
    <w:rsid w:val="007275AF"/>
    <w:rsid w:val="00727768"/>
    <w:rsid w:val="00730B40"/>
    <w:rsid w:val="00730CA1"/>
    <w:rsid w:val="00731095"/>
    <w:rsid w:val="0073134A"/>
    <w:rsid w:val="007313D6"/>
    <w:rsid w:val="0073298D"/>
    <w:rsid w:val="0073298F"/>
    <w:rsid w:val="00733557"/>
    <w:rsid w:val="00733CBB"/>
    <w:rsid w:val="00734182"/>
    <w:rsid w:val="00735504"/>
    <w:rsid w:val="007356EA"/>
    <w:rsid w:val="00735B31"/>
    <w:rsid w:val="00737A89"/>
    <w:rsid w:val="00737E04"/>
    <w:rsid w:val="007409F6"/>
    <w:rsid w:val="00740C74"/>
    <w:rsid w:val="00740C96"/>
    <w:rsid w:val="00741EDF"/>
    <w:rsid w:val="00741F88"/>
    <w:rsid w:val="00742B59"/>
    <w:rsid w:val="0074337A"/>
    <w:rsid w:val="00743E34"/>
    <w:rsid w:val="0074412B"/>
    <w:rsid w:val="00744246"/>
    <w:rsid w:val="007447A5"/>
    <w:rsid w:val="00744932"/>
    <w:rsid w:val="00745DF4"/>
    <w:rsid w:val="00746DA6"/>
    <w:rsid w:val="00746FE7"/>
    <w:rsid w:val="00747400"/>
    <w:rsid w:val="00747734"/>
    <w:rsid w:val="00750F8A"/>
    <w:rsid w:val="007510DB"/>
    <w:rsid w:val="00751485"/>
    <w:rsid w:val="0075238F"/>
    <w:rsid w:val="00752500"/>
    <w:rsid w:val="007531A0"/>
    <w:rsid w:val="007535C6"/>
    <w:rsid w:val="00754927"/>
    <w:rsid w:val="00754DE9"/>
    <w:rsid w:val="00755C14"/>
    <w:rsid w:val="00756324"/>
    <w:rsid w:val="007567BD"/>
    <w:rsid w:val="00756B28"/>
    <w:rsid w:val="0075757D"/>
    <w:rsid w:val="007575F6"/>
    <w:rsid w:val="00761355"/>
    <w:rsid w:val="00761949"/>
    <w:rsid w:val="00761C57"/>
    <w:rsid w:val="00762393"/>
    <w:rsid w:val="007632A6"/>
    <w:rsid w:val="00763498"/>
    <w:rsid w:val="00763515"/>
    <w:rsid w:val="00763599"/>
    <w:rsid w:val="00764185"/>
    <w:rsid w:val="007644C4"/>
    <w:rsid w:val="007645AD"/>
    <w:rsid w:val="007649CB"/>
    <w:rsid w:val="00764CE4"/>
    <w:rsid w:val="00764D8D"/>
    <w:rsid w:val="00764E10"/>
    <w:rsid w:val="00764F75"/>
    <w:rsid w:val="00765268"/>
    <w:rsid w:val="00766E76"/>
    <w:rsid w:val="007676FA"/>
    <w:rsid w:val="00767B32"/>
    <w:rsid w:val="00767CFC"/>
    <w:rsid w:val="00767DBF"/>
    <w:rsid w:val="00771087"/>
    <w:rsid w:val="007726BA"/>
    <w:rsid w:val="007733ED"/>
    <w:rsid w:val="007738AF"/>
    <w:rsid w:val="0077438A"/>
    <w:rsid w:val="007744D4"/>
    <w:rsid w:val="007750A3"/>
    <w:rsid w:val="007755BA"/>
    <w:rsid w:val="00776686"/>
    <w:rsid w:val="007767AA"/>
    <w:rsid w:val="00777813"/>
    <w:rsid w:val="0077792D"/>
    <w:rsid w:val="00777A6B"/>
    <w:rsid w:val="007800BC"/>
    <w:rsid w:val="007809DD"/>
    <w:rsid w:val="00780ADD"/>
    <w:rsid w:val="00780CC1"/>
    <w:rsid w:val="00780EDE"/>
    <w:rsid w:val="007824EB"/>
    <w:rsid w:val="007825A3"/>
    <w:rsid w:val="0078296B"/>
    <w:rsid w:val="00783806"/>
    <w:rsid w:val="007844EB"/>
    <w:rsid w:val="00786056"/>
    <w:rsid w:val="007860A3"/>
    <w:rsid w:val="00786198"/>
    <w:rsid w:val="007862CC"/>
    <w:rsid w:val="00786463"/>
    <w:rsid w:val="007873B7"/>
    <w:rsid w:val="00790164"/>
    <w:rsid w:val="007913F2"/>
    <w:rsid w:val="00791CBE"/>
    <w:rsid w:val="00791F27"/>
    <w:rsid w:val="00792316"/>
    <w:rsid w:val="00792A42"/>
    <w:rsid w:val="007934CC"/>
    <w:rsid w:val="0079387C"/>
    <w:rsid w:val="007942D3"/>
    <w:rsid w:val="0079572C"/>
    <w:rsid w:val="00796866"/>
    <w:rsid w:val="007969B3"/>
    <w:rsid w:val="007972D2"/>
    <w:rsid w:val="0079782B"/>
    <w:rsid w:val="0079782D"/>
    <w:rsid w:val="007A0CB4"/>
    <w:rsid w:val="007A1A53"/>
    <w:rsid w:val="007A2A30"/>
    <w:rsid w:val="007A2F75"/>
    <w:rsid w:val="007A4403"/>
    <w:rsid w:val="007A444C"/>
    <w:rsid w:val="007A4636"/>
    <w:rsid w:val="007A48A3"/>
    <w:rsid w:val="007A4D35"/>
    <w:rsid w:val="007A4DB3"/>
    <w:rsid w:val="007A52DD"/>
    <w:rsid w:val="007A5EDA"/>
    <w:rsid w:val="007A5FDB"/>
    <w:rsid w:val="007A69AF"/>
    <w:rsid w:val="007A6C70"/>
    <w:rsid w:val="007A7A8B"/>
    <w:rsid w:val="007B0AF4"/>
    <w:rsid w:val="007B1156"/>
    <w:rsid w:val="007B116E"/>
    <w:rsid w:val="007B1230"/>
    <w:rsid w:val="007B144D"/>
    <w:rsid w:val="007B2099"/>
    <w:rsid w:val="007B218E"/>
    <w:rsid w:val="007B2D19"/>
    <w:rsid w:val="007B2E08"/>
    <w:rsid w:val="007B360A"/>
    <w:rsid w:val="007B3B4C"/>
    <w:rsid w:val="007B4CC8"/>
    <w:rsid w:val="007B4F98"/>
    <w:rsid w:val="007B518A"/>
    <w:rsid w:val="007B54E4"/>
    <w:rsid w:val="007B5FF2"/>
    <w:rsid w:val="007B6206"/>
    <w:rsid w:val="007B6AF9"/>
    <w:rsid w:val="007B6C09"/>
    <w:rsid w:val="007B7697"/>
    <w:rsid w:val="007B7741"/>
    <w:rsid w:val="007B7D2D"/>
    <w:rsid w:val="007C0037"/>
    <w:rsid w:val="007C0274"/>
    <w:rsid w:val="007C030F"/>
    <w:rsid w:val="007C083D"/>
    <w:rsid w:val="007C0F2D"/>
    <w:rsid w:val="007C1493"/>
    <w:rsid w:val="007C1FC0"/>
    <w:rsid w:val="007C4951"/>
    <w:rsid w:val="007C4B89"/>
    <w:rsid w:val="007C5499"/>
    <w:rsid w:val="007C5837"/>
    <w:rsid w:val="007C5AF6"/>
    <w:rsid w:val="007C5F77"/>
    <w:rsid w:val="007C6AAD"/>
    <w:rsid w:val="007C70F9"/>
    <w:rsid w:val="007C7109"/>
    <w:rsid w:val="007C7534"/>
    <w:rsid w:val="007C7F0A"/>
    <w:rsid w:val="007D0710"/>
    <w:rsid w:val="007D1320"/>
    <w:rsid w:val="007D15C4"/>
    <w:rsid w:val="007D1A26"/>
    <w:rsid w:val="007D1CD6"/>
    <w:rsid w:val="007D2098"/>
    <w:rsid w:val="007D2FC4"/>
    <w:rsid w:val="007D36B4"/>
    <w:rsid w:val="007D4646"/>
    <w:rsid w:val="007D4E3A"/>
    <w:rsid w:val="007D5147"/>
    <w:rsid w:val="007D5893"/>
    <w:rsid w:val="007D5A6D"/>
    <w:rsid w:val="007D5FB7"/>
    <w:rsid w:val="007D6D6B"/>
    <w:rsid w:val="007D7828"/>
    <w:rsid w:val="007E09DA"/>
    <w:rsid w:val="007E0F17"/>
    <w:rsid w:val="007E0F8A"/>
    <w:rsid w:val="007E130D"/>
    <w:rsid w:val="007E1C73"/>
    <w:rsid w:val="007E1D8E"/>
    <w:rsid w:val="007E1F4D"/>
    <w:rsid w:val="007E2FA5"/>
    <w:rsid w:val="007E373C"/>
    <w:rsid w:val="007E412B"/>
    <w:rsid w:val="007E4541"/>
    <w:rsid w:val="007E454F"/>
    <w:rsid w:val="007E5528"/>
    <w:rsid w:val="007E59A4"/>
    <w:rsid w:val="007E5FD8"/>
    <w:rsid w:val="007E60BE"/>
    <w:rsid w:val="007E67F7"/>
    <w:rsid w:val="007E6D78"/>
    <w:rsid w:val="007E6F32"/>
    <w:rsid w:val="007E7999"/>
    <w:rsid w:val="007F130A"/>
    <w:rsid w:val="007F150D"/>
    <w:rsid w:val="007F21D9"/>
    <w:rsid w:val="007F32C8"/>
    <w:rsid w:val="007F34D2"/>
    <w:rsid w:val="007F3CF0"/>
    <w:rsid w:val="007F462E"/>
    <w:rsid w:val="007F4909"/>
    <w:rsid w:val="007F6506"/>
    <w:rsid w:val="007F6654"/>
    <w:rsid w:val="007F67E9"/>
    <w:rsid w:val="007F692F"/>
    <w:rsid w:val="007F6B9D"/>
    <w:rsid w:val="007F718D"/>
    <w:rsid w:val="00800591"/>
    <w:rsid w:val="00800F66"/>
    <w:rsid w:val="008012CC"/>
    <w:rsid w:val="00801D3F"/>
    <w:rsid w:val="00801FAD"/>
    <w:rsid w:val="00803810"/>
    <w:rsid w:val="00804169"/>
    <w:rsid w:val="00804669"/>
    <w:rsid w:val="00805DFC"/>
    <w:rsid w:val="00806407"/>
    <w:rsid w:val="0080789E"/>
    <w:rsid w:val="00807C3F"/>
    <w:rsid w:val="00807DC3"/>
    <w:rsid w:val="00810D5C"/>
    <w:rsid w:val="00810F59"/>
    <w:rsid w:val="008110B0"/>
    <w:rsid w:val="00811F21"/>
    <w:rsid w:val="008121E0"/>
    <w:rsid w:val="008136B3"/>
    <w:rsid w:val="00813AEA"/>
    <w:rsid w:val="0081407C"/>
    <w:rsid w:val="0081428F"/>
    <w:rsid w:val="0081466A"/>
    <w:rsid w:val="008147CA"/>
    <w:rsid w:val="00816A7F"/>
    <w:rsid w:val="008178B6"/>
    <w:rsid w:val="008178B8"/>
    <w:rsid w:val="008200A8"/>
    <w:rsid w:val="008202E5"/>
    <w:rsid w:val="00820316"/>
    <w:rsid w:val="00820399"/>
    <w:rsid w:val="00820561"/>
    <w:rsid w:val="00820A33"/>
    <w:rsid w:val="00821747"/>
    <w:rsid w:val="00821FB1"/>
    <w:rsid w:val="00823391"/>
    <w:rsid w:val="0082357E"/>
    <w:rsid w:val="00823746"/>
    <w:rsid w:val="00823817"/>
    <w:rsid w:val="00823821"/>
    <w:rsid w:val="00825CB7"/>
    <w:rsid w:val="0082712B"/>
    <w:rsid w:val="0082769C"/>
    <w:rsid w:val="00827AAD"/>
    <w:rsid w:val="00827D6C"/>
    <w:rsid w:val="00830D1F"/>
    <w:rsid w:val="00831572"/>
    <w:rsid w:val="00831B03"/>
    <w:rsid w:val="00831DE0"/>
    <w:rsid w:val="00831E05"/>
    <w:rsid w:val="00831EBE"/>
    <w:rsid w:val="00832D13"/>
    <w:rsid w:val="0083300A"/>
    <w:rsid w:val="00834251"/>
    <w:rsid w:val="00834665"/>
    <w:rsid w:val="00834E3B"/>
    <w:rsid w:val="0083508D"/>
    <w:rsid w:val="008360AD"/>
    <w:rsid w:val="00836FBA"/>
    <w:rsid w:val="00837B83"/>
    <w:rsid w:val="00837BC2"/>
    <w:rsid w:val="00841263"/>
    <w:rsid w:val="00841BD4"/>
    <w:rsid w:val="008426BB"/>
    <w:rsid w:val="00842D33"/>
    <w:rsid w:val="008442A5"/>
    <w:rsid w:val="00844515"/>
    <w:rsid w:val="008445E5"/>
    <w:rsid w:val="008447AE"/>
    <w:rsid w:val="008454C8"/>
    <w:rsid w:val="00845C03"/>
    <w:rsid w:val="00845FEE"/>
    <w:rsid w:val="00846674"/>
    <w:rsid w:val="00846945"/>
    <w:rsid w:val="008471B2"/>
    <w:rsid w:val="008477A8"/>
    <w:rsid w:val="0084781C"/>
    <w:rsid w:val="00847DE6"/>
    <w:rsid w:val="00850E55"/>
    <w:rsid w:val="00851517"/>
    <w:rsid w:val="008515C2"/>
    <w:rsid w:val="0085181A"/>
    <w:rsid w:val="00851D9D"/>
    <w:rsid w:val="00851F5E"/>
    <w:rsid w:val="008520DA"/>
    <w:rsid w:val="008520FF"/>
    <w:rsid w:val="00852625"/>
    <w:rsid w:val="0085276C"/>
    <w:rsid w:val="00852A49"/>
    <w:rsid w:val="0085313A"/>
    <w:rsid w:val="00853BA7"/>
    <w:rsid w:val="00854390"/>
    <w:rsid w:val="00854C11"/>
    <w:rsid w:val="00854E33"/>
    <w:rsid w:val="008571A5"/>
    <w:rsid w:val="00857B45"/>
    <w:rsid w:val="00857BDC"/>
    <w:rsid w:val="00857C57"/>
    <w:rsid w:val="008604FD"/>
    <w:rsid w:val="0086095B"/>
    <w:rsid w:val="00861587"/>
    <w:rsid w:val="00861CC8"/>
    <w:rsid w:val="00862161"/>
    <w:rsid w:val="008630B8"/>
    <w:rsid w:val="0086341A"/>
    <w:rsid w:val="008634D2"/>
    <w:rsid w:val="00863546"/>
    <w:rsid w:val="008642DD"/>
    <w:rsid w:val="00864F68"/>
    <w:rsid w:val="00865B74"/>
    <w:rsid w:val="00865E63"/>
    <w:rsid w:val="00866063"/>
    <w:rsid w:val="00866727"/>
    <w:rsid w:val="00866840"/>
    <w:rsid w:val="008668A1"/>
    <w:rsid w:val="00867B10"/>
    <w:rsid w:val="008708BD"/>
    <w:rsid w:val="00870DFA"/>
    <w:rsid w:val="008713FD"/>
    <w:rsid w:val="00872618"/>
    <w:rsid w:val="00873EB1"/>
    <w:rsid w:val="008740CB"/>
    <w:rsid w:val="00874ADF"/>
    <w:rsid w:val="008751AA"/>
    <w:rsid w:val="00875B91"/>
    <w:rsid w:val="00876350"/>
    <w:rsid w:val="008764CC"/>
    <w:rsid w:val="00877A24"/>
    <w:rsid w:val="008810BD"/>
    <w:rsid w:val="00881245"/>
    <w:rsid w:val="0088168B"/>
    <w:rsid w:val="00881A24"/>
    <w:rsid w:val="00881C58"/>
    <w:rsid w:val="00881E1B"/>
    <w:rsid w:val="008822D1"/>
    <w:rsid w:val="008830E4"/>
    <w:rsid w:val="00883378"/>
    <w:rsid w:val="008838F5"/>
    <w:rsid w:val="00883FE9"/>
    <w:rsid w:val="0088496D"/>
    <w:rsid w:val="00885C22"/>
    <w:rsid w:val="00885C57"/>
    <w:rsid w:val="00885D76"/>
    <w:rsid w:val="00886465"/>
    <w:rsid w:val="008864EF"/>
    <w:rsid w:val="00887049"/>
    <w:rsid w:val="00887392"/>
    <w:rsid w:val="0088788F"/>
    <w:rsid w:val="008904B4"/>
    <w:rsid w:val="00890620"/>
    <w:rsid w:val="008955E4"/>
    <w:rsid w:val="00896105"/>
    <w:rsid w:val="008974F0"/>
    <w:rsid w:val="008A0742"/>
    <w:rsid w:val="008A0DCF"/>
    <w:rsid w:val="008A1301"/>
    <w:rsid w:val="008A1499"/>
    <w:rsid w:val="008A1E43"/>
    <w:rsid w:val="008A2490"/>
    <w:rsid w:val="008A27DC"/>
    <w:rsid w:val="008A2A91"/>
    <w:rsid w:val="008A3549"/>
    <w:rsid w:val="008A4BE2"/>
    <w:rsid w:val="008A58C8"/>
    <w:rsid w:val="008A5F49"/>
    <w:rsid w:val="008A6CF2"/>
    <w:rsid w:val="008A70CE"/>
    <w:rsid w:val="008A7149"/>
    <w:rsid w:val="008A757B"/>
    <w:rsid w:val="008B012A"/>
    <w:rsid w:val="008B027F"/>
    <w:rsid w:val="008B1BE1"/>
    <w:rsid w:val="008B254E"/>
    <w:rsid w:val="008B2DA6"/>
    <w:rsid w:val="008B3253"/>
    <w:rsid w:val="008B3391"/>
    <w:rsid w:val="008B3756"/>
    <w:rsid w:val="008B3CDC"/>
    <w:rsid w:val="008B40A3"/>
    <w:rsid w:val="008B4472"/>
    <w:rsid w:val="008B472D"/>
    <w:rsid w:val="008B5BE2"/>
    <w:rsid w:val="008B6016"/>
    <w:rsid w:val="008B61DB"/>
    <w:rsid w:val="008B6462"/>
    <w:rsid w:val="008B6ED2"/>
    <w:rsid w:val="008B76BE"/>
    <w:rsid w:val="008B7BE4"/>
    <w:rsid w:val="008B7D7A"/>
    <w:rsid w:val="008B7E6A"/>
    <w:rsid w:val="008C03F4"/>
    <w:rsid w:val="008C0551"/>
    <w:rsid w:val="008C111D"/>
    <w:rsid w:val="008C2530"/>
    <w:rsid w:val="008C2A01"/>
    <w:rsid w:val="008C308A"/>
    <w:rsid w:val="008C33D2"/>
    <w:rsid w:val="008C3995"/>
    <w:rsid w:val="008C41F9"/>
    <w:rsid w:val="008C4B46"/>
    <w:rsid w:val="008C575F"/>
    <w:rsid w:val="008C59A6"/>
    <w:rsid w:val="008C5B4F"/>
    <w:rsid w:val="008C663C"/>
    <w:rsid w:val="008C678E"/>
    <w:rsid w:val="008C6906"/>
    <w:rsid w:val="008C6CB4"/>
    <w:rsid w:val="008C7770"/>
    <w:rsid w:val="008C7BB5"/>
    <w:rsid w:val="008D00ED"/>
    <w:rsid w:val="008D0305"/>
    <w:rsid w:val="008D09CC"/>
    <w:rsid w:val="008D0C5F"/>
    <w:rsid w:val="008D177F"/>
    <w:rsid w:val="008D1B1B"/>
    <w:rsid w:val="008D2A80"/>
    <w:rsid w:val="008D3E6B"/>
    <w:rsid w:val="008D428F"/>
    <w:rsid w:val="008D5F6B"/>
    <w:rsid w:val="008E06D6"/>
    <w:rsid w:val="008E08D2"/>
    <w:rsid w:val="008E11B2"/>
    <w:rsid w:val="008E16B4"/>
    <w:rsid w:val="008E177E"/>
    <w:rsid w:val="008E1C1E"/>
    <w:rsid w:val="008E28FC"/>
    <w:rsid w:val="008E3179"/>
    <w:rsid w:val="008E3FE2"/>
    <w:rsid w:val="008E4423"/>
    <w:rsid w:val="008E480D"/>
    <w:rsid w:val="008E51D3"/>
    <w:rsid w:val="008E5DC6"/>
    <w:rsid w:val="008E630D"/>
    <w:rsid w:val="008E67E8"/>
    <w:rsid w:val="008E7183"/>
    <w:rsid w:val="008E71DC"/>
    <w:rsid w:val="008E7642"/>
    <w:rsid w:val="008F04BF"/>
    <w:rsid w:val="008F11BD"/>
    <w:rsid w:val="008F179F"/>
    <w:rsid w:val="008F1A14"/>
    <w:rsid w:val="008F1AC7"/>
    <w:rsid w:val="008F22F2"/>
    <w:rsid w:val="008F361C"/>
    <w:rsid w:val="008F3AFD"/>
    <w:rsid w:val="008F403D"/>
    <w:rsid w:val="008F420F"/>
    <w:rsid w:val="008F4834"/>
    <w:rsid w:val="008F4914"/>
    <w:rsid w:val="008F5004"/>
    <w:rsid w:val="008F60DF"/>
    <w:rsid w:val="008F6343"/>
    <w:rsid w:val="008F695E"/>
    <w:rsid w:val="008F708D"/>
    <w:rsid w:val="00900521"/>
    <w:rsid w:val="00900B33"/>
    <w:rsid w:val="00901700"/>
    <w:rsid w:val="00901879"/>
    <w:rsid w:val="00901D63"/>
    <w:rsid w:val="009025D9"/>
    <w:rsid w:val="00902C5B"/>
    <w:rsid w:val="0090317F"/>
    <w:rsid w:val="009032B3"/>
    <w:rsid w:val="00903E9F"/>
    <w:rsid w:val="009041FB"/>
    <w:rsid w:val="009047DB"/>
    <w:rsid w:val="00904D84"/>
    <w:rsid w:val="0090574A"/>
    <w:rsid w:val="009060C2"/>
    <w:rsid w:val="00906731"/>
    <w:rsid w:val="00906AC9"/>
    <w:rsid w:val="00906E17"/>
    <w:rsid w:val="00906F64"/>
    <w:rsid w:val="009071F9"/>
    <w:rsid w:val="009075D7"/>
    <w:rsid w:val="00907681"/>
    <w:rsid w:val="009100FC"/>
    <w:rsid w:val="0091038C"/>
    <w:rsid w:val="009129C8"/>
    <w:rsid w:val="00912CD6"/>
    <w:rsid w:val="00913B36"/>
    <w:rsid w:val="00913DF3"/>
    <w:rsid w:val="00913E64"/>
    <w:rsid w:val="0091416B"/>
    <w:rsid w:val="00914319"/>
    <w:rsid w:val="0091484F"/>
    <w:rsid w:val="00914BCA"/>
    <w:rsid w:val="0091547C"/>
    <w:rsid w:val="00916436"/>
    <w:rsid w:val="00916BDB"/>
    <w:rsid w:val="009170FE"/>
    <w:rsid w:val="0091773E"/>
    <w:rsid w:val="00917A35"/>
    <w:rsid w:val="00917E79"/>
    <w:rsid w:val="00920128"/>
    <w:rsid w:val="0092085C"/>
    <w:rsid w:val="00920D69"/>
    <w:rsid w:val="00920DC1"/>
    <w:rsid w:val="00921108"/>
    <w:rsid w:val="0092152D"/>
    <w:rsid w:val="00922D23"/>
    <w:rsid w:val="00923BC6"/>
    <w:rsid w:val="00923E2A"/>
    <w:rsid w:val="00925006"/>
    <w:rsid w:val="00925ED9"/>
    <w:rsid w:val="00926B84"/>
    <w:rsid w:val="00927715"/>
    <w:rsid w:val="009305DC"/>
    <w:rsid w:val="00930805"/>
    <w:rsid w:val="00930BA1"/>
    <w:rsid w:val="009311A7"/>
    <w:rsid w:val="00931403"/>
    <w:rsid w:val="0093169E"/>
    <w:rsid w:val="00932462"/>
    <w:rsid w:val="00932E8A"/>
    <w:rsid w:val="00933811"/>
    <w:rsid w:val="0093383F"/>
    <w:rsid w:val="0093413C"/>
    <w:rsid w:val="00935EC9"/>
    <w:rsid w:val="0093621C"/>
    <w:rsid w:val="009368C3"/>
    <w:rsid w:val="0093716C"/>
    <w:rsid w:val="00937F35"/>
    <w:rsid w:val="00940010"/>
    <w:rsid w:val="00940964"/>
    <w:rsid w:val="00941B40"/>
    <w:rsid w:val="009425BF"/>
    <w:rsid w:val="009426F7"/>
    <w:rsid w:val="00942A34"/>
    <w:rsid w:val="00942E24"/>
    <w:rsid w:val="00943A71"/>
    <w:rsid w:val="00943CB5"/>
    <w:rsid w:val="00944F4B"/>
    <w:rsid w:val="009455ED"/>
    <w:rsid w:val="00945CD3"/>
    <w:rsid w:val="00945F29"/>
    <w:rsid w:val="009468FD"/>
    <w:rsid w:val="00947A11"/>
    <w:rsid w:val="00947AB4"/>
    <w:rsid w:val="009500C4"/>
    <w:rsid w:val="009505C9"/>
    <w:rsid w:val="00950752"/>
    <w:rsid w:val="00950FB0"/>
    <w:rsid w:val="00951729"/>
    <w:rsid w:val="009518B3"/>
    <w:rsid w:val="00951BAB"/>
    <w:rsid w:val="00951FBE"/>
    <w:rsid w:val="0095224C"/>
    <w:rsid w:val="009526B4"/>
    <w:rsid w:val="00952C99"/>
    <w:rsid w:val="00952FEC"/>
    <w:rsid w:val="00953BC5"/>
    <w:rsid w:val="0095460E"/>
    <w:rsid w:val="00955176"/>
    <w:rsid w:val="009551A2"/>
    <w:rsid w:val="009557C9"/>
    <w:rsid w:val="00955B19"/>
    <w:rsid w:val="009565C4"/>
    <w:rsid w:val="00956840"/>
    <w:rsid w:val="00956B27"/>
    <w:rsid w:val="00957033"/>
    <w:rsid w:val="00957340"/>
    <w:rsid w:val="00957E0E"/>
    <w:rsid w:val="00960355"/>
    <w:rsid w:val="00960669"/>
    <w:rsid w:val="009612E9"/>
    <w:rsid w:val="009615E7"/>
    <w:rsid w:val="00963AC8"/>
    <w:rsid w:val="00964C48"/>
    <w:rsid w:val="00966413"/>
    <w:rsid w:val="00966424"/>
    <w:rsid w:val="00966557"/>
    <w:rsid w:val="00966944"/>
    <w:rsid w:val="00966945"/>
    <w:rsid w:val="00967196"/>
    <w:rsid w:val="0096720F"/>
    <w:rsid w:val="009673AB"/>
    <w:rsid w:val="00967881"/>
    <w:rsid w:val="00970847"/>
    <w:rsid w:val="00970D89"/>
    <w:rsid w:val="0097135E"/>
    <w:rsid w:val="00971369"/>
    <w:rsid w:val="0097141D"/>
    <w:rsid w:val="009717D4"/>
    <w:rsid w:val="00971F2F"/>
    <w:rsid w:val="00972469"/>
    <w:rsid w:val="00972F28"/>
    <w:rsid w:val="00972FEA"/>
    <w:rsid w:val="009731C2"/>
    <w:rsid w:val="00973452"/>
    <w:rsid w:val="009737BA"/>
    <w:rsid w:val="00973870"/>
    <w:rsid w:val="00973A3F"/>
    <w:rsid w:val="00974D81"/>
    <w:rsid w:val="009755CD"/>
    <w:rsid w:val="00976EB8"/>
    <w:rsid w:val="0097753C"/>
    <w:rsid w:val="00981CB9"/>
    <w:rsid w:val="00982403"/>
    <w:rsid w:val="00982A5E"/>
    <w:rsid w:val="00982BDE"/>
    <w:rsid w:val="00982EE1"/>
    <w:rsid w:val="00983CAF"/>
    <w:rsid w:val="00984F4E"/>
    <w:rsid w:val="00985208"/>
    <w:rsid w:val="009853E6"/>
    <w:rsid w:val="00986370"/>
    <w:rsid w:val="00987AA7"/>
    <w:rsid w:val="00992546"/>
    <w:rsid w:val="00992A99"/>
    <w:rsid w:val="00992D72"/>
    <w:rsid w:val="00993362"/>
    <w:rsid w:val="00993FCD"/>
    <w:rsid w:val="00994347"/>
    <w:rsid w:val="00994433"/>
    <w:rsid w:val="00994D93"/>
    <w:rsid w:val="009956C6"/>
    <w:rsid w:val="0099620D"/>
    <w:rsid w:val="00996F28"/>
    <w:rsid w:val="00997993"/>
    <w:rsid w:val="00997B48"/>
    <w:rsid w:val="00997D37"/>
    <w:rsid w:val="009A0D65"/>
    <w:rsid w:val="009A0E73"/>
    <w:rsid w:val="009A0FAB"/>
    <w:rsid w:val="009A2143"/>
    <w:rsid w:val="009A2635"/>
    <w:rsid w:val="009A29D7"/>
    <w:rsid w:val="009A391D"/>
    <w:rsid w:val="009A444E"/>
    <w:rsid w:val="009A453C"/>
    <w:rsid w:val="009A4687"/>
    <w:rsid w:val="009A4A54"/>
    <w:rsid w:val="009A4A8C"/>
    <w:rsid w:val="009A5342"/>
    <w:rsid w:val="009A5505"/>
    <w:rsid w:val="009A57E9"/>
    <w:rsid w:val="009A5809"/>
    <w:rsid w:val="009A630B"/>
    <w:rsid w:val="009A6926"/>
    <w:rsid w:val="009A72DF"/>
    <w:rsid w:val="009B04B3"/>
    <w:rsid w:val="009B16AA"/>
    <w:rsid w:val="009B21C2"/>
    <w:rsid w:val="009B25B0"/>
    <w:rsid w:val="009B2635"/>
    <w:rsid w:val="009B2E74"/>
    <w:rsid w:val="009B2ED7"/>
    <w:rsid w:val="009B3270"/>
    <w:rsid w:val="009B3285"/>
    <w:rsid w:val="009B41EA"/>
    <w:rsid w:val="009B48F9"/>
    <w:rsid w:val="009B60BD"/>
    <w:rsid w:val="009B683C"/>
    <w:rsid w:val="009B6F33"/>
    <w:rsid w:val="009B75D3"/>
    <w:rsid w:val="009B7DBC"/>
    <w:rsid w:val="009C0829"/>
    <w:rsid w:val="009C0C6A"/>
    <w:rsid w:val="009C1118"/>
    <w:rsid w:val="009C12E9"/>
    <w:rsid w:val="009C1E69"/>
    <w:rsid w:val="009C2747"/>
    <w:rsid w:val="009C281E"/>
    <w:rsid w:val="009C2A7F"/>
    <w:rsid w:val="009C2DE6"/>
    <w:rsid w:val="009C348C"/>
    <w:rsid w:val="009C4290"/>
    <w:rsid w:val="009C46CB"/>
    <w:rsid w:val="009C4A94"/>
    <w:rsid w:val="009C500D"/>
    <w:rsid w:val="009C53A8"/>
    <w:rsid w:val="009C5D45"/>
    <w:rsid w:val="009C69AB"/>
    <w:rsid w:val="009C7768"/>
    <w:rsid w:val="009D020D"/>
    <w:rsid w:val="009D065B"/>
    <w:rsid w:val="009D0A3D"/>
    <w:rsid w:val="009D1F7D"/>
    <w:rsid w:val="009D2891"/>
    <w:rsid w:val="009D2E4E"/>
    <w:rsid w:val="009D2E8A"/>
    <w:rsid w:val="009D3C19"/>
    <w:rsid w:val="009D4690"/>
    <w:rsid w:val="009D4737"/>
    <w:rsid w:val="009D55B9"/>
    <w:rsid w:val="009D5911"/>
    <w:rsid w:val="009D5F18"/>
    <w:rsid w:val="009D6C0F"/>
    <w:rsid w:val="009D6EEA"/>
    <w:rsid w:val="009E020D"/>
    <w:rsid w:val="009E05B6"/>
    <w:rsid w:val="009E1279"/>
    <w:rsid w:val="009E19CA"/>
    <w:rsid w:val="009E1DD4"/>
    <w:rsid w:val="009E214E"/>
    <w:rsid w:val="009E2242"/>
    <w:rsid w:val="009E25B4"/>
    <w:rsid w:val="009E26BC"/>
    <w:rsid w:val="009E3738"/>
    <w:rsid w:val="009E37D3"/>
    <w:rsid w:val="009E3951"/>
    <w:rsid w:val="009E3C37"/>
    <w:rsid w:val="009E50EE"/>
    <w:rsid w:val="009E585C"/>
    <w:rsid w:val="009E69B3"/>
    <w:rsid w:val="009E754E"/>
    <w:rsid w:val="009E7640"/>
    <w:rsid w:val="009E7893"/>
    <w:rsid w:val="009F061D"/>
    <w:rsid w:val="009F1716"/>
    <w:rsid w:val="009F201B"/>
    <w:rsid w:val="009F2FCB"/>
    <w:rsid w:val="009F455A"/>
    <w:rsid w:val="009F494D"/>
    <w:rsid w:val="009F55D6"/>
    <w:rsid w:val="009F5E6E"/>
    <w:rsid w:val="009F634D"/>
    <w:rsid w:val="009F7300"/>
    <w:rsid w:val="009F732C"/>
    <w:rsid w:val="009F79C7"/>
    <w:rsid w:val="00A0026B"/>
    <w:rsid w:val="00A003A7"/>
    <w:rsid w:val="00A0068E"/>
    <w:rsid w:val="00A00EAA"/>
    <w:rsid w:val="00A00EE8"/>
    <w:rsid w:val="00A01DF8"/>
    <w:rsid w:val="00A02183"/>
    <w:rsid w:val="00A0368B"/>
    <w:rsid w:val="00A03B3D"/>
    <w:rsid w:val="00A044E0"/>
    <w:rsid w:val="00A04544"/>
    <w:rsid w:val="00A04AE9"/>
    <w:rsid w:val="00A05358"/>
    <w:rsid w:val="00A056D5"/>
    <w:rsid w:val="00A05C91"/>
    <w:rsid w:val="00A06D27"/>
    <w:rsid w:val="00A10017"/>
    <w:rsid w:val="00A103FC"/>
    <w:rsid w:val="00A10559"/>
    <w:rsid w:val="00A111D1"/>
    <w:rsid w:val="00A11B68"/>
    <w:rsid w:val="00A11E4A"/>
    <w:rsid w:val="00A12940"/>
    <w:rsid w:val="00A15F60"/>
    <w:rsid w:val="00A16E4E"/>
    <w:rsid w:val="00A17C7F"/>
    <w:rsid w:val="00A202A5"/>
    <w:rsid w:val="00A206CA"/>
    <w:rsid w:val="00A208BE"/>
    <w:rsid w:val="00A216B4"/>
    <w:rsid w:val="00A22438"/>
    <w:rsid w:val="00A22C41"/>
    <w:rsid w:val="00A22F95"/>
    <w:rsid w:val="00A2369A"/>
    <w:rsid w:val="00A24E1A"/>
    <w:rsid w:val="00A259C2"/>
    <w:rsid w:val="00A262E2"/>
    <w:rsid w:val="00A27187"/>
    <w:rsid w:val="00A279AF"/>
    <w:rsid w:val="00A30BC0"/>
    <w:rsid w:val="00A3107A"/>
    <w:rsid w:val="00A31C94"/>
    <w:rsid w:val="00A322E8"/>
    <w:rsid w:val="00A34747"/>
    <w:rsid w:val="00A353BF"/>
    <w:rsid w:val="00A35421"/>
    <w:rsid w:val="00A35E62"/>
    <w:rsid w:val="00A37058"/>
    <w:rsid w:val="00A376EA"/>
    <w:rsid w:val="00A408BB"/>
    <w:rsid w:val="00A41BCE"/>
    <w:rsid w:val="00A41CBD"/>
    <w:rsid w:val="00A4233C"/>
    <w:rsid w:val="00A4233F"/>
    <w:rsid w:val="00A42BA3"/>
    <w:rsid w:val="00A446FF"/>
    <w:rsid w:val="00A44FDB"/>
    <w:rsid w:val="00A45A4F"/>
    <w:rsid w:val="00A4673E"/>
    <w:rsid w:val="00A46A44"/>
    <w:rsid w:val="00A4738F"/>
    <w:rsid w:val="00A50268"/>
    <w:rsid w:val="00A503BA"/>
    <w:rsid w:val="00A5043E"/>
    <w:rsid w:val="00A51370"/>
    <w:rsid w:val="00A52426"/>
    <w:rsid w:val="00A540E8"/>
    <w:rsid w:val="00A541ED"/>
    <w:rsid w:val="00A55B1C"/>
    <w:rsid w:val="00A573EB"/>
    <w:rsid w:val="00A5794E"/>
    <w:rsid w:val="00A60280"/>
    <w:rsid w:val="00A6085C"/>
    <w:rsid w:val="00A60F5A"/>
    <w:rsid w:val="00A6102C"/>
    <w:rsid w:val="00A612CA"/>
    <w:rsid w:val="00A6186B"/>
    <w:rsid w:val="00A61F76"/>
    <w:rsid w:val="00A636B4"/>
    <w:rsid w:val="00A640C9"/>
    <w:rsid w:val="00A64D64"/>
    <w:rsid w:val="00A65D87"/>
    <w:rsid w:val="00A66FAA"/>
    <w:rsid w:val="00A670E4"/>
    <w:rsid w:val="00A6716D"/>
    <w:rsid w:val="00A67666"/>
    <w:rsid w:val="00A67BE4"/>
    <w:rsid w:val="00A70916"/>
    <w:rsid w:val="00A70C03"/>
    <w:rsid w:val="00A71223"/>
    <w:rsid w:val="00A7127C"/>
    <w:rsid w:val="00A7137F"/>
    <w:rsid w:val="00A716C2"/>
    <w:rsid w:val="00A7388A"/>
    <w:rsid w:val="00A749B6"/>
    <w:rsid w:val="00A74C4A"/>
    <w:rsid w:val="00A75E71"/>
    <w:rsid w:val="00A76829"/>
    <w:rsid w:val="00A77322"/>
    <w:rsid w:val="00A77912"/>
    <w:rsid w:val="00A77E0E"/>
    <w:rsid w:val="00A80812"/>
    <w:rsid w:val="00A80899"/>
    <w:rsid w:val="00A81839"/>
    <w:rsid w:val="00A8189F"/>
    <w:rsid w:val="00A81C6F"/>
    <w:rsid w:val="00A824CD"/>
    <w:rsid w:val="00A8280D"/>
    <w:rsid w:val="00A82955"/>
    <w:rsid w:val="00A82DE9"/>
    <w:rsid w:val="00A836CD"/>
    <w:rsid w:val="00A83A4B"/>
    <w:rsid w:val="00A83D11"/>
    <w:rsid w:val="00A83FBF"/>
    <w:rsid w:val="00A844A2"/>
    <w:rsid w:val="00A853A1"/>
    <w:rsid w:val="00A874AB"/>
    <w:rsid w:val="00A93CCB"/>
    <w:rsid w:val="00A944FE"/>
    <w:rsid w:val="00A94530"/>
    <w:rsid w:val="00A95022"/>
    <w:rsid w:val="00A9656F"/>
    <w:rsid w:val="00AA0CC8"/>
    <w:rsid w:val="00AA133F"/>
    <w:rsid w:val="00AA1C91"/>
    <w:rsid w:val="00AA2930"/>
    <w:rsid w:val="00AA2AAE"/>
    <w:rsid w:val="00AA2B83"/>
    <w:rsid w:val="00AA2C59"/>
    <w:rsid w:val="00AA2E68"/>
    <w:rsid w:val="00AA361C"/>
    <w:rsid w:val="00AA423A"/>
    <w:rsid w:val="00AA4593"/>
    <w:rsid w:val="00AA487F"/>
    <w:rsid w:val="00AA6519"/>
    <w:rsid w:val="00AA6F92"/>
    <w:rsid w:val="00AA753B"/>
    <w:rsid w:val="00AB0740"/>
    <w:rsid w:val="00AB096E"/>
    <w:rsid w:val="00AB0999"/>
    <w:rsid w:val="00AB0DDF"/>
    <w:rsid w:val="00AB197A"/>
    <w:rsid w:val="00AB1A41"/>
    <w:rsid w:val="00AB1A97"/>
    <w:rsid w:val="00AB2EA0"/>
    <w:rsid w:val="00AB3624"/>
    <w:rsid w:val="00AB417D"/>
    <w:rsid w:val="00AB50B3"/>
    <w:rsid w:val="00AB53EA"/>
    <w:rsid w:val="00AB575E"/>
    <w:rsid w:val="00AB604E"/>
    <w:rsid w:val="00AB6934"/>
    <w:rsid w:val="00AB6B1E"/>
    <w:rsid w:val="00AB724E"/>
    <w:rsid w:val="00AB78A9"/>
    <w:rsid w:val="00AC04B5"/>
    <w:rsid w:val="00AC0A2A"/>
    <w:rsid w:val="00AC1466"/>
    <w:rsid w:val="00AC1662"/>
    <w:rsid w:val="00AC2B9A"/>
    <w:rsid w:val="00AC2EA8"/>
    <w:rsid w:val="00AC32AA"/>
    <w:rsid w:val="00AC36EB"/>
    <w:rsid w:val="00AC38D7"/>
    <w:rsid w:val="00AC3A8B"/>
    <w:rsid w:val="00AC402B"/>
    <w:rsid w:val="00AC4ADF"/>
    <w:rsid w:val="00AC4C19"/>
    <w:rsid w:val="00AC4CCF"/>
    <w:rsid w:val="00AC4CEF"/>
    <w:rsid w:val="00AC4E83"/>
    <w:rsid w:val="00AC519D"/>
    <w:rsid w:val="00AC52DE"/>
    <w:rsid w:val="00AC6579"/>
    <w:rsid w:val="00AC7D52"/>
    <w:rsid w:val="00AD12D6"/>
    <w:rsid w:val="00AD137F"/>
    <w:rsid w:val="00AD302B"/>
    <w:rsid w:val="00AD397D"/>
    <w:rsid w:val="00AD3C3C"/>
    <w:rsid w:val="00AD454E"/>
    <w:rsid w:val="00AD4C50"/>
    <w:rsid w:val="00AD5695"/>
    <w:rsid w:val="00AD5DD2"/>
    <w:rsid w:val="00AD66A6"/>
    <w:rsid w:val="00AD7C68"/>
    <w:rsid w:val="00AD7FBE"/>
    <w:rsid w:val="00AD7FEB"/>
    <w:rsid w:val="00AE01E1"/>
    <w:rsid w:val="00AE0770"/>
    <w:rsid w:val="00AE1234"/>
    <w:rsid w:val="00AE19D6"/>
    <w:rsid w:val="00AE1E44"/>
    <w:rsid w:val="00AE338F"/>
    <w:rsid w:val="00AE3912"/>
    <w:rsid w:val="00AE3BA6"/>
    <w:rsid w:val="00AE49DB"/>
    <w:rsid w:val="00AE4B47"/>
    <w:rsid w:val="00AE5DE8"/>
    <w:rsid w:val="00AE6480"/>
    <w:rsid w:val="00AE67C5"/>
    <w:rsid w:val="00AE6C53"/>
    <w:rsid w:val="00AE6CC4"/>
    <w:rsid w:val="00AE732B"/>
    <w:rsid w:val="00AE7BE1"/>
    <w:rsid w:val="00AF0138"/>
    <w:rsid w:val="00AF01A0"/>
    <w:rsid w:val="00AF0579"/>
    <w:rsid w:val="00AF1C77"/>
    <w:rsid w:val="00AF1C8D"/>
    <w:rsid w:val="00AF252D"/>
    <w:rsid w:val="00AF2BF7"/>
    <w:rsid w:val="00AF3F7B"/>
    <w:rsid w:val="00AF40F0"/>
    <w:rsid w:val="00AF42DE"/>
    <w:rsid w:val="00AF4939"/>
    <w:rsid w:val="00AF4E53"/>
    <w:rsid w:val="00AF4EB4"/>
    <w:rsid w:val="00AF5064"/>
    <w:rsid w:val="00AF52CB"/>
    <w:rsid w:val="00AF5A30"/>
    <w:rsid w:val="00AF5A43"/>
    <w:rsid w:val="00AF5B65"/>
    <w:rsid w:val="00AF632A"/>
    <w:rsid w:val="00AF6FF4"/>
    <w:rsid w:val="00AF7CF0"/>
    <w:rsid w:val="00B0001C"/>
    <w:rsid w:val="00B00079"/>
    <w:rsid w:val="00B004BC"/>
    <w:rsid w:val="00B01614"/>
    <w:rsid w:val="00B0250E"/>
    <w:rsid w:val="00B04533"/>
    <w:rsid w:val="00B0485B"/>
    <w:rsid w:val="00B04BD0"/>
    <w:rsid w:val="00B04E37"/>
    <w:rsid w:val="00B056A9"/>
    <w:rsid w:val="00B05E84"/>
    <w:rsid w:val="00B0744E"/>
    <w:rsid w:val="00B07E8C"/>
    <w:rsid w:val="00B10A44"/>
    <w:rsid w:val="00B1128D"/>
    <w:rsid w:val="00B12289"/>
    <w:rsid w:val="00B12A3A"/>
    <w:rsid w:val="00B133C4"/>
    <w:rsid w:val="00B13542"/>
    <w:rsid w:val="00B13E35"/>
    <w:rsid w:val="00B1418C"/>
    <w:rsid w:val="00B16841"/>
    <w:rsid w:val="00B17FB2"/>
    <w:rsid w:val="00B20572"/>
    <w:rsid w:val="00B20782"/>
    <w:rsid w:val="00B21593"/>
    <w:rsid w:val="00B23961"/>
    <w:rsid w:val="00B23FD1"/>
    <w:rsid w:val="00B24EF8"/>
    <w:rsid w:val="00B25C03"/>
    <w:rsid w:val="00B26B5C"/>
    <w:rsid w:val="00B270B4"/>
    <w:rsid w:val="00B271A6"/>
    <w:rsid w:val="00B274E8"/>
    <w:rsid w:val="00B2767F"/>
    <w:rsid w:val="00B3202F"/>
    <w:rsid w:val="00B32609"/>
    <w:rsid w:val="00B3369F"/>
    <w:rsid w:val="00B33BD9"/>
    <w:rsid w:val="00B33DE0"/>
    <w:rsid w:val="00B3485D"/>
    <w:rsid w:val="00B3488D"/>
    <w:rsid w:val="00B34FCA"/>
    <w:rsid w:val="00B3581A"/>
    <w:rsid w:val="00B35F31"/>
    <w:rsid w:val="00B35F45"/>
    <w:rsid w:val="00B36755"/>
    <w:rsid w:val="00B373E9"/>
    <w:rsid w:val="00B37CF6"/>
    <w:rsid w:val="00B406CB"/>
    <w:rsid w:val="00B407E4"/>
    <w:rsid w:val="00B43910"/>
    <w:rsid w:val="00B44094"/>
    <w:rsid w:val="00B44B2A"/>
    <w:rsid w:val="00B4567E"/>
    <w:rsid w:val="00B461E3"/>
    <w:rsid w:val="00B46E45"/>
    <w:rsid w:val="00B46F15"/>
    <w:rsid w:val="00B47883"/>
    <w:rsid w:val="00B47B67"/>
    <w:rsid w:val="00B501C2"/>
    <w:rsid w:val="00B50207"/>
    <w:rsid w:val="00B502A3"/>
    <w:rsid w:val="00B505BA"/>
    <w:rsid w:val="00B50FA5"/>
    <w:rsid w:val="00B51340"/>
    <w:rsid w:val="00B5173D"/>
    <w:rsid w:val="00B519AE"/>
    <w:rsid w:val="00B52629"/>
    <w:rsid w:val="00B53D82"/>
    <w:rsid w:val="00B5445D"/>
    <w:rsid w:val="00B54A7B"/>
    <w:rsid w:val="00B54C06"/>
    <w:rsid w:val="00B55346"/>
    <w:rsid w:val="00B56426"/>
    <w:rsid w:val="00B56AB1"/>
    <w:rsid w:val="00B56C67"/>
    <w:rsid w:val="00B579AB"/>
    <w:rsid w:val="00B57A5B"/>
    <w:rsid w:val="00B60011"/>
    <w:rsid w:val="00B6023D"/>
    <w:rsid w:val="00B6037F"/>
    <w:rsid w:val="00B60385"/>
    <w:rsid w:val="00B60A2B"/>
    <w:rsid w:val="00B60AA6"/>
    <w:rsid w:val="00B60FAB"/>
    <w:rsid w:val="00B612BB"/>
    <w:rsid w:val="00B61FD2"/>
    <w:rsid w:val="00B628F3"/>
    <w:rsid w:val="00B62E56"/>
    <w:rsid w:val="00B63073"/>
    <w:rsid w:val="00B64139"/>
    <w:rsid w:val="00B64491"/>
    <w:rsid w:val="00B6487A"/>
    <w:rsid w:val="00B648AD"/>
    <w:rsid w:val="00B65C50"/>
    <w:rsid w:val="00B65C84"/>
    <w:rsid w:val="00B661B0"/>
    <w:rsid w:val="00B66768"/>
    <w:rsid w:val="00B66CA2"/>
    <w:rsid w:val="00B66D06"/>
    <w:rsid w:val="00B67CD9"/>
    <w:rsid w:val="00B67EC5"/>
    <w:rsid w:val="00B67EFF"/>
    <w:rsid w:val="00B7037F"/>
    <w:rsid w:val="00B711BE"/>
    <w:rsid w:val="00B7189B"/>
    <w:rsid w:val="00B7359C"/>
    <w:rsid w:val="00B737DF"/>
    <w:rsid w:val="00B73D3A"/>
    <w:rsid w:val="00B73D7C"/>
    <w:rsid w:val="00B742C9"/>
    <w:rsid w:val="00B75839"/>
    <w:rsid w:val="00B758BD"/>
    <w:rsid w:val="00B767E4"/>
    <w:rsid w:val="00B76F6B"/>
    <w:rsid w:val="00B76FD1"/>
    <w:rsid w:val="00B82E05"/>
    <w:rsid w:val="00B83B69"/>
    <w:rsid w:val="00B84C31"/>
    <w:rsid w:val="00B84D93"/>
    <w:rsid w:val="00B85175"/>
    <w:rsid w:val="00B85832"/>
    <w:rsid w:val="00B858F0"/>
    <w:rsid w:val="00B859FC"/>
    <w:rsid w:val="00B86118"/>
    <w:rsid w:val="00B86446"/>
    <w:rsid w:val="00B87208"/>
    <w:rsid w:val="00B8758D"/>
    <w:rsid w:val="00B87B05"/>
    <w:rsid w:val="00B904CC"/>
    <w:rsid w:val="00B907F8"/>
    <w:rsid w:val="00B9092B"/>
    <w:rsid w:val="00B909D3"/>
    <w:rsid w:val="00B91E30"/>
    <w:rsid w:val="00B9227C"/>
    <w:rsid w:val="00B92C0B"/>
    <w:rsid w:val="00B930DF"/>
    <w:rsid w:val="00B94CC3"/>
    <w:rsid w:val="00B94E6C"/>
    <w:rsid w:val="00B95141"/>
    <w:rsid w:val="00B96657"/>
    <w:rsid w:val="00B969C2"/>
    <w:rsid w:val="00B96F73"/>
    <w:rsid w:val="00B9774C"/>
    <w:rsid w:val="00B979ED"/>
    <w:rsid w:val="00BA00C6"/>
    <w:rsid w:val="00BA0AE6"/>
    <w:rsid w:val="00BA22CE"/>
    <w:rsid w:val="00BA38EF"/>
    <w:rsid w:val="00BA3FC0"/>
    <w:rsid w:val="00BA498A"/>
    <w:rsid w:val="00BA6157"/>
    <w:rsid w:val="00BA72C4"/>
    <w:rsid w:val="00BA7F40"/>
    <w:rsid w:val="00BB0806"/>
    <w:rsid w:val="00BB0EDA"/>
    <w:rsid w:val="00BB1728"/>
    <w:rsid w:val="00BB189C"/>
    <w:rsid w:val="00BB1C14"/>
    <w:rsid w:val="00BB218B"/>
    <w:rsid w:val="00BB2321"/>
    <w:rsid w:val="00BB2925"/>
    <w:rsid w:val="00BB29D3"/>
    <w:rsid w:val="00BB2D25"/>
    <w:rsid w:val="00BB2EC1"/>
    <w:rsid w:val="00BB367D"/>
    <w:rsid w:val="00BB3809"/>
    <w:rsid w:val="00BB44D7"/>
    <w:rsid w:val="00BB4606"/>
    <w:rsid w:val="00BB4C24"/>
    <w:rsid w:val="00BB4DE1"/>
    <w:rsid w:val="00BB4F20"/>
    <w:rsid w:val="00BB5DED"/>
    <w:rsid w:val="00BB5F83"/>
    <w:rsid w:val="00BB5FE3"/>
    <w:rsid w:val="00BB7818"/>
    <w:rsid w:val="00BB7911"/>
    <w:rsid w:val="00BC0110"/>
    <w:rsid w:val="00BC0728"/>
    <w:rsid w:val="00BC2B38"/>
    <w:rsid w:val="00BC2F26"/>
    <w:rsid w:val="00BC3803"/>
    <w:rsid w:val="00BC3FB9"/>
    <w:rsid w:val="00BC4169"/>
    <w:rsid w:val="00BC4932"/>
    <w:rsid w:val="00BC495B"/>
    <w:rsid w:val="00BC4DF8"/>
    <w:rsid w:val="00BC5656"/>
    <w:rsid w:val="00BC7421"/>
    <w:rsid w:val="00BD0754"/>
    <w:rsid w:val="00BD0795"/>
    <w:rsid w:val="00BD0B65"/>
    <w:rsid w:val="00BD0F24"/>
    <w:rsid w:val="00BD11A1"/>
    <w:rsid w:val="00BD11BA"/>
    <w:rsid w:val="00BD2609"/>
    <w:rsid w:val="00BD3D2F"/>
    <w:rsid w:val="00BD3E8A"/>
    <w:rsid w:val="00BD4E95"/>
    <w:rsid w:val="00BD57EA"/>
    <w:rsid w:val="00BD5C97"/>
    <w:rsid w:val="00BD5FB0"/>
    <w:rsid w:val="00BD6544"/>
    <w:rsid w:val="00BD6C00"/>
    <w:rsid w:val="00BD754B"/>
    <w:rsid w:val="00BD75D2"/>
    <w:rsid w:val="00BE00AF"/>
    <w:rsid w:val="00BE0485"/>
    <w:rsid w:val="00BE0DFE"/>
    <w:rsid w:val="00BE162A"/>
    <w:rsid w:val="00BE2657"/>
    <w:rsid w:val="00BE41C3"/>
    <w:rsid w:val="00BE4722"/>
    <w:rsid w:val="00BE49BE"/>
    <w:rsid w:val="00BE4C18"/>
    <w:rsid w:val="00BE5A99"/>
    <w:rsid w:val="00BE64A2"/>
    <w:rsid w:val="00BE6542"/>
    <w:rsid w:val="00BE70F7"/>
    <w:rsid w:val="00BE7321"/>
    <w:rsid w:val="00BF0C97"/>
    <w:rsid w:val="00BF1084"/>
    <w:rsid w:val="00BF11C6"/>
    <w:rsid w:val="00BF1736"/>
    <w:rsid w:val="00BF1C7C"/>
    <w:rsid w:val="00BF1CE3"/>
    <w:rsid w:val="00BF209B"/>
    <w:rsid w:val="00BF2373"/>
    <w:rsid w:val="00BF2715"/>
    <w:rsid w:val="00BF2D54"/>
    <w:rsid w:val="00BF3AD2"/>
    <w:rsid w:val="00BF3D5E"/>
    <w:rsid w:val="00BF4575"/>
    <w:rsid w:val="00BF4765"/>
    <w:rsid w:val="00BF476C"/>
    <w:rsid w:val="00BF47E9"/>
    <w:rsid w:val="00BF4C42"/>
    <w:rsid w:val="00BF4DF3"/>
    <w:rsid w:val="00BF4EDD"/>
    <w:rsid w:val="00BF5380"/>
    <w:rsid w:val="00BF59C5"/>
    <w:rsid w:val="00C00143"/>
    <w:rsid w:val="00C01712"/>
    <w:rsid w:val="00C0211E"/>
    <w:rsid w:val="00C02A5E"/>
    <w:rsid w:val="00C036E2"/>
    <w:rsid w:val="00C036E8"/>
    <w:rsid w:val="00C038A0"/>
    <w:rsid w:val="00C03A4D"/>
    <w:rsid w:val="00C03B0C"/>
    <w:rsid w:val="00C03DB3"/>
    <w:rsid w:val="00C046D5"/>
    <w:rsid w:val="00C0545A"/>
    <w:rsid w:val="00C05EB1"/>
    <w:rsid w:val="00C06230"/>
    <w:rsid w:val="00C0637A"/>
    <w:rsid w:val="00C071FC"/>
    <w:rsid w:val="00C07294"/>
    <w:rsid w:val="00C10F87"/>
    <w:rsid w:val="00C138C9"/>
    <w:rsid w:val="00C13BD9"/>
    <w:rsid w:val="00C13DDB"/>
    <w:rsid w:val="00C14F65"/>
    <w:rsid w:val="00C15BD6"/>
    <w:rsid w:val="00C15F98"/>
    <w:rsid w:val="00C16777"/>
    <w:rsid w:val="00C167B3"/>
    <w:rsid w:val="00C200D5"/>
    <w:rsid w:val="00C209CA"/>
    <w:rsid w:val="00C20DFC"/>
    <w:rsid w:val="00C21125"/>
    <w:rsid w:val="00C2113E"/>
    <w:rsid w:val="00C22772"/>
    <w:rsid w:val="00C22821"/>
    <w:rsid w:val="00C229CB"/>
    <w:rsid w:val="00C22DB8"/>
    <w:rsid w:val="00C2385E"/>
    <w:rsid w:val="00C23C9B"/>
    <w:rsid w:val="00C23D2F"/>
    <w:rsid w:val="00C242CE"/>
    <w:rsid w:val="00C245DB"/>
    <w:rsid w:val="00C24E77"/>
    <w:rsid w:val="00C25496"/>
    <w:rsid w:val="00C25CDB"/>
    <w:rsid w:val="00C2618E"/>
    <w:rsid w:val="00C27EB7"/>
    <w:rsid w:val="00C30343"/>
    <w:rsid w:val="00C303AE"/>
    <w:rsid w:val="00C31F0D"/>
    <w:rsid w:val="00C324A9"/>
    <w:rsid w:val="00C32590"/>
    <w:rsid w:val="00C3259D"/>
    <w:rsid w:val="00C3324E"/>
    <w:rsid w:val="00C336FF"/>
    <w:rsid w:val="00C3372B"/>
    <w:rsid w:val="00C33DCF"/>
    <w:rsid w:val="00C33EC2"/>
    <w:rsid w:val="00C34124"/>
    <w:rsid w:val="00C349CD"/>
    <w:rsid w:val="00C34ADA"/>
    <w:rsid w:val="00C3547D"/>
    <w:rsid w:val="00C35885"/>
    <w:rsid w:val="00C37AEE"/>
    <w:rsid w:val="00C37EF9"/>
    <w:rsid w:val="00C402A9"/>
    <w:rsid w:val="00C40874"/>
    <w:rsid w:val="00C40DCA"/>
    <w:rsid w:val="00C4102A"/>
    <w:rsid w:val="00C412D2"/>
    <w:rsid w:val="00C41576"/>
    <w:rsid w:val="00C41885"/>
    <w:rsid w:val="00C41C64"/>
    <w:rsid w:val="00C42756"/>
    <w:rsid w:val="00C42EE2"/>
    <w:rsid w:val="00C4345B"/>
    <w:rsid w:val="00C4348A"/>
    <w:rsid w:val="00C443BD"/>
    <w:rsid w:val="00C443DB"/>
    <w:rsid w:val="00C4447B"/>
    <w:rsid w:val="00C446C5"/>
    <w:rsid w:val="00C4470C"/>
    <w:rsid w:val="00C44936"/>
    <w:rsid w:val="00C44A2E"/>
    <w:rsid w:val="00C451C5"/>
    <w:rsid w:val="00C4530D"/>
    <w:rsid w:val="00C456F2"/>
    <w:rsid w:val="00C45D38"/>
    <w:rsid w:val="00C46C8A"/>
    <w:rsid w:val="00C46D67"/>
    <w:rsid w:val="00C472CB"/>
    <w:rsid w:val="00C47605"/>
    <w:rsid w:val="00C47836"/>
    <w:rsid w:val="00C47920"/>
    <w:rsid w:val="00C47F13"/>
    <w:rsid w:val="00C511D4"/>
    <w:rsid w:val="00C514B7"/>
    <w:rsid w:val="00C51CF9"/>
    <w:rsid w:val="00C51F3E"/>
    <w:rsid w:val="00C52231"/>
    <w:rsid w:val="00C52FA5"/>
    <w:rsid w:val="00C53CA8"/>
    <w:rsid w:val="00C551A5"/>
    <w:rsid w:val="00C55CF9"/>
    <w:rsid w:val="00C56507"/>
    <w:rsid w:val="00C57065"/>
    <w:rsid w:val="00C611FD"/>
    <w:rsid w:val="00C613C3"/>
    <w:rsid w:val="00C614C6"/>
    <w:rsid w:val="00C6153F"/>
    <w:rsid w:val="00C6181B"/>
    <w:rsid w:val="00C61905"/>
    <w:rsid w:val="00C623FE"/>
    <w:rsid w:val="00C627FB"/>
    <w:rsid w:val="00C639F5"/>
    <w:rsid w:val="00C63EBF"/>
    <w:rsid w:val="00C647E4"/>
    <w:rsid w:val="00C6488F"/>
    <w:rsid w:val="00C64FC6"/>
    <w:rsid w:val="00C65D6D"/>
    <w:rsid w:val="00C6696B"/>
    <w:rsid w:val="00C66D1B"/>
    <w:rsid w:val="00C67429"/>
    <w:rsid w:val="00C67695"/>
    <w:rsid w:val="00C67D4F"/>
    <w:rsid w:val="00C70853"/>
    <w:rsid w:val="00C708D6"/>
    <w:rsid w:val="00C70A41"/>
    <w:rsid w:val="00C70BF4"/>
    <w:rsid w:val="00C7248A"/>
    <w:rsid w:val="00C72BA1"/>
    <w:rsid w:val="00C737A2"/>
    <w:rsid w:val="00C73FDC"/>
    <w:rsid w:val="00C74418"/>
    <w:rsid w:val="00C74CDE"/>
    <w:rsid w:val="00C7568E"/>
    <w:rsid w:val="00C75D1A"/>
    <w:rsid w:val="00C761F5"/>
    <w:rsid w:val="00C7759B"/>
    <w:rsid w:val="00C801E0"/>
    <w:rsid w:val="00C810E9"/>
    <w:rsid w:val="00C813DE"/>
    <w:rsid w:val="00C817D8"/>
    <w:rsid w:val="00C820A7"/>
    <w:rsid w:val="00C8358D"/>
    <w:rsid w:val="00C83644"/>
    <w:rsid w:val="00C837EF"/>
    <w:rsid w:val="00C84023"/>
    <w:rsid w:val="00C84CD6"/>
    <w:rsid w:val="00C84EFF"/>
    <w:rsid w:val="00C85618"/>
    <w:rsid w:val="00C90991"/>
    <w:rsid w:val="00C9161D"/>
    <w:rsid w:val="00C91A97"/>
    <w:rsid w:val="00C92120"/>
    <w:rsid w:val="00C92B27"/>
    <w:rsid w:val="00C92C6F"/>
    <w:rsid w:val="00C93224"/>
    <w:rsid w:val="00C93506"/>
    <w:rsid w:val="00C945E9"/>
    <w:rsid w:val="00C96A5E"/>
    <w:rsid w:val="00C9742D"/>
    <w:rsid w:val="00C97740"/>
    <w:rsid w:val="00C97943"/>
    <w:rsid w:val="00CA00C1"/>
    <w:rsid w:val="00CA0404"/>
    <w:rsid w:val="00CA0C1D"/>
    <w:rsid w:val="00CA0DC7"/>
    <w:rsid w:val="00CA1272"/>
    <w:rsid w:val="00CA19D8"/>
    <w:rsid w:val="00CA2614"/>
    <w:rsid w:val="00CA2619"/>
    <w:rsid w:val="00CA31B1"/>
    <w:rsid w:val="00CA38E1"/>
    <w:rsid w:val="00CA3BD9"/>
    <w:rsid w:val="00CA3E2E"/>
    <w:rsid w:val="00CA3EA7"/>
    <w:rsid w:val="00CA4099"/>
    <w:rsid w:val="00CA4936"/>
    <w:rsid w:val="00CA4B26"/>
    <w:rsid w:val="00CA5000"/>
    <w:rsid w:val="00CA556F"/>
    <w:rsid w:val="00CA751C"/>
    <w:rsid w:val="00CA7C70"/>
    <w:rsid w:val="00CB0032"/>
    <w:rsid w:val="00CB05E4"/>
    <w:rsid w:val="00CB0A80"/>
    <w:rsid w:val="00CB0CAA"/>
    <w:rsid w:val="00CB0DA3"/>
    <w:rsid w:val="00CB2D04"/>
    <w:rsid w:val="00CB33F5"/>
    <w:rsid w:val="00CB37C6"/>
    <w:rsid w:val="00CB3F6D"/>
    <w:rsid w:val="00CB4521"/>
    <w:rsid w:val="00CB50BE"/>
    <w:rsid w:val="00CB51C9"/>
    <w:rsid w:val="00CB707E"/>
    <w:rsid w:val="00CB7306"/>
    <w:rsid w:val="00CC02B8"/>
    <w:rsid w:val="00CC0396"/>
    <w:rsid w:val="00CC09D0"/>
    <w:rsid w:val="00CC1355"/>
    <w:rsid w:val="00CC144A"/>
    <w:rsid w:val="00CC1740"/>
    <w:rsid w:val="00CC1AAF"/>
    <w:rsid w:val="00CC1FE1"/>
    <w:rsid w:val="00CC2984"/>
    <w:rsid w:val="00CC2C10"/>
    <w:rsid w:val="00CC3022"/>
    <w:rsid w:val="00CC469A"/>
    <w:rsid w:val="00CC472A"/>
    <w:rsid w:val="00CC5380"/>
    <w:rsid w:val="00CC59C5"/>
    <w:rsid w:val="00CC6092"/>
    <w:rsid w:val="00CC6A48"/>
    <w:rsid w:val="00CC6E42"/>
    <w:rsid w:val="00CC7108"/>
    <w:rsid w:val="00CC7452"/>
    <w:rsid w:val="00CC7D52"/>
    <w:rsid w:val="00CC7F40"/>
    <w:rsid w:val="00CD0C17"/>
    <w:rsid w:val="00CD0C33"/>
    <w:rsid w:val="00CD1114"/>
    <w:rsid w:val="00CD124F"/>
    <w:rsid w:val="00CD1E3A"/>
    <w:rsid w:val="00CD2C8A"/>
    <w:rsid w:val="00CD5E0D"/>
    <w:rsid w:val="00CD5E8D"/>
    <w:rsid w:val="00CD63C3"/>
    <w:rsid w:val="00CD6CEF"/>
    <w:rsid w:val="00CD76FA"/>
    <w:rsid w:val="00CD7C3F"/>
    <w:rsid w:val="00CE034F"/>
    <w:rsid w:val="00CE062E"/>
    <w:rsid w:val="00CE20C4"/>
    <w:rsid w:val="00CE2B59"/>
    <w:rsid w:val="00CE3CD3"/>
    <w:rsid w:val="00CE4582"/>
    <w:rsid w:val="00CE4773"/>
    <w:rsid w:val="00CE49D1"/>
    <w:rsid w:val="00CE5252"/>
    <w:rsid w:val="00CE5475"/>
    <w:rsid w:val="00CE629E"/>
    <w:rsid w:val="00CE72C4"/>
    <w:rsid w:val="00CE7974"/>
    <w:rsid w:val="00CF017B"/>
    <w:rsid w:val="00CF0B2A"/>
    <w:rsid w:val="00CF0C69"/>
    <w:rsid w:val="00CF1031"/>
    <w:rsid w:val="00CF1632"/>
    <w:rsid w:val="00CF1848"/>
    <w:rsid w:val="00CF2BB2"/>
    <w:rsid w:val="00CF31F6"/>
    <w:rsid w:val="00CF3370"/>
    <w:rsid w:val="00CF3A6F"/>
    <w:rsid w:val="00CF4A40"/>
    <w:rsid w:val="00CF4AA1"/>
    <w:rsid w:val="00CF519D"/>
    <w:rsid w:val="00CF5402"/>
    <w:rsid w:val="00CF62EF"/>
    <w:rsid w:val="00CF66D1"/>
    <w:rsid w:val="00CF6844"/>
    <w:rsid w:val="00D0004A"/>
    <w:rsid w:val="00D0097C"/>
    <w:rsid w:val="00D00C27"/>
    <w:rsid w:val="00D01099"/>
    <w:rsid w:val="00D01E0D"/>
    <w:rsid w:val="00D027F7"/>
    <w:rsid w:val="00D035C3"/>
    <w:rsid w:val="00D038BE"/>
    <w:rsid w:val="00D04D62"/>
    <w:rsid w:val="00D04DEB"/>
    <w:rsid w:val="00D05EE1"/>
    <w:rsid w:val="00D05F0D"/>
    <w:rsid w:val="00D06182"/>
    <w:rsid w:val="00D07A2E"/>
    <w:rsid w:val="00D07C62"/>
    <w:rsid w:val="00D07D97"/>
    <w:rsid w:val="00D104CD"/>
    <w:rsid w:val="00D113DC"/>
    <w:rsid w:val="00D11503"/>
    <w:rsid w:val="00D12044"/>
    <w:rsid w:val="00D1205E"/>
    <w:rsid w:val="00D121B5"/>
    <w:rsid w:val="00D129AB"/>
    <w:rsid w:val="00D1304D"/>
    <w:rsid w:val="00D1341F"/>
    <w:rsid w:val="00D14329"/>
    <w:rsid w:val="00D14C55"/>
    <w:rsid w:val="00D15801"/>
    <w:rsid w:val="00D15886"/>
    <w:rsid w:val="00D16D90"/>
    <w:rsid w:val="00D16DC7"/>
    <w:rsid w:val="00D17051"/>
    <w:rsid w:val="00D170D1"/>
    <w:rsid w:val="00D170D9"/>
    <w:rsid w:val="00D17AC9"/>
    <w:rsid w:val="00D17C02"/>
    <w:rsid w:val="00D20236"/>
    <w:rsid w:val="00D2070A"/>
    <w:rsid w:val="00D20CF2"/>
    <w:rsid w:val="00D21512"/>
    <w:rsid w:val="00D21AFD"/>
    <w:rsid w:val="00D21F3E"/>
    <w:rsid w:val="00D22523"/>
    <w:rsid w:val="00D25408"/>
    <w:rsid w:val="00D260AD"/>
    <w:rsid w:val="00D26107"/>
    <w:rsid w:val="00D263A3"/>
    <w:rsid w:val="00D269F4"/>
    <w:rsid w:val="00D27183"/>
    <w:rsid w:val="00D27CAA"/>
    <w:rsid w:val="00D27F71"/>
    <w:rsid w:val="00D31908"/>
    <w:rsid w:val="00D319CC"/>
    <w:rsid w:val="00D32B05"/>
    <w:rsid w:val="00D32D88"/>
    <w:rsid w:val="00D33EFC"/>
    <w:rsid w:val="00D355C4"/>
    <w:rsid w:val="00D359A6"/>
    <w:rsid w:val="00D36C95"/>
    <w:rsid w:val="00D372FC"/>
    <w:rsid w:val="00D37857"/>
    <w:rsid w:val="00D37957"/>
    <w:rsid w:val="00D37EF6"/>
    <w:rsid w:val="00D37F85"/>
    <w:rsid w:val="00D402C1"/>
    <w:rsid w:val="00D40DBC"/>
    <w:rsid w:val="00D41F10"/>
    <w:rsid w:val="00D43721"/>
    <w:rsid w:val="00D444D7"/>
    <w:rsid w:val="00D448C6"/>
    <w:rsid w:val="00D44C52"/>
    <w:rsid w:val="00D44CAA"/>
    <w:rsid w:val="00D45E4B"/>
    <w:rsid w:val="00D46A6C"/>
    <w:rsid w:val="00D470F3"/>
    <w:rsid w:val="00D506F2"/>
    <w:rsid w:val="00D508B2"/>
    <w:rsid w:val="00D51315"/>
    <w:rsid w:val="00D51B02"/>
    <w:rsid w:val="00D51E93"/>
    <w:rsid w:val="00D51F25"/>
    <w:rsid w:val="00D52154"/>
    <w:rsid w:val="00D526C6"/>
    <w:rsid w:val="00D52D61"/>
    <w:rsid w:val="00D53042"/>
    <w:rsid w:val="00D5313A"/>
    <w:rsid w:val="00D53456"/>
    <w:rsid w:val="00D53A94"/>
    <w:rsid w:val="00D53C0C"/>
    <w:rsid w:val="00D541F3"/>
    <w:rsid w:val="00D54DCA"/>
    <w:rsid w:val="00D552B6"/>
    <w:rsid w:val="00D55424"/>
    <w:rsid w:val="00D5557F"/>
    <w:rsid w:val="00D558C1"/>
    <w:rsid w:val="00D55DC4"/>
    <w:rsid w:val="00D566DC"/>
    <w:rsid w:val="00D56722"/>
    <w:rsid w:val="00D57305"/>
    <w:rsid w:val="00D578A6"/>
    <w:rsid w:val="00D57F5D"/>
    <w:rsid w:val="00D60F84"/>
    <w:rsid w:val="00D61265"/>
    <w:rsid w:val="00D618DF"/>
    <w:rsid w:val="00D61A09"/>
    <w:rsid w:val="00D61C85"/>
    <w:rsid w:val="00D62051"/>
    <w:rsid w:val="00D63567"/>
    <w:rsid w:val="00D63C4E"/>
    <w:rsid w:val="00D643DD"/>
    <w:rsid w:val="00D645A4"/>
    <w:rsid w:val="00D660F0"/>
    <w:rsid w:val="00D6664E"/>
    <w:rsid w:val="00D66D52"/>
    <w:rsid w:val="00D66FE0"/>
    <w:rsid w:val="00D67CEA"/>
    <w:rsid w:val="00D70A9F"/>
    <w:rsid w:val="00D728B9"/>
    <w:rsid w:val="00D72F3B"/>
    <w:rsid w:val="00D73B9F"/>
    <w:rsid w:val="00D73CBA"/>
    <w:rsid w:val="00D7447E"/>
    <w:rsid w:val="00D758F3"/>
    <w:rsid w:val="00D75CA6"/>
    <w:rsid w:val="00D76134"/>
    <w:rsid w:val="00D763AF"/>
    <w:rsid w:val="00D76A18"/>
    <w:rsid w:val="00D76D0B"/>
    <w:rsid w:val="00D772CC"/>
    <w:rsid w:val="00D77552"/>
    <w:rsid w:val="00D77A82"/>
    <w:rsid w:val="00D8003F"/>
    <w:rsid w:val="00D80849"/>
    <w:rsid w:val="00D82E8F"/>
    <w:rsid w:val="00D83002"/>
    <w:rsid w:val="00D83195"/>
    <w:rsid w:val="00D844B7"/>
    <w:rsid w:val="00D84930"/>
    <w:rsid w:val="00D84BDB"/>
    <w:rsid w:val="00D855A9"/>
    <w:rsid w:val="00D85600"/>
    <w:rsid w:val="00D85738"/>
    <w:rsid w:val="00D86705"/>
    <w:rsid w:val="00D868D8"/>
    <w:rsid w:val="00D86F93"/>
    <w:rsid w:val="00D870AE"/>
    <w:rsid w:val="00D87C68"/>
    <w:rsid w:val="00D87D25"/>
    <w:rsid w:val="00D87E11"/>
    <w:rsid w:val="00D9035F"/>
    <w:rsid w:val="00D90365"/>
    <w:rsid w:val="00D903BE"/>
    <w:rsid w:val="00D90C46"/>
    <w:rsid w:val="00D91ABE"/>
    <w:rsid w:val="00D91B86"/>
    <w:rsid w:val="00D92110"/>
    <w:rsid w:val="00D92561"/>
    <w:rsid w:val="00D9284C"/>
    <w:rsid w:val="00D9287A"/>
    <w:rsid w:val="00D92AA4"/>
    <w:rsid w:val="00D92FA5"/>
    <w:rsid w:val="00D93C9D"/>
    <w:rsid w:val="00D93DD7"/>
    <w:rsid w:val="00D941EF"/>
    <w:rsid w:val="00D95307"/>
    <w:rsid w:val="00D95514"/>
    <w:rsid w:val="00D95839"/>
    <w:rsid w:val="00D95A86"/>
    <w:rsid w:val="00D95C44"/>
    <w:rsid w:val="00D961B0"/>
    <w:rsid w:val="00D96A18"/>
    <w:rsid w:val="00DA0592"/>
    <w:rsid w:val="00DA06ED"/>
    <w:rsid w:val="00DA0A5A"/>
    <w:rsid w:val="00DA1986"/>
    <w:rsid w:val="00DA24BF"/>
    <w:rsid w:val="00DA34C0"/>
    <w:rsid w:val="00DA4423"/>
    <w:rsid w:val="00DA5035"/>
    <w:rsid w:val="00DA5E4D"/>
    <w:rsid w:val="00DA61A3"/>
    <w:rsid w:val="00DA6490"/>
    <w:rsid w:val="00DA65C7"/>
    <w:rsid w:val="00DA67B6"/>
    <w:rsid w:val="00DB0382"/>
    <w:rsid w:val="00DB0C5A"/>
    <w:rsid w:val="00DB0CFC"/>
    <w:rsid w:val="00DB1A3F"/>
    <w:rsid w:val="00DB22C3"/>
    <w:rsid w:val="00DB2C2F"/>
    <w:rsid w:val="00DB49D7"/>
    <w:rsid w:val="00DB4E11"/>
    <w:rsid w:val="00DB59D9"/>
    <w:rsid w:val="00DB5B31"/>
    <w:rsid w:val="00DB5E0F"/>
    <w:rsid w:val="00DB6879"/>
    <w:rsid w:val="00DB6A83"/>
    <w:rsid w:val="00DB6E4C"/>
    <w:rsid w:val="00DB6F26"/>
    <w:rsid w:val="00DB700D"/>
    <w:rsid w:val="00DB706C"/>
    <w:rsid w:val="00DB76AC"/>
    <w:rsid w:val="00DB7FB0"/>
    <w:rsid w:val="00DC0146"/>
    <w:rsid w:val="00DC0932"/>
    <w:rsid w:val="00DC143A"/>
    <w:rsid w:val="00DC1624"/>
    <w:rsid w:val="00DC2241"/>
    <w:rsid w:val="00DC3CCF"/>
    <w:rsid w:val="00DC4696"/>
    <w:rsid w:val="00DC4EF7"/>
    <w:rsid w:val="00DC59CC"/>
    <w:rsid w:val="00DC5B7E"/>
    <w:rsid w:val="00DC753C"/>
    <w:rsid w:val="00DD01EA"/>
    <w:rsid w:val="00DD03DF"/>
    <w:rsid w:val="00DD0A91"/>
    <w:rsid w:val="00DD10E9"/>
    <w:rsid w:val="00DD118C"/>
    <w:rsid w:val="00DD1AE2"/>
    <w:rsid w:val="00DD27FC"/>
    <w:rsid w:val="00DD32EB"/>
    <w:rsid w:val="00DD33FE"/>
    <w:rsid w:val="00DD4329"/>
    <w:rsid w:val="00DD4AA1"/>
    <w:rsid w:val="00DD69BC"/>
    <w:rsid w:val="00DD705E"/>
    <w:rsid w:val="00DE001C"/>
    <w:rsid w:val="00DE0076"/>
    <w:rsid w:val="00DE1368"/>
    <w:rsid w:val="00DE178D"/>
    <w:rsid w:val="00DE1792"/>
    <w:rsid w:val="00DE1956"/>
    <w:rsid w:val="00DE19E2"/>
    <w:rsid w:val="00DE1F83"/>
    <w:rsid w:val="00DE204F"/>
    <w:rsid w:val="00DE3140"/>
    <w:rsid w:val="00DE3759"/>
    <w:rsid w:val="00DE375B"/>
    <w:rsid w:val="00DE40A5"/>
    <w:rsid w:val="00DE5691"/>
    <w:rsid w:val="00DE5BD1"/>
    <w:rsid w:val="00DE5C17"/>
    <w:rsid w:val="00DE5F4F"/>
    <w:rsid w:val="00DE5FF5"/>
    <w:rsid w:val="00DE65B2"/>
    <w:rsid w:val="00DE73E0"/>
    <w:rsid w:val="00DE765C"/>
    <w:rsid w:val="00DE76CC"/>
    <w:rsid w:val="00DF02B1"/>
    <w:rsid w:val="00DF0371"/>
    <w:rsid w:val="00DF0482"/>
    <w:rsid w:val="00DF1590"/>
    <w:rsid w:val="00DF266B"/>
    <w:rsid w:val="00DF2F45"/>
    <w:rsid w:val="00DF322A"/>
    <w:rsid w:val="00DF3601"/>
    <w:rsid w:val="00DF3F0D"/>
    <w:rsid w:val="00DF3F3C"/>
    <w:rsid w:val="00DF40E4"/>
    <w:rsid w:val="00DF41DF"/>
    <w:rsid w:val="00DF461C"/>
    <w:rsid w:val="00DF4B77"/>
    <w:rsid w:val="00DF59B2"/>
    <w:rsid w:val="00DF65A8"/>
    <w:rsid w:val="00DF666A"/>
    <w:rsid w:val="00DF693F"/>
    <w:rsid w:val="00DF7051"/>
    <w:rsid w:val="00DF7291"/>
    <w:rsid w:val="00DF76C8"/>
    <w:rsid w:val="00DF7EE7"/>
    <w:rsid w:val="00E004FD"/>
    <w:rsid w:val="00E01994"/>
    <w:rsid w:val="00E01C87"/>
    <w:rsid w:val="00E045DF"/>
    <w:rsid w:val="00E05091"/>
    <w:rsid w:val="00E066EA"/>
    <w:rsid w:val="00E06704"/>
    <w:rsid w:val="00E068B7"/>
    <w:rsid w:val="00E06BA3"/>
    <w:rsid w:val="00E078E9"/>
    <w:rsid w:val="00E104EF"/>
    <w:rsid w:val="00E1117D"/>
    <w:rsid w:val="00E115A9"/>
    <w:rsid w:val="00E11C69"/>
    <w:rsid w:val="00E1242A"/>
    <w:rsid w:val="00E139FB"/>
    <w:rsid w:val="00E13BEF"/>
    <w:rsid w:val="00E150E5"/>
    <w:rsid w:val="00E15C51"/>
    <w:rsid w:val="00E165FF"/>
    <w:rsid w:val="00E16CC7"/>
    <w:rsid w:val="00E205C4"/>
    <w:rsid w:val="00E209BB"/>
    <w:rsid w:val="00E20E19"/>
    <w:rsid w:val="00E21919"/>
    <w:rsid w:val="00E21FB5"/>
    <w:rsid w:val="00E22017"/>
    <w:rsid w:val="00E23353"/>
    <w:rsid w:val="00E237EB"/>
    <w:rsid w:val="00E23EA8"/>
    <w:rsid w:val="00E23F63"/>
    <w:rsid w:val="00E2419A"/>
    <w:rsid w:val="00E24DB7"/>
    <w:rsid w:val="00E24FAB"/>
    <w:rsid w:val="00E2547D"/>
    <w:rsid w:val="00E25A59"/>
    <w:rsid w:val="00E2687D"/>
    <w:rsid w:val="00E269A7"/>
    <w:rsid w:val="00E26AC4"/>
    <w:rsid w:val="00E271AE"/>
    <w:rsid w:val="00E27EE0"/>
    <w:rsid w:val="00E27F86"/>
    <w:rsid w:val="00E32B08"/>
    <w:rsid w:val="00E32B7C"/>
    <w:rsid w:val="00E3340F"/>
    <w:rsid w:val="00E338D1"/>
    <w:rsid w:val="00E338FC"/>
    <w:rsid w:val="00E341BB"/>
    <w:rsid w:val="00E34388"/>
    <w:rsid w:val="00E35CFB"/>
    <w:rsid w:val="00E363A7"/>
    <w:rsid w:val="00E36A9A"/>
    <w:rsid w:val="00E36CCD"/>
    <w:rsid w:val="00E36D91"/>
    <w:rsid w:val="00E371D0"/>
    <w:rsid w:val="00E3751F"/>
    <w:rsid w:val="00E40304"/>
    <w:rsid w:val="00E40AFF"/>
    <w:rsid w:val="00E40B48"/>
    <w:rsid w:val="00E40BD9"/>
    <w:rsid w:val="00E414E6"/>
    <w:rsid w:val="00E41C6E"/>
    <w:rsid w:val="00E41D5F"/>
    <w:rsid w:val="00E4251F"/>
    <w:rsid w:val="00E43013"/>
    <w:rsid w:val="00E4302E"/>
    <w:rsid w:val="00E43F7C"/>
    <w:rsid w:val="00E440B5"/>
    <w:rsid w:val="00E4438C"/>
    <w:rsid w:val="00E44DB7"/>
    <w:rsid w:val="00E462A6"/>
    <w:rsid w:val="00E4634C"/>
    <w:rsid w:val="00E46EB8"/>
    <w:rsid w:val="00E503DE"/>
    <w:rsid w:val="00E50660"/>
    <w:rsid w:val="00E50A2E"/>
    <w:rsid w:val="00E50DDB"/>
    <w:rsid w:val="00E50E00"/>
    <w:rsid w:val="00E51757"/>
    <w:rsid w:val="00E530D6"/>
    <w:rsid w:val="00E5310B"/>
    <w:rsid w:val="00E53E42"/>
    <w:rsid w:val="00E54215"/>
    <w:rsid w:val="00E54A24"/>
    <w:rsid w:val="00E54B43"/>
    <w:rsid w:val="00E55ED4"/>
    <w:rsid w:val="00E56613"/>
    <w:rsid w:val="00E56868"/>
    <w:rsid w:val="00E56ED2"/>
    <w:rsid w:val="00E61866"/>
    <w:rsid w:val="00E61AE7"/>
    <w:rsid w:val="00E61CBB"/>
    <w:rsid w:val="00E61EC8"/>
    <w:rsid w:val="00E61F77"/>
    <w:rsid w:val="00E62110"/>
    <w:rsid w:val="00E62147"/>
    <w:rsid w:val="00E63A0B"/>
    <w:rsid w:val="00E656F6"/>
    <w:rsid w:val="00E66235"/>
    <w:rsid w:val="00E66900"/>
    <w:rsid w:val="00E67195"/>
    <w:rsid w:val="00E677D4"/>
    <w:rsid w:val="00E67992"/>
    <w:rsid w:val="00E67CF5"/>
    <w:rsid w:val="00E67E64"/>
    <w:rsid w:val="00E7093C"/>
    <w:rsid w:val="00E70FA4"/>
    <w:rsid w:val="00E7121B"/>
    <w:rsid w:val="00E719EA"/>
    <w:rsid w:val="00E71A1F"/>
    <w:rsid w:val="00E72EEB"/>
    <w:rsid w:val="00E73228"/>
    <w:rsid w:val="00E73233"/>
    <w:rsid w:val="00E743AF"/>
    <w:rsid w:val="00E75012"/>
    <w:rsid w:val="00E7617D"/>
    <w:rsid w:val="00E77798"/>
    <w:rsid w:val="00E777B6"/>
    <w:rsid w:val="00E802A2"/>
    <w:rsid w:val="00E804F8"/>
    <w:rsid w:val="00E8054C"/>
    <w:rsid w:val="00E81110"/>
    <w:rsid w:val="00E81519"/>
    <w:rsid w:val="00E8208D"/>
    <w:rsid w:val="00E82550"/>
    <w:rsid w:val="00E829D7"/>
    <w:rsid w:val="00E82B36"/>
    <w:rsid w:val="00E82DB9"/>
    <w:rsid w:val="00E83C24"/>
    <w:rsid w:val="00E843F0"/>
    <w:rsid w:val="00E84695"/>
    <w:rsid w:val="00E8563C"/>
    <w:rsid w:val="00E8670A"/>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B90"/>
    <w:rsid w:val="00E93CFD"/>
    <w:rsid w:val="00E93DF4"/>
    <w:rsid w:val="00E93F3E"/>
    <w:rsid w:val="00E94147"/>
    <w:rsid w:val="00E95221"/>
    <w:rsid w:val="00E95EF2"/>
    <w:rsid w:val="00E96622"/>
    <w:rsid w:val="00E96C1C"/>
    <w:rsid w:val="00EA10CA"/>
    <w:rsid w:val="00EA2582"/>
    <w:rsid w:val="00EA26F9"/>
    <w:rsid w:val="00EA35A6"/>
    <w:rsid w:val="00EA35D1"/>
    <w:rsid w:val="00EA4217"/>
    <w:rsid w:val="00EA43B2"/>
    <w:rsid w:val="00EA679E"/>
    <w:rsid w:val="00EA69A5"/>
    <w:rsid w:val="00EA6A57"/>
    <w:rsid w:val="00EA6FB4"/>
    <w:rsid w:val="00EA70B5"/>
    <w:rsid w:val="00EA70F7"/>
    <w:rsid w:val="00EA7161"/>
    <w:rsid w:val="00EA733D"/>
    <w:rsid w:val="00EA76CC"/>
    <w:rsid w:val="00EB066E"/>
    <w:rsid w:val="00EB103C"/>
    <w:rsid w:val="00EB134C"/>
    <w:rsid w:val="00EB327B"/>
    <w:rsid w:val="00EB3BD4"/>
    <w:rsid w:val="00EB3ECE"/>
    <w:rsid w:val="00EB469C"/>
    <w:rsid w:val="00EB5542"/>
    <w:rsid w:val="00EB6534"/>
    <w:rsid w:val="00EB6B66"/>
    <w:rsid w:val="00EB7523"/>
    <w:rsid w:val="00EB7711"/>
    <w:rsid w:val="00EC0521"/>
    <w:rsid w:val="00EC0683"/>
    <w:rsid w:val="00EC0CA9"/>
    <w:rsid w:val="00EC12B0"/>
    <w:rsid w:val="00EC1FB8"/>
    <w:rsid w:val="00EC2C54"/>
    <w:rsid w:val="00EC2F55"/>
    <w:rsid w:val="00EC3CEF"/>
    <w:rsid w:val="00EC3FAD"/>
    <w:rsid w:val="00EC434F"/>
    <w:rsid w:val="00EC5C1C"/>
    <w:rsid w:val="00EC62E7"/>
    <w:rsid w:val="00EC6D44"/>
    <w:rsid w:val="00EC7246"/>
    <w:rsid w:val="00ED1276"/>
    <w:rsid w:val="00ED1974"/>
    <w:rsid w:val="00ED2787"/>
    <w:rsid w:val="00ED321A"/>
    <w:rsid w:val="00ED326A"/>
    <w:rsid w:val="00ED35C8"/>
    <w:rsid w:val="00ED36B5"/>
    <w:rsid w:val="00ED38FD"/>
    <w:rsid w:val="00ED3CF4"/>
    <w:rsid w:val="00ED511A"/>
    <w:rsid w:val="00ED6B39"/>
    <w:rsid w:val="00ED741B"/>
    <w:rsid w:val="00ED78A5"/>
    <w:rsid w:val="00ED792E"/>
    <w:rsid w:val="00ED7B67"/>
    <w:rsid w:val="00ED7F72"/>
    <w:rsid w:val="00EE01C5"/>
    <w:rsid w:val="00EE0379"/>
    <w:rsid w:val="00EE0B86"/>
    <w:rsid w:val="00EE19A2"/>
    <w:rsid w:val="00EE1A42"/>
    <w:rsid w:val="00EE242B"/>
    <w:rsid w:val="00EE4048"/>
    <w:rsid w:val="00EE4E4D"/>
    <w:rsid w:val="00EE4EF6"/>
    <w:rsid w:val="00EE61B0"/>
    <w:rsid w:val="00EE64DD"/>
    <w:rsid w:val="00EE7C16"/>
    <w:rsid w:val="00EE7CFC"/>
    <w:rsid w:val="00EE7E54"/>
    <w:rsid w:val="00EE7F4D"/>
    <w:rsid w:val="00EF0CBB"/>
    <w:rsid w:val="00EF0E94"/>
    <w:rsid w:val="00EF159A"/>
    <w:rsid w:val="00EF1FA9"/>
    <w:rsid w:val="00EF288C"/>
    <w:rsid w:val="00EF46C5"/>
    <w:rsid w:val="00EF5408"/>
    <w:rsid w:val="00EF6C91"/>
    <w:rsid w:val="00EF747C"/>
    <w:rsid w:val="00EF7E5D"/>
    <w:rsid w:val="00F0009E"/>
    <w:rsid w:val="00F001ED"/>
    <w:rsid w:val="00F0136B"/>
    <w:rsid w:val="00F01450"/>
    <w:rsid w:val="00F01C1D"/>
    <w:rsid w:val="00F02094"/>
    <w:rsid w:val="00F0217A"/>
    <w:rsid w:val="00F0286E"/>
    <w:rsid w:val="00F03BDC"/>
    <w:rsid w:val="00F04760"/>
    <w:rsid w:val="00F05703"/>
    <w:rsid w:val="00F05F78"/>
    <w:rsid w:val="00F06215"/>
    <w:rsid w:val="00F063C2"/>
    <w:rsid w:val="00F066B3"/>
    <w:rsid w:val="00F07162"/>
    <w:rsid w:val="00F073AE"/>
    <w:rsid w:val="00F07D29"/>
    <w:rsid w:val="00F1005F"/>
    <w:rsid w:val="00F1064E"/>
    <w:rsid w:val="00F11976"/>
    <w:rsid w:val="00F13564"/>
    <w:rsid w:val="00F13602"/>
    <w:rsid w:val="00F13B7D"/>
    <w:rsid w:val="00F13F58"/>
    <w:rsid w:val="00F14033"/>
    <w:rsid w:val="00F144E2"/>
    <w:rsid w:val="00F1576F"/>
    <w:rsid w:val="00F161AE"/>
    <w:rsid w:val="00F16887"/>
    <w:rsid w:val="00F16B8A"/>
    <w:rsid w:val="00F16C24"/>
    <w:rsid w:val="00F16CB2"/>
    <w:rsid w:val="00F171D1"/>
    <w:rsid w:val="00F1799A"/>
    <w:rsid w:val="00F202FB"/>
    <w:rsid w:val="00F20DBB"/>
    <w:rsid w:val="00F224F4"/>
    <w:rsid w:val="00F22F31"/>
    <w:rsid w:val="00F231B7"/>
    <w:rsid w:val="00F2344C"/>
    <w:rsid w:val="00F2346E"/>
    <w:rsid w:val="00F23629"/>
    <w:rsid w:val="00F24B40"/>
    <w:rsid w:val="00F24F88"/>
    <w:rsid w:val="00F2576D"/>
    <w:rsid w:val="00F26F5C"/>
    <w:rsid w:val="00F271EC"/>
    <w:rsid w:val="00F2734E"/>
    <w:rsid w:val="00F275A1"/>
    <w:rsid w:val="00F27960"/>
    <w:rsid w:val="00F27FFB"/>
    <w:rsid w:val="00F30224"/>
    <w:rsid w:val="00F30D17"/>
    <w:rsid w:val="00F30E6F"/>
    <w:rsid w:val="00F30FE4"/>
    <w:rsid w:val="00F333DE"/>
    <w:rsid w:val="00F33B54"/>
    <w:rsid w:val="00F35408"/>
    <w:rsid w:val="00F35CB4"/>
    <w:rsid w:val="00F369E9"/>
    <w:rsid w:val="00F36DEC"/>
    <w:rsid w:val="00F37D28"/>
    <w:rsid w:val="00F37F33"/>
    <w:rsid w:val="00F40614"/>
    <w:rsid w:val="00F410ED"/>
    <w:rsid w:val="00F41B3A"/>
    <w:rsid w:val="00F4237A"/>
    <w:rsid w:val="00F42C08"/>
    <w:rsid w:val="00F44494"/>
    <w:rsid w:val="00F447FB"/>
    <w:rsid w:val="00F448C7"/>
    <w:rsid w:val="00F44912"/>
    <w:rsid w:val="00F47CF3"/>
    <w:rsid w:val="00F47D8F"/>
    <w:rsid w:val="00F5024E"/>
    <w:rsid w:val="00F504B2"/>
    <w:rsid w:val="00F504DE"/>
    <w:rsid w:val="00F5101A"/>
    <w:rsid w:val="00F51A84"/>
    <w:rsid w:val="00F51F95"/>
    <w:rsid w:val="00F52098"/>
    <w:rsid w:val="00F5295A"/>
    <w:rsid w:val="00F53193"/>
    <w:rsid w:val="00F5357E"/>
    <w:rsid w:val="00F53D81"/>
    <w:rsid w:val="00F5412E"/>
    <w:rsid w:val="00F54D8A"/>
    <w:rsid w:val="00F55080"/>
    <w:rsid w:val="00F561DB"/>
    <w:rsid w:val="00F5647A"/>
    <w:rsid w:val="00F579ED"/>
    <w:rsid w:val="00F60098"/>
    <w:rsid w:val="00F60C03"/>
    <w:rsid w:val="00F60CFB"/>
    <w:rsid w:val="00F615E2"/>
    <w:rsid w:val="00F62415"/>
    <w:rsid w:val="00F624C0"/>
    <w:rsid w:val="00F62B87"/>
    <w:rsid w:val="00F638FC"/>
    <w:rsid w:val="00F63FC8"/>
    <w:rsid w:val="00F6424A"/>
    <w:rsid w:val="00F64A1B"/>
    <w:rsid w:val="00F6586C"/>
    <w:rsid w:val="00F6600B"/>
    <w:rsid w:val="00F66DEC"/>
    <w:rsid w:val="00F67788"/>
    <w:rsid w:val="00F67A8A"/>
    <w:rsid w:val="00F705A0"/>
    <w:rsid w:val="00F70B1B"/>
    <w:rsid w:val="00F70BB6"/>
    <w:rsid w:val="00F70DA8"/>
    <w:rsid w:val="00F7121D"/>
    <w:rsid w:val="00F72A8E"/>
    <w:rsid w:val="00F73097"/>
    <w:rsid w:val="00F73818"/>
    <w:rsid w:val="00F738AB"/>
    <w:rsid w:val="00F73D1F"/>
    <w:rsid w:val="00F746F8"/>
    <w:rsid w:val="00F74BD5"/>
    <w:rsid w:val="00F75271"/>
    <w:rsid w:val="00F76883"/>
    <w:rsid w:val="00F77E96"/>
    <w:rsid w:val="00F800CD"/>
    <w:rsid w:val="00F80300"/>
    <w:rsid w:val="00F807F2"/>
    <w:rsid w:val="00F80BF6"/>
    <w:rsid w:val="00F82875"/>
    <w:rsid w:val="00F82A66"/>
    <w:rsid w:val="00F838ED"/>
    <w:rsid w:val="00F83A5A"/>
    <w:rsid w:val="00F83CC7"/>
    <w:rsid w:val="00F84186"/>
    <w:rsid w:val="00F84646"/>
    <w:rsid w:val="00F84A61"/>
    <w:rsid w:val="00F855C5"/>
    <w:rsid w:val="00F8590B"/>
    <w:rsid w:val="00F85EE4"/>
    <w:rsid w:val="00F86669"/>
    <w:rsid w:val="00F86F74"/>
    <w:rsid w:val="00F87144"/>
    <w:rsid w:val="00F8736F"/>
    <w:rsid w:val="00F9038B"/>
    <w:rsid w:val="00F90C64"/>
    <w:rsid w:val="00F912DD"/>
    <w:rsid w:val="00F91308"/>
    <w:rsid w:val="00F91840"/>
    <w:rsid w:val="00F91C6A"/>
    <w:rsid w:val="00F9272D"/>
    <w:rsid w:val="00F92AC4"/>
    <w:rsid w:val="00F9363C"/>
    <w:rsid w:val="00F93921"/>
    <w:rsid w:val="00F94611"/>
    <w:rsid w:val="00F946F9"/>
    <w:rsid w:val="00F94757"/>
    <w:rsid w:val="00F94774"/>
    <w:rsid w:val="00F94CB8"/>
    <w:rsid w:val="00F96E74"/>
    <w:rsid w:val="00F977D2"/>
    <w:rsid w:val="00F97989"/>
    <w:rsid w:val="00FA03C6"/>
    <w:rsid w:val="00FA0F38"/>
    <w:rsid w:val="00FA1BA2"/>
    <w:rsid w:val="00FA1C91"/>
    <w:rsid w:val="00FA21EC"/>
    <w:rsid w:val="00FA2607"/>
    <w:rsid w:val="00FA367B"/>
    <w:rsid w:val="00FA451B"/>
    <w:rsid w:val="00FA47A1"/>
    <w:rsid w:val="00FA4884"/>
    <w:rsid w:val="00FA5580"/>
    <w:rsid w:val="00FA55F5"/>
    <w:rsid w:val="00FA5DF1"/>
    <w:rsid w:val="00FA5F89"/>
    <w:rsid w:val="00FA6107"/>
    <w:rsid w:val="00FA663B"/>
    <w:rsid w:val="00FA6A89"/>
    <w:rsid w:val="00FA6E60"/>
    <w:rsid w:val="00FA6FE2"/>
    <w:rsid w:val="00FB1AE5"/>
    <w:rsid w:val="00FB1C13"/>
    <w:rsid w:val="00FB1C8D"/>
    <w:rsid w:val="00FB1E66"/>
    <w:rsid w:val="00FB207D"/>
    <w:rsid w:val="00FB2E4B"/>
    <w:rsid w:val="00FB2FFC"/>
    <w:rsid w:val="00FB4811"/>
    <w:rsid w:val="00FB4AA7"/>
    <w:rsid w:val="00FB506D"/>
    <w:rsid w:val="00FB5505"/>
    <w:rsid w:val="00FB58BA"/>
    <w:rsid w:val="00FB5D2C"/>
    <w:rsid w:val="00FB69A6"/>
    <w:rsid w:val="00FB758A"/>
    <w:rsid w:val="00FB77D2"/>
    <w:rsid w:val="00FC01A8"/>
    <w:rsid w:val="00FC10E9"/>
    <w:rsid w:val="00FC1D48"/>
    <w:rsid w:val="00FC1EDA"/>
    <w:rsid w:val="00FC29D0"/>
    <w:rsid w:val="00FC4086"/>
    <w:rsid w:val="00FC427F"/>
    <w:rsid w:val="00FC53DB"/>
    <w:rsid w:val="00FC5754"/>
    <w:rsid w:val="00FC5B32"/>
    <w:rsid w:val="00FC646C"/>
    <w:rsid w:val="00FC6B66"/>
    <w:rsid w:val="00FC7161"/>
    <w:rsid w:val="00FC7B50"/>
    <w:rsid w:val="00FD126E"/>
    <w:rsid w:val="00FD1AB4"/>
    <w:rsid w:val="00FD23B9"/>
    <w:rsid w:val="00FD26BE"/>
    <w:rsid w:val="00FD27D8"/>
    <w:rsid w:val="00FD2AB6"/>
    <w:rsid w:val="00FD2D0A"/>
    <w:rsid w:val="00FD3213"/>
    <w:rsid w:val="00FD36E9"/>
    <w:rsid w:val="00FD41F9"/>
    <w:rsid w:val="00FD4561"/>
    <w:rsid w:val="00FD47B1"/>
    <w:rsid w:val="00FD4ABF"/>
    <w:rsid w:val="00FD4C72"/>
    <w:rsid w:val="00FD4D20"/>
    <w:rsid w:val="00FD6D78"/>
    <w:rsid w:val="00FD6DFE"/>
    <w:rsid w:val="00FE05F6"/>
    <w:rsid w:val="00FE073C"/>
    <w:rsid w:val="00FE123C"/>
    <w:rsid w:val="00FE18D4"/>
    <w:rsid w:val="00FE1D17"/>
    <w:rsid w:val="00FE1FB8"/>
    <w:rsid w:val="00FE2034"/>
    <w:rsid w:val="00FE2204"/>
    <w:rsid w:val="00FE2C71"/>
    <w:rsid w:val="00FE2ECF"/>
    <w:rsid w:val="00FE362E"/>
    <w:rsid w:val="00FE3D78"/>
    <w:rsid w:val="00FE3DB8"/>
    <w:rsid w:val="00FE41C9"/>
    <w:rsid w:val="00FE4FAE"/>
    <w:rsid w:val="00FE5B2A"/>
    <w:rsid w:val="00FE62C9"/>
    <w:rsid w:val="00FE680A"/>
    <w:rsid w:val="00FE695E"/>
    <w:rsid w:val="00FE7314"/>
    <w:rsid w:val="00FE7AFE"/>
    <w:rsid w:val="00FF0A8A"/>
    <w:rsid w:val="00FF1264"/>
    <w:rsid w:val="00FF1BF8"/>
    <w:rsid w:val="00FF201F"/>
    <w:rsid w:val="00FF2DE6"/>
    <w:rsid w:val="00FF2E52"/>
    <w:rsid w:val="00FF39E8"/>
    <w:rsid w:val="00FF4E4B"/>
    <w:rsid w:val="00FF5423"/>
    <w:rsid w:val="00FF6246"/>
    <w:rsid w:val="00FF65A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7F6D0E30-A638-4E9E-9F99-3BCB427F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unhideWhenUsed/>
    <w:rsid w:val="00866063"/>
    <w:rPr>
      <w:sz w:val="16"/>
      <w:szCs w:val="16"/>
      <w:lang w:val="ru-RU"/>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ru-RU"/>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customStyle="1" w:styleId="SmartHyperlink1">
    <w:name w:val="Smart Hyperlink1"/>
    <w:basedOn w:val="DefaultParagraphFont"/>
    <w:uiPriority w:val="99"/>
    <w:semiHidden/>
    <w:unhideWhenUsed/>
    <w:rsid w:val="00A111D1"/>
    <w:rPr>
      <w:u w:val="dotted"/>
      <w:lang w:val="ru-RU"/>
    </w:rPr>
  </w:style>
  <w:style w:type="character" w:customStyle="1" w:styleId="SmartLink1">
    <w:name w:val="SmartLink1"/>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styleId="UnresolvedMention">
    <w:name w:val="Unresolved Mention"/>
    <w:basedOn w:val="DefaultParagraphFont"/>
    <w:uiPriority w:val="99"/>
    <w:semiHidden/>
    <w:unhideWhenUsed/>
    <w:rsid w:val="00047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6/cop-16-dec-34-ru.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notifications/2023/ntf-2023-132-rm-en.pdf" TargetMode="External"/><Relationship Id="rId25"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oc/notifications/2023/ntf-2023-063-rm-en.pdf"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08"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5/cop-15-dec-07-ru.pdf" TargetMode="External"/><Relationship Id="rId23" Type="http://schemas.openxmlformats.org/officeDocument/2006/relationships/hyperlink" Target="https://www.cbd.int/decisions/cop?m=cop-01"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ida.worldbank.org/en/about/borrowing-countries" TargetMode="External"/><Relationship Id="rId7" Type="http://schemas.openxmlformats.org/officeDocument/2006/relationships/hyperlink" Target="https://www.oecd.org/en/about/committees/development-assistance-committee.html" TargetMode="External"/><Relationship Id="rId2" Type="http://schemas.openxmlformats.org/officeDocument/2006/relationships/hyperlink" Target="https://www.un.org/development/desa/dpad/wp-content/uploads/sites/45/LDC-Handbook-2024.pdf" TargetMode="External"/><Relationship Id="rId1" Type="http://schemas.openxmlformats.org/officeDocument/2006/relationships/hyperlink" Target="https://www.gefieo.org/content/dam/partners/ieo/docs/mgr/support-docs/OPS8-English-Executive-Summary.pdf" TargetMode="External"/><Relationship Id="rId6" Type="http://schemas.openxmlformats.org/officeDocument/2006/relationships/hyperlink" Target="https://www.imf.org/-/media/files/publications/weo/2025/october/Russian/text.pdf" TargetMode="External"/><Relationship Id="rId5" Type="http://schemas.openxmlformats.org/officeDocument/2006/relationships/hyperlink" Target="https://blogs.worldbank.org/en/opendata/understanding-country-income--world-bank-group-income-classifica" TargetMode="External"/><Relationship Id="rId4" Type="http://schemas.openxmlformats.org/officeDocument/2006/relationships/hyperlink" Target="https://datahelpdesk.worldbank.org/knowledgebase/articles/378834-how-does-the-world-bank-classify-countr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FEB"/>
    <w:rsid w:val="00005055"/>
    <w:rsid w:val="000071A4"/>
    <w:rsid w:val="00032B28"/>
    <w:rsid w:val="00036008"/>
    <w:rsid w:val="00066899"/>
    <w:rsid w:val="00076DC6"/>
    <w:rsid w:val="000F6175"/>
    <w:rsid w:val="001519F1"/>
    <w:rsid w:val="0015613E"/>
    <w:rsid w:val="00194BEF"/>
    <w:rsid w:val="001F6AB8"/>
    <w:rsid w:val="00210B0C"/>
    <w:rsid w:val="002325B0"/>
    <w:rsid w:val="002877D2"/>
    <w:rsid w:val="00294B9C"/>
    <w:rsid w:val="002D28A5"/>
    <w:rsid w:val="002E396B"/>
    <w:rsid w:val="00316A12"/>
    <w:rsid w:val="00340DEC"/>
    <w:rsid w:val="00347C7D"/>
    <w:rsid w:val="003A1A8E"/>
    <w:rsid w:val="003B26D3"/>
    <w:rsid w:val="003C49B3"/>
    <w:rsid w:val="003E1AA1"/>
    <w:rsid w:val="00402E4C"/>
    <w:rsid w:val="00433FFD"/>
    <w:rsid w:val="00455781"/>
    <w:rsid w:val="004B1D77"/>
    <w:rsid w:val="004D1BD5"/>
    <w:rsid w:val="004E7184"/>
    <w:rsid w:val="00505C85"/>
    <w:rsid w:val="00512C73"/>
    <w:rsid w:val="00523D1B"/>
    <w:rsid w:val="00564BB2"/>
    <w:rsid w:val="00565855"/>
    <w:rsid w:val="005709B9"/>
    <w:rsid w:val="00572239"/>
    <w:rsid w:val="00585C0D"/>
    <w:rsid w:val="005A01F5"/>
    <w:rsid w:val="005A116F"/>
    <w:rsid w:val="005A478C"/>
    <w:rsid w:val="005B09E7"/>
    <w:rsid w:val="005C1D40"/>
    <w:rsid w:val="005C2561"/>
    <w:rsid w:val="005D5179"/>
    <w:rsid w:val="005E6C45"/>
    <w:rsid w:val="005F508D"/>
    <w:rsid w:val="00603A27"/>
    <w:rsid w:val="00645D17"/>
    <w:rsid w:val="00651EF5"/>
    <w:rsid w:val="006B2702"/>
    <w:rsid w:val="006F403E"/>
    <w:rsid w:val="006F7040"/>
    <w:rsid w:val="007071A1"/>
    <w:rsid w:val="007214FE"/>
    <w:rsid w:val="00722EBD"/>
    <w:rsid w:val="00723AB4"/>
    <w:rsid w:val="00737E04"/>
    <w:rsid w:val="007571F7"/>
    <w:rsid w:val="007972D2"/>
    <w:rsid w:val="007A5EDA"/>
    <w:rsid w:val="007C1B40"/>
    <w:rsid w:val="007D7C6C"/>
    <w:rsid w:val="008343D1"/>
    <w:rsid w:val="00892575"/>
    <w:rsid w:val="008B254E"/>
    <w:rsid w:val="008C3FEB"/>
    <w:rsid w:val="008E16B4"/>
    <w:rsid w:val="008E28FC"/>
    <w:rsid w:val="008E5DC6"/>
    <w:rsid w:val="00914ACA"/>
    <w:rsid w:val="00920C87"/>
    <w:rsid w:val="009240DF"/>
    <w:rsid w:val="009455ED"/>
    <w:rsid w:val="00952C99"/>
    <w:rsid w:val="00954367"/>
    <w:rsid w:val="00966413"/>
    <w:rsid w:val="0096720F"/>
    <w:rsid w:val="0098270E"/>
    <w:rsid w:val="009C348C"/>
    <w:rsid w:val="00A044E0"/>
    <w:rsid w:val="00A3506D"/>
    <w:rsid w:val="00A450B7"/>
    <w:rsid w:val="00A618BA"/>
    <w:rsid w:val="00A942AE"/>
    <w:rsid w:val="00AA137B"/>
    <w:rsid w:val="00AA388B"/>
    <w:rsid w:val="00AC3C54"/>
    <w:rsid w:val="00B07E8C"/>
    <w:rsid w:val="00B25AFF"/>
    <w:rsid w:val="00B35F45"/>
    <w:rsid w:val="00B56426"/>
    <w:rsid w:val="00B60011"/>
    <w:rsid w:val="00B7359C"/>
    <w:rsid w:val="00B75386"/>
    <w:rsid w:val="00B82265"/>
    <w:rsid w:val="00BB0EDA"/>
    <w:rsid w:val="00BB3809"/>
    <w:rsid w:val="00BB6ED9"/>
    <w:rsid w:val="00BF53CB"/>
    <w:rsid w:val="00C361DB"/>
    <w:rsid w:val="00C42A05"/>
    <w:rsid w:val="00C53768"/>
    <w:rsid w:val="00C639F5"/>
    <w:rsid w:val="00C642F9"/>
    <w:rsid w:val="00C70A41"/>
    <w:rsid w:val="00C85159"/>
    <w:rsid w:val="00CA597B"/>
    <w:rsid w:val="00CB3F6D"/>
    <w:rsid w:val="00CC1355"/>
    <w:rsid w:val="00CC6E42"/>
    <w:rsid w:val="00CF34B2"/>
    <w:rsid w:val="00D638AC"/>
    <w:rsid w:val="00DC3456"/>
    <w:rsid w:val="00DC7E54"/>
    <w:rsid w:val="00DF5B8D"/>
    <w:rsid w:val="00E14789"/>
    <w:rsid w:val="00E173C5"/>
    <w:rsid w:val="00E503DE"/>
    <w:rsid w:val="00E5310B"/>
    <w:rsid w:val="00E54215"/>
    <w:rsid w:val="00EA733D"/>
    <w:rsid w:val="00F14694"/>
    <w:rsid w:val="00F275A1"/>
    <w:rsid w:val="00F320A7"/>
    <w:rsid w:val="00F62B87"/>
    <w:rsid w:val="00F73097"/>
    <w:rsid w:val="00F868CB"/>
    <w:rsid w:val="00F87195"/>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1D3E576-C775-4CB2-8866-9FD0D0C5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DF9144BB-5579-4FF3-B27A-78AB8B46E08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50</TotalTime>
  <Pages>9</Pages>
  <Words>3784</Words>
  <Characters>23840</Characters>
  <Application>Microsoft Office Word</Application>
  <DocSecurity>0</DocSecurity>
  <Lines>441</Lines>
  <Paragraphs>175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Proposals for the best periodicity of notifications for reviewing and amending the list established in accordance with Article 20, paragraph 2, of the Convention, considering potential opportunities for broadening the contributor base</vt:lpstr>
      <vt:lpstr>Resource mobilization</vt:lpstr>
    </vt:vector>
  </TitlesOfParts>
  <Company>SCBD</Company>
  <LinksUpToDate>false</LinksUpToDate>
  <CharactersWithSpaces>27449</CharactersWithSpaces>
  <SharedDoc>false</SharedDoc>
  <HLinks>
    <vt:vector size="12" baseType="variant">
      <vt:variant>
        <vt:i4>7209057</vt:i4>
      </vt:variant>
      <vt:variant>
        <vt:i4>0</vt:i4>
      </vt:variant>
      <vt:variant>
        <vt:i4>0</vt:i4>
      </vt:variant>
      <vt:variant>
        <vt:i4>5</vt:i4>
      </vt:variant>
      <vt:variant>
        <vt:lpwstr>https://www.cbd.int/decisions/cop/?m=cop-16</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Предложения относительно оптимальной периодичности рассылки уведомлений в целях проведения обзора перечня, установленного в соответствии с пунктом 2 статьи 20 Конвенции, и внесения в него изменений с учетом потенциальных возможностей расширения базы доноров</dc:title>
  <dc:subject>CBD/SBI/7/3/Add.1</dc:subject>
  <dc:creator>Andrew Floudiotis</dc:creator>
  <cp:keywords>Convention on Biological Diversity</cp:keywords>
  <cp:lastModifiedBy>Veronique Lefebvre</cp:lastModifiedBy>
  <cp:revision>17</cp:revision>
  <cp:lastPrinted>2026-06-29T08:13:00Z</cp:lastPrinted>
  <dcterms:created xsi:type="dcterms:W3CDTF">2026-06-25T16:13:00Z</dcterms:created>
  <dcterms:modified xsi:type="dcterms:W3CDTF">2026-06-29T18:46:00Z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