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E41086" w:rsidTr="00CF1848">
        <w:trPr>
          <w:trHeight w:val="709"/>
        </w:trPr>
        <w:tc>
          <w:tcPr>
            <w:tcW w:w="976" w:type="dxa"/>
            <w:tcBorders>
              <w:bottom w:val="single" w:sz="12" w:space="0" w:color="auto"/>
            </w:tcBorders>
          </w:tcPr>
          <w:p w:rsidR="00C9161D" w:rsidRPr="00E41086" w:rsidRDefault="00C9161D">
            <w:pPr>
              <w:rPr>
                <w:kern w:val="22"/>
              </w:rPr>
            </w:pPr>
            <w:r w:rsidRPr="00E41086">
              <w:rPr>
                <w:noProof/>
                <w:kern w:val="22"/>
                <w:lang w:val="fr-CA" w:eastAsia="fr-CA"/>
              </w:rPr>
              <w:drawing>
                <wp:inline distT="0" distB="0" distL="0" distR="0" wp14:anchorId="44FD218B" wp14:editId="3DFCAFA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E41086" w:rsidRDefault="00C9161D">
            <w:pPr>
              <w:rPr>
                <w:kern w:val="22"/>
              </w:rPr>
            </w:pPr>
            <w:r w:rsidRPr="00E41086">
              <w:rPr>
                <w:noProof/>
                <w:kern w:val="22"/>
                <w:lang w:val="fr-CA" w:eastAsia="fr-CA"/>
              </w:rPr>
              <w:drawing>
                <wp:inline distT="0" distB="0" distL="0" distR="0" wp14:anchorId="21EC8C6A" wp14:editId="0AD38F0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E41086" w:rsidRDefault="00C9161D" w:rsidP="00C9161D">
            <w:pPr>
              <w:jc w:val="right"/>
              <w:rPr>
                <w:rFonts w:ascii="Arial" w:hAnsi="Arial" w:cs="Arial"/>
                <w:b/>
                <w:kern w:val="22"/>
                <w:sz w:val="32"/>
                <w:szCs w:val="32"/>
              </w:rPr>
            </w:pPr>
            <w:r w:rsidRPr="00E41086">
              <w:rPr>
                <w:rFonts w:ascii="Arial" w:hAnsi="Arial" w:cs="Arial"/>
                <w:b/>
                <w:kern w:val="22"/>
                <w:sz w:val="32"/>
                <w:szCs w:val="32"/>
              </w:rPr>
              <w:t>CBD</w:t>
            </w:r>
          </w:p>
        </w:tc>
      </w:tr>
      <w:tr w:rsidR="00C9161D" w:rsidRPr="00E41086" w:rsidTr="00CF1848">
        <w:tc>
          <w:tcPr>
            <w:tcW w:w="6117" w:type="dxa"/>
            <w:gridSpan w:val="2"/>
            <w:tcBorders>
              <w:top w:val="single" w:sz="12" w:space="0" w:color="auto"/>
              <w:bottom w:val="single" w:sz="36" w:space="0" w:color="auto"/>
            </w:tcBorders>
            <w:vAlign w:val="center"/>
          </w:tcPr>
          <w:p w:rsidR="00C9161D" w:rsidRPr="00E41086" w:rsidRDefault="00095414" w:rsidP="00C9161D">
            <w:pPr>
              <w:rPr>
                <w:kern w:val="22"/>
              </w:rPr>
            </w:pPr>
            <w:r w:rsidRPr="00012BE7">
              <w:rPr>
                <w:noProof/>
                <w:lang w:val="fr-CA" w:eastAsia="fr-CA"/>
              </w:rPr>
              <w:drawing>
                <wp:inline distT="0" distB="0" distL="0" distR="0" wp14:anchorId="774095C0" wp14:editId="03BDD07A">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F36A15" w:rsidRDefault="00C9161D" w:rsidP="009221C1">
            <w:pPr>
              <w:ind w:left="1215"/>
              <w:jc w:val="left"/>
              <w:rPr>
                <w:kern w:val="22"/>
                <w:szCs w:val="22"/>
                <w:lang w:val="fr-CA"/>
              </w:rPr>
            </w:pPr>
            <w:proofErr w:type="spellStart"/>
            <w:r w:rsidRPr="00F36A15">
              <w:rPr>
                <w:kern w:val="22"/>
                <w:szCs w:val="22"/>
                <w:lang w:val="fr-CA"/>
              </w:rPr>
              <w:t>Distr</w:t>
            </w:r>
            <w:proofErr w:type="spellEnd"/>
            <w:r w:rsidRPr="00F36A15">
              <w:rPr>
                <w:kern w:val="22"/>
                <w:szCs w:val="22"/>
                <w:lang w:val="fr-CA"/>
              </w:rPr>
              <w:t>.</w:t>
            </w:r>
          </w:p>
          <w:p w:rsidR="00C9161D" w:rsidRPr="00F36A15" w:rsidRDefault="008407E6" w:rsidP="009221C1">
            <w:pPr>
              <w:ind w:left="1215"/>
              <w:jc w:val="left"/>
              <w:rPr>
                <w:kern w:val="22"/>
                <w:szCs w:val="22"/>
                <w:lang w:val="fr-CA"/>
              </w:rPr>
            </w:pPr>
            <w:sdt>
              <w:sdtPr>
                <w:rPr>
                  <w:kern w:val="22"/>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5414" w:rsidRPr="00F36A15">
                  <w:rPr>
                    <w:kern w:val="22"/>
                    <w:szCs w:val="22"/>
                    <w:lang w:val="fr-CA"/>
                  </w:rPr>
                  <w:t>GÉNÉRALE</w:t>
                </w:r>
              </w:sdtContent>
            </w:sdt>
          </w:p>
          <w:p w:rsidR="00C9161D" w:rsidRPr="00F36A15" w:rsidRDefault="00C9161D" w:rsidP="009221C1">
            <w:pPr>
              <w:ind w:left="1215"/>
              <w:jc w:val="left"/>
              <w:rPr>
                <w:kern w:val="22"/>
                <w:szCs w:val="22"/>
                <w:lang w:val="fr-CA"/>
              </w:rPr>
            </w:pPr>
          </w:p>
          <w:p w:rsidR="00C9161D" w:rsidRPr="00F36A15" w:rsidRDefault="008407E6" w:rsidP="009221C1">
            <w:pPr>
              <w:ind w:left="1215"/>
              <w:jc w:val="left"/>
              <w:rPr>
                <w:kern w:val="22"/>
                <w:szCs w:val="22"/>
                <w:lang w:val="fr-CA"/>
              </w:rPr>
            </w:pPr>
            <w:sdt>
              <w:sdtPr>
                <w:rPr>
                  <w:kern w:val="22"/>
                  <w:szCs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00096" w:rsidRPr="00F36A15">
                  <w:rPr>
                    <w:kern w:val="22"/>
                    <w:szCs w:val="22"/>
                    <w:lang w:val="fr-CA"/>
                  </w:rPr>
                  <w:t>CBD/POST2020/</w:t>
                </w:r>
                <w:proofErr w:type="spellStart"/>
                <w:r w:rsidR="00B00096" w:rsidRPr="00F36A15">
                  <w:rPr>
                    <w:kern w:val="22"/>
                    <w:szCs w:val="22"/>
                    <w:lang w:val="fr-CA"/>
                  </w:rPr>
                  <w:t>WS</w:t>
                </w:r>
                <w:proofErr w:type="spellEnd"/>
                <w:r w:rsidR="00B00096" w:rsidRPr="00F36A15">
                  <w:rPr>
                    <w:kern w:val="22"/>
                    <w:szCs w:val="22"/>
                    <w:lang w:val="fr-CA"/>
                  </w:rPr>
                  <w:t>/2019/</w:t>
                </w:r>
                <w:r w:rsidR="0019177A" w:rsidRPr="00F36A15">
                  <w:rPr>
                    <w:kern w:val="22"/>
                    <w:szCs w:val="22"/>
                    <w:lang w:val="fr-CA"/>
                  </w:rPr>
                  <w:t>3</w:t>
                </w:r>
                <w:r w:rsidR="00B00096" w:rsidRPr="00F36A15">
                  <w:rPr>
                    <w:kern w:val="22"/>
                    <w:szCs w:val="22"/>
                    <w:lang w:val="fr-CA"/>
                  </w:rPr>
                  <w:t>/</w:t>
                </w:r>
                <w:r w:rsidR="00BB2710" w:rsidRPr="00F36A15">
                  <w:rPr>
                    <w:kern w:val="22"/>
                    <w:szCs w:val="22"/>
                    <w:lang w:val="fr-CA"/>
                  </w:rPr>
                  <w:t>2</w:t>
                </w:r>
              </w:sdtContent>
            </w:sdt>
          </w:p>
          <w:p w:rsidR="00C9161D" w:rsidRPr="006850B6" w:rsidRDefault="008407E6" w:rsidP="009221C1">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5-23T00:00:00Z">
                  <w:dateFormat w:val="d MMMM yyyy"/>
                  <w:lid w:val="en-US"/>
                  <w:storeMappedDataAs w:val="dateTime"/>
                  <w:calendar w:val="gregorian"/>
                </w:date>
              </w:sdtPr>
              <w:sdtEndPr/>
              <w:sdtContent>
                <w:r w:rsidR="00F36A15">
                  <w:rPr>
                    <w:kern w:val="22"/>
                    <w:szCs w:val="22"/>
                    <w:lang w:val="en-US"/>
                  </w:rPr>
                  <w:t>23 May 2019</w:t>
                </w:r>
              </w:sdtContent>
            </w:sdt>
          </w:p>
          <w:p w:rsidR="00C9161D" w:rsidRPr="006850B6" w:rsidRDefault="00C9161D" w:rsidP="009221C1">
            <w:pPr>
              <w:ind w:left="1215"/>
              <w:jc w:val="left"/>
              <w:rPr>
                <w:kern w:val="22"/>
                <w:szCs w:val="22"/>
              </w:rPr>
            </w:pPr>
          </w:p>
          <w:p w:rsidR="00095414" w:rsidRDefault="00095414" w:rsidP="009221C1">
            <w:pPr>
              <w:ind w:left="1215"/>
              <w:jc w:val="left"/>
              <w:rPr>
                <w:kern w:val="22"/>
                <w:szCs w:val="22"/>
              </w:rPr>
            </w:pPr>
            <w:proofErr w:type="spellStart"/>
            <w:r>
              <w:rPr>
                <w:kern w:val="22"/>
                <w:szCs w:val="22"/>
              </w:rPr>
              <w:t>FRANÇAIS</w:t>
            </w:r>
            <w:proofErr w:type="spellEnd"/>
          </w:p>
          <w:p w:rsidR="00C9161D" w:rsidRPr="00691470" w:rsidRDefault="00504EC5" w:rsidP="009221C1">
            <w:pPr>
              <w:ind w:left="1215"/>
              <w:jc w:val="left"/>
              <w:rPr>
                <w:kern w:val="22"/>
                <w:szCs w:val="22"/>
              </w:rPr>
            </w:pPr>
            <w:r w:rsidRPr="006850B6">
              <w:rPr>
                <w:kern w:val="22"/>
                <w:szCs w:val="22"/>
              </w:rPr>
              <w:t>ORIGINAL</w:t>
            </w:r>
            <w:r w:rsidR="00095414">
              <w:rPr>
                <w:kern w:val="22"/>
                <w:szCs w:val="22"/>
              </w:rPr>
              <w:t xml:space="preserve"> </w:t>
            </w:r>
            <w:r w:rsidRPr="006850B6">
              <w:rPr>
                <w:kern w:val="22"/>
                <w:szCs w:val="22"/>
              </w:rPr>
              <w:t xml:space="preserve">: </w:t>
            </w:r>
            <w:proofErr w:type="spellStart"/>
            <w:r w:rsidR="00095414">
              <w:rPr>
                <w:kern w:val="22"/>
                <w:szCs w:val="22"/>
              </w:rPr>
              <w:t>ANGLAIS</w:t>
            </w:r>
            <w:proofErr w:type="spellEnd"/>
          </w:p>
          <w:p w:rsidR="00C9161D" w:rsidRPr="004326A3" w:rsidRDefault="00C9161D" w:rsidP="009221C1">
            <w:pPr>
              <w:jc w:val="left"/>
              <w:rPr>
                <w:kern w:val="22"/>
                <w:szCs w:val="22"/>
              </w:rPr>
            </w:pPr>
          </w:p>
        </w:tc>
      </w:tr>
    </w:tbl>
    <w:p w:rsidR="00531771" w:rsidRPr="00095414" w:rsidRDefault="008407E6" w:rsidP="00C33570">
      <w:pPr>
        <w:suppressLineNumbers/>
        <w:suppressAutoHyphens/>
        <w:spacing w:before="240" w:after="240"/>
        <w:jc w:val="center"/>
        <w:rPr>
          <w:b/>
          <w:caps/>
          <w:kern w:val="22"/>
          <w:szCs w:val="22"/>
          <w:lang w:val="fr-CA"/>
        </w:rPr>
      </w:pPr>
      <w:sdt>
        <w:sdtPr>
          <w:rPr>
            <w:b/>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95414" w:rsidRPr="00095414">
            <w:rPr>
              <w:b/>
              <w:caps/>
              <w:kern w:val="22"/>
              <w:szCs w:val="22"/>
              <w:lang w:val="fr-CA"/>
            </w:rPr>
            <w:t xml:space="preserve">RAPPORT DE LA CONSULTATION RÉGIONALE SUR LE CADRE MONDIAL DE LA BIODIVERSITÉ POUR L’APRÈS-2020 POUR L’AFRIQUE, </w:t>
          </w:r>
          <w:r w:rsidR="00D704D3" w:rsidRPr="00095414">
            <w:rPr>
              <w:b/>
              <w:caps/>
              <w:kern w:val="22"/>
              <w:szCs w:val="22"/>
              <w:lang w:val="fr-CA"/>
            </w:rPr>
            <w:t>Addis</w:t>
          </w:r>
          <w:r w:rsidR="00095414" w:rsidRPr="00095414">
            <w:rPr>
              <w:b/>
              <w:caps/>
              <w:kern w:val="22"/>
              <w:szCs w:val="22"/>
              <w:lang w:val="fr-CA"/>
            </w:rPr>
            <w:t>-abeba,</w:t>
          </w:r>
          <w:r w:rsidR="00D32A06" w:rsidRPr="00095414">
            <w:rPr>
              <w:b/>
              <w:caps/>
              <w:kern w:val="22"/>
              <w:szCs w:val="22"/>
              <w:lang w:val="fr-CA"/>
            </w:rPr>
            <w:t xml:space="preserve"> 2-5</w:t>
          </w:r>
          <w:r w:rsidR="00713EEC" w:rsidRPr="00095414">
            <w:rPr>
              <w:b/>
              <w:caps/>
              <w:kern w:val="22"/>
              <w:szCs w:val="22"/>
              <w:lang w:val="fr-CA"/>
            </w:rPr>
            <w:t> </w:t>
          </w:r>
          <w:r w:rsidR="00095414" w:rsidRPr="00095414">
            <w:rPr>
              <w:b/>
              <w:caps/>
              <w:kern w:val="22"/>
              <w:szCs w:val="22"/>
              <w:lang w:val="fr-CA"/>
            </w:rPr>
            <w:t>AVRIL</w:t>
          </w:r>
          <w:r w:rsidR="00D704D3" w:rsidRPr="00095414">
            <w:rPr>
              <w:b/>
              <w:caps/>
              <w:kern w:val="22"/>
              <w:szCs w:val="22"/>
              <w:lang w:val="fr-CA"/>
            </w:rPr>
            <w:t xml:space="preserve"> </w:t>
          </w:r>
          <w:r w:rsidR="00D32A06" w:rsidRPr="00095414">
            <w:rPr>
              <w:b/>
              <w:caps/>
              <w:kern w:val="22"/>
              <w:szCs w:val="22"/>
              <w:lang w:val="fr-CA"/>
            </w:rPr>
            <w:t>2019</w:t>
          </w:r>
        </w:sdtContent>
      </w:sdt>
    </w:p>
    <w:p w:rsidR="00531771" w:rsidRPr="00095414" w:rsidRDefault="00095414" w:rsidP="00C33570">
      <w:pPr>
        <w:pStyle w:val="Titre1"/>
        <w:numPr>
          <w:ilvl w:val="0"/>
          <w:numId w:val="5"/>
        </w:numPr>
        <w:suppressLineNumbers/>
        <w:tabs>
          <w:tab w:val="clear" w:pos="720"/>
          <w:tab w:val="left" w:pos="284"/>
        </w:tabs>
        <w:suppressAutoHyphens/>
        <w:spacing w:before="120"/>
        <w:ind w:left="0" w:firstLine="0"/>
        <w:rPr>
          <w:kern w:val="22"/>
          <w:szCs w:val="22"/>
          <w:lang w:val="fr-CA" w:eastAsia="ja-JP"/>
        </w:rPr>
      </w:pPr>
      <w:r w:rsidRPr="00095414">
        <w:rPr>
          <w:kern w:val="22"/>
          <w:szCs w:val="22"/>
          <w:lang w:val="fr-CA" w:eastAsia="ja-JP"/>
        </w:rPr>
        <w:t>CONTEXTE ET OBJET</w:t>
      </w:r>
    </w:p>
    <w:p w:rsidR="00531771" w:rsidRPr="00095414" w:rsidRDefault="00D62BB7" w:rsidP="00C33570">
      <w:pPr>
        <w:pStyle w:val="Para1"/>
        <w:suppressLineNumbers/>
        <w:tabs>
          <w:tab w:val="clear" w:pos="360"/>
        </w:tabs>
        <w:suppressAutoHyphens/>
        <w:rPr>
          <w:kern w:val="22"/>
          <w:szCs w:val="22"/>
          <w:lang w:val="fr-CA"/>
        </w:rPr>
      </w:pPr>
      <w:r w:rsidRPr="00F840B9">
        <w:rPr>
          <w:kern w:val="22"/>
          <w:szCs w:val="22"/>
          <w:lang w:val="fr-CA" w:eastAsia="ja-JP"/>
        </w:rPr>
        <w:t>La Conférence des Parties à la Convention sur la diversité biolog</w:t>
      </w:r>
      <w:r>
        <w:rPr>
          <w:kern w:val="22"/>
          <w:szCs w:val="22"/>
          <w:lang w:val="fr-CA" w:eastAsia="ja-JP"/>
        </w:rPr>
        <w:t>ique a adopt</w:t>
      </w:r>
      <w:r w:rsidRPr="00F840B9">
        <w:rPr>
          <w:kern w:val="22"/>
          <w:szCs w:val="22"/>
          <w:lang w:val="fr-CA" w:eastAsia="ja-JP"/>
        </w:rPr>
        <w:t>é, à sa quatorzième r</w:t>
      </w:r>
      <w:r>
        <w:rPr>
          <w:kern w:val="22"/>
          <w:szCs w:val="22"/>
          <w:lang w:val="fr-CA" w:eastAsia="ja-JP"/>
        </w:rPr>
        <w:t>é</w:t>
      </w:r>
      <w:r w:rsidRPr="00F840B9">
        <w:rPr>
          <w:kern w:val="22"/>
          <w:szCs w:val="22"/>
          <w:lang w:val="fr-CA" w:eastAsia="ja-JP"/>
        </w:rPr>
        <w:t>union, la décision</w:t>
      </w:r>
      <w:r w:rsidRPr="00F840B9">
        <w:rPr>
          <w:kern w:val="22"/>
          <w:szCs w:val="22"/>
          <w:lang w:val="fr-CA"/>
        </w:rPr>
        <w:t xml:space="preserve"> </w:t>
      </w:r>
      <w:hyperlink r:id="rId12" w:history="1">
        <w:r w:rsidRPr="00F840B9">
          <w:rPr>
            <w:rStyle w:val="Lienhypertexte"/>
            <w:kern w:val="22"/>
            <w:sz w:val="22"/>
            <w:szCs w:val="22"/>
            <w:lang w:val="fr-CA"/>
          </w:rPr>
          <w:t>14/34</w:t>
        </w:r>
      </w:hyperlink>
      <w:r w:rsidRPr="00F840B9">
        <w:rPr>
          <w:kern w:val="22"/>
          <w:szCs w:val="22"/>
          <w:lang w:val="fr-CA"/>
        </w:rPr>
        <w:t xml:space="preserve"> </w:t>
      </w:r>
      <w:r>
        <w:rPr>
          <w:kern w:val="22"/>
          <w:szCs w:val="22"/>
          <w:lang w:val="fr-CA"/>
        </w:rPr>
        <w:t>sur le processus préparatoire de l’élaboration du cadre mondial de la biodiversité pour l’après-2020 et a demandé à la Secrétaire exécutive d’en faciliter la mise en œuvre</w:t>
      </w:r>
      <w:r w:rsidR="00531771" w:rsidRPr="00095414">
        <w:rPr>
          <w:kern w:val="22"/>
          <w:szCs w:val="22"/>
          <w:lang w:val="fr-CA"/>
        </w:rPr>
        <w:t xml:space="preserve">. </w:t>
      </w:r>
      <w:r>
        <w:rPr>
          <w:kern w:val="22"/>
          <w:szCs w:val="22"/>
          <w:lang w:val="fr-CA"/>
        </w:rPr>
        <w:t>Un groupe de travail intersessions à composition non limitée a été constitué afin de soutenir la préparation du cadre mondial de la biodiversité pour l’après-2020</w:t>
      </w:r>
      <w:r w:rsidR="00A57517" w:rsidRPr="00095414">
        <w:rPr>
          <w:kern w:val="22"/>
          <w:szCs w:val="22"/>
          <w:lang w:val="fr-CA"/>
        </w:rPr>
        <w:t>,</w:t>
      </w:r>
      <w:r w:rsidR="00531771" w:rsidRPr="00095414">
        <w:rPr>
          <w:kern w:val="22"/>
          <w:szCs w:val="22"/>
          <w:lang w:val="fr-CA"/>
        </w:rPr>
        <w:t xml:space="preserve"> </w:t>
      </w:r>
      <w:r>
        <w:rPr>
          <w:kern w:val="22"/>
          <w:szCs w:val="22"/>
          <w:lang w:val="fr-CA"/>
        </w:rPr>
        <w:t>et M</w:t>
      </w:r>
      <w:r w:rsidR="00531771" w:rsidRPr="00095414">
        <w:rPr>
          <w:kern w:val="22"/>
          <w:szCs w:val="22"/>
          <w:lang w:val="fr-CA"/>
        </w:rPr>
        <w:t xml:space="preserve">. Francis </w:t>
      </w:r>
      <w:proofErr w:type="spellStart"/>
      <w:r w:rsidR="00531771" w:rsidRPr="00095414">
        <w:rPr>
          <w:kern w:val="22"/>
          <w:szCs w:val="22"/>
          <w:lang w:val="fr-CA"/>
        </w:rPr>
        <w:t>Ogwal</w:t>
      </w:r>
      <w:proofErr w:type="spellEnd"/>
      <w:r w:rsidR="00531771" w:rsidRPr="00095414">
        <w:rPr>
          <w:kern w:val="22"/>
          <w:szCs w:val="22"/>
          <w:lang w:val="fr-CA"/>
        </w:rPr>
        <w:t xml:space="preserve"> (</w:t>
      </w:r>
      <w:r>
        <w:rPr>
          <w:kern w:val="22"/>
          <w:szCs w:val="22"/>
          <w:lang w:val="fr-CA"/>
        </w:rPr>
        <w:t>Ouganda</w:t>
      </w:r>
      <w:r w:rsidR="00531771" w:rsidRPr="00095414">
        <w:rPr>
          <w:kern w:val="22"/>
          <w:szCs w:val="22"/>
          <w:lang w:val="fr-CA"/>
        </w:rPr>
        <w:t xml:space="preserve">) </w:t>
      </w:r>
      <w:r>
        <w:rPr>
          <w:kern w:val="22"/>
          <w:szCs w:val="22"/>
          <w:lang w:val="fr-CA"/>
        </w:rPr>
        <w:t>ainsi que</w:t>
      </w:r>
      <w:r w:rsidR="00531771" w:rsidRPr="00095414">
        <w:rPr>
          <w:kern w:val="22"/>
          <w:szCs w:val="22"/>
          <w:lang w:val="fr-CA"/>
        </w:rPr>
        <w:t xml:space="preserve"> M. Basile van Havre (Canada) </w:t>
      </w:r>
      <w:r>
        <w:rPr>
          <w:kern w:val="22"/>
          <w:szCs w:val="22"/>
          <w:lang w:val="fr-CA"/>
        </w:rPr>
        <w:t>ont été nommés coprésidents du groupe de travail</w:t>
      </w:r>
      <w:r w:rsidR="00531771" w:rsidRPr="00095414">
        <w:rPr>
          <w:kern w:val="22"/>
          <w:szCs w:val="22"/>
          <w:lang w:val="fr-CA"/>
        </w:rPr>
        <w:t>.</w:t>
      </w:r>
    </w:p>
    <w:p w:rsidR="00531771" w:rsidRPr="00095414" w:rsidRDefault="0031713F" w:rsidP="00C33570">
      <w:pPr>
        <w:pStyle w:val="Para1"/>
        <w:suppressLineNumbers/>
        <w:tabs>
          <w:tab w:val="clear" w:pos="360"/>
        </w:tabs>
        <w:suppressAutoHyphens/>
        <w:rPr>
          <w:kern w:val="22"/>
          <w:szCs w:val="22"/>
          <w:lang w:val="fr-CA"/>
        </w:rPr>
      </w:pPr>
      <w:r>
        <w:rPr>
          <w:kern w:val="22"/>
          <w:szCs w:val="22"/>
          <w:lang w:val="fr-CA"/>
        </w:rPr>
        <w:t>Au paragraphe 6 de la décision, la Conférence des Parties exhorte les Parties et invite les autres gouvernements et parties prenantes à « </w:t>
      </w:r>
      <w:r w:rsidRPr="002D43F0">
        <w:rPr>
          <w:lang w:val="fr-CA"/>
        </w:rPr>
        <w:t>participer activement et à contribuer au processus d’élaboration d’un cadre mondial de la biodiversité robuste pour l’après-2020 afin de favoriser une forte adhésion au cadre à convenir et un soutien solide pour sa mise en œuvre immédiate</w:t>
      </w:r>
      <w:r>
        <w:rPr>
          <w:lang w:val="fr-CA"/>
        </w:rPr>
        <w:t>. » À cet égard, il a été convenu que des ateliers de consultation thématiques et régionaux seraient organisés afin d’offrir une tribune de discussion et d’engager activement toutes les parties prenantes concernées</w:t>
      </w:r>
      <w:r w:rsidR="00531771" w:rsidRPr="00095414">
        <w:rPr>
          <w:kern w:val="22"/>
          <w:szCs w:val="22"/>
          <w:lang w:val="fr-CA"/>
        </w:rPr>
        <w:t>.</w:t>
      </w:r>
    </w:p>
    <w:p w:rsidR="00A47934" w:rsidRPr="00095414" w:rsidRDefault="0031713F" w:rsidP="00C33570">
      <w:pPr>
        <w:pStyle w:val="Para1"/>
        <w:suppressLineNumbers/>
        <w:tabs>
          <w:tab w:val="clear" w:pos="360"/>
        </w:tabs>
        <w:suppressAutoHyphens/>
        <w:rPr>
          <w:kern w:val="22"/>
          <w:szCs w:val="22"/>
          <w:lang w:val="fr-CA"/>
        </w:rPr>
      </w:pPr>
      <w:r>
        <w:rPr>
          <w:kern w:val="22"/>
          <w:szCs w:val="22"/>
          <w:lang w:val="fr-CA"/>
        </w:rPr>
        <w:t>La consultation régionale sur le cadre mondial de la biodiversité pour l’après-2020 pour l’Afrique a été organisée par le Secrétariat de la Convention sur la diversité biologique en collaboration avec la Commission de l’Union africaine et l’Agence de développement de l’Union africaine/Nouveau partenariat pour le développement de l’Afrique</w:t>
      </w:r>
      <w:r w:rsidR="006774AC">
        <w:rPr>
          <w:kern w:val="22"/>
          <w:szCs w:val="22"/>
          <w:lang w:val="fr-CA"/>
        </w:rPr>
        <w:t xml:space="preserve"> (</w:t>
      </w:r>
      <w:proofErr w:type="spellStart"/>
      <w:r w:rsidR="006774AC">
        <w:rPr>
          <w:kern w:val="22"/>
          <w:szCs w:val="22"/>
          <w:lang w:val="fr-CA"/>
        </w:rPr>
        <w:t>AUDA-NEPAD</w:t>
      </w:r>
      <w:proofErr w:type="spellEnd"/>
      <w:r w:rsidR="006774AC">
        <w:rPr>
          <w:kern w:val="22"/>
          <w:szCs w:val="22"/>
          <w:lang w:val="fr-CA"/>
        </w:rPr>
        <w:t>)</w:t>
      </w:r>
      <w:r>
        <w:rPr>
          <w:kern w:val="22"/>
          <w:szCs w:val="22"/>
          <w:lang w:val="fr-CA"/>
        </w:rPr>
        <w:t xml:space="preserve">, avec le généreux soutien du gouvernement du Royaume-Uni de Grande-Bretagne et de l’Irlande du Nord. Le groupe stratégique </w:t>
      </w:r>
      <w:proofErr w:type="spellStart"/>
      <w:r>
        <w:rPr>
          <w:kern w:val="22"/>
          <w:szCs w:val="22"/>
          <w:lang w:val="fr-CA"/>
        </w:rPr>
        <w:t>SABI</w:t>
      </w:r>
      <w:proofErr w:type="spellEnd"/>
      <w:r>
        <w:rPr>
          <w:kern w:val="22"/>
          <w:szCs w:val="22"/>
          <w:lang w:val="fr-CA"/>
        </w:rPr>
        <w:t xml:space="preserve"> a également fourni un soutien financier qui a permis la participation de deux organisations de la société civile</w:t>
      </w:r>
      <w:r w:rsidR="002373D9" w:rsidRPr="00095414">
        <w:rPr>
          <w:kern w:val="22"/>
          <w:szCs w:val="22"/>
          <w:lang w:val="fr-CA" w:eastAsia="ja-JP"/>
        </w:rPr>
        <w:t>.</w:t>
      </w:r>
    </w:p>
    <w:p w:rsidR="005357F3" w:rsidRPr="00B26B5B" w:rsidRDefault="00C762F8" w:rsidP="00C33570">
      <w:pPr>
        <w:pStyle w:val="Para1"/>
        <w:suppressLineNumbers/>
        <w:tabs>
          <w:tab w:val="clear" w:pos="360"/>
        </w:tabs>
        <w:suppressAutoHyphens/>
        <w:rPr>
          <w:kern w:val="22"/>
          <w:szCs w:val="22"/>
          <w:lang w:val="fr-CA"/>
        </w:rPr>
      </w:pPr>
      <w:r w:rsidRPr="00B26B5B">
        <w:rPr>
          <w:kern w:val="22"/>
          <w:szCs w:val="22"/>
          <w:lang w:val="fr-CA"/>
        </w:rPr>
        <w:t>La consultation a été entreprise sous la direction des coprésidents du Groupe de travail à composition non limitée sur le cadre mondial de la biodiversité pour l</w:t>
      </w:r>
      <w:r w:rsidR="00CD0FC3">
        <w:rPr>
          <w:kern w:val="22"/>
          <w:szCs w:val="22"/>
          <w:lang w:val="fr-CA"/>
        </w:rPr>
        <w:t>’</w:t>
      </w:r>
      <w:r w:rsidRPr="00B26B5B">
        <w:rPr>
          <w:kern w:val="22"/>
          <w:szCs w:val="22"/>
          <w:lang w:val="fr-CA"/>
        </w:rPr>
        <w:t xml:space="preserve">après-2020 et </w:t>
      </w:r>
      <w:r w:rsidR="00B92D18">
        <w:rPr>
          <w:kern w:val="22"/>
          <w:szCs w:val="22"/>
          <w:lang w:val="fr-CA"/>
        </w:rPr>
        <w:t xml:space="preserve">sous </w:t>
      </w:r>
      <w:r w:rsidRPr="00B26B5B">
        <w:rPr>
          <w:kern w:val="22"/>
          <w:szCs w:val="22"/>
          <w:lang w:val="fr-CA"/>
        </w:rPr>
        <w:t xml:space="preserve">la supervision du Bureau de la Conférence des Parties. Quatre-vingt-onze personnes y ont participé, dont des représentants des Parties, des autres gouvernements, des peuples autochtones et des communautés locales de la région, </w:t>
      </w:r>
      <w:r w:rsidR="00B26B5B" w:rsidRPr="00B26B5B">
        <w:rPr>
          <w:kern w:val="22"/>
          <w:szCs w:val="22"/>
          <w:lang w:val="fr-CA"/>
        </w:rPr>
        <w:t>ainsi que</w:t>
      </w:r>
      <w:r w:rsidRPr="00B26B5B">
        <w:rPr>
          <w:kern w:val="22"/>
          <w:szCs w:val="22"/>
          <w:lang w:val="fr-CA"/>
        </w:rPr>
        <w:t xml:space="preserve"> des organisations pertinentes, y compris les programmes et organisations des Nations Unies, d’autres accords multilatéraux sur l’environnement, des organisations intergouvernementales, des organisations non gouvernementales, des group</w:t>
      </w:r>
      <w:r w:rsidR="00883B00" w:rsidRPr="00B26B5B">
        <w:rPr>
          <w:kern w:val="22"/>
          <w:szCs w:val="22"/>
          <w:lang w:val="fr-CA"/>
        </w:rPr>
        <w:t xml:space="preserve">es de femmes et de jeunes, </w:t>
      </w:r>
      <w:r w:rsidR="00F948BA">
        <w:rPr>
          <w:kern w:val="22"/>
          <w:szCs w:val="22"/>
          <w:lang w:val="fr-CA"/>
        </w:rPr>
        <w:t xml:space="preserve">de </w:t>
      </w:r>
      <w:r w:rsidR="00883B00" w:rsidRPr="00B26B5B">
        <w:rPr>
          <w:kern w:val="22"/>
          <w:szCs w:val="22"/>
          <w:lang w:val="fr-CA"/>
        </w:rPr>
        <w:t xml:space="preserve">la communauté scientifique et </w:t>
      </w:r>
      <w:r w:rsidR="00F948BA">
        <w:rPr>
          <w:kern w:val="22"/>
          <w:szCs w:val="22"/>
          <w:lang w:val="fr-CA"/>
        </w:rPr>
        <w:t>du</w:t>
      </w:r>
      <w:r w:rsidR="00883B00" w:rsidRPr="00B26B5B">
        <w:rPr>
          <w:kern w:val="22"/>
          <w:szCs w:val="22"/>
          <w:lang w:val="fr-CA"/>
        </w:rPr>
        <w:t xml:space="preserve"> milieu universitaire.</w:t>
      </w:r>
    </w:p>
    <w:p w:rsidR="00CB1C69" w:rsidRPr="00B26B5B" w:rsidRDefault="00883B00" w:rsidP="00C33570">
      <w:pPr>
        <w:pStyle w:val="Para1"/>
        <w:suppressLineNumbers/>
        <w:tabs>
          <w:tab w:val="clear" w:pos="360"/>
        </w:tabs>
        <w:suppressAutoHyphens/>
        <w:rPr>
          <w:kern w:val="22"/>
          <w:szCs w:val="22"/>
          <w:lang w:val="fr-CA"/>
        </w:rPr>
      </w:pPr>
      <w:r w:rsidRPr="00B26B5B">
        <w:rPr>
          <w:kern w:val="22"/>
          <w:szCs w:val="22"/>
          <w:lang w:val="fr-CA"/>
        </w:rPr>
        <w:t>Le présent rapport présente un résumé des conclusions principales dans la partie II et un compte rendu du déroulement de la consultation à la partie III</w:t>
      </w:r>
      <w:r w:rsidR="00180687" w:rsidRPr="00B26B5B">
        <w:rPr>
          <w:kern w:val="22"/>
          <w:szCs w:val="22"/>
          <w:lang w:val="fr-CA"/>
        </w:rPr>
        <w:t>.</w:t>
      </w:r>
    </w:p>
    <w:p w:rsidR="00883B00" w:rsidRPr="00B26B5B" w:rsidRDefault="00883B00" w:rsidP="00883B00">
      <w:pPr>
        <w:pStyle w:val="Titre1"/>
        <w:numPr>
          <w:ilvl w:val="0"/>
          <w:numId w:val="5"/>
        </w:numPr>
        <w:suppressLineNumbers/>
        <w:tabs>
          <w:tab w:val="clear" w:pos="720"/>
        </w:tabs>
        <w:suppressAutoHyphens/>
        <w:spacing w:before="120"/>
        <w:ind w:left="1418" w:hanging="567"/>
        <w:jc w:val="left"/>
        <w:rPr>
          <w:kern w:val="22"/>
          <w:szCs w:val="22"/>
          <w:lang w:val="fr-CA" w:eastAsia="ja-JP"/>
        </w:rPr>
      </w:pPr>
      <w:r w:rsidRPr="00B26B5B">
        <w:rPr>
          <w:kern w:val="22"/>
          <w:szCs w:val="22"/>
          <w:lang w:val="fr-CA" w:eastAsia="ja-JP"/>
        </w:rPr>
        <w:t>POINTS DE VUE ET PERSPECTIVES SUR LE cadre mondial de la biodiversité pour l</w:t>
      </w:r>
      <w:r w:rsidR="00CD0FC3">
        <w:rPr>
          <w:kern w:val="22"/>
          <w:szCs w:val="22"/>
          <w:lang w:val="fr-CA" w:eastAsia="ja-JP"/>
        </w:rPr>
        <w:t>’</w:t>
      </w:r>
      <w:r w:rsidRPr="00B26B5B">
        <w:rPr>
          <w:kern w:val="22"/>
          <w:szCs w:val="22"/>
          <w:lang w:val="fr-CA" w:eastAsia="ja-JP"/>
        </w:rPr>
        <w:t>après-2020</w:t>
      </w:r>
    </w:p>
    <w:p w:rsidR="00994E1D" w:rsidRPr="00B26B5B" w:rsidRDefault="00883B00" w:rsidP="00C33570">
      <w:pPr>
        <w:pStyle w:val="Para1"/>
        <w:suppressLineNumbers/>
        <w:tabs>
          <w:tab w:val="clear" w:pos="360"/>
        </w:tabs>
        <w:suppressAutoHyphens/>
        <w:rPr>
          <w:kern w:val="22"/>
          <w:szCs w:val="22"/>
          <w:lang w:val="fr-CA"/>
        </w:rPr>
      </w:pPr>
      <w:r w:rsidRPr="00B26B5B">
        <w:rPr>
          <w:kern w:val="22"/>
          <w:szCs w:val="22"/>
          <w:lang w:val="fr-CA"/>
        </w:rPr>
        <w:t>Les paragraphes suivants présentent une synthèse des points de vue d’ensemble et des pe</w:t>
      </w:r>
      <w:r w:rsidR="008E0907" w:rsidRPr="00B26B5B">
        <w:rPr>
          <w:kern w:val="22"/>
          <w:szCs w:val="22"/>
          <w:lang w:val="fr-CA"/>
        </w:rPr>
        <w:t>r</w:t>
      </w:r>
      <w:r w:rsidRPr="00B26B5B">
        <w:rPr>
          <w:kern w:val="22"/>
          <w:szCs w:val="22"/>
          <w:lang w:val="fr-CA"/>
        </w:rPr>
        <w:t>spec</w:t>
      </w:r>
      <w:r w:rsidR="008E0907" w:rsidRPr="00B26B5B">
        <w:rPr>
          <w:kern w:val="22"/>
          <w:szCs w:val="22"/>
          <w:lang w:val="fr-CA"/>
        </w:rPr>
        <w:t>tives générales exprimés par le</w:t>
      </w:r>
      <w:r w:rsidRPr="00B26B5B">
        <w:rPr>
          <w:kern w:val="22"/>
          <w:szCs w:val="22"/>
          <w:lang w:val="fr-CA"/>
        </w:rPr>
        <w:t>s</w:t>
      </w:r>
      <w:r w:rsidR="008E0907" w:rsidRPr="00B26B5B">
        <w:rPr>
          <w:kern w:val="22"/>
          <w:szCs w:val="22"/>
          <w:lang w:val="fr-CA"/>
        </w:rPr>
        <w:t xml:space="preserve"> </w:t>
      </w:r>
      <w:r w:rsidRPr="00B26B5B">
        <w:rPr>
          <w:kern w:val="22"/>
          <w:szCs w:val="22"/>
          <w:lang w:val="fr-CA"/>
        </w:rPr>
        <w:t>participants au cours de la consultation sur le cadre mondial de la biodiversité pour l</w:t>
      </w:r>
      <w:r w:rsidR="00CD0FC3">
        <w:rPr>
          <w:kern w:val="22"/>
          <w:szCs w:val="22"/>
          <w:lang w:val="fr-CA"/>
        </w:rPr>
        <w:t>’</w:t>
      </w:r>
      <w:r w:rsidRPr="00B26B5B">
        <w:rPr>
          <w:kern w:val="22"/>
          <w:szCs w:val="22"/>
          <w:lang w:val="fr-CA"/>
        </w:rPr>
        <w:t>après-2020</w:t>
      </w:r>
      <w:r w:rsidR="008E0907" w:rsidRPr="00B26B5B">
        <w:rPr>
          <w:kern w:val="22"/>
          <w:szCs w:val="22"/>
          <w:lang w:val="fr-CA"/>
        </w:rPr>
        <w:t xml:space="preserve">, </w:t>
      </w:r>
      <w:r w:rsidR="00B26B5B">
        <w:rPr>
          <w:kern w:val="22"/>
          <w:szCs w:val="22"/>
          <w:lang w:val="fr-CA"/>
        </w:rPr>
        <w:t>qui tiennent compte</w:t>
      </w:r>
      <w:r w:rsidR="008E0907" w:rsidRPr="00B26B5B">
        <w:rPr>
          <w:kern w:val="22"/>
          <w:szCs w:val="22"/>
          <w:lang w:val="fr-CA"/>
        </w:rPr>
        <w:t xml:space="preserve"> des expériences et des enseignements tirés de la mise en œuvre du Plan stratégique pour la diversité biologique 2011-2020, des occasions et des difficultés régional</w:t>
      </w:r>
      <w:r w:rsidR="00C81D46">
        <w:rPr>
          <w:kern w:val="22"/>
          <w:szCs w:val="22"/>
          <w:lang w:val="fr-CA"/>
        </w:rPr>
        <w:t>es</w:t>
      </w:r>
      <w:r w:rsidR="008E0907" w:rsidRPr="00B26B5B">
        <w:rPr>
          <w:kern w:val="22"/>
          <w:szCs w:val="22"/>
          <w:lang w:val="fr-CA"/>
        </w:rPr>
        <w:t xml:space="preserve">, de même que des perspectives sur la façon de réaliser la mission et la </w:t>
      </w:r>
      <w:r w:rsidR="00C81D46">
        <w:rPr>
          <w:kern w:val="22"/>
          <w:szCs w:val="22"/>
          <w:lang w:val="fr-CA"/>
        </w:rPr>
        <w:t>V</w:t>
      </w:r>
      <w:r w:rsidR="008E0907" w:rsidRPr="00B26B5B">
        <w:rPr>
          <w:kern w:val="22"/>
          <w:szCs w:val="22"/>
          <w:lang w:val="fr-CA"/>
        </w:rPr>
        <w:t>ision 2050 de «</w:t>
      </w:r>
      <w:r w:rsidR="00CD0FC3">
        <w:rPr>
          <w:kern w:val="22"/>
          <w:szCs w:val="22"/>
          <w:lang w:val="fr-CA"/>
        </w:rPr>
        <w:t> </w:t>
      </w:r>
      <w:r w:rsidR="008E0907" w:rsidRPr="00B26B5B">
        <w:rPr>
          <w:kern w:val="22"/>
          <w:szCs w:val="22"/>
          <w:lang w:val="fr-CA"/>
        </w:rPr>
        <w:t xml:space="preserve">vivre en harmonie avec la </w:t>
      </w:r>
      <w:r w:rsidR="008E0907" w:rsidRPr="00B26B5B">
        <w:rPr>
          <w:kern w:val="22"/>
          <w:szCs w:val="22"/>
          <w:lang w:val="fr-CA"/>
        </w:rPr>
        <w:lastRenderedPageBreak/>
        <w:t>nature</w:t>
      </w:r>
      <w:r w:rsidR="00CD0FC3">
        <w:rPr>
          <w:kern w:val="22"/>
          <w:szCs w:val="22"/>
          <w:lang w:val="fr-CA"/>
        </w:rPr>
        <w:t> </w:t>
      </w:r>
      <w:r w:rsidR="008E0907" w:rsidRPr="00B26B5B">
        <w:rPr>
          <w:lang w:val="fr-CA"/>
        </w:rPr>
        <w:t xml:space="preserve">». Ils ne doivent pas être interprétés comme un consensus, mais plutôt comme une contribution </w:t>
      </w:r>
      <w:r w:rsidR="00C81D46">
        <w:rPr>
          <w:lang w:val="fr-CA"/>
        </w:rPr>
        <w:t xml:space="preserve">menant à des </w:t>
      </w:r>
      <w:r w:rsidR="008E0907" w:rsidRPr="00B26B5B">
        <w:rPr>
          <w:lang w:val="fr-CA"/>
        </w:rPr>
        <w:t>échanges approfondis</w:t>
      </w:r>
      <w:r w:rsidR="00326CEB" w:rsidRPr="00B26B5B">
        <w:rPr>
          <w:lang w:val="fr-CA"/>
        </w:rPr>
        <w:t xml:space="preserve"> </w:t>
      </w:r>
      <w:r w:rsidR="00C81D46">
        <w:rPr>
          <w:lang w:val="fr-CA"/>
        </w:rPr>
        <w:t>sur le</w:t>
      </w:r>
      <w:r w:rsidR="00326CEB" w:rsidRPr="00B26B5B">
        <w:rPr>
          <w:lang w:val="fr-CA"/>
        </w:rPr>
        <w:t xml:space="preserve"> processus d’élaboration du cadre mondial de la biodiversité pour l</w:t>
      </w:r>
      <w:r w:rsidR="00CD0FC3">
        <w:rPr>
          <w:lang w:val="fr-CA"/>
        </w:rPr>
        <w:t>’</w:t>
      </w:r>
      <w:r w:rsidR="00326CEB" w:rsidRPr="00B26B5B">
        <w:rPr>
          <w:lang w:val="fr-CA"/>
        </w:rPr>
        <w:t>après-2020</w:t>
      </w:r>
      <w:r w:rsidR="00C43060" w:rsidRPr="00B26B5B">
        <w:rPr>
          <w:kern w:val="22"/>
          <w:szCs w:val="22"/>
          <w:lang w:val="fr-CA"/>
        </w:rPr>
        <w:t>.</w:t>
      </w:r>
    </w:p>
    <w:p w:rsidR="00C43060" w:rsidRPr="00B26B5B" w:rsidRDefault="00326CEB" w:rsidP="002511BD">
      <w:pPr>
        <w:pStyle w:val="Titre2"/>
        <w:numPr>
          <w:ilvl w:val="0"/>
          <w:numId w:val="7"/>
        </w:numPr>
        <w:suppressLineNumbers/>
        <w:tabs>
          <w:tab w:val="clear" w:pos="720"/>
          <w:tab w:val="left" w:pos="851"/>
        </w:tabs>
        <w:suppressAutoHyphens/>
        <w:ind w:left="851"/>
        <w:jc w:val="left"/>
        <w:rPr>
          <w:kern w:val="22"/>
          <w:szCs w:val="22"/>
          <w:lang w:val="fr-CA"/>
        </w:rPr>
      </w:pPr>
      <w:r w:rsidRPr="00B26B5B">
        <w:rPr>
          <w:kern w:val="22"/>
          <w:szCs w:val="22"/>
          <w:lang w:val="fr-CA"/>
        </w:rPr>
        <w:t>Occasions et difficultés pour le cadre mondial de la biodiversité pour l</w:t>
      </w:r>
      <w:r w:rsidR="00CD0FC3">
        <w:rPr>
          <w:kern w:val="22"/>
          <w:szCs w:val="22"/>
          <w:lang w:val="fr-CA"/>
        </w:rPr>
        <w:t>’</w:t>
      </w:r>
      <w:r w:rsidRPr="00B26B5B">
        <w:rPr>
          <w:kern w:val="22"/>
          <w:szCs w:val="22"/>
          <w:lang w:val="fr-CA"/>
        </w:rPr>
        <w:t>après-2020 découlant de la mise en œuvre du Plan stratégique pour la diversité biologique 2011-2020 dans la région</w:t>
      </w:r>
    </w:p>
    <w:p w:rsidR="00087182" w:rsidRPr="00B26B5B" w:rsidRDefault="00326CEB" w:rsidP="00C33570">
      <w:pPr>
        <w:pStyle w:val="Para1"/>
        <w:suppressLineNumbers/>
        <w:tabs>
          <w:tab w:val="clear" w:pos="360"/>
        </w:tabs>
        <w:suppressAutoHyphens/>
        <w:rPr>
          <w:kern w:val="22"/>
          <w:szCs w:val="22"/>
          <w:lang w:val="fr-CA"/>
        </w:rPr>
      </w:pPr>
      <w:r w:rsidRPr="00B26B5B">
        <w:rPr>
          <w:kern w:val="22"/>
          <w:szCs w:val="22"/>
          <w:lang w:val="fr-CA"/>
        </w:rPr>
        <w:t xml:space="preserve">Les participants ont recensé plusieurs occasions et difficultés dans la région </w:t>
      </w:r>
      <w:r w:rsidR="00F948BA">
        <w:rPr>
          <w:kern w:val="22"/>
          <w:szCs w:val="22"/>
          <w:lang w:val="fr-CA"/>
        </w:rPr>
        <w:t>susceptibles d’</w:t>
      </w:r>
      <w:r w:rsidRPr="00B26B5B">
        <w:rPr>
          <w:kern w:val="22"/>
          <w:szCs w:val="22"/>
          <w:lang w:val="fr-CA"/>
        </w:rPr>
        <w:t>avoir des répercussions sur la mise en œuvre du cadre mondial de la biodiversité pour l</w:t>
      </w:r>
      <w:r w:rsidR="00CD0FC3">
        <w:rPr>
          <w:kern w:val="22"/>
          <w:szCs w:val="22"/>
          <w:lang w:val="fr-CA"/>
        </w:rPr>
        <w:t>’</w:t>
      </w:r>
      <w:r w:rsidRPr="00B26B5B">
        <w:rPr>
          <w:kern w:val="22"/>
          <w:szCs w:val="22"/>
          <w:lang w:val="fr-CA"/>
        </w:rPr>
        <w:t>après-2020 et l</w:t>
      </w:r>
      <w:r w:rsidR="00C81D46">
        <w:rPr>
          <w:kern w:val="22"/>
          <w:szCs w:val="22"/>
          <w:lang w:val="fr-CA"/>
        </w:rPr>
        <w:t>a réalisation de la V</w:t>
      </w:r>
      <w:r w:rsidRPr="00B26B5B">
        <w:rPr>
          <w:kern w:val="22"/>
          <w:szCs w:val="22"/>
          <w:lang w:val="fr-CA"/>
        </w:rPr>
        <w:t>ision</w:t>
      </w:r>
      <w:r w:rsidR="00C81D46">
        <w:rPr>
          <w:kern w:val="22"/>
          <w:szCs w:val="22"/>
          <w:lang w:val="fr-CA"/>
        </w:rPr>
        <w:t xml:space="preserve"> 2050</w:t>
      </w:r>
      <w:r w:rsidRPr="00B26B5B">
        <w:rPr>
          <w:kern w:val="22"/>
          <w:szCs w:val="22"/>
          <w:lang w:val="fr-CA"/>
        </w:rPr>
        <w:t xml:space="preserve"> de « vivre en harmonie avec la nature ». Ils ont aussi constaté que l’élaboration du cadre mondial de la biodiversité pour l</w:t>
      </w:r>
      <w:r w:rsidR="00CD0FC3">
        <w:rPr>
          <w:kern w:val="22"/>
          <w:szCs w:val="22"/>
          <w:lang w:val="fr-CA"/>
        </w:rPr>
        <w:t>’</w:t>
      </w:r>
      <w:r w:rsidRPr="00B26B5B">
        <w:rPr>
          <w:kern w:val="22"/>
          <w:szCs w:val="22"/>
          <w:lang w:val="fr-CA"/>
        </w:rPr>
        <w:t xml:space="preserve">après-2020 offrait une occasion de </w:t>
      </w:r>
      <w:r w:rsidR="00C81D46">
        <w:rPr>
          <w:kern w:val="22"/>
          <w:szCs w:val="22"/>
          <w:lang w:val="fr-CA"/>
        </w:rPr>
        <w:t>profiter</w:t>
      </w:r>
      <w:r w:rsidRPr="00B26B5B">
        <w:rPr>
          <w:kern w:val="22"/>
          <w:szCs w:val="22"/>
          <w:lang w:val="fr-CA"/>
        </w:rPr>
        <w:t xml:space="preserve"> </w:t>
      </w:r>
      <w:r w:rsidR="00E72C42" w:rsidRPr="00B26B5B">
        <w:rPr>
          <w:kern w:val="22"/>
          <w:szCs w:val="22"/>
          <w:lang w:val="fr-CA"/>
        </w:rPr>
        <w:t xml:space="preserve">des expériences antérieures, d’encourager les meilleures pratiques et d’éviter les erreurs du passé. Elle offrait également l’occasion de passer en revue et </w:t>
      </w:r>
      <w:r w:rsidR="00C81D46">
        <w:rPr>
          <w:kern w:val="22"/>
          <w:szCs w:val="22"/>
          <w:lang w:val="fr-CA"/>
        </w:rPr>
        <w:t>d’aligner</w:t>
      </w:r>
      <w:r w:rsidR="00E72C42" w:rsidRPr="00B26B5B">
        <w:rPr>
          <w:kern w:val="22"/>
          <w:szCs w:val="22"/>
          <w:lang w:val="fr-CA"/>
        </w:rPr>
        <w:t xml:space="preserve"> les Objectifs </w:t>
      </w:r>
      <w:r w:rsidR="00F948BA">
        <w:rPr>
          <w:kern w:val="22"/>
          <w:szCs w:val="22"/>
          <w:lang w:val="fr-CA"/>
        </w:rPr>
        <w:t xml:space="preserve">d’Aichi </w:t>
      </w:r>
      <w:r w:rsidR="00D13066">
        <w:rPr>
          <w:kern w:val="22"/>
          <w:szCs w:val="22"/>
          <w:lang w:val="fr-CA"/>
        </w:rPr>
        <w:t xml:space="preserve">pour la diversité sur les Objectifs </w:t>
      </w:r>
      <w:r w:rsidR="00E72C42" w:rsidRPr="00B26B5B">
        <w:rPr>
          <w:kern w:val="22"/>
          <w:szCs w:val="22"/>
          <w:lang w:val="fr-CA"/>
        </w:rPr>
        <w:t>de développement durable et les autres processus et programmes mondiaux et régionaux pertinents, dont l’Agenda 2063 de l’Union africaine : L’Afrique que nous voulons</w:t>
      </w:r>
      <w:r w:rsidR="00087182" w:rsidRPr="00B26B5B">
        <w:rPr>
          <w:kern w:val="22"/>
          <w:szCs w:val="22"/>
          <w:lang w:val="fr-CA"/>
        </w:rPr>
        <w:t>.</w:t>
      </w:r>
      <w:r w:rsidR="00200AF1" w:rsidRPr="00B26B5B">
        <w:rPr>
          <w:rStyle w:val="Appelnotedebasdep"/>
          <w:kern w:val="22"/>
          <w:szCs w:val="22"/>
          <w:lang w:val="fr-CA"/>
        </w:rPr>
        <w:footnoteReference w:id="1"/>
      </w:r>
    </w:p>
    <w:p w:rsidR="00200AF1" w:rsidRPr="00B26B5B" w:rsidRDefault="00DA1697" w:rsidP="00C33570">
      <w:pPr>
        <w:pStyle w:val="Para1"/>
        <w:suppressLineNumbers/>
        <w:tabs>
          <w:tab w:val="clear" w:pos="360"/>
        </w:tabs>
        <w:suppressAutoHyphens/>
        <w:rPr>
          <w:kern w:val="22"/>
          <w:szCs w:val="22"/>
          <w:lang w:val="fr-CA"/>
        </w:rPr>
      </w:pPr>
      <w:r>
        <w:rPr>
          <w:kern w:val="22"/>
          <w:szCs w:val="22"/>
          <w:lang w:val="fr-CA"/>
        </w:rPr>
        <w:t>M</w:t>
      </w:r>
      <w:r w:rsidR="003F4DAA" w:rsidRPr="00B26B5B">
        <w:rPr>
          <w:kern w:val="22"/>
          <w:szCs w:val="22"/>
          <w:lang w:val="fr-CA"/>
        </w:rPr>
        <w:t xml:space="preserve">algré leur diversité, les pays africains </w:t>
      </w:r>
      <w:r>
        <w:rPr>
          <w:kern w:val="22"/>
          <w:szCs w:val="22"/>
          <w:lang w:val="fr-CA"/>
        </w:rPr>
        <w:t>ont</w:t>
      </w:r>
      <w:r w:rsidR="003F4DAA" w:rsidRPr="00B26B5B">
        <w:rPr>
          <w:kern w:val="22"/>
          <w:szCs w:val="22"/>
          <w:lang w:val="fr-CA"/>
        </w:rPr>
        <w:t xml:space="preserve"> un patrimoine commu</w:t>
      </w:r>
      <w:r w:rsidR="004368DC" w:rsidRPr="00B26B5B">
        <w:rPr>
          <w:kern w:val="22"/>
          <w:szCs w:val="22"/>
          <w:lang w:val="fr-CA"/>
        </w:rPr>
        <w:t>n et une diversité biologique e</w:t>
      </w:r>
      <w:r w:rsidR="003F4DAA" w:rsidRPr="00B26B5B">
        <w:rPr>
          <w:kern w:val="22"/>
          <w:szCs w:val="22"/>
          <w:lang w:val="fr-CA"/>
        </w:rPr>
        <w:t xml:space="preserve">t des connaissances traditionnelles très riches qui, </w:t>
      </w:r>
      <w:r w:rsidR="004368DC" w:rsidRPr="00B26B5B">
        <w:rPr>
          <w:kern w:val="22"/>
          <w:szCs w:val="22"/>
          <w:lang w:val="fr-CA"/>
        </w:rPr>
        <w:t>exploitées</w:t>
      </w:r>
      <w:r w:rsidR="003F4DAA" w:rsidRPr="00B26B5B">
        <w:rPr>
          <w:kern w:val="22"/>
          <w:szCs w:val="22"/>
          <w:lang w:val="fr-CA"/>
        </w:rPr>
        <w:t xml:space="preserve"> de manière durable, pour</w:t>
      </w:r>
      <w:r w:rsidR="004368DC" w:rsidRPr="00B26B5B">
        <w:rPr>
          <w:kern w:val="22"/>
          <w:szCs w:val="22"/>
          <w:lang w:val="fr-CA"/>
        </w:rPr>
        <w:t>r</w:t>
      </w:r>
      <w:r w:rsidR="003F4DAA" w:rsidRPr="00B26B5B">
        <w:rPr>
          <w:kern w:val="22"/>
          <w:szCs w:val="22"/>
          <w:lang w:val="fr-CA"/>
        </w:rPr>
        <w:t xml:space="preserve">aient </w:t>
      </w:r>
      <w:r>
        <w:rPr>
          <w:kern w:val="22"/>
          <w:szCs w:val="22"/>
          <w:lang w:val="fr-CA"/>
        </w:rPr>
        <w:t>mener</w:t>
      </w:r>
      <w:r w:rsidR="003F4DAA" w:rsidRPr="00B26B5B">
        <w:rPr>
          <w:kern w:val="22"/>
          <w:szCs w:val="22"/>
          <w:lang w:val="fr-CA"/>
        </w:rPr>
        <w:t xml:space="preserve"> et accro</w:t>
      </w:r>
      <w:r w:rsidR="004368DC" w:rsidRPr="00B26B5B">
        <w:rPr>
          <w:kern w:val="22"/>
          <w:szCs w:val="22"/>
          <w:lang w:val="fr-CA"/>
        </w:rPr>
        <w:t>î</w:t>
      </w:r>
      <w:r w:rsidR="003F4DAA" w:rsidRPr="00B26B5B">
        <w:rPr>
          <w:kern w:val="22"/>
          <w:szCs w:val="22"/>
          <w:lang w:val="fr-CA"/>
        </w:rPr>
        <w:t>tre l’</w:t>
      </w:r>
      <w:r w:rsidR="004368DC" w:rsidRPr="00B26B5B">
        <w:rPr>
          <w:kern w:val="22"/>
          <w:szCs w:val="22"/>
          <w:lang w:val="fr-CA"/>
        </w:rPr>
        <w:t>i</w:t>
      </w:r>
      <w:r w:rsidR="003F4DAA" w:rsidRPr="00B26B5B">
        <w:rPr>
          <w:kern w:val="22"/>
          <w:szCs w:val="22"/>
          <w:lang w:val="fr-CA"/>
        </w:rPr>
        <w:t xml:space="preserve">nnovation afin de contribuer au développement durable et </w:t>
      </w:r>
      <w:r w:rsidR="002653C5">
        <w:rPr>
          <w:kern w:val="22"/>
          <w:szCs w:val="22"/>
          <w:lang w:val="fr-CA"/>
        </w:rPr>
        <w:t>renverser les</w:t>
      </w:r>
      <w:r w:rsidR="003F4DAA" w:rsidRPr="00B26B5B">
        <w:rPr>
          <w:kern w:val="22"/>
          <w:szCs w:val="22"/>
          <w:lang w:val="fr-CA"/>
        </w:rPr>
        <w:t xml:space="preserve"> impacts des changements </w:t>
      </w:r>
      <w:r w:rsidR="004368DC" w:rsidRPr="00B26B5B">
        <w:rPr>
          <w:kern w:val="22"/>
          <w:szCs w:val="22"/>
          <w:lang w:val="fr-CA"/>
        </w:rPr>
        <w:t xml:space="preserve">climatiques </w:t>
      </w:r>
      <w:r>
        <w:rPr>
          <w:kern w:val="22"/>
          <w:szCs w:val="22"/>
          <w:lang w:val="fr-CA"/>
        </w:rPr>
        <w:t>grâce à</w:t>
      </w:r>
      <w:r w:rsidR="003F4DAA" w:rsidRPr="00B26B5B">
        <w:rPr>
          <w:kern w:val="22"/>
          <w:szCs w:val="22"/>
          <w:lang w:val="fr-CA"/>
        </w:rPr>
        <w:t xml:space="preserve"> des solutions fondées sur la nature. L’Afrique possède un vaste réseau d’aires protégées et fait l’objet de plusieurs programmes et projets de gest</w:t>
      </w:r>
      <w:r w:rsidR="004368DC" w:rsidRPr="00B26B5B">
        <w:rPr>
          <w:kern w:val="22"/>
          <w:szCs w:val="22"/>
          <w:lang w:val="fr-CA"/>
        </w:rPr>
        <w:t>ion de la diversité biologique utilisant des approches variées, telles que la gestion intégrée des zones côtières, la planification des espaces marins, la gestion des paysages et la planification de l’utilisation des espaces</w:t>
      </w:r>
      <w:r w:rsidR="00200AF1" w:rsidRPr="00B26B5B">
        <w:rPr>
          <w:kern w:val="22"/>
          <w:szCs w:val="22"/>
          <w:lang w:val="fr-CA"/>
        </w:rPr>
        <w:t>.</w:t>
      </w:r>
    </w:p>
    <w:p w:rsidR="004E393B" w:rsidRPr="00B26B5B" w:rsidRDefault="002653C5" w:rsidP="00C33570">
      <w:pPr>
        <w:pStyle w:val="Para1"/>
        <w:suppressLineNumbers/>
        <w:tabs>
          <w:tab w:val="clear" w:pos="360"/>
        </w:tabs>
        <w:suppressAutoHyphens/>
        <w:rPr>
          <w:kern w:val="22"/>
          <w:szCs w:val="22"/>
          <w:lang w:val="fr-CA"/>
        </w:rPr>
      </w:pPr>
      <w:r>
        <w:rPr>
          <w:kern w:val="22"/>
          <w:szCs w:val="22"/>
          <w:lang w:val="fr-CA"/>
        </w:rPr>
        <w:t>P</w:t>
      </w:r>
      <w:r w:rsidR="00E875BF" w:rsidRPr="00B26B5B">
        <w:rPr>
          <w:kern w:val="22"/>
          <w:szCs w:val="22"/>
          <w:lang w:val="fr-CA"/>
        </w:rPr>
        <w:t>lusieurs cad</w:t>
      </w:r>
      <w:r>
        <w:rPr>
          <w:kern w:val="22"/>
          <w:szCs w:val="22"/>
          <w:lang w:val="fr-CA"/>
        </w:rPr>
        <w:t>res nationaux et régionaux existants offre</w:t>
      </w:r>
      <w:r w:rsidR="00E875BF" w:rsidRPr="00B26B5B">
        <w:rPr>
          <w:kern w:val="22"/>
          <w:szCs w:val="22"/>
          <w:lang w:val="fr-CA"/>
        </w:rPr>
        <w:t>nt une occasio</w:t>
      </w:r>
      <w:r w:rsidR="005A682B" w:rsidRPr="00B26B5B">
        <w:rPr>
          <w:kern w:val="22"/>
          <w:szCs w:val="22"/>
          <w:lang w:val="fr-CA"/>
        </w:rPr>
        <w:t>n</w:t>
      </w:r>
      <w:r w:rsidR="00E875BF" w:rsidRPr="00B26B5B">
        <w:rPr>
          <w:kern w:val="22"/>
          <w:szCs w:val="22"/>
          <w:lang w:val="fr-CA"/>
        </w:rPr>
        <w:t xml:space="preserve"> unique de faire avancer le cadre mondial de la biodiversité pour l</w:t>
      </w:r>
      <w:r w:rsidR="00CD0FC3">
        <w:rPr>
          <w:kern w:val="22"/>
          <w:szCs w:val="22"/>
          <w:lang w:val="fr-CA"/>
        </w:rPr>
        <w:t>’</w:t>
      </w:r>
      <w:r w:rsidR="00E875BF" w:rsidRPr="00B26B5B">
        <w:rPr>
          <w:kern w:val="22"/>
          <w:szCs w:val="22"/>
          <w:lang w:val="fr-CA"/>
        </w:rPr>
        <w:t>après-2020. Par exemple, toutes les Parties de la région ont mis en place une stratégie et plan d’action nationaux pour la biodive</w:t>
      </w:r>
      <w:r w:rsidR="005A682B" w:rsidRPr="00B26B5B">
        <w:rPr>
          <w:kern w:val="22"/>
          <w:szCs w:val="22"/>
          <w:lang w:val="fr-CA"/>
        </w:rPr>
        <w:t>rsité (</w:t>
      </w:r>
      <w:r w:rsidR="00C837FE">
        <w:rPr>
          <w:kern w:val="22"/>
          <w:szCs w:val="22"/>
          <w:lang w:val="fr-CA"/>
        </w:rPr>
        <w:t>SPANB</w:t>
      </w:r>
      <w:r w:rsidR="005A682B" w:rsidRPr="00B26B5B">
        <w:rPr>
          <w:kern w:val="22"/>
          <w:szCs w:val="22"/>
          <w:lang w:val="fr-CA"/>
        </w:rPr>
        <w:t>)</w:t>
      </w:r>
      <w:r>
        <w:rPr>
          <w:kern w:val="22"/>
          <w:szCs w:val="22"/>
          <w:lang w:val="fr-CA"/>
        </w:rPr>
        <w:t xml:space="preserve">, et </w:t>
      </w:r>
      <w:r w:rsidR="005A682B" w:rsidRPr="00B26B5B">
        <w:rPr>
          <w:kern w:val="22"/>
          <w:szCs w:val="22"/>
          <w:lang w:val="fr-CA"/>
        </w:rPr>
        <w:t>plusieu</w:t>
      </w:r>
      <w:r w:rsidR="00E875BF" w:rsidRPr="00B26B5B">
        <w:rPr>
          <w:kern w:val="22"/>
          <w:szCs w:val="22"/>
          <w:lang w:val="fr-CA"/>
        </w:rPr>
        <w:t>rs politiques et cadres</w:t>
      </w:r>
      <w:r w:rsidR="005A682B" w:rsidRPr="00B26B5B">
        <w:rPr>
          <w:kern w:val="22"/>
          <w:szCs w:val="22"/>
          <w:lang w:val="fr-CA"/>
        </w:rPr>
        <w:t xml:space="preserve"> </w:t>
      </w:r>
      <w:r w:rsidR="00E875BF" w:rsidRPr="00B26B5B">
        <w:rPr>
          <w:kern w:val="22"/>
          <w:szCs w:val="22"/>
          <w:lang w:val="fr-CA"/>
        </w:rPr>
        <w:t xml:space="preserve">de réglementation </w:t>
      </w:r>
      <w:r>
        <w:rPr>
          <w:kern w:val="22"/>
          <w:szCs w:val="22"/>
          <w:lang w:val="fr-CA"/>
        </w:rPr>
        <w:t>nationaux</w:t>
      </w:r>
      <w:r w:rsidR="00E875BF" w:rsidRPr="00B26B5B">
        <w:rPr>
          <w:kern w:val="22"/>
          <w:szCs w:val="22"/>
          <w:lang w:val="fr-CA"/>
        </w:rPr>
        <w:t>, infranationa</w:t>
      </w:r>
      <w:r>
        <w:rPr>
          <w:kern w:val="22"/>
          <w:szCs w:val="22"/>
          <w:lang w:val="fr-CA"/>
        </w:rPr>
        <w:t>ux</w:t>
      </w:r>
      <w:r w:rsidR="00E875BF" w:rsidRPr="00B26B5B">
        <w:rPr>
          <w:kern w:val="22"/>
          <w:szCs w:val="22"/>
          <w:lang w:val="fr-CA"/>
        </w:rPr>
        <w:t xml:space="preserve"> et continenta</w:t>
      </w:r>
      <w:r>
        <w:rPr>
          <w:kern w:val="22"/>
          <w:szCs w:val="22"/>
          <w:lang w:val="fr-CA"/>
        </w:rPr>
        <w:t>ux ont été élaborés</w:t>
      </w:r>
      <w:r w:rsidR="00E875BF" w:rsidRPr="00B26B5B">
        <w:rPr>
          <w:kern w:val="22"/>
          <w:szCs w:val="22"/>
          <w:lang w:val="fr-CA"/>
        </w:rPr>
        <w:t xml:space="preserve">, </w:t>
      </w:r>
      <w:r>
        <w:rPr>
          <w:kern w:val="22"/>
          <w:szCs w:val="22"/>
          <w:lang w:val="fr-CA"/>
        </w:rPr>
        <w:t>dont d</w:t>
      </w:r>
      <w:r w:rsidR="00E875BF" w:rsidRPr="00B26B5B">
        <w:rPr>
          <w:kern w:val="22"/>
          <w:szCs w:val="22"/>
          <w:lang w:val="fr-CA"/>
        </w:rPr>
        <w:t>e</w:t>
      </w:r>
      <w:r>
        <w:rPr>
          <w:kern w:val="22"/>
          <w:szCs w:val="22"/>
          <w:lang w:val="fr-CA"/>
        </w:rPr>
        <w:t>s</w:t>
      </w:r>
      <w:r w:rsidR="00E875BF" w:rsidRPr="00B26B5B">
        <w:rPr>
          <w:kern w:val="22"/>
          <w:szCs w:val="22"/>
          <w:lang w:val="fr-CA"/>
        </w:rPr>
        <w:t xml:space="preserve"> cadre</w:t>
      </w:r>
      <w:r>
        <w:rPr>
          <w:kern w:val="22"/>
          <w:szCs w:val="22"/>
          <w:lang w:val="fr-CA"/>
        </w:rPr>
        <w:t>s</w:t>
      </w:r>
      <w:r w:rsidR="00E875BF" w:rsidRPr="00B26B5B">
        <w:rPr>
          <w:kern w:val="22"/>
          <w:szCs w:val="22"/>
          <w:lang w:val="fr-CA"/>
        </w:rPr>
        <w:t xml:space="preserve"> de pol</w:t>
      </w:r>
      <w:r w:rsidR="005A682B" w:rsidRPr="00B26B5B">
        <w:rPr>
          <w:kern w:val="22"/>
          <w:szCs w:val="22"/>
          <w:lang w:val="fr-CA"/>
        </w:rPr>
        <w:t>itiques régionales tels que le P</w:t>
      </w:r>
      <w:r w:rsidR="00E875BF" w:rsidRPr="00B26B5B">
        <w:rPr>
          <w:kern w:val="22"/>
          <w:szCs w:val="22"/>
          <w:lang w:val="fr-CA"/>
        </w:rPr>
        <w:t xml:space="preserve">lan d’action </w:t>
      </w:r>
      <w:r w:rsidR="005A682B" w:rsidRPr="00B26B5B">
        <w:rPr>
          <w:kern w:val="22"/>
          <w:szCs w:val="22"/>
          <w:lang w:val="fr-CA"/>
        </w:rPr>
        <w:t xml:space="preserve">pour l’environnement du </w:t>
      </w:r>
      <w:proofErr w:type="spellStart"/>
      <w:r w:rsidR="005A682B" w:rsidRPr="00B26B5B">
        <w:rPr>
          <w:kern w:val="22"/>
          <w:szCs w:val="22"/>
          <w:lang w:val="fr-CA"/>
        </w:rPr>
        <w:t>NEPAD</w:t>
      </w:r>
      <w:proofErr w:type="spellEnd"/>
      <w:r w:rsidR="00E875BF" w:rsidRPr="00B26B5B">
        <w:rPr>
          <w:kern w:val="22"/>
          <w:szCs w:val="22"/>
          <w:lang w:val="fr-CA"/>
        </w:rPr>
        <w:t xml:space="preserve"> </w:t>
      </w:r>
      <w:r w:rsidR="00493B26" w:rsidRPr="00B26B5B">
        <w:rPr>
          <w:rStyle w:val="Appelnotedebasdep"/>
          <w:kern w:val="22"/>
          <w:szCs w:val="22"/>
          <w:lang w:val="fr-CA"/>
        </w:rPr>
        <w:footnoteReference w:id="2"/>
      </w:r>
      <w:r w:rsidR="00493B26" w:rsidRPr="00B26B5B">
        <w:rPr>
          <w:kern w:val="22"/>
          <w:szCs w:val="22"/>
          <w:lang w:val="fr-CA"/>
        </w:rPr>
        <w:t xml:space="preserve"> </w:t>
      </w:r>
      <w:r w:rsidR="005C35E5">
        <w:rPr>
          <w:kern w:val="22"/>
          <w:szCs w:val="22"/>
          <w:lang w:val="fr-CA"/>
        </w:rPr>
        <w:t>et la S</w:t>
      </w:r>
      <w:r w:rsidR="005A682B" w:rsidRPr="00B26B5B">
        <w:rPr>
          <w:kern w:val="22"/>
          <w:szCs w:val="22"/>
          <w:lang w:val="fr-CA"/>
        </w:rPr>
        <w:t>tratégie africaine pour combattre l’exploitation et le commerce illicites de la faune et la flore sauvages en Afrique</w:t>
      </w:r>
      <w:r w:rsidR="00D7153C" w:rsidRPr="00B26B5B">
        <w:rPr>
          <w:kern w:val="22"/>
          <w:szCs w:val="22"/>
          <w:lang w:val="fr-CA"/>
        </w:rPr>
        <w:t>.</w:t>
      </w:r>
      <w:r w:rsidR="00493B26" w:rsidRPr="00B26B5B">
        <w:rPr>
          <w:rStyle w:val="Appelnotedebasdep"/>
          <w:kern w:val="22"/>
          <w:szCs w:val="22"/>
          <w:lang w:val="fr-CA"/>
        </w:rPr>
        <w:footnoteReference w:id="3"/>
      </w:r>
    </w:p>
    <w:p w:rsidR="00712EBD" w:rsidRPr="00B26B5B" w:rsidRDefault="005C35E5" w:rsidP="00C33570">
      <w:pPr>
        <w:pStyle w:val="Para1"/>
        <w:suppressLineNumbers/>
        <w:tabs>
          <w:tab w:val="clear" w:pos="360"/>
        </w:tabs>
        <w:suppressAutoHyphens/>
        <w:rPr>
          <w:kern w:val="22"/>
          <w:szCs w:val="22"/>
          <w:lang w:val="fr-CA"/>
        </w:rPr>
      </w:pPr>
      <w:r>
        <w:rPr>
          <w:kern w:val="22"/>
          <w:szCs w:val="22"/>
          <w:lang w:val="fr-CA"/>
        </w:rPr>
        <w:t xml:space="preserve">De plus, </w:t>
      </w:r>
      <w:r w:rsidR="00D13066">
        <w:rPr>
          <w:kern w:val="22"/>
          <w:szCs w:val="22"/>
          <w:lang w:val="fr-CA"/>
        </w:rPr>
        <w:t xml:space="preserve">l’existence </w:t>
      </w:r>
      <w:r>
        <w:rPr>
          <w:kern w:val="22"/>
          <w:szCs w:val="22"/>
          <w:lang w:val="fr-CA"/>
        </w:rPr>
        <w:t>de</w:t>
      </w:r>
      <w:r w:rsidR="00114072" w:rsidRPr="00B26B5B">
        <w:rPr>
          <w:kern w:val="22"/>
          <w:szCs w:val="22"/>
          <w:lang w:val="fr-CA"/>
        </w:rPr>
        <w:t xml:space="preserve"> correspondants nationaux de la Convention et de ses Protocoles, de comités nationaux de la diversité biologique et de cadres de coordination et de coopération infrarégionaux, tels que les communautés économiques régionales, </w:t>
      </w:r>
      <w:r>
        <w:rPr>
          <w:kern w:val="22"/>
          <w:szCs w:val="22"/>
          <w:lang w:val="fr-CA"/>
        </w:rPr>
        <w:t>offrirait</w:t>
      </w:r>
      <w:r w:rsidR="00114072" w:rsidRPr="00B26B5B">
        <w:rPr>
          <w:kern w:val="22"/>
          <w:szCs w:val="22"/>
          <w:lang w:val="fr-CA"/>
        </w:rPr>
        <w:t xml:space="preserve"> des mécanismes institutionnels efficaces pour soutenir la mise en œuvre du cadre de l’après-2020</w:t>
      </w:r>
      <w:r w:rsidR="00EB444D" w:rsidRPr="00B26B5B">
        <w:rPr>
          <w:kern w:val="22"/>
          <w:szCs w:val="22"/>
          <w:lang w:val="fr-CA"/>
        </w:rPr>
        <w:t>.</w:t>
      </w:r>
    </w:p>
    <w:p w:rsidR="00EB444D" w:rsidRPr="00B26B5B" w:rsidRDefault="00114072" w:rsidP="00C33570">
      <w:pPr>
        <w:pStyle w:val="Para1"/>
        <w:suppressLineNumbers/>
        <w:tabs>
          <w:tab w:val="clear" w:pos="360"/>
        </w:tabs>
        <w:suppressAutoHyphens/>
        <w:rPr>
          <w:kern w:val="22"/>
          <w:szCs w:val="22"/>
          <w:lang w:val="fr-CA"/>
        </w:rPr>
      </w:pPr>
      <w:r w:rsidRPr="00B26B5B">
        <w:rPr>
          <w:kern w:val="22"/>
          <w:szCs w:val="22"/>
          <w:lang w:val="fr-CA"/>
        </w:rPr>
        <w:t xml:space="preserve">Les participants ont relevé en </w:t>
      </w:r>
      <w:r w:rsidR="005C35E5">
        <w:rPr>
          <w:kern w:val="22"/>
          <w:szCs w:val="22"/>
          <w:lang w:val="fr-CA"/>
        </w:rPr>
        <w:t>outre</w:t>
      </w:r>
      <w:r w:rsidRPr="00B26B5B">
        <w:rPr>
          <w:kern w:val="22"/>
          <w:szCs w:val="22"/>
          <w:lang w:val="fr-CA"/>
        </w:rPr>
        <w:t xml:space="preserve"> plusieurs occasions en lien avec les efforts de certains pays d’intégrer la diversité biologique dans les budgets nationaux, les comptes de capital naturel, </w:t>
      </w:r>
      <w:r w:rsidR="001E0C87" w:rsidRPr="00B26B5B">
        <w:rPr>
          <w:kern w:val="22"/>
          <w:szCs w:val="22"/>
          <w:lang w:val="fr-CA"/>
        </w:rPr>
        <w:t>les petites et moye</w:t>
      </w:r>
      <w:r w:rsidR="005C35E5">
        <w:rPr>
          <w:kern w:val="22"/>
          <w:szCs w:val="22"/>
          <w:lang w:val="fr-CA"/>
        </w:rPr>
        <w:t>nnes entreprises (secteur privé</w:t>
      </w:r>
      <w:r w:rsidR="001E0C87" w:rsidRPr="00B26B5B">
        <w:rPr>
          <w:kern w:val="22"/>
          <w:szCs w:val="22"/>
          <w:lang w:val="fr-CA"/>
        </w:rPr>
        <w:t>) et les programmes d’études des institutions universitaires</w:t>
      </w:r>
      <w:r w:rsidR="00CC1AC0" w:rsidRPr="00B26B5B">
        <w:rPr>
          <w:kern w:val="22"/>
          <w:szCs w:val="22"/>
          <w:lang w:val="fr-CA"/>
        </w:rPr>
        <w:t>.</w:t>
      </w:r>
    </w:p>
    <w:p w:rsidR="00087182" w:rsidRPr="00B26B5B" w:rsidRDefault="005C35E5" w:rsidP="00C33570">
      <w:pPr>
        <w:pStyle w:val="Para1"/>
        <w:suppressLineNumbers/>
        <w:tabs>
          <w:tab w:val="clear" w:pos="360"/>
        </w:tabs>
        <w:suppressAutoHyphens/>
        <w:rPr>
          <w:kern w:val="22"/>
          <w:szCs w:val="22"/>
          <w:lang w:val="fr-CA"/>
        </w:rPr>
      </w:pPr>
      <w:r>
        <w:rPr>
          <w:kern w:val="22"/>
          <w:szCs w:val="22"/>
          <w:lang w:val="fr-CA"/>
        </w:rPr>
        <w:t>D’autres occasions sont également offertes</w:t>
      </w:r>
      <w:r w:rsidR="001E0C87" w:rsidRPr="00B26B5B">
        <w:rPr>
          <w:kern w:val="22"/>
          <w:szCs w:val="22"/>
          <w:lang w:val="fr-CA"/>
        </w:rPr>
        <w:t xml:space="preserve">, </w:t>
      </w:r>
      <w:r w:rsidR="00003C89">
        <w:rPr>
          <w:kern w:val="22"/>
          <w:szCs w:val="22"/>
          <w:lang w:val="fr-CA"/>
        </w:rPr>
        <w:t>dont</w:t>
      </w:r>
      <w:r w:rsidR="001E0C87" w:rsidRPr="00B26B5B">
        <w:rPr>
          <w:kern w:val="22"/>
          <w:szCs w:val="22"/>
          <w:lang w:val="fr-CA"/>
        </w:rPr>
        <w:t xml:space="preserve"> l’existence de mécanismes de financement pou</w:t>
      </w:r>
      <w:r w:rsidR="00003C89">
        <w:rPr>
          <w:kern w:val="22"/>
          <w:szCs w:val="22"/>
          <w:lang w:val="fr-CA"/>
        </w:rPr>
        <w:t>r la diversité biologique, tel</w:t>
      </w:r>
      <w:r w:rsidR="001E0C87" w:rsidRPr="00B26B5B">
        <w:rPr>
          <w:kern w:val="22"/>
          <w:szCs w:val="22"/>
          <w:lang w:val="fr-CA"/>
        </w:rPr>
        <w:t>s que le Fonds pour l’environnement mondial et le Fonds vert pour le climat, ainsi que le Programme de financement de la dive</w:t>
      </w:r>
      <w:r w:rsidR="00B5369C">
        <w:rPr>
          <w:kern w:val="22"/>
          <w:szCs w:val="22"/>
          <w:lang w:val="fr-CA"/>
        </w:rPr>
        <w:t>rsité biologique (</w:t>
      </w:r>
      <w:proofErr w:type="spellStart"/>
      <w:r w:rsidR="00B5369C">
        <w:rPr>
          <w:kern w:val="22"/>
          <w:szCs w:val="22"/>
          <w:lang w:val="fr-CA"/>
        </w:rPr>
        <w:t>BIOFIN</w:t>
      </w:r>
      <w:proofErr w:type="spellEnd"/>
      <w:r w:rsidR="00B5369C">
        <w:rPr>
          <w:kern w:val="22"/>
          <w:szCs w:val="22"/>
          <w:lang w:val="fr-CA"/>
        </w:rPr>
        <w:t>), qui ont</w:t>
      </w:r>
      <w:r w:rsidR="001E0C87" w:rsidRPr="00B26B5B">
        <w:rPr>
          <w:kern w:val="22"/>
          <w:szCs w:val="22"/>
          <w:lang w:val="fr-CA"/>
        </w:rPr>
        <w:t xml:space="preserve"> permis à toutes les Parties de mieux comprendre les occasions de financement de la diversité biologique</w:t>
      </w:r>
      <w:r w:rsidR="008041D7" w:rsidRPr="00B26B5B">
        <w:rPr>
          <w:kern w:val="22"/>
          <w:szCs w:val="22"/>
          <w:lang w:val="fr-CA"/>
        </w:rPr>
        <w:t>.</w:t>
      </w:r>
    </w:p>
    <w:p w:rsidR="00712EBD" w:rsidRPr="00B26B5B" w:rsidRDefault="00935249" w:rsidP="00C33570">
      <w:pPr>
        <w:pStyle w:val="Para1"/>
        <w:keepNext/>
        <w:numPr>
          <w:ilvl w:val="0"/>
          <w:numId w:val="0"/>
        </w:numPr>
        <w:suppressLineNumbers/>
        <w:tabs>
          <w:tab w:val="left" w:pos="284"/>
        </w:tabs>
        <w:suppressAutoHyphens/>
        <w:jc w:val="center"/>
        <w:rPr>
          <w:kern w:val="22"/>
          <w:szCs w:val="22"/>
          <w:lang w:val="fr-CA"/>
        </w:rPr>
      </w:pPr>
      <w:r w:rsidRPr="00B26B5B">
        <w:rPr>
          <w:i/>
          <w:kern w:val="22"/>
          <w:szCs w:val="22"/>
          <w:lang w:val="fr-CA"/>
        </w:rPr>
        <w:t>1.</w:t>
      </w:r>
      <w:r w:rsidRPr="00B26B5B">
        <w:rPr>
          <w:i/>
          <w:kern w:val="22"/>
          <w:szCs w:val="22"/>
          <w:lang w:val="fr-CA"/>
        </w:rPr>
        <w:tab/>
      </w:r>
      <w:r w:rsidR="001E0C87" w:rsidRPr="00B26B5B">
        <w:rPr>
          <w:i/>
          <w:kern w:val="22"/>
          <w:szCs w:val="22"/>
          <w:lang w:val="fr-CA"/>
        </w:rPr>
        <w:t>Difficultés</w:t>
      </w:r>
    </w:p>
    <w:p w:rsidR="00A34312" w:rsidRPr="00B26B5B" w:rsidRDefault="00003C89" w:rsidP="00C33570">
      <w:pPr>
        <w:pStyle w:val="Para1"/>
        <w:suppressLineNumbers/>
        <w:tabs>
          <w:tab w:val="clear" w:pos="360"/>
        </w:tabs>
        <w:suppressAutoHyphens/>
        <w:rPr>
          <w:kern w:val="22"/>
          <w:szCs w:val="22"/>
          <w:lang w:val="fr-CA"/>
        </w:rPr>
      </w:pPr>
      <w:r>
        <w:rPr>
          <w:kern w:val="22"/>
          <w:szCs w:val="22"/>
          <w:lang w:val="fr-CA"/>
        </w:rPr>
        <w:t xml:space="preserve">La région de l’Afrique </w:t>
      </w:r>
      <w:r w:rsidR="004776B2" w:rsidRPr="00B26B5B">
        <w:rPr>
          <w:kern w:val="22"/>
          <w:szCs w:val="22"/>
          <w:lang w:val="fr-CA"/>
        </w:rPr>
        <w:t xml:space="preserve">connaît de nombreuses difficultés, dont les </w:t>
      </w:r>
      <w:r>
        <w:rPr>
          <w:kern w:val="22"/>
          <w:szCs w:val="22"/>
          <w:lang w:val="fr-CA"/>
        </w:rPr>
        <w:t>principales</w:t>
      </w:r>
      <w:r w:rsidR="004776B2" w:rsidRPr="00B26B5B">
        <w:rPr>
          <w:kern w:val="22"/>
          <w:szCs w:val="22"/>
          <w:lang w:val="fr-CA"/>
        </w:rPr>
        <w:t xml:space="preserve"> sont</w:t>
      </w:r>
      <w:r w:rsidR="00CD0FC3">
        <w:rPr>
          <w:kern w:val="22"/>
          <w:szCs w:val="22"/>
          <w:lang w:val="fr-CA"/>
        </w:rPr>
        <w:t> </w:t>
      </w:r>
      <w:r w:rsidR="00A34312" w:rsidRPr="00B26B5B">
        <w:rPr>
          <w:kern w:val="22"/>
          <w:szCs w:val="22"/>
          <w:lang w:val="fr-CA"/>
        </w:rPr>
        <w:t>:</w:t>
      </w:r>
    </w:p>
    <w:p w:rsidR="00305347" w:rsidRPr="00B26B5B" w:rsidRDefault="004776B2" w:rsidP="004776B2">
      <w:pPr>
        <w:pStyle w:val="Para1"/>
        <w:numPr>
          <w:ilvl w:val="1"/>
          <w:numId w:val="2"/>
        </w:numPr>
        <w:suppressLineNumbers/>
        <w:suppressAutoHyphens/>
        <w:rPr>
          <w:kern w:val="22"/>
          <w:szCs w:val="22"/>
          <w:lang w:val="fr-CA"/>
        </w:rPr>
      </w:pPr>
      <w:r w:rsidRPr="00B26B5B">
        <w:rPr>
          <w:kern w:val="22"/>
          <w:szCs w:val="22"/>
          <w:lang w:val="fr-CA"/>
        </w:rPr>
        <w:t>Le manqu</w:t>
      </w:r>
      <w:r w:rsidR="0070144C" w:rsidRPr="00B26B5B">
        <w:rPr>
          <w:kern w:val="22"/>
          <w:szCs w:val="22"/>
          <w:lang w:val="fr-CA"/>
        </w:rPr>
        <w:t>e</w:t>
      </w:r>
      <w:r w:rsidRPr="00B26B5B">
        <w:rPr>
          <w:kern w:val="22"/>
          <w:szCs w:val="22"/>
          <w:lang w:val="fr-CA"/>
        </w:rPr>
        <w:t xml:space="preserve"> de sensibilisation à la valeur de la biodiversité</w:t>
      </w:r>
      <w:r w:rsidR="00CD0FC3">
        <w:rPr>
          <w:kern w:val="22"/>
          <w:szCs w:val="22"/>
          <w:lang w:val="fr-CA"/>
        </w:rPr>
        <w:t> </w:t>
      </w:r>
      <w:r w:rsidRPr="00B26B5B">
        <w:rPr>
          <w:kern w:val="22"/>
          <w:szCs w:val="22"/>
          <w:lang w:val="fr-CA"/>
        </w:rPr>
        <w:t xml:space="preserve">: Plusieurs parties prenantes, dont les </w:t>
      </w:r>
      <w:r w:rsidR="00A91AD9" w:rsidRPr="00B26B5B">
        <w:rPr>
          <w:kern w:val="22"/>
          <w:szCs w:val="22"/>
          <w:lang w:val="fr-CA"/>
        </w:rPr>
        <w:t>responsables de</w:t>
      </w:r>
      <w:r w:rsidR="00003C89">
        <w:rPr>
          <w:kern w:val="22"/>
          <w:szCs w:val="22"/>
          <w:lang w:val="fr-CA"/>
        </w:rPr>
        <w:t xml:space="preserve">s orientations </w:t>
      </w:r>
      <w:r w:rsidR="00A91AD9" w:rsidRPr="00B26B5B">
        <w:rPr>
          <w:kern w:val="22"/>
          <w:szCs w:val="22"/>
          <w:lang w:val="fr-CA"/>
        </w:rPr>
        <w:t>politiques</w:t>
      </w:r>
      <w:r w:rsidRPr="00B26B5B">
        <w:rPr>
          <w:kern w:val="22"/>
          <w:szCs w:val="22"/>
          <w:lang w:val="fr-CA"/>
        </w:rPr>
        <w:t xml:space="preserve"> et les décideurs, et le grand public, ne co</w:t>
      </w:r>
      <w:r w:rsidR="00A91AD9" w:rsidRPr="00B26B5B">
        <w:rPr>
          <w:kern w:val="22"/>
          <w:szCs w:val="22"/>
          <w:lang w:val="fr-CA"/>
        </w:rPr>
        <w:t>mprennent pas et ne reconnaissen</w:t>
      </w:r>
      <w:r w:rsidRPr="00B26B5B">
        <w:rPr>
          <w:kern w:val="22"/>
          <w:szCs w:val="22"/>
          <w:lang w:val="fr-CA"/>
        </w:rPr>
        <w:t xml:space="preserve">t pas </w:t>
      </w:r>
      <w:r w:rsidR="00003C89">
        <w:rPr>
          <w:kern w:val="22"/>
          <w:szCs w:val="22"/>
          <w:lang w:val="fr-CA"/>
        </w:rPr>
        <w:t>à fond</w:t>
      </w:r>
      <w:r w:rsidRPr="00B26B5B">
        <w:rPr>
          <w:kern w:val="22"/>
          <w:szCs w:val="22"/>
          <w:lang w:val="fr-CA"/>
        </w:rPr>
        <w:t xml:space="preserve"> la valeur </w:t>
      </w:r>
      <w:r w:rsidR="00003C89">
        <w:rPr>
          <w:kern w:val="22"/>
          <w:szCs w:val="22"/>
          <w:lang w:val="fr-CA"/>
        </w:rPr>
        <w:t xml:space="preserve">réelle </w:t>
      </w:r>
      <w:r w:rsidRPr="00B26B5B">
        <w:rPr>
          <w:kern w:val="22"/>
          <w:szCs w:val="22"/>
          <w:lang w:val="fr-CA"/>
        </w:rPr>
        <w:t xml:space="preserve">de la diversité biologique et des services écosystémiques. </w:t>
      </w:r>
      <w:r w:rsidR="00003C89">
        <w:rPr>
          <w:kern w:val="22"/>
          <w:szCs w:val="22"/>
          <w:lang w:val="fr-CA"/>
        </w:rPr>
        <w:t>Il</w:t>
      </w:r>
      <w:r w:rsidR="00A91AD9" w:rsidRPr="00B26B5B">
        <w:rPr>
          <w:kern w:val="22"/>
          <w:szCs w:val="22"/>
          <w:lang w:val="fr-CA"/>
        </w:rPr>
        <w:t xml:space="preserve"> y a</w:t>
      </w:r>
      <w:r w:rsidR="00003C89">
        <w:rPr>
          <w:kern w:val="22"/>
          <w:szCs w:val="22"/>
          <w:lang w:val="fr-CA"/>
        </w:rPr>
        <w:t xml:space="preserve"> un </w:t>
      </w:r>
      <w:r w:rsidR="00003C89">
        <w:rPr>
          <w:kern w:val="22"/>
          <w:szCs w:val="22"/>
          <w:lang w:val="fr-CA"/>
        </w:rPr>
        <w:lastRenderedPageBreak/>
        <w:t>manque de communication et</w:t>
      </w:r>
      <w:r w:rsidR="00A91AD9" w:rsidRPr="00B26B5B">
        <w:rPr>
          <w:kern w:val="22"/>
          <w:szCs w:val="22"/>
          <w:lang w:val="fr-CA"/>
        </w:rPr>
        <w:t xml:space="preserve"> de rapports sur l’importance de la diversité biologique. </w:t>
      </w:r>
      <w:r w:rsidR="00003C89">
        <w:rPr>
          <w:kern w:val="22"/>
          <w:szCs w:val="22"/>
          <w:lang w:val="fr-CA"/>
        </w:rPr>
        <w:t>L</w:t>
      </w:r>
      <w:r w:rsidR="00A91AD9" w:rsidRPr="00B26B5B">
        <w:rPr>
          <w:kern w:val="22"/>
          <w:szCs w:val="22"/>
          <w:lang w:val="fr-CA"/>
        </w:rPr>
        <w:t xml:space="preserve">es renseignements scientifiques sur l’état de la diversité biologique </w:t>
      </w:r>
      <w:r w:rsidR="00003C89">
        <w:rPr>
          <w:kern w:val="22"/>
          <w:szCs w:val="22"/>
          <w:lang w:val="fr-CA"/>
        </w:rPr>
        <w:t xml:space="preserve">doivent être communiqués </w:t>
      </w:r>
      <w:r w:rsidR="00A91AD9" w:rsidRPr="00B26B5B">
        <w:rPr>
          <w:kern w:val="22"/>
          <w:szCs w:val="22"/>
          <w:lang w:val="fr-CA"/>
        </w:rPr>
        <w:t>dans une langue que les politiciens, les responsables des orientations politiques et le grand public peuvent comprendre, une langue qui inspire les gens à agir</w:t>
      </w:r>
      <w:r w:rsidR="00B92D18">
        <w:rPr>
          <w:kern w:val="22"/>
          <w:szCs w:val="22"/>
          <w:lang w:val="fr-CA"/>
        </w:rPr>
        <w:t>;</w:t>
      </w:r>
    </w:p>
    <w:p w:rsidR="00305347" w:rsidRPr="00B26B5B" w:rsidRDefault="00B71786" w:rsidP="00C33570">
      <w:pPr>
        <w:pStyle w:val="Para1"/>
        <w:numPr>
          <w:ilvl w:val="1"/>
          <w:numId w:val="2"/>
        </w:numPr>
        <w:suppressLineNumbers/>
        <w:tabs>
          <w:tab w:val="clear" w:pos="1440"/>
        </w:tabs>
        <w:suppressAutoHyphens/>
        <w:rPr>
          <w:kern w:val="22"/>
          <w:szCs w:val="22"/>
          <w:lang w:val="fr-CA"/>
        </w:rPr>
      </w:pPr>
      <w:r>
        <w:rPr>
          <w:kern w:val="22"/>
          <w:szCs w:val="22"/>
          <w:lang w:val="fr-CA"/>
        </w:rPr>
        <w:t>L’a</w:t>
      </w:r>
      <w:r w:rsidR="0070144C" w:rsidRPr="00B26B5B">
        <w:rPr>
          <w:kern w:val="22"/>
          <w:szCs w:val="22"/>
          <w:lang w:val="fr-CA"/>
        </w:rPr>
        <w:t>ccélération de l</w:t>
      </w:r>
      <w:r w:rsidR="00A91AD9" w:rsidRPr="00B26B5B">
        <w:rPr>
          <w:kern w:val="22"/>
          <w:szCs w:val="22"/>
          <w:lang w:val="fr-CA"/>
        </w:rPr>
        <w:t xml:space="preserve">’appauvrissement de la diversité biologique par d’autres secteurs : </w:t>
      </w:r>
      <w:r w:rsidR="00C65B71" w:rsidRPr="00B26B5B">
        <w:rPr>
          <w:kern w:val="22"/>
          <w:szCs w:val="22"/>
          <w:lang w:val="fr-CA"/>
        </w:rPr>
        <w:t>Plusieurs secteurs, dont le pétrole et le gaz, l’exploitation minière, le développement d’infrastructures et l’agriculture, ont des conséquences négatives sur la diversité biologique. Il faut trouver des moyens de persuader les autres ministères, agences et entreprise</w:t>
      </w:r>
      <w:r>
        <w:rPr>
          <w:kern w:val="22"/>
          <w:szCs w:val="22"/>
          <w:lang w:val="fr-CA"/>
        </w:rPr>
        <w:t>s responsables de ces secteurs d’</w:t>
      </w:r>
      <w:r w:rsidR="00C65B71" w:rsidRPr="00B26B5B">
        <w:rPr>
          <w:kern w:val="22"/>
          <w:szCs w:val="22"/>
          <w:lang w:val="fr-CA"/>
        </w:rPr>
        <w:t>éliminer les conséquen</w:t>
      </w:r>
      <w:r w:rsidR="00FA4FFA" w:rsidRPr="00B26B5B">
        <w:rPr>
          <w:kern w:val="22"/>
          <w:szCs w:val="22"/>
          <w:lang w:val="fr-CA"/>
        </w:rPr>
        <w:t>ces ou impacts possibles de leu</w:t>
      </w:r>
      <w:r w:rsidR="00C65B71" w:rsidRPr="00B26B5B">
        <w:rPr>
          <w:kern w:val="22"/>
          <w:szCs w:val="22"/>
          <w:lang w:val="fr-CA"/>
        </w:rPr>
        <w:t>rs plans, politiques et programmes sur la diversité biologique. À cet égard, l’élaboration et la mise en œuvre du cadre mondial de la biodiversité pour l</w:t>
      </w:r>
      <w:r w:rsidR="00CD0FC3">
        <w:rPr>
          <w:kern w:val="22"/>
          <w:szCs w:val="22"/>
          <w:lang w:val="fr-CA"/>
        </w:rPr>
        <w:t>’</w:t>
      </w:r>
      <w:r w:rsidR="00C65B71" w:rsidRPr="00B26B5B">
        <w:rPr>
          <w:kern w:val="22"/>
          <w:szCs w:val="22"/>
          <w:lang w:val="fr-CA"/>
        </w:rPr>
        <w:t xml:space="preserve">après-2020 </w:t>
      </w:r>
      <w:r w:rsidR="00FA4FFA" w:rsidRPr="00B26B5B">
        <w:rPr>
          <w:kern w:val="22"/>
          <w:szCs w:val="22"/>
          <w:lang w:val="fr-CA"/>
        </w:rPr>
        <w:t>do</w:t>
      </w:r>
      <w:r w:rsidR="00C65B71" w:rsidRPr="00B26B5B">
        <w:rPr>
          <w:kern w:val="22"/>
          <w:szCs w:val="22"/>
          <w:lang w:val="fr-CA"/>
        </w:rPr>
        <w:t>i</w:t>
      </w:r>
      <w:r w:rsidR="00CD0FC3">
        <w:rPr>
          <w:kern w:val="22"/>
          <w:szCs w:val="22"/>
          <w:lang w:val="fr-CA"/>
        </w:rPr>
        <w:t>ven</w:t>
      </w:r>
      <w:r w:rsidR="00C65B71" w:rsidRPr="00B26B5B">
        <w:rPr>
          <w:kern w:val="22"/>
          <w:szCs w:val="22"/>
          <w:lang w:val="fr-CA"/>
        </w:rPr>
        <w:t xml:space="preserve">t faire appel à la pleine participation </w:t>
      </w:r>
      <w:r w:rsidR="00FA4FFA" w:rsidRPr="00B26B5B">
        <w:rPr>
          <w:kern w:val="22"/>
          <w:szCs w:val="22"/>
          <w:lang w:val="fr-CA"/>
        </w:rPr>
        <w:t xml:space="preserve">de tous les segments et secteurs </w:t>
      </w:r>
      <w:r>
        <w:rPr>
          <w:kern w:val="22"/>
          <w:szCs w:val="22"/>
          <w:lang w:val="fr-CA"/>
        </w:rPr>
        <w:t>concernés</w:t>
      </w:r>
      <w:r w:rsidR="00FA4FFA" w:rsidRPr="00B26B5B">
        <w:rPr>
          <w:kern w:val="22"/>
          <w:szCs w:val="22"/>
          <w:lang w:val="fr-CA"/>
        </w:rPr>
        <w:t xml:space="preserve"> de la société</w:t>
      </w:r>
      <w:r w:rsidR="00B92D18">
        <w:rPr>
          <w:kern w:val="22"/>
          <w:szCs w:val="22"/>
          <w:lang w:val="fr-CA"/>
        </w:rPr>
        <w:t>;</w:t>
      </w:r>
    </w:p>
    <w:p w:rsidR="00305347" w:rsidRPr="00B26B5B" w:rsidRDefault="00B71786" w:rsidP="003E21D9">
      <w:pPr>
        <w:pStyle w:val="Para1"/>
        <w:numPr>
          <w:ilvl w:val="1"/>
          <w:numId w:val="2"/>
        </w:numPr>
        <w:suppressLineNumbers/>
        <w:suppressAutoHyphens/>
        <w:rPr>
          <w:kern w:val="22"/>
          <w:szCs w:val="22"/>
          <w:lang w:val="fr-CA"/>
        </w:rPr>
      </w:pPr>
      <w:r>
        <w:rPr>
          <w:kern w:val="22"/>
          <w:szCs w:val="22"/>
          <w:lang w:val="fr-CA"/>
        </w:rPr>
        <w:t>La n</w:t>
      </w:r>
      <w:r w:rsidR="0070144C" w:rsidRPr="00B26B5B">
        <w:rPr>
          <w:kern w:val="22"/>
          <w:szCs w:val="22"/>
          <w:lang w:val="fr-CA"/>
        </w:rPr>
        <w:t>on-participation des jeunes</w:t>
      </w:r>
      <w:r w:rsidR="00FA4FFA" w:rsidRPr="00B26B5B">
        <w:rPr>
          <w:kern w:val="22"/>
          <w:szCs w:val="22"/>
          <w:lang w:val="fr-CA"/>
        </w:rPr>
        <w:t xml:space="preserve"> : Il faut donner aux jeunes </w:t>
      </w:r>
      <w:r>
        <w:rPr>
          <w:kern w:val="22"/>
          <w:szCs w:val="22"/>
          <w:lang w:val="fr-CA"/>
        </w:rPr>
        <w:t xml:space="preserve">du pays, de la région et du monde </w:t>
      </w:r>
      <w:r w:rsidR="00FA4FFA" w:rsidRPr="00B26B5B">
        <w:rPr>
          <w:kern w:val="22"/>
          <w:szCs w:val="22"/>
          <w:lang w:val="fr-CA"/>
        </w:rPr>
        <w:t xml:space="preserve">la possibilité de jouer un rôle important </w:t>
      </w:r>
      <w:r w:rsidR="0070144C" w:rsidRPr="00B26B5B">
        <w:rPr>
          <w:kern w:val="22"/>
          <w:szCs w:val="22"/>
          <w:lang w:val="fr-CA"/>
        </w:rPr>
        <w:t xml:space="preserve">dans la mise en œuvre </w:t>
      </w:r>
      <w:r>
        <w:rPr>
          <w:kern w:val="22"/>
          <w:szCs w:val="22"/>
          <w:lang w:val="fr-CA"/>
        </w:rPr>
        <w:t>dans leur pays</w:t>
      </w:r>
      <w:r w:rsidR="0070144C" w:rsidRPr="00B26B5B">
        <w:rPr>
          <w:kern w:val="22"/>
          <w:szCs w:val="22"/>
          <w:lang w:val="fr-CA"/>
        </w:rPr>
        <w:t xml:space="preserve"> et de participer aux différents processus d’élaboratio</w:t>
      </w:r>
      <w:r w:rsidR="003E21D9">
        <w:rPr>
          <w:kern w:val="22"/>
          <w:szCs w:val="22"/>
          <w:lang w:val="fr-CA"/>
        </w:rPr>
        <w:t>n de politiques et de formation</w:t>
      </w:r>
      <w:r w:rsidR="00B92D18">
        <w:rPr>
          <w:kern w:val="22"/>
          <w:szCs w:val="22"/>
          <w:lang w:val="fr-CA"/>
        </w:rPr>
        <w:t>;</w:t>
      </w:r>
    </w:p>
    <w:p w:rsidR="00305347" w:rsidRPr="00B26B5B" w:rsidRDefault="00B71786" w:rsidP="00C33570">
      <w:pPr>
        <w:pStyle w:val="Para1"/>
        <w:numPr>
          <w:ilvl w:val="1"/>
          <w:numId w:val="2"/>
        </w:numPr>
        <w:suppressLineNumbers/>
        <w:tabs>
          <w:tab w:val="clear" w:pos="1440"/>
        </w:tabs>
        <w:suppressAutoHyphens/>
        <w:rPr>
          <w:kern w:val="22"/>
          <w:szCs w:val="22"/>
          <w:lang w:val="fr-CA"/>
        </w:rPr>
      </w:pPr>
      <w:r>
        <w:rPr>
          <w:kern w:val="22"/>
          <w:szCs w:val="22"/>
          <w:lang w:val="fr-CA"/>
        </w:rPr>
        <w:t>L’a</w:t>
      </w:r>
      <w:r w:rsidR="0070144C" w:rsidRPr="00B26B5B">
        <w:rPr>
          <w:kern w:val="22"/>
          <w:szCs w:val="22"/>
          <w:lang w:val="fr-CA"/>
        </w:rPr>
        <w:t xml:space="preserve">ccès limité aux données et aux connaissances : </w:t>
      </w:r>
      <w:r w:rsidR="001E143E">
        <w:rPr>
          <w:kern w:val="22"/>
          <w:szCs w:val="22"/>
          <w:lang w:val="fr-CA"/>
        </w:rPr>
        <w:t>D</w:t>
      </w:r>
      <w:r w:rsidR="004D5B5E" w:rsidRPr="00B26B5B">
        <w:rPr>
          <w:kern w:val="22"/>
          <w:szCs w:val="22"/>
          <w:lang w:val="fr-CA"/>
        </w:rPr>
        <w:t xml:space="preserve">es données et des informations fiables </w:t>
      </w:r>
      <w:r w:rsidR="001E143E">
        <w:rPr>
          <w:kern w:val="22"/>
          <w:szCs w:val="22"/>
          <w:lang w:val="fr-CA"/>
        </w:rPr>
        <w:t xml:space="preserve">sont essentielles </w:t>
      </w:r>
      <w:r w:rsidR="004D5B5E" w:rsidRPr="00B26B5B">
        <w:rPr>
          <w:kern w:val="22"/>
          <w:szCs w:val="22"/>
          <w:lang w:val="fr-CA"/>
        </w:rPr>
        <w:t>af</w:t>
      </w:r>
      <w:r w:rsidR="001E143E">
        <w:rPr>
          <w:kern w:val="22"/>
          <w:szCs w:val="22"/>
          <w:lang w:val="fr-CA"/>
        </w:rPr>
        <w:t>in d’effectuer certaines tâches</w:t>
      </w:r>
      <w:r w:rsidR="004D5B5E" w:rsidRPr="00B26B5B">
        <w:rPr>
          <w:kern w:val="22"/>
          <w:szCs w:val="22"/>
          <w:lang w:val="fr-CA"/>
        </w:rPr>
        <w:t xml:space="preserve"> telles que la planification de l’utilisation des terres, l’établissement de la valeur des écosystèmes et la sensibilisation. Plusieurs pays n’ont pas de bons systèmes de gestion des données pour l’établissement de rapports</w:t>
      </w:r>
      <w:r w:rsidR="00B92D18">
        <w:rPr>
          <w:kern w:val="22"/>
          <w:szCs w:val="22"/>
          <w:lang w:val="fr-CA"/>
        </w:rPr>
        <w:t>;</w:t>
      </w:r>
    </w:p>
    <w:p w:rsidR="00305347" w:rsidRPr="00B26B5B" w:rsidRDefault="00B71786" w:rsidP="00C33570">
      <w:pPr>
        <w:pStyle w:val="Para1"/>
        <w:numPr>
          <w:ilvl w:val="1"/>
          <w:numId w:val="2"/>
        </w:numPr>
        <w:suppressLineNumbers/>
        <w:tabs>
          <w:tab w:val="clear" w:pos="1440"/>
        </w:tabs>
        <w:suppressAutoHyphens/>
        <w:rPr>
          <w:kern w:val="22"/>
          <w:szCs w:val="22"/>
          <w:lang w:val="fr-CA"/>
        </w:rPr>
      </w:pPr>
      <w:r>
        <w:rPr>
          <w:kern w:val="22"/>
          <w:szCs w:val="22"/>
          <w:lang w:val="fr-CA"/>
        </w:rPr>
        <w:t>L’a</w:t>
      </w:r>
      <w:r w:rsidR="0070144C" w:rsidRPr="00B26B5B">
        <w:rPr>
          <w:kern w:val="22"/>
          <w:szCs w:val="22"/>
          <w:lang w:val="fr-CA"/>
        </w:rPr>
        <w:t xml:space="preserve">ccès limité aux technologies pertinentes : </w:t>
      </w:r>
      <w:r w:rsidR="004D5B5E" w:rsidRPr="00B26B5B">
        <w:rPr>
          <w:kern w:val="22"/>
          <w:szCs w:val="22"/>
          <w:lang w:val="fr-CA"/>
        </w:rPr>
        <w:t>Les pays et les régions doivent collaborer afin de faciliter le transfert des connaissances scientifiques et des innovations</w:t>
      </w:r>
      <w:r w:rsidR="00B92D18">
        <w:rPr>
          <w:kern w:val="22"/>
          <w:szCs w:val="22"/>
          <w:lang w:val="fr-CA"/>
        </w:rPr>
        <w:t>;</w:t>
      </w:r>
    </w:p>
    <w:p w:rsidR="00305347" w:rsidRPr="00B26B5B" w:rsidRDefault="003E21D9" w:rsidP="00C33570">
      <w:pPr>
        <w:pStyle w:val="Para1"/>
        <w:numPr>
          <w:ilvl w:val="1"/>
          <w:numId w:val="2"/>
        </w:numPr>
        <w:suppressLineNumbers/>
        <w:tabs>
          <w:tab w:val="clear" w:pos="1440"/>
        </w:tabs>
        <w:suppressAutoHyphens/>
        <w:rPr>
          <w:kern w:val="22"/>
          <w:szCs w:val="22"/>
          <w:lang w:val="fr-CA"/>
        </w:rPr>
      </w:pPr>
      <w:r>
        <w:rPr>
          <w:kern w:val="22"/>
          <w:szCs w:val="22"/>
          <w:lang w:val="fr-CA"/>
        </w:rPr>
        <w:t>D</w:t>
      </w:r>
      <w:r w:rsidR="00B71786">
        <w:rPr>
          <w:kern w:val="22"/>
          <w:szCs w:val="22"/>
          <w:lang w:val="fr-CA"/>
        </w:rPr>
        <w:t>es p</w:t>
      </w:r>
      <w:r w:rsidR="004D5B5E" w:rsidRPr="00B26B5B">
        <w:rPr>
          <w:kern w:val="22"/>
          <w:szCs w:val="22"/>
          <w:lang w:val="fr-CA"/>
        </w:rPr>
        <w:t xml:space="preserve">lans et objectifs non réalistes : Plusieurs </w:t>
      </w:r>
      <w:r w:rsidR="00C837FE">
        <w:rPr>
          <w:kern w:val="22"/>
          <w:szCs w:val="22"/>
          <w:lang w:val="fr-CA"/>
        </w:rPr>
        <w:t>SPANB</w:t>
      </w:r>
      <w:r w:rsidR="004D5B5E" w:rsidRPr="00B26B5B">
        <w:rPr>
          <w:kern w:val="22"/>
          <w:szCs w:val="22"/>
          <w:lang w:val="fr-CA"/>
        </w:rPr>
        <w:t xml:space="preserve"> sont trop ambitieux. Les Parties doivent fixer des objectifs réalistes et mesurables</w:t>
      </w:r>
      <w:r w:rsidR="00B92D18">
        <w:rPr>
          <w:kern w:val="22"/>
          <w:szCs w:val="22"/>
          <w:lang w:val="fr-CA"/>
        </w:rPr>
        <w:t>;</w:t>
      </w:r>
    </w:p>
    <w:p w:rsidR="00305347" w:rsidRPr="00B26B5B" w:rsidRDefault="00B71786" w:rsidP="00C33570">
      <w:pPr>
        <w:pStyle w:val="Para1"/>
        <w:numPr>
          <w:ilvl w:val="1"/>
          <w:numId w:val="2"/>
        </w:numPr>
        <w:suppressLineNumbers/>
        <w:tabs>
          <w:tab w:val="clear" w:pos="1440"/>
        </w:tabs>
        <w:suppressAutoHyphens/>
        <w:rPr>
          <w:kern w:val="22"/>
          <w:szCs w:val="22"/>
          <w:lang w:val="fr-CA"/>
        </w:rPr>
      </w:pPr>
      <w:r>
        <w:rPr>
          <w:kern w:val="22"/>
          <w:szCs w:val="22"/>
          <w:lang w:val="fr-CA"/>
        </w:rPr>
        <w:t>Les r</w:t>
      </w:r>
      <w:r w:rsidR="001B34BB" w:rsidRPr="00B26B5B">
        <w:rPr>
          <w:kern w:val="22"/>
          <w:szCs w:val="22"/>
          <w:lang w:val="fr-CA"/>
        </w:rPr>
        <w:t xml:space="preserve">etards dans la mise en œuvre : Il y a </w:t>
      </w:r>
      <w:r w:rsidR="00986889">
        <w:rPr>
          <w:kern w:val="22"/>
          <w:szCs w:val="22"/>
          <w:lang w:val="fr-CA"/>
        </w:rPr>
        <w:t xml:space="preserve">eu </w:t>
      </w:r>
      <w:r w:rsidR="001B34BB" w:rsidRPr="00B26B5B">
        <w:rPr>
          <w:kern w:val="22"/>
          <w:szCs w:val="22"/>
          <w:lang w:val="fr-CA"/>
        </w:rPr>
        <w:t xml:space="preserve">un délai entre le moment où les Parties </w:t>
      </w:r>
      <w:r w:rsidR="00986889">
        <w:rPr>
          <w:kern w:val="22"/>
          <w:szCs w:val="22"/>
          <w:lang w:val="fr-CA"/>
        </w:rPr>
        <w:t>ont convenu</w:t>
      </w:r>
      <w:r w:rsidR="001B34BB" w:rsidRPr="00B26B5B">
        <w:rPr>
          <w:kern w:val="22"/>
          <w:szCs w:val="22"/>
          <w:lang w:val="fr-CA"/>
        </w:rPr>
        <w:t xml:space="preserve"> de ce qu’il </w:t>
      </w:r>
      <w:r w:rsidR="00986889">
        <w:rPr>
          <w:kern w:val="22"/>
          <w:szCs w:val="22"/>
          <w:lang w:val="fr-CA"/>
        </w:rPr>
        <w:t>fallait</w:t>
      </w:r>
      <w:r w:rsidR="001B34BB" w:rsidRPr="00B26B5B">
        <w:rPr>
          <w:kern w:val="22"/>
          <w:szCs w:val="22"/>
          <w:lang w:val="fr-CA"/>
        </w:rPr>
        <w:t xml:space="preserve"> faire et le moment où les mesures convenues </w:t>
      </w:r>
      <w:r w:rsidR="00986889">
        <w:rPr>
          <w:kern w:val="22"/>
          <w:szCs w:val="22"/>
          <w:lang w:val="fr-CA"/>
        </w:rPr>
        <w:t>ont été</w:t>
      </w:r>
      <w:r w:rsidR="001B34BB" w:rsidRPr="00B26B5B">
        <w:rPr>
          <w:kern w:val="22"/>
          <w:szCs w:val="22"/>
          <w:lang w:val="fr-CA"/>
        </w:rPr>
        <w:t xml:space="preserve"> mises en œuvre. Par exemple, le Plan stratégique pour la diversité biologique 2011-2020 et les Objectifs d’Aichi pour la biodiversité ont été adoptés en 2010, mais la plupart des Parties n’</w:t>
      </w:r>
      <w:r w:rsidR="00065FB5" w:rsidRPr="00B26B5B">
        <w:rPr>
          <w:kern w:val="22"/>
          <w:szCs w:val="22"/>
          <w:lang w:val="fr-CA"/>
        </w:rPr>
        <w:t xml:space="preserve">en </w:t>
      </w:r>
      <w:r w:rsidR="00986889">
        <w:rPr>
          <w:kern w:val="22"/>
          <w:szCs w:val="22"/>
          <w:lang w:val="fr-CA"/>
        </w:rPr>
        <w:t>ont</w:t>
      </w:r>
      <w:r w:rsidR="001B34BB" w:rsidRPr="00B26B5B">
        <w:rPr>
          <w:kern w:val="22"/>
          <w:szCs w:val="22"/>
          <w:lang w:val="fr-CA"/>
        </w:rPr>
        <w:t xml:space="preserve"> mis en œuvre </w:t>
      </w:r>
      <w:r w:rsidR="003E21D9">
        <w:rPr>
          <w:kern w:val="22"/>
          <w:szCs w:val="22"/>
          <w:lang w:val="fr-CA"/>
        </w:rPr>
        <w:t>qu’une faible partie</w:t>
      </w:r>
      <w:r w:rsidR="001B34BB" w:rsidRPr="00B26B5B">
        <w:rPr>
          <w:kern w:val="22"/>
          <w:szCs w:val="22"/>
          <w:lang w:val="fr-CA"/>
        </w:rPr>
        <w:t xml:space="preserve"> et </w:t>
      </w:r>
      <w:r w:rsidR="003E21D9">
        <w:rPr>
          <w:kern w:val="22"/>
          <w:szCs w:val="22"/>
          <w:lang w:val="fr-CA"/>
        </w:rPr>
        <w:t>aucun</w:t>
      </w:r>
      <w:r w:rsidR="001B34BB" w:rsidRPr="00B26B5B">
        <w:rPr>
          <w:kern w:val="22"/>
          <w:szCs w:val="22"/>
          <w:lang w:val="fr-CA"/>
        </w:rPr>
        <w:t xml:space="preserve"> environnement</w:t>
      </w:r>
      <w:r w:rsidR="003E21D9">
        <w:rPr>
          <w:kern w:val="22"/>
          <w:szCs w:val="22"/>
          <w:lang w:val="fr-CA"/>
        </w:rPr>
        <w:t xml:space="preserve"> de facilitation </w:t>
      </w:r>
      <w:r w:rsidR="00986889">
        <w:rPr>
          <w:kern w:val="22"/>
          <w:szCs w:val="22"/>
          <w:lang w:val="fr-CA"/>
        </w:rPr>
        <w:t>n’a</w:t>
      </w:r>
      <w:r w:rsidR="001B34BB" w:rsidRPr="00B26B5B">
        <w:rPr>
          <w:kern w:val="22"/>
          <w:szCs w:val="22"/>
          <w:lang w:val="fr-CA"/>
        </w:rPr>
        <w:t xml:space="preserve"> été créé. </w:t>
      </w:r>
      <w:r w:rsidR="00065FB5" w:rsidRPr="00B26B5B">
        <w:rPr>
          <w:kern w:val="22"/>
          <w:szCs w:val="22"/>
          <w:lang w:val="fr-CA"/>
        </w:rPr>
        <w:t>Le fait que les indicateurs aient été convenus près de cinq ans après</w:t>
      </w:r>
      <w:r w:rsidR="00986889">
        <w:rPr>
          <w:kern w:val="22"/>
          <w:szCs w:val="22"/>
          <w:lang w:val="fr-CA"/>
        </w:rPr>
        <w:t xml:space="preserve"> l’adoption du Plan stratégique</w:t>
      </w:r>
      <w:r w:rsidR="00065FB5" w:rsidRPr="00B26B5B">
        <w:rPr>
          <w:kern w:val="22"/>
          <w:szCs w:val="22"/>
          <w:lang w:val="fr-CA"/>
        </w:rPr>
        <w:t xml:space="preserve"> a exacerbé à situation. De plus, il y a eu un délai entre l’élaboration des </w:t>
      </w:r>
      <w:r w:rsidR="00C837FE">
        <w:rPr>
          <w:kern w:val="22"/>
          <w:szCs w:val="22"/>
          <w:lang w:val="fr-CA"/>
        </w:rPr>
        <w:t>SPANB</w:t>
      </w:r>
      <w:r w:rsidR="00065FB5" w:rsidRPr="00B26B5B">
        <w:rPr>
          <w:kern w:val="22"/>
          <w:szCs w:val="22"/>
          <w:lang w:val="fr-CA"/>
        </w:rPr>
        <w:t xml:space="preserve"> et le début réel de leur mise en œuvre</w:t>
      </w:r>
      <w:r w:rsidR="00B92D18">
        <w:rPr>
          <w:kern w:val="22"/>
          <w:szCs w:val="22"/>
          <w:lang w:val="fr-CA"/>
        </w:rPr>
        <w:t>;</w:t>
      </w:r>
    </w:p>
    <w:p w:rsidR="00305347" w:rsidRPr="00B26B5B" w:rsidRDefault="00B71786" w:rsidP="00C33570">
      <w:pPr>
        <w:pStyle w:val="Para1"/>
        <w:numPr>
          <w:ilvl w:val="1"/>
          <w:numId w:val="2"/>
        </w:numPr>
        <w:suppressLineNumbers/>
        <w:tabs>
          <w:tab w:val="clear" w:pos="1440"/>
        </w:tabs>
        <w:suppressAutoHyphens/>
        <w:rPr>
          <w:kern w:val="22"/>
          <w:szCs w:val="22"/>
          <w:lang w:val="fr-CA"/>
        </w:rPr>
      </w:pPr>
      <w:r>
        <w:rPr>
          <w:kern w:val="22"/>
          <w:szCs w:val="22"/>
          <w:lang w:val="fr-CA"/>
        </w:rPr>
        <w:t>La c</w:t>
      </w:r>
      <w:r w:rsidR="00065FB5" w:rsidRPr="00B26B5B">
        <w:rPr>
          <w:kern w:val="22"/>
          <w:szCs w:val="22"/>
          <w:lang w:val="fr-CA"/>
        </w:rPr>
        <w:t xml:space="preserve">oncurrence des autres priorités : </w:t>
      </w:r>
      <w:r w:rsidR="00F23055" w:rsidRPr="00B26B5B">
        <w:rPr>
          <w:kern w:val="22"/>
          <w:szCs w:val="22"/>
          <w:lang w:val="fr-CA"/>
        </w:rPr>
        <w:t xml:space="preserve">Il est difficile d’obtenir que les politiciens et les décideurs priorisent la conservation de la diversité biologique et son utilisation durable </w:t>
      </w:r>
      <w:r w:rsidR="00986889">
        <w:rPr>
          <w:kern w:val="22"/>
          <w:szCs w:val="22"/>
          <w:lang w:val="fr-CA"/>
        </w:rPr>
        <w:t>avant d’autres</w:t>
      </w:r>
      <w:r w:rsidR="00F23055" w:rsidRPr="00B26B5B">
        <w:rPr>
          <w:kern w:val="22"/>
          <w:szCs w:val="22"/>
          <w:lang w:val="fr-CA"/>
        </w:rPr>
        <w:t xml:space="preserve"> dossiers tels que l’insécurité alimentaire, le chômage, la santé et les infrastructures</w:t>
      </w:r>
      <w:r w:rsidR="00B92D18">
        <w:rPr>
          <w:kern w:val="22"/>
          <w:szCs w:val="22"/>
          <w:lang w:val="fr-CA"/>
        </w:rPr>
        <w:t>;</w:t>
      </w:r>
    </w:p>
    <w:p w:rsidR="00305347" w:rsidRPr="00B26B5B" w:rsidRDefault="00B71786" w:rsidP="00C33570">
      <w:pPr>
        <w:pStyle w:val="Para1"/>
        <w:numPr>
          <w:ilvl w:val="1"/>
          <w:numId w:val="2"/>
        </w:numPr>
        <w:suppressLineNumbers/>
        <w:tabs>
          <w:tab w:val="clear" w:pos="1440"/>
        </w:tabs>
        <w:suppressAutoHyphens/>
        <w:rPr>
          <w:kern w:val="22"/>
          <w:szCs w:val="22"/>
          <w:lang w:val="fr-CA"/>
        </w:rPr>
      </w:pPr>
      <w:r>
        <w:rPr>
          <w:kern w:val="22"/>
          <w:szCs w:val="22"/>
          <w:lang w:val="fr-CA"/>
        </w:rPr>
        <w:t>Le m</w:t>
      </w:r>
      <w:r w:rsidR="00F23055" w:rsidRPr="00B26B5B">
        <w:rPr>
          <w:kern w:val="22"/>
          <w:szCs w:val="22"/>
          <w:lang w:val="fr-CA"/>
        </w:rPr>
        <w:t xml:space="preserve">anque de coordination entre les ministères et les secteurs : </w:t>
      </w:r>
      <w:r w:rsidR="00300672" w:rsidRPr="00B26B5B">
        <w:rPr>
          <w:kern w:val="22"/>
          <w:szCs w:val="22"/>
          <w:lang w:val="fr-CA"/>
        </w:rPr>
        <w:t>Il faut coordonner et harmoniser les travaux des différents ministères et agences afin d’atteindre efficacement les buts et cibles pour la diversité biologique</w:t>
      </w:r>
      <w:r w:rsidR="00305347" w:rsidRPr="00B26B5B">
        <w:rPr>
          <w:kern w:val="22"/>
          <w:szCs w:val="22"/>
          <w:lang w:val="fr-CA"/>
        </w:rPr>
        <w:t>.</w:t>
      </w:r>
    </w:p>
    <w:p w:rsidR="00305347" w:rsidRPr="00B26B5B" w:rsidRDefault="001E143E" w:rsidP="00C33570">
      <w:pPr>
        <w:pStyle w:val="Para1"/>
        <w:suppressLineNumbers/>
        <w:tabs>
          <w:tab w:val="clear" w:pos="360"/>
          <w:tab w:val="num" w:pos="630"/>
        </w:tabs>
        <w:suppressAutoHyphens/>
        <w:rPr>
          <w:kern w:val="22"/>
          <w:szCs w:val="22"/>
          <w:lang w:val="fr-CA"/>
        </w:rPr>
      </w:pPr>
      <w:r>
        <w:rPr>
          <w:kern w:val="22"/>
          <w:szCs w:val="22"/>
          <w:lang w:val="fr-CA"/>
        </w:rPr>
        <w:t>D</w:t>
      </w:r>
      <w:r w:rsidR="00300672" w:rsidRPr="00B26B5B">
        <w:rPr>
          <w:kern w:val="22"/>
          <w:szCs w:val="22"/>
          <w:lang w:val="fr-CA"/>
        </w:rPr>
        <w:t>’autres difficultés</w:t>
      </w:r>
      <w:r>
        <w:rPr>
          <w:kern w:val="22"/>
          <w:szCs w:val="22"/>
          <w:lang w:val="fr-CA"/>
        </w:rPr>
        <w:t xml:space="preserve"> ont été cernées</w:t>
      </w:r>
      <w:r w:rsidR="00300672" w:rsidRPr="00B26B5B">
        <w:rPr>
          <w:kern w:val="22"/>
          <w:szCs w:val="22"/>
          <w:lang w:val="fr-CA"/>
        </w:rPr>
        <w:t>, telles que le manque de capacités et d’expertise à plusieurs niveaux, les ressources financières limitées, l’absence de politiques et de cohérence juridique au niveau national, une mauvaise</w:t>
      </w:r>
      <w:r w:rsidR="0020539B">
        <w:rPr>
          <w:kern w:val="22"/>
          <w:szCs w:val="22"/>
          <w:lang w:val="fr-CA"/>
        </w:rPr>
        <w:t xml:space="preserve"> gouvernance et la corruption, d</w:t>
      </w:r>
      <w:r w:rsidR="00300672" w:rsidRPr="00B26B5B">
        <w:rPr>
          <w:kern w:val="22"/>
          <w:szCs w:val="22"/>
          <w:lang w:val="fr-CA"/>
        </w:rPr>
        <w:t>es cad</w:t>
      </w:r>
      <w:r w:rsidR="0020539B">
        <w:rPr>
          <w:kern w:val="22"/>
          <w:szCs w:val="22"/>
          <w:lang w:val="fr-CA"/>
        </w:rPr>
        <w:t>r</w:t>
      </w:r>
      <w:r w:rsidR="00300672" w:rsidRPr="00B26B5B">
        <w:rPr>
          <w:kern w:val="22"/>
          <w:szCs w:val="22"/>
          <w:lang w:val="fr-CA"/>
        </w:rPr>
        <w:t xml:space="preserve">es institutionnels inefficaces et le manque de volonté politique pour appliquer et soutenir la mise en œuvre des </w:t>
      </w:r>
      <w:r w:rsidR="00C837FE">
        <w:rPr>
          <w:kern w:val="22"/>
          <w:szCs w:val="22"/>
          <w:lang w:val="fr-CA"/>
        </w:rPr>
        <w:t>SPANB</w:t>
      </w:r>
      <w:r w:rsidR="00305347" w:rsidRPr="00B26B5B">
        <w:rPr>
          <w:kern w:val="22"/>
          <w:szCs w:val="22"/>
          <w:lang w:val="fr-CA"/>
        </w:rPr>
        <w:t>.</w:t>
      </w:r>
    </w:p>
    <w:p w:rsidR="00305347" w:rsidRPr="00B26B5B" w:rsidRDefault="00E0206F" w:rsidP="002511BD">
      <w:pPr>
        <w:pStyle w:val="Titre2"/>
        <w:numPr>
          <w:ilvl w:val="0"/>
          <w:numId w:val="7"/>
        </w:numPr>
        <w:suppressLineNumbers/>
        <w:tabs>
          <w:tab w:val="clear" w:pos="720"/>
        </w:tabs>
        <w:suppressAutoHyphens/>
        <w:ind w:left="714" w:hanging="357"/>
        <w:rPr>
          <w:kern w:val="22"/>
          <w:szCs w:val="22"/>
          <w:lang w:val="fr-CA"/>
        </w:rPr>
      </w:pPr>
      <w:r w:rsidRPr="00B26B5B">
        <w:rPr>
          <w:kern w:val="22"/>
          <w:szCs w:val="22"/>
          <w:lang w:val="fr-CA"/>
        </w:rPr>
        <w:t>Visionner le monde que nous voulons</w:t>
      </w:r>
    </w:p>
    <w:p w:rsidR="008429C2" w:rsidRPr="00B26B5B" w:rsidRDefault="00E0206F" w:rsidP="00C33570">
      <w:pPr>
        <w:pStyle w:val="Para1"/>
        <w:suppressLineNumbers/>
        <w:tabs>
          <w:tab w:val="clear" w:pos="360"/>
          <w:tab w:val="left" w:pos="720"/>
        </w:tabs>
        <w:suppressAutoHyphens/>
        <w:rPr>
          <w:kern w:val="22"/>
          <w:szCs w:val="22"/>
          <w:lang w:val="fr-CA"/>
        </w:rPr>
      </w:pPr>
      <w:r w:rsidRPr="00B26B5B">
        <w:rPr>
          <w:kern w:val="22"/>
          <w:szCs w:val="22"/>
          <w:lang w:val="fr-CA"/>
        </w:rPr>
        <w:t>Les participants ont recensé plusieurs moyens et voies possi</w:t>
      </w:r>
      <w:r w:rsidR="00F71AC9">
        <w:rPr>
          <w:kern w:val="22"/>
          <w:szCs w:val="22"/>
          <w:lang w:val="fr-CA"/>
        </w:rPr>
        <w:t>bles pour la réalisation de la V</w:t>
      </w:r>
      <w:r w:rsidRPr="00B26B5B">
        <w:rPr>
          <w:kern w:val="22"/>
          <w:szCs w:val="22"/>
          <w:lang w:val="fr-CA"/>
        </w:rPr>
        <w:t xml:space="preserve">ision 2050 de « vivre en harmonie avec la nature ». </w:t>
      </w:r>
      <w:r w:rsidR="00260C5F" w:rsidRPr="00B26B5B">
        <w:rPr>
          <w:kern w:val="22"/>
          <w:szCs w:val="22"/>
          <w:lang w:val="fr-CA"/>
        </w:rPr>
        <w:t xml:space="preserve">Ils reconnaissent que les tendances actuelles en matière de diversité biologique sont alarmantes et </w:t>
      </w:r>
      <w:r w:rsidR="00F71AC9">
        <w:rPr>
          <w:kern w:val="22"/>
          <w:szCs w:val="22"/>
          <w:lang w:val="fr-CA"/>
        </w:rPr>
        <w:t>que les choses doivent changer</w:t>
      </w:r>
      <w:r w:rsidR="00260C5F" w:rsidRPr="00B26B5B">
        <w:rPr>
          <w:kern w:val="22"/>
          <w:szCs w:val="22"/>
          <w:lang w:val="fr-CA"/>
        </w:rPr>
        <w:t xml:space="preserve">. Ils ont aussi indiqué qu’il faut de l’ambition afin d’obtenir l’avenir que nous voulons, </w:t>
      </w:r>
      <w:r w:rsidR="00F71AC9">
        <w:rPr>
          <w:kern w:val="22"/>
          <w:szCs w:val="22"/>
          <w:lang w:val="fr-CA"/>
        </w:rPr>
        <w:t>et</w:t>
      </w:r>
      <w:r w:rsidR="00260C5F" w:rsidRPr="00B26B5B">
        <w:rPr>
          <w:kern w:val="22"/>
          <w:szCs w:val="22"/>
          <w:lang w:val="fr-CA"/>
        </w:rPr>
        <w:t xml:space="preserve"> que le cadre de l’apr</w:t>
      </w:r>
      <w:r w:rsidR="00D73DDA" w:rsidRPr="00B26B5B">
        <w:rPr>
          <w:kern w:val="22"/>
          <w:szCs w:val="22"/>
          <w:lang w:val="fr-CA"/>
        </w:rPr>
        <w:t>ès-2020 ne fera</w:t>
      </w:r>
      <w:r w:rsidR="00260C5F" w:rsidRPr="00B26B5B">
        <w:rPr>
          <w:kern w:val="22"/>
          <w:szCs w:val="22"/>
          <w:lang w:val="fr-CA"/>
        </w:rPr>
        <w:t xml:space="preserve"> pas beaucoup de différence si nous nous sous-estimons. </w:t>
      </w:r>
      <w:r w:rsidR="00F71AC9">
        <w:rPr>
          <w:kern w:val="22"/>
          <w:szCs w:val="22"/>
          <w:lang w:val="fr-CA"/>
        </w:rPr>
        <w:t>Il faut</w:t>
      </w:r>
      <w:r w:rsidR="00260C5F" w:rsidRPr="00B26B5B">
        <w:rPr>
          <w:kern w:val="22"/>
          <w:szCs w:val="22"/>
          <w:lang w:val="fr-CA"/>
        </w:rPr>
        <w:t xml:space="preserve"> agir dès maintenant et ne pas attendre 2050. Les idées s</w:t>
      </w:r>
      <w:r w:rsidR="00D73DDA" w:rsidRPr="00B26B5B">
        <w:rPr>
          <w:kern w:val="22"/>
          <w:szCs w:val="22"/>
          <w:lang w:val="fr-CA"/>
        </w:rPr>
        <w:t>uivant</w:t>
      </w:r>
      <w:r w:rsidR="00F71AC9">
        <w:rPr>
          <w:kern w:val="22"/>
          <w:szCs w:val="22"/>
          <w:lang w:val="fr-CA"/>
        </w:rPr>
        <w:t>e</w:t>
      </w:r>
      <w:r w:rsidR="00D73DDA" w:rsidRPr="00B26B5B">
        <w:rPr>
          <w:kern w:val="22"/>
          <w:szCs w:val="22"/>
          <w:lang w:val="fr-CA"/>
        </w:rPr>
        <w:t>s ont été exp</w:t>
      </w:r>
      <w:r w:rsidR="00260C5F" w:rsidRPr="00B26B5B">
        <w:rPr>
          <w:kern w:val="22"/>
          <w:szCs w:val="22"/>
          <w:lang w:val="fr-CA"/>
        </w:rPr>
        <w:t xml:space="preserve">rimées </w:t>
      </w:r>
      <w:r w:rsidR="00D73DDA" w:rsidRPr="00B26B5B">
        <w:rPr>
          <w:kern w:val="22"/>
          <w:szCs w:val="22"/>
          <w:lang w:val="fr-CA"/>
        </w:rPr>
        <w:t>à c</w:t>
      </w:r>
      <w:r w:rsidR="00260C5F" w:rsidRPr="00B26B5B">
        <w:rPr>
          <w:kern w:val="22"/>
          <w:szCs w:val="22"/>
          <w:lang w:val="fr-CA"/>
        </w:rPr>
        <w:t>et égard</w:t>
      </w:r>
      <w:r w:rsidR="00CD0FC3">
        <w:rPr>
          <w:kern w:val="22"/>
          <w:szCs w:val="22"/>
          <w:lang w:val="fr-CA"/>
        </w:rPr>
        <w:t> </w:t>
      </w:r>
      <w:r w:rsidR="00E01F1D" w:rsidRPr="00B26B5B">
        <w:rPr>
          <w:kern w:val="22"/>
          <w:szCs w:val="22"/>
          <w:lang w:val="fr-CA"/>
        </w:rPr>
        <w:t>:</w:t>
      </w:r>
    </w:p>
    <w:p w:rsidR="00E01F1D" w:rsidRPr="00B26B5B" w:rsidRDefault="00DE6011" w:rsidP="00C33570">
      <w:pPr>
        <w:pStyle w:val="Para1"/>
        <w:numPr>
          <w:ilvl w:val="1"/>
          <w:numId w:val="2"/>
        </w:numPr>
        <w:suppressLineNumbers/>
        <w:suppressAutoHyphens/>
        <w:rPr>
          <w:kern w:val="22"/>
          <w:szCs w:val="22"/>
          <w:lang w:val="fr-CA"/>
        </w:rPr>
      </w:pPr>
      <w:r w:rsidRPr="00B26B5B">
        <w:rPr>
          <w:i/>
          <w:kern w:val="22"/>
          <w:szCs w:val="22"/>
          <w:lang w:val="fr-CA"/>
        </w:rPr>
        <w:lastRenderedPageBreak/>
        <w:t>Théorie du changement</w:t>
      </w:r>
      <w:r w:rsidR="00CD0FC3">
        <w:rPr>
          <w:i/>
          <w:kern w:val="22"/>
          <w:szCs w:val="22"/>
          <w:lang w:val="fr-CA"/>
        </w:rPr>
        <w:t> </w:t>
      </w:r>
      <w:r w:rsidR="00E01F1D" w:rsidRPr="00B26B5B">
        <w:rPr>
          <w:kern w:val="22"/>
          <w:szCs w:val="22"/>
          <w:lang w:val="fr-CA"/>
        </w:rPr>
        <w:t xml:space="preserve">: </w:t>
      </w:r>
      <w:r w:rsidR="00C63AAD" w:rsidRPr="00B26B5B">
        <w:rPr>
          <w:kern w:val="22"/>
          <w:szCs w:val="22"/>
          <w:lang w:val="fr-CA"/>
        </w:rPr>
        <w:t>Il faut élabo</w:t>
      </w:r>
      <w:r w:rsidR="005B6CA8">
        <w:rPr>
          <w:kern w:val="22"/>
          <w:szCs w:val="22"/>
          <w:lang w:val="fr-CA"/>
        </w:rPr>
        <w:t>rer une théorie du changement c</w:t>
      </w:r>
      <w:r w:rsidR="00C63AAD" w:rsidRPr="00B26B5B">
        <w:rPr>
          <w:kern w:val="22"/>
          <w:szCs w:val="22"/>
          <w:lang w:val="fr-CA"/>
        </w:rPr>
        <w:t xml:space="preserve">laire pour la Convention </w:t>
      </w:r>
      <w:r w:rsidR="005B6CA8">
        <w:rPr>
          <w:kern w:val="22"/>
          <w:szCs w:val="22"/>
          <w:lang w:val="fr-CA"/>
        </w:rPr>
        <w:t>qui repose</w:t>
      </w:r>
      <w:r w:rsidR="00C63AAD" w:rsidRPr="00B26B5B">
        <w:rPr>
          <w:kern w:val="22"/>
          <w:szCs w:val="22"/>
          <w:lang w:val="fr-CA"/>
        </w:rPr>
        <w:t xml:space="preserve"> sur les résul</w:t>
      </w:r>
      <w:r w:rsidR="00C47110" w:rsidRPr="00B26B5B">
        <w:rPr>
          <w:kern w:val="22"/>
          <w:szCs w:val="22"/>
          <w:lang w:val="fr-CA"/>
        </w:rPr>
        <w:t xml:space="preserve">tats concrets </w:t>
      </w:r>
      <w:r w:rsidR="00CA6393">
        <w:rPr>
          <w:kern w:val="22"/>
          <w:szCs w:val="22"/>
          <w:lang w:val="fr-CA"/>
        </w:rPr>
        <w:t>pour</w:t>
      </w:r>
      <w:r w:rsidR="00C47110" w:rsidRPr="00B26B5B">
        <w:rPr>
          <w:kern w:val="22"/>
          <w:szCs w:val="22"/>
          <w:lang w:val="fr-CA"/>
        </w:rPr>
        <w:t xml:space="preserve"> la V</w:t>
      </w:r>
      <w:r w:rsidR="00C63AAD" w:rsidRPr="00B26B5B">
        <w:rPr>
          <w:kern w:val="22"/>
          <w:szCs w:val="22"/>
          <w:lang w:val="fr-CA"/>
        </w:rPr>
        <w:t>ision 2050</w:t>
      </w:r>
      <w:r w:rsidR="00B92D18">
        <w:rPr>
          <w:kern w:val="22"/>
          <w:szCs w:val="22"/>
          <w:lang w:val="fr-CA"/>
        </w:rPr>
        <w:t>;</w:t>
      </w:r>
      <w:r w:rsidR="00C63AAD" w:rsidRPr="00B26B5B">
        <w:rPr>
          <w:kern w:val="22"/>
          <w:szCs w:val="22"/>
          <w:lang w:val="fr-CA"/>
        </w:rPr>
        <w:t xml:space="preserve"> mettre l’accent sur le partage des avantages et l’intégration des peuples autochtones et des communautés locales ainsi que </w:t>
      </w:r>
      <w:r w:rsidR="00CA6393">
        <w:rPr>
          <w:kern w:val="22"/>
          <w:szCs w:val="22"/>
          <w:lang w:val="fr-CA"/>
        </w:rPr>
        <w:t xml:space="preserve">de </w:t>
      </w:r>
      <w:r w:rsidR="00C63AAD" w:rsidRPr="00B26B5B">
        <w:rPr>
          <w:kern w:val="22"/>
          <w:szCs w:val="22"/>
          <w:lang w:val="fr-CA"/>
        </w:rPr>
        <w:t>leurs connaissances traditionnelles à l’expérience de la transformation réelle d’une sociét</w:t>
      </w:r>
      <w:r w:rsidR="00C03399" w:rsidRPr="00B26B5B">
        <w:rPr>
          <w:kern w:val="22"/>
          <w:szCs w:val="22"/>
          <w:lang w:val="fr-CA"/>
        </w:rPr>
        <w:t>é</w:t>
      </w:r>
      <w:r w:rsidR="00B92D18">
        <w:rPr>
          <w:kern w:val="22"/>
          <w:szCs w:val="22"/>
          <w:lang w:val="fr-CA"/>
        </w:rPr>
        <w:t>;</w:t>
      </w:r>
      <w:r w:rsidR="00C63AAD" w:rsidRPr="00B26B5B">
        <w:rPr>
          <w:kern w:val="22"/>
          <w:szCs w:val="22"/>
          <w:lang w:val="fr-CA"/>
        </w:rPr>
        <w:t xml:space="preserve"> utiliser les accords existants tels que l</w:t>
      </w:r>
      <w:r w:rsidR="00C03399" w:rsidRPr="00B26B5B">
        <w:rPr>
          <w:kern w:val="22"/>
          <w:szCs w:val="22"/>
          <w:lang w:val="fr-CA"/>
        </w:rPr>
        <w:t>es Objectifs de développement d</w:t>
      </w:r>
      <w:r w:rsidR="00C63AAD" w:rsidRPr="00B26B5B">
        <w:rPr>
          <w:kern w:val="22"/>
          <w:szCs w:val="22"/>
          <w:lang w:val="fr-CA"/>
        </w:rPr>
        <w:t>urable et l’Agenda 2063 de l’Union africaine, afin d’</w:t>
      </w:r>
      <w:r w:rsidR="00C03399" w:rsidRPr="00B26B5B">
        <w:rPr>
          <w:kern w:val="22"/>
          <w:szCs w:val="22"/>
          <w:lang w:val="fr-CA"/>
        </w:rPr>
        <w:t>élaborer des objectifs d</w:t>
      </w:r>
      <w:r w:rsidR="00C63AAD" w:rsidRPr="00B26B5B">
        <w:rPr>
          <w:kern w:val="22"/>
          <w:szCs w:val="22"/>
          <w:lang w:val="fr-CA"/>
        </w:rPr>
        <w:t>urabl</w:t>
      </w:r>
      <w:r w:rsidR="00CA6393">
        <w:rPr>
          <w:kern w:val="22"/>
          <w:szCs w:val="22"/>
          <w:lang w:val="fr-CA"/>
        </w:rPr>
        <w:t>es pour la diversité biologique</w:t>
      </w:r>
      <w:r w:rsidR="00B92D18">
        <w:rPr>
          <w:kern w:val="22"/>
          <w:szCs w:val="22"/>
          <w:lang w:val="fr-CA"/>
        </w:rPr>
        <w:t>;</w:t>
      </w:r>
    </w:p>
    <w:p w:rsidR="002B2FCA" w:rsidRPr="00B26B5B" w:rsidRDefault="00C03399" w:rsidP="00C33570">
      <w:pPr>
        <w:pStyle w:val="Para1"/>
        <w:numPr>
          <w:ilvl w:val="1"/>
          <w:numId w:val="2"/>
        </w:numPr>
        <w:suppressLineNumbers/>
        <w:suppressAutoHyphens/>
        <w:rPr>
          <w:kern w:val="22"/>
          <w:szCs w:val="22"/>
          <w:lang w:val="fr-CA"/>
        </w:rPr>
      </w:pPr>
      <w:r w:rsidRPr="00B26B5B">
        <w:rPr>
          <w:i/>
          <w:kern w:val="22"/>
          <w:szCs w:val="22"/>
          <w:lang w:val="fr-CA"/>
        </w:rPr>
        <w:t>Stratégie de communication</w:t>
      </w:r>
      <w:r w:rsidR="00CD0FC3">
        <w:rPr>
          <w:i/>
          <w:kern w:val="22"/>
          <w:szCs w:val="22"/>
          <w:lang w:val="fr-CA"/>
        </w:rPr>
        <w:t> </w:t>
      </w:r>
      <w:r w:rsidR="002B2FCA" w:rsidRPr="00B26B5B">
        <w:rPr>
          <w:i/>
          <w:kern w:val="22"/>
          <w:szCs w:val="22"/>
          <w:lang w:val="fr-CA"/>
        </w:rPr>
        <w:t>:</w:t>
      </w:r>
      <w:r w:rsidR="002B2FCA" w:rsidRPr="00B26B5B">
        <w:rPr>
          <w:kern w:val="22"/>
          <w:szCs w:val="22"/>
          <w:lang w:val="fr-CA"/>
        </w:rPr>
        <w:t xml:space="preserve"> </w:t>
      </w:r>
      <w:r w:rsidRPr="00B26B5B">
        <w:rPr>
          <w:kern w:val="22"/>
          <w:szCs w:val="22"/>
          <w:lang w:val="fr-CA"/>
        </w:rPr>
        <w:t>Il faut une stratégie de communication axé</w:t>
      </w:r>
      <w:r w:rsidR="00CA6393">
        <w:rPr>
          <w:kern w:val="22"/>
          <w:szCs w:val="22"/>
          <w:lang w:val="fr-CA"/>
        </w:rPr>
        <w:t>e</w:t>
      </w:r>
      <w:r w:rsidRPr="00B26B5B">
        <w:rPr>
          <w:kern w:val="22"/>
          <w:szCs w:val="22"/>
          <w:lang w:val="fr-CA"/>
        </w:rPr>
        <w:t xml:space="preserve"> sur l’action adaptée aux différents publics cibles. Elle doit comprendre des objectifs de communication et des messages fondamentaux clairs. De plus, </w:t>
      </w:r>
      <w:r w:rsidR="00CA6393">
        <w:rPr>
          <w:kern w:val="22"/>
          <w:szCs w:val="22"/>
          <w:lang w:val="fr-CA"/>
        </w:rPr>
        <w:t xml:space="preserve">il faudra peut-être avoir recours à </w:t>
      </w:r>
      <w:r w:rsidRPr="00B26B5B">
        <w:rPr>
          <w:kern w:val="22"/>
          <w:szCs w:val="22"/>
          <w:lang w:val="fr-CA"/>
        </w:rPr>
        <w:t>un groupe de travail sur les communi</w:t>
      </w:r>
      <w:r w:rsidR="001774D4" w:rsidRPr="00B26B5B">
        <w:rPr>
          <w:kern w:val="22"/>
          <w:szCs w:val="22"/>
          <w:lang w:val="fr-CA"/>
        </w:rPr>
        <w:t xml:space="preserve">cations et </w:t>
      </w:r>
      <w:r w:rsidR="00CA6393">
        <w:rPr>
          <w:kern w:val="22"/>
          <w:szCs w:val="22"/>
          <w:lang w:val="fr-CA"/>
        </w:rPr>
        <w:t xml:space="preserve">les activités de proximité, </w:t>
      </w:r>
      <w:r w:rsidRPr="00B26B5B">
        <w:rPr>
          <w:kern w:val="22"/>
          <w:szCs w:val="22"/>
          <w:lang w:val="fr-CA"/>
        </w:rPr>
        <w:t>afin d’améliorer les communications avec les décideurs, les parlementaires et les responsables des orientations politiques</w:t>
      </w:r>
      <w:r w:rsidR="00B92D18">
        <w:rPr>
          <w:kern w:val="22"/>
          <w:szCs w:val="22"/>
          <w:lang w:val="fr-CA"/>
        </w:rPr>
        <w:t>;</w:t>
      </w:r>
    </w:p>
    <w:p w:rsidR="00285635" w:rsidRPr="00B26B5B" w:rsidRDefault="001774D4" w:rsidP="00C33570">
      <w:pPr>
        <w:pStyle w:val="Para1"/>
        <w:numPr>
          <w:ilvl w:val="1"/>
          <w:numId w:val="2"/>
        </w:numPr>
        <w:suppressLineNumbers/>
        <w:suppressAutoHyphens/>
        <w:rPr>
          <w:kern w:val="22"/>
          <w:szCs w:val="22"/>
          <w:lang w:val="fr-CA"/>
        </w:rPr>
      </w:pPr>
      <w:r w:rsidRPr="00B26B5B">
        <w:rPr>
          <w:i/>
          <w:kern w:val="22"/>
          <w:szCs w:val="22"/>
          <w:lang w:val="fr-CA"/>
        </w:rPr>
        <w:t>Participation et engagement des parties prenantes</w:t>
      </w:r>
      <w:r w:rsidRPr="00B26B5B">
        <w:rPr>
          <w:kern w:val="22"/>
          <w:szCs w:val="22"/>
          <w:lang w:val="fr-CA"/>
        </w:rPr>
        <w:t> : Des processus et mécanismes doivent être établis aux niveaux national, infrarégional et régional</w:t>
      </w:r>
      <w:r w:rsidR="00CA6393">
        <w:rPr>
          <w:kern w:val="22"/>
          <w:szCs w:val="22"/>
          <w:lang w:val="fr-CA"/>
        </w:rPr>
        <w:t>,</w:t>
      </w:r>
      <w:r w:rsidRPr="00B26B5B">
        <w:rPr>
          <w:kern w:val="22"/>
          <w:szCs w:val="22"/>
          <w:lang w:val="fr-CA"/>
        </w:rPr>
        <w:t xml:space="preserve"> afin d’accueillir les contributions des peuples autochtones et des communautés locales, et des organisations</w:t>
      </w:r>
      <w:r w:rsidR="005D429B" w:rsidRPr="00B26B5B">
        <w:rPr>
          <w:kern w:val="22"/>
          <w:szCs w:val="22"/>
          <w:lang w:val="fr-CA"/>
        </w:rPr>
        <w:t xml:space="preserve"> environnementales</w:t>
      </w:r>
      <w:r w:rsidRPr="00B26B5B">
        <w:rPr>
          <w:kern w:val="22"/>
          <w:szCs w:val="22"/>
          <w:lang w:val="fr-CA"/>
        </w:rPr>
        <w:t xml:space="preserve"> non gouvernementales</w:t>
      </w:r>
      <w:r w:rsidR="005D429B" w:rsidRPr="00B26B5B">
        <w:rPr>
          <w:kern w:val="22"/>
          <w:szCs w:val="22"/>
          <w:lang w:val="fr-CA"/>
        </w:rPr>
        <w:t xml:space="preserve"> à base communautaire, de bas en haut</w:t>
      </w:r>
      <w:r w:rsidR="00B92D18">
        <w:rPr>
          <w:kern w:val="22"/>
          <w:szCs w:val="22"/>
          <w:lang w:val="fr-CA"/>
        </w:rPr>
        <w:t>;</w:t>
      </w:r>
    </w:p>
    <w:p w:rsidR="002B2FCA" w:rsidRPr="00B26B5B" w:rsidRDefault="005D429B" w:rsidP="00C33570">
      <w:pPr>
        <w:pStyle w:val="Para1"/>
        <w:numPr>
          <w:ilvl w:val="1"/>
          <w:numId w:val="2"/>
        </w:numPr>
        <w:suppressLineNumbers/>
        <w:suppressAutoHyphens/>
        <w:rPr>
          <w:kern w:val="22"/>
          <w:szCs w:val="22"/>
          <w:lang w:val="fr-CA"/>
        </w:rPr>
      </w:pPr>
      <w:r w:rsidRPr="00B26B5B">
        <w:rPr>
          <w:i/>
          <w:kern w:val="22"/>
          <w:szCs w:val="22"/>
          <w:lang w:val="fr-CA"/>
        </w:rPr>
        <w:t>Relève des générations </w:t>
      </w:r>
      <w:r w:rsidRPr="00B26B5B">
        <w:rPr>
          <w:kern w:val="22"/>
          <w:szCs w:val="22"/>
          <w:lang w:val="fr-CA"/>
        </w:rPr>
        <w:t xml:space="preserve">: Les jeunes doivent être responsabilisés car ce sont eux qui mèneront </w:t>
      </w:r>
      <w:r w:rsidR="008E406B">
        <w:rPr>
          <w:kern w:val="22"/>
          <w:szCs w:val="22"/>
          <w:lang w:val="fr-CA"/>
        </w:rPr>
        <w:t>en 2050. Ils doivent être habili</w:t>
      </w:r>
      <w:r w:rsidRPr="00B26B5B">
        <w:rPr>
          <w:kern w:val="22"/>
          <w:szCs w:val="22"/>
          <w:lang w:val="fr-CA"/>
        </w:rPr>
        <w:t xml:space="preserve">tés (par le mentorat et la formation) et encouragés </w:t>
      </w:r>
      <w:r w:rsidR="008E406B">
        <w:rPr>
          <w:kern w:val="22"/>
          <w:szCs w:val="22"/>
          <w:lang w:val="fr-CA"/>
        </w:rPr>
        <w:t>à</w:t>
      </w:r>
      <w:r w:rsidRPr="00B26B5B">
        <w:rPr>
          <w:kern w:val="22"/>
          <w:szCs w:val="22"/>
          <w:lang w:val="fr-CA"/>
        </w:rPr>
        <w:t xml:space="preserve"> partager leurs idées innovatrices sur le monde qu’ils voudraient en 2050. La collaboration avec les organisations de jeunes concernées </w:t>
      </w:r>
      <w:r w:rsidR="008E406B">
        <w:rPr>
          <w:kern w:val="22"/>
          <w:szCs w:val="22"/>
          <w:lang w:val="fr-CA"/>
        </w:rPr>
        <w:t>d</w:t>
      </w:r>
      <w:r w:rsidRPr="00B26B5B">
        <w:rPr>
          <w:kern w:val="22"/>
          <w:szCs w:val="22"/>
          <w:lang w:val="fr-CA"/>
        </w:rPr>
        <w:t>oit être améliorée</w:t>
      </w:r>
      <w:r w:rsidR="00B92D18">
        <w:rPr>
          <w:kern w:val="22"/>
          <w:szCs w:val="22"/>
          <w:lang w:val="fr-CA"/>
        </w:rPr>
        <w:t>;</w:t>
      </w:r>
    </w:p>
    <w:p w:rsidR="002B2FCA" w:rsidRPr="00B26B5B" w:rsidRDefault="007B171B" w:rsidP="00C33570">
      <w:pPr>
        <w:pStyle w:val="Para1"/>
        <w:numPr>
          <w:ilvl w:val="1"/>
          <w:numId w:val="2"/>
        </w:numPr>
        <w:suppressLineNumbers/>
        <w:suppressAutoHyphens/>
        <w:rPr>
          <w:kern w:val="22"/>
          <w:szCs w:val="22"/>
          <w:lang w:val="fr-CA"/>
        </w:rPr>
      </w:pPr>
      <w:r w:rsidRPr="00B26B5B">
        <w:rPr>
          <w:i/>
          <w:kern w:val="22"/>
          <w:szCs w:val="22"/>
          <w:lang w:val="fr-CA"/>
        </w:rPr>
        <w:t>Nouvelle architecture financière </w:t>
      </w:r>
      <w:r w:rsidRPr="00B26B5B">
        <w:rPr>
          <w:kern w:val="22"/>
          <w:szCs w:val="22"/>
          <w:lang w:val="fr-CA"/>
        </w:rPr>
        <w:t>: Un fonds mondial pour</w:t>
      </w:r>
      <w:r w:rsidR="008E406B">
        <w:rPr>
          <w:kern w:val="22"/>
          <w:szCs w:val="22"/>
          <w:lang w:val="fr-CA"/>
        </w:rPr>
        <w:t xml:space="preserve"> la biodiversité et un groupe d</w:t>
      </w:r>
      <w:r w:rsidRPr="00B26B5B">
        <w:rPr>
          <w:kern w:val="22"/>
          <w:szCs w:val="22"/>
          <w:lang w:val="fr-CA"/>
        </w:rPr>
        <w:t xml:space="preserve">e financement de la diversité biologique (formé du Secrétariat de la CDB, </w:t>
      </w:r>
      <w:r w:rsidR="008E406B">
        <w:rPr>
          <w:kern w:val="22"/>
          <w:szCs w:val="22"/>
          <w:lang w:val="fr-CA"/>
        </w:rPr>
        <w:t xml:space="preserve">de </w:t>
      </w:r>
      <w:r w:rsidRPr="00B26B5B">
        <w:rPr>
          <w:kern w:val="22"/>
          <w:szCs w:val="22"/>
          <w:lang w:val="fr-CA"/>
        </w:rPr>
        <w:t xml:space="preserve">la Banque mondiale, </w:t>
      </w:r>
      <w:r w:rsidR="008E406B">
        <w:rPr>
          <w:kern w:val="22"/>
          <w:szCs w:val="22"/>
          <w:lang w:val="fr-CA"/>
        </w:rPr>
        <w:t>du</w:t>
      </w:r>
      <w:r w:rsidRPr="00B26B5B">
        <w:rPr>
          <w:kern w:val="22"/>
          <w:szCs w:val="22"/>
          <w:lang w:val="fr-CA"/>
        </w:rPr>
        <w:t xml:space="preserve"> Fonds monétaire international, </w:t>
      </w:r>
      <w:r w:rsidR="008E406B">
        <w:rPr>
          <w:kern w:val="22"/>
          <w:szCs w:val="22"/>
          <w:lang w:val="fr-CA"/>
        </w:rPr>
        <w:t>du</w:t>
      </w:r>
      <w:r w:rsidRPr="00B26B5B">
        <w:rPr>
          <w:kern w:val="22"/>
          <w:szCs w:val="22"/>
          <w:lang w:val="fr-CA"/>
        </w:rPr>
        <w:t xml:space="preserve"> Forum économique mondial, </w:t>
      </w:r>
      <w:r w:rsidR="008E406B">
        <w:rPr>
          <w:kern w:val="22"/>
          <w:szCs w:val="22"/>
          <w:lang w:val="fr-CA"/>
        </w:rPr>
        <w:t>du</w:t>
      </w:r>
      <w:r w:rsidRPr="00B26B5B">
        <w:rPr>
          <w:kern w:val="22"/>
          <w:szCs w:val="22"/>
          <w:lang w:val="fr-CA"/>
        </w:rPr>
        <w:t xml:space="preserve"> Fonds pour </w:t>
      </w:r>
      <w:r w:rsidR="008E406B">
        <w:rPr>
          <w:kern w:val="22"/>
          <w:szCs w:val="22"/>
          <w:lang w:val="fr-CA"/>
        </w:rPr>
        <w:t>l’environnement mondial (FEM), d</w:t>
      </w:r>
      <w:r w:rsidRPr="00B26B5B">
        <w:rPr>
          <w:kern w:val="22"/>
          <w:szCs w:val="22"/>
          <w:lang w:val="fr-CA"/>
        </w:rPr>
        <w:t xml:space="preserve">es banques régionales de développement et </w:t>
      </w:r>
      <w:r w:rsidR="008E406B">
        <w:rPr>
          <w:kern w:val="22"/>
          <w:szCs w:val="22"/>
          <w:lang w:val="fr-CA"/>
        </w:rPr>
        <w:t>du</w:t>
      </w:r>
      <w:r w:rsidRPr="00B26B5B">
        <w:rPr>
          <w:kern w:val="22"/>
          <w:szCs w:val="22"/>
          <w:lang w:val="fr-CA"/>
        </w:rPr>
        <w:t xml:space="preserve"> secteur privé) doi</w:t>
      </w:r>
      <w:r w:rsidR="008E406B">
        <w:rPr>
          <w:kern w:val="22"/>
          <w:szCs w:val="22"/>
          <w:lang w:val="fr-CA"/>
        </w:rPr>
        <w:t>t être créé</w:t>
      </w:r>
      <w:r w:rsidRPr="00B26B5B">
        <w:rPr>
          <w:kern w:val="22"/>
          <w:szCs w:val="22"/>
          <w:lang w:val="fr-CA"/>
        </w:rPr>
        <w:t xml:space="preserve">. De plus, des sommes nationales </w:t>
      </w:r>
      <w:r w:rsidR="00C56CE2" w:rsidRPr="00B26B5B">
        <w:rPr>
          <w:kern w:val="22"/>
          <w:szCs w:val="22"/>
          <w:lang w:val="fr-CA"/>
        </w:rPr>
        <w:t>do</w:t>
      </w:r>
      <w:r w:rsidRPr="00B26B5B">
        <w:rPr>
          <w:kern w:val="22"/>
          <w:szCs w:val="22"/>
          <w:lang w:val="fr-CA"/>
        </w:rPr>
        <w:t xml:space="preserve">ivent être allouées à la diversité biologique et des ressources supplémentaires doivent être obtenues de </w:t>
      </w:r>
      <w:r w:rsidR="00F955DC" w:rsidRPr="00B26B5B">
        <w:rPr>
          <w:kern w:val="22"/>
          <w:szCs w:val="22"/>
          <w:lang w:val="fr-CA"/>
        </w:rPr>
        <w:t>partenaires bilatéraux et multilatéraux</w:t>
      </w:r>
      <w:r w:rsidRPr="00B26B5B">
        <w:rPr>
          <w:kern w:val="22"/>
          <w:szCs w:val="22"/>
          <w:lang w:val="fr-CA"/>
        </w:rPr>
        <w:t xml:space="preserve"> </w:t>
      </w:r>
      <w:r w:rsidR="00F955DC" w:rsidRPr="00B26B5B">
        <w:rPr>
          <w:kern w:val="22"/>
          <w:szCs w:val="22"/>
          <w:lang w:val="fr-CA"/>
        </w:rPr>
        <w:t xml:space="preserve">d’aide au développement (p. ex., BAD, </w:t>
      </w:r>
      <w:proofErr w:type="spellStart"/>
      <w:r w:rsidR="00F955DC" w:rsidRPr="00B26B5B">
        <w:rPr>
          <w:kern w:val="22"/>
          <w:szCs w:val="22"/>
          <w:lang w:val="fr-CA"/>
        </w:rPr>
        <w:t>AIDB</w:t>
      </w:r>
      <w:proofErr w:type="spellEnd"/>
      <w:r w:rsidR="00F955DC" w:rsidRPr="00B26B5B">
        <w:rPr>
          <w:kern w:val="22"/>
          <w:szCs w:val="22"/>
          <w:lang w:val="fr-CA"/>
        </w:rPr>
        <w:t xml:space="preserve">, </w:t>
      </w:r>
      <w:proofErr w:type="spellStart"/>
      <w:r w:rsidR="00F955DC" w:rsidRPr="00B26B5B">
        <w:rPr>
          <w:kern w:val="22"/>
          <w:szCs w:val="22"/>
          <w:lang w:val="fr-CA"/>
        </w:rPr>
        <w:t>SFI</w:t>
      </w:r>
      <w:proofErr w:type="spellEnd"/>
      <w:r w:rsidR="00F955DC" w:rsidRPr="00B26B5B">
        <w:rPr>
          <w:kern w:val="22"/>
          <w:szCs w:val="22"/>
          <w:lang w:val="fr-CA"/>
        </w:rPr>
        <w:t xml:space="preserve">, BEI, </w:t>
      </w:r>
      <w:proofErr w:type="spellStart"/>
      <w:r w:rsidR="00F955DC" w:rsidRPr="00B26B5B">
        <w:rPr>
          <w:kern w:val="22"/>
          <w:szCs w:val="22"/>
          <w:lang w:val="fr-CA"/>
        </w:rPr>
        <w:t>KiW</w:t>
      </w:r>
      <w:proofErr w:type="spellEnd"/>
      <w:r w:rsidR="00F955DC" w:rsidRPr="00B26B5B">
        <w:rPr>
          <w:kern w:val="22"/>
          <w:szCs w:val="22"/>
          <w:lang w:val="fr-CA"/>
        </w:rPr>
        <w:t xml:space="preserve">). </w:t>
      </w:r>
      <w:r w:rsidR="00390DD2" w:rsidRPr="00B26B5B">
        <w:rPr>
          <w:kern w:val="22"/>
          <w:szCs w:val="22"/>
          <w:lang w:val="fr-CA"/>
        </w:rPr>
        <w:t>Le sou</w:t>
      </w:r>
      <w:r w:rsidR="00C56CE2" w:rsidRPr="00B26B5B">
        <w:rPr>
          <w:kern w:val="22"/>
          <w:szCs w:val="22"/>
          <w:lang w:val="fr-CA"/>
        </w:rPr>
        <w:t>tie</w:t>
      </w:r>
      <w:r w:rsidR="00390DD2" w:rsidRPr="00B26B5B">
        <w:rPr>
          <w:kern w:val="22"/>
          <w:szCs w:val="22"/>
          <w:lang w:val="fr-CA"/>
        </w:rPr>
        <w:t xml:space="preserve">n du </w:t>
      </w:r>
      <w:r w:rsidR="008E406B">
        <w:rPr>
          <w:kern w:val="22"/>
          <w:szCs w:val="22"/>
          <w:lang w:val="fr-CA"/>
        </w:rPr>
        <w:t>FEM</w:t>
      </w:r>
      <w:r w:rsidR="00390DD2" w:rsidRPr="00B26B5B">
        <w:rPr>
          <w:kern w:val="22"/>
          <w:szCs w:val="22"/>
          <w:lang w:val="fr-CA"/>
        </w:rPr>
        <w:t xml:space="preserve"> ne doit </w:t>
      </w:r>
      <w:r w:rsidR="00F96CAD">
        <w:rPr>
          <w:kern w:val="22"/>
          <w:szCs w:val="22"/>
          <w:lang w:val="fr-CA"/>
        </w:rPr>
        <w:t xml:space="preserve">pas surtout </w:t>
      </w:r>
      <w:r w:rsidR="008E406B">
        <w:rPr>
          <w:kern w:val="22"/>
          <w:szCs w:val="22"/>
          <w:lang w:val="fr-CA"/>
        </w:rPr>
        <w:t xml:space="preserve">cibler </w:t>
      </w:r>
      <w:r w:rsidR="00390DD2" w:rsidRPr="00B26B5B">
        <w:rPr>
          <w:kern w:val="22"/>
          <w:szCs w:val="22"/>
          <w:lang w:val="fr-CA"/>
        </w:rPr>
        <w:t xml:space="preserve">la conservation, mais </w:t>
      </w:r>
      <w:r w:rsidR="008E406B">
        <w:rPr>
          <w:kern w:val="22"/>
          <w:szCs w:val="22"/>
          <w:lang w:val="fr-CA"/>
        </w:rPr>
        <w:t>aussi</w:t>
      </w:r>
      <w:r w:rsidR="00390DD2" w:rsidRPr="00B26B5B">
        <w:rPr>
          <w:kern w:val="22"/>
          <w:szCs w:val="22"/>
          <w:lang w:val="fr-CA"/>
        </w:rPr>
        <w:t xml:space="preserve"> soutenir équitablement les deux autres objectifs de la Convention, c.-à-d., l’utilisation durable et le partage juste et équitable des avantages. L’ut</w:t>
      </w:r>
      <w:r w:rsidR="00F96CAD">
        <w:rPr>
          <w:kern w:val="22"/>
          <w:szCs w:val="22"/>
          <w:lang w:val="fr-CA"/>
        </w:rPr>
        <w:t>ilisation durable des fonds et d</w:t>
      </w:r>
      <w:r w:rsidR="00390DD2" w:rsidRPr="00B26B5B">
        <w:rPr>
          <w:kern w:val="22"/>
          <w:szCs w:val="22"/>
          <w:lang w:val="fr-CA"/>
        </w:rPr>
        <w:t>es instruments autres que les subventions pour la transfor</w:t>
      </w:r>
      <w:r w:rsidR="00F96CAD">
        <w:rPr>
          <w:kern w:val="22"/>
          <w:szCs w:val="22"/>
          <w:lang w:val="fr-CA"/>
        </w:rPr>
        <w:t>mation sectorielle doi</w:t>
      </w:r>
      <w:r w:rsidR="00390DD2" w:rsidRPr="00B26B5B">
        <w:rPr>
          <w:kern w:val="22"/>
          <w:szCs w:val="22"/>
          <w:lang w:val="fr-CA"/>
        </w:rPr>
        <w:t>t être encouragé</w:t>
      </w:r>
      <w:r w:rsidR="00F96CAD">
        <w:rPr>
          <w:kern w:val="22"/>
          <w:szCs w:val="22"/>
          <w:lang w:val="fr-CA"/>
        </w:rPr>
        <w:t>e</w:t>
      </w:r>
      <w:r w:rsidR="00390DD2" w:rsidRPr="00B26B5B">
        <w:rPr>
          <w:kern w:val="22"/>
          <w:szCs w:val="22"/>
          <w:lang w:val="fr-CA"/>
        </w:rPr>
        <w:t xml:space="preserve"> afin de soutenir la mise en œuvre</w:t>
      </w:r>
      <w:r w:rsidR="00B92D18">
        <w:rPr>
          <w:kern w:val="22"/>
          <w:szCs w:val="22"/>
          <w:lang w:val="fr-CA"/>
        </w:rPr>
        <w:t>;</w:t>
      </w:r>
    </w:p>
    <w:p w:rsidR="002B2FCA" w:rsidRPr="00B26B5B" w:rsidRDefault="00C56CE2" w:rsidP="00C33570">
      <w:pPr>
        <w:pStyle w:val="Paragraphedeliste"/>
        <w:numPr>
          <w:ilvl w:val="1"/>
          <w:numId w:val="2"/>
        </w:numPr>
        <w:suppressLineNumbers/>
        <w:suppressAutoHyphens/>
        <w:spacing w:before="120" w:after="120"/>
        <w:contextualSpacing w:val="0"/>
        <w:rPr>
          <w:kern w:val="22"/>
          <w:szCs w:val="22"/>
          <w:lang w:val="fr-CA"/>
        </w:rPr>
      </w:pPr>
      <w:r w:rsidRPr="00B26B5B">
        <w:rPr>
          <w:i/>
          <w:kern w:val="22"/>
          <w:szCs w:val="22"/>
          <w:lang w:val="fr-CA"/>
        </w:rPr>
        <w:t>Technologie et solutions fondées sur la nature</w:t>
      </w:r>
      <w:r w:rsidR="00CD0FC3">
        <w:rPr>
          <w:i/>
          <w:kern w:val="22"/>
          <w:szCs w:val="22"/>
          <w:lang w:val="fr-CA"/>
        </w:rPr>
        <w:t> </w:t>
      </w:r>
      <w:r w:rsidR="002B2FCA" w:rsidRPr="00B26B5B">
        <w:rPr>
          <w:kern w:val="22"/>
          <w:szCs w:val="22"/>
          <w:lang w:val="fr-CA"/>
        </w:rPr>
        <w:t xml:space="preserve">: </w:t>
      </w:r>
      <w:r w:rsidRPr="00B26B5B">
        <w:rPr>
          <w:kern w:val="22"/>
          <w:szCs w:val="22"/>
          <w:lang w:val="fr-CA"/>
        </w:rPr>
        <w:t xml:space="preserve">Les Parties et les parties prenantes doivent accueillir et influencer la technologie, et </w:t>
      </w:r>
      <w:r w:rsidR="00F96CAD">
        <w:rPr>
          <w:kern w:val="22"/>
          <w:szCs w:val="22"/>
          <w:lang w:val="fr-CA"/>
        </w:rPr>
        <w:t>susciter</w:t>
      </w:r>
      <w:r w:rsidRPr="00B26B5B">
        <w:rPr>
          <w:kern w:val="22"/>
          <w:szCs w:val="22"/>
          <w:lang w:val="fr-CA"/>
        </w:rPr>
        <w:t xml:space="preserve"> la confiance envers le partage des avantages. Elles doivent aussi élever le niveau de conscientisation aux solutions fondées sur la nature </w:t>
      </w:r>
      <w:r w:rsidR="00F96CAD">
        <w:rPr>
          <w:kern w:val="22"/>
          <w:szCs w:val="22"/>
          <w:lang w:val="fr-CA"/>
        </w:rPr>
        <w:t xml:space="preserve">pour remplacer les </w:t>
      </w:r>
      <w:r w:rsidRPr="00B26B5B">
        <w:rPr>
          <w:kern w:val="22"/>
          <w:szCs w:val="22"/>
          <w:lang w:val="fr-CA"/>
        </w:rPr>
        <w:t>solutions technologiques et profiter des avancées scientifiques et des innovations technologiques</w:t>
      </w:r>
      <w:r w:rsidR="00B92D18">
        <w:rPr>
          <w:kern w:val="22"/>
          <w:szCs w:val="22"/>
          <w:lang w:val="fr-CA"/>
        </w:rPr>
        <w:t>;</w:t>
      </w:r>
    </w:p>
    <w:p w:rsidR="00751ED5" w:rsidRPr="00B26B5B" w:rsidRDefault="002B2FCA" w:rsidP="00C33570">
      <w:pPr>
        <w:pStyle w:val="Para1"/>
        <w:numPr>
          <w:ilvl w:val="1"/>
          <w:numId w:val="2"/>
        </w:numPr>
        <w:suppressLineNumbers/>
        <w:suppressAutoHyphens/>
        <w:rPr>
          <w:kern w:val="22"/>
          <w:szCs w:val="22"/>
          <w:lang w:val="fr-CA"/>
        </w:rPr>
      </w:pPr>
      <w:r w:rsidRPr="00B26B5B">
        <w:rPr>
          <w:i/>
          <w:kern w:val="22"/>
          <w:szCs w:val="22"/>
          <w:lang w:val="fr-CA"/>
        </w:rPr>
        <w:t>Justice</w:t>
      </w:r>
      <w:r w:rsidR="00CD0FC3">
        <w:rPr>
          <w:i/>
          <w:kern w:val="22"/>
          <w:szCs w:val="22"/>
          <w:lang w:val="fr-CA"/>
        </w:rPr>
        <w:t> </w:t>
      </w:r>
      <w:r w:rsidRPr="00B26B5B">
        <w:rPr>
          <w:kern w:val="22"/>
          <w:szCs w:val="22"/>
          <w:lang w:val="fr-CA"/>
        </w:rPr>
        <w:t xml:space="preserve">: </w:t>
      </w:r>
      <w:r w:rsidR="00D6682E" w:rsidRPr="00B26B5B">
        <w:rPr>
          <w:kern w:val="22"/>
          <w:szCs w:val="22"/>
          <w:lang w:val="fr-CA"/>
        </w:rPr>
        <w:t>L</w:t>
      </w:r>
      <w:r w:rsidR="00F96CAD">
        <w:rPr>
          <w:kern w:val="22"/>
          <w:szCs w:val="22"/>
          <w:lang w:val="fr-CA"/>
        </w:rPr>
        <w:t>e cadre de l’aprè</w:t>
      </w:r>
      <w:r w:rsidR="00D6682E" w:rsidRPr="00B26B5B">
        <w:rPr>
          <w:kern w:val="22"/>
          <w:szCs w:val="22"/>
          <w:lang w:val="fr-CA"/>
        </w:rPr>
        <w:t>s-2020 doit comprendre des mesures légales en lien avec le droit à un environnement propre et sain. De même, un organe juridique international (cour pénale) doit être créé ou désigné afin de surveiller les crimes contre la nature et la diversité biologique</w:t>
      </w:r>
      <w:r w:rsidR="00B92D18">
        <w:rPr>
          <w:kern w:val="22"/>
          <w:szCs w:val="22"/>
          <w:lang w:val="fr-CA"/>
        </w:rPr>
        <w:t>;</w:t>
      </w:r>
    </w:p>
    <w:p w:rsidR="002B2FCA" w:rsidRPr="00B26B5B" w:rsidRDefault="00D6682E" w:rsidP="00C33570">
      <w:pPr>
        <w:pStyle w:val="Para1"/>
        <w:numPr>
          <w:ilvl w:val="1"/>
          <w:numId w:val="2"/>
        </w:numPr>
        <w:suppressLineNumbers/>
        <w:suppressAutoHyphens/>
        <w:rPr>
          <w:kern w:val="22"/>
          <w:szCs w:val="22"/>
          <w:lang w:val="fr-CA"/>
        </w:rPr>
      </w:pPr>
      <w:r w:rsidRPr="00B26B5B">
        <w:rPr>
          <w:i/>
          <w:kern w:val="22"/>
          <w:szCs w:val="22"/>
          <w:lang w:val="fr-CA"/>
        </w:rPr>
        <w:t>Responsabilité</w:t>
      </w:r>
      <w:r w:rsidR="00CD0FC3">
        <w:rPr>
          <w:i/>
          <w:kern w:val="22"/>
          <w:szCs w:val="22"/>
          <w:lang w:val="fr-CA"/>
        </w:rPr>
        <w:t> </w:t>
      </w:r>
      <w:r w:rsidR="00751ED5" w:rsidRPr="00B26B5B">
        <w:rPr>
          <w:kern w:val="22"/>
          <w:szCs w:val="22"/>
          <w:lang w:val="fr-CA"/>
        </w:rPr>
        <w:t xml:space="preserve">: </w:t>
      </w:r>
      <w:r w:rsidRPr="00B26B5B">
        <w:rPr>
          <w:kern w:val="22"/>
          <w:szCs w:val="22"/>
          <w:lang w:val="fr-CA"/>
        </w:rPr>
        <w:t>Nommer et couvrir de honte les plus grands exploitants : cibler les investisseurs et les exploitants</w:t>
      </w:r>
      <w:r w:rsidR="00B92D18">
        <w:rPr>
          <w:kern w:val="22"/>
          <w:szCs w:val="22"/>
          <w:lang w:val="fr-CA"/>
        </w:rPr>
        <w:t>;</w:t>
      </w:r>
    </w:p>
    <w:p w:rsidR="002B2FCA" w:rsidRPr="00B26B5B" w:rsidRDefault="00D6682E" w:rsidP="00C33570">
      <w:pPr>
        <w:pStyle w:val="Para1"/>
        <w:numPr>
          <w:ilvl w:val="1"/>
          <w:numId w:val="2"/>
        </w:numPr>
        <w:suppressLineNumbers/>
        <w:suppressAutoHyphens/>
        <w:rPr>
          <w:kern w:val="22"/>
          <w:szCs w:val="22"/>
          <w:lang w:val="fr-CA"/>
        </w:rPr>
      </w:pPr>
      <w:r w:rsidRPr="00B26B5B">
        <w:rPr>
          <w:i/>
          <w:kern w:val="22"/>
          <w:szCs w:val="22"/>
          <w:lang w:val="fr-CA"/>
        </w:rPr>
        <w:t>Rôle des correspondants nationaux</w:t>
      </w:r>
      <w:r w:rsidR="00CD0FC3">
        <w:rPr>
          <w:i/>
          <w:kern w:val="22"/>
          <w:szCs w:val="22"/>
          <w:lang w:val="fr-CA"/>
        </w:rPr>
        <w:t> </w:t>
      </w:r>
      <w:r w:rsidR="0072150C" w:rsidRPr="00B26B5B">
        <w:rPr>
          <w:kern w:val="22"/>
          <w:szCs w:val="22"/>
          <w:lang w:val="fr-CA"/>
        </w:rPr>
        <w:t>:</w:t>
      </w:r>
      <w:r w:rsidR="001B2A1E" w:rsidRPr="00B26B5B">
        <w:rPr>
          <w:kern w:val="22"/>
          <w:szCs w:val="22"/>
          <w:lang w:val="fr-CA"/>
        </w:rPr>
        <w:t xml:space="preserve"> </w:t>
      </w:r>
      <w:r w:rsidRPr="00B26B5B">
        <w:rPr>
          <w:kern w:val="22"/>
          <w:szCs w:val="22"/>
          <w:lang w:val="fr-CA"/>
        </w:rPr>
        <w:t>Le rôle des correspondants nationaux dans ce processus doit être défini et facilité</w:t>
      </w:r>
      <w:r w:rsidR="00B92D18">
        <w:rPr>
          <w:kern w:val="22"/>
          <w:szCs w:val="22"/>
          <w:lang w:val="fr-CA"/>
        </w:rPr>
        <w:t>;</w:t>
      </w:r>
    </w:p>
    <w:p w:rsidR="00C43060" w:rsidRPr="00B26B5B" w:rsidRDefault="00D6682E" w:rsidP="00C33570">
      <w:pPr>
        <w:pStyle w:val="Para1"/>
        <w:numPr>
          <w:ilvl w:val="1"/>
          <w:numId w:val="2"/>
        </w:numPr>
        <w:suppressLineNumbers/>
        <w:suppressAutoHyphens/>
        <w:rPr>
          <w:kern w:val="22"/>
          <w:szCs w:val="22"/>
          <w:lang w:val="fr-CA"/>
        </w:rPr>
      </w:pPr>
      <w:r w:rsidRPr="00B26B5B">
        <w:rPr>
          <w:i/>
          <w:kern w:val="22"/>
          <w:szCs w:val="22"/>
          <w:lang w:val="fr-CA"/>
        </w:rPr>
        <w:t>Mécanismes de soutien</w:t>
      </w:r>
      <w:r w:rsidRPr="00B26B5B">
        <w:rPr>
          <w:kern w:val="22"/>
          <w:szCs w:val="22"/>
          <w:lang w:val="fr-CA"/>
        </w:rPr>
        <w:t xml:space="preserve"> : </w:t>
      </w:r>
      <w:r w:rsidR="00F8301F" w:rsidRPr="00B26B5B">
        <w:rPr>
          <w:kern w:val="22"/>
          <w:szCs w:val="22"/>
          <w:lang w:val="fr-CA"/>
        </w:rPr>
        <w:t>Une base de données régionale d’experts travaillant sur des enjeux liés à la diversité biologique doit être établie et servir de ressource aux Parties</w:t>
      </w:r>
      <w:r w:rsidR="006E4722">
        <w:rPr>
          <w:kern w:val="22"/>
          <w:szCs w:val="22"/>
          <w:lang w:val="fr-CA"/>
        </w:rPr>
        <w:t>,</w:t>
      </w:r>
      <w:r w:rsidR="00F8301F" w:rsidRPr="00B26B5B">
        <w:rPr>
          <w:kern w:val="22"/>
          <w:szCs w:val="22"/>
          <w:lang w:val="fr-CA"/>
        </w:rPr>
        <w:t xml:space="preserve"> afin qu’elles puissent trouver l’expertise nécessaire dans des délais opportuns</w:t>
      </w:r>
      <w:r w:rsidR="00751ED5" w:rsidRPr="00B26B5B">
        <w:rPr>
          <w:kern w:val="22"/>
          <w:szCs w:val="22"/>
          <w:lang w:val="fr-CA"/>
        </w:rPr>
        <w:t>.</w:t>
      </w:r>
    </w:p>
    <w:p w:rsidR="00C43060" w:rsidRPr="00B26B5B" w:rsidRDefault="00F36A15" w:rsidP="002511BD">
      <w:pPr>
        <w:pStyle w:val="Titre2"/>
        <w:numPr>
          <w:ilvl w:val="0"/>
          <w:numId w:val="7"/>
        </w:numPr>
        <w:suppressLineNumbers/>
        <w:suppressAutoHyphens/>
        <w:rPr>
          <w:kern w:val="22"/>
          <w:szCs w:val="22"/>
          <w:lang w:val="fr-CA"/>
        </w:rPr>
      </w:pPr>
      <w:r w:rsidRPr="00B26B5B">
        <w:rPr>
          <w:kern w:val="22"/>
          <w:szCs w:val="22"/>
          <w:lang w:val="fr-CA"/>
        </w:rPr>
        <w:t>Éléments d’un cadre pour l’après-2020 et de la vision 2050</w:t>
      </w:r>
    </w:p>
    <w:p w:rsidR="00CD36A6" w:rsidRPr="00B26B5B" w:rsidRDefault="00F36A15" w:rsidP="00C33570">
      <w:pPr>
        <w:pStyle w:val="Para1"/>
        <w:suppressLineNumbers/>
        <w:tabs>
          <w:tab w:val="clear" w:pos="360"/>
        </w:tabs>
        <w:suppressAutoHyphens/>
        <w:rPr>
          <w:kern w:val="22"/>
          <w:szCs w:val="22"/>
          <w:lang w:val="fr-CA"/>
        </w:rPr>
      </w:pPr>
      <w:r w:rsidRPr="00B26B5B">
        <w:rPr>
          <w:kern w:val="22"/>
          <w:szCs w:val="22"/>
          <w:lang w:val="fr-CA"/>
        </w:rPr>
        <w:t xml:space="preserve">Voici un sommaire des points de vue </w:t>
      </w:r>
      <w:r w:rsidR="003505AC" w:rsidRPr="00B26B5B">
        <w:rPr>
          <w:kern w:val="22"/>
          <w:szCs w:val="22"/>
          <w:lang w:val="fr-CA"/>
        </w:rPr>
        <w:t>et</w:t>
      </w:r>
      <w:r w:rsidRPr="00B26B5B">
        <w:rPr>
          <w:kern w:val="22"/>
          <w:szCs w:val="22"/>
          <w:lang w:val="fr-CA"/>
        </w:rPr>
        <w:t xml:space="preserve"> des </w:t>
      </w:r>
      <w:r w:rsidR="003505AC" w:rsidRPr="00B26B5B">
        <w:rPr>
          <w:kern w:val="22"/>
          <w:szCs w:val="22"/>
          <w:lang w:val="fr-CA"/>
        </w:rPr>
        <w:t xml:space="preserve">suggestions exprimés par les participants au cours des échanges sur le champ d’application et le contenu possible des différents éléments du cadre mondial de la </w:t>
      </w:r>
      <w:r w:rsidR="003505AC" w:rsidRPr="00B26B5B">
        <w:rPr>
          <w:kern w:val="22"/>
          <w:szCs w:val="22"/>
          <w:lang w:val="fr-CA"/>
        </w:rPr>
        <w:lastRenderedPageBreak/>
        <w:t>biodiversité pour l</w:t>
      </w:r>
      <w:r w:rsidR="00CD0FC3">
        <w:rPr>
          <w:kern w:val="22"/>
          <w:szCs w:val="22"/>
          <w:lang w:val="fr-CA"/>
        </w:rPr>
        <w:t>’</w:t>
      </w:r>
      <w:r w:rsidR="003505AC" w:rsidRPr="00B26B5B">
        <w:rPr>
          <w:kern w:val="22"/>
          <w:szCs w:val="22"/>
          <w:lang w:val="fr-CA"/>
        </w:rPr>
        <w:t xml:space="preserve">après-2020 et de la Vision 2050. Les </w:t>
      </w:r>
      <w:r w:rsidR="00C47110" w:rsidRPr="00B26B5B">
        <w:rPr>
          <w:kern w:val="22"/>
          <w:szCs w:val="22"/>
          <w:lang w:val="fr-CA"/>
        </w:rPr>
        <w:t>questions ont été regroupées dans les catégories ci-dessous aux fins d’échanges</w:t>
      </w:r>
      <w:r w:rsidR="00CD0FC3">
        <w:rPr>
          <w:kern w:val="22"/>
          <w:szCs w:val="22"/>
          <w:lang w:val="fr-CA"/>
        </w:rPr>
        <w:t> </w:t>
      </w:r>
      <w:r w:rsidR="0050723B" w:rsidRPr="00B26B5B">
        <w:rPr>
          <w:kern w:val="22"/>
          <w:szCs w:val="22"/>
          <w:lang w:val="fr-CA"/>
        </w:rPr>
        <w:t>:</w:t>
      </w:r>
    </w:p>
    <w:p w:rsidR="00CD36A6" w:rsidRPr="00B26B5B" w:rsidRDefault="00C4711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Structure du cadre mondial de la biodiversité pour l</w:t>
      </w:r>
      <w:r w:rsidR="00CD0FC3">
        <w:rPr>
          <w:kern w:val="22"/>
          <w:szCs w:val="22"/>
          <w:lang w:val="fr-CA"/>
        </w:rPr>
        <w:t>’</w:t>
      </w:r>
      <w:r w:rsidRPr="00B26B5B">
        <w:rPr>
          <w:kern w:val="22"/>
          <w:szCs w:val="22"/>
          <w:lang w:val="fr-CA"/>
        </w:rPr>
        <w:t>après-2020 et objectifs pour la diversité biologique</w:t>
      </w:r>
      <w:r w:rsidR="00B92D18">
        <w:rPr>
          <w:kern w:val="22"/>
          <w:szCs w:val="22"/>
          <w:lang w:val="fr-CA"/>
        </w:rPr>
        <w:t>;</w:t>
      </w:r>
    </w:p>
    <w:p w:rsidR="00CD36A6" w:rsidRPr="00B26B5B" w:rsidRDefault="00C4711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 xml:space="preserve">Intégration des questions en lien avec le Protocole de Cartagena sur la prévention des risques biotechnologiques et </w:t>
      </w:r>
      <w:r w:rsidR="006E4722">
        <w:rPr>
          <w:kern w:val="22"/>
          <w:szCs w:val="22"/>
          <w:lang w:val="fr-CA"/>
        </w:rPr>
        <w:t>le</w:t>
      </w:r>
      <w:r w:rsidRPr="00B26B5B">
        <w:rPr>
          <w:kern w:val="22"/>
          <w:szCs w:val="22"/>
          <w:lang w:val="fr-CA"/>
        </w:rPr>
        <w:t xml:space="preserve"> Protocole de Nagoya sur l’accès et le partage des avantages au cadre mondial de la biodiversité pour l</w:t>
      </w:r>
      <w:r w:rsidR="00CD0FC3">
        <w:rPr>
          <w:kern w:val="22"/>
          <w:szCs w:val="22"/>
          <w:lang w:val="fr-CA"/>
        </w:rPr>
        <w:t>’</w:t>
      </w:r>
      <w:r w:rsidRPr="00B26B5B">
        <w:rPr>
          <w:kern w:val="22"/>
          <w:szCs w:val="22"/>
          <w:lang w:val="fr-CA"/>
        </w:rPr>
        <w:t>après-2020</w:t>
      </w:r>
      <w:r w:rsidR="00B92D18">
        <w:rPr>
          <w:kern w:val="22"/>
          <w:szCs w:val="22"/>
          <w:lang w:val="fr-CA"/>
        </w:rPr>
        <w:t>;</w:t>
      </w:r>
    </w:p>
    <w:p w:rsidR="00CD36A6" w:rsidRPr="00B26B5B" w:rsidRDefault="00C4711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Intégration de la diversité biologique</w:t>
      </w:r>
      <w:r w:rsidR="004E6E80" w:rsidRPr="00B26B5B">
        <w:rPr>
          <w:kern w:val="22"/>
          <w:szCs w:val="22"/>
          <w:lang w:val="fr-CA"/>
        </w:rPr>
        <w:t xml:space="preserve"> dans les secteurs </w:t>
      </w:r>
      <w:r w:rsidR="006E4722">
        <w:rPr>
          <w:kern w:val="22"/>
          <w:szCs w:val="22"/>
          <w:lang w:val="fr-CA"/>
        </w:rPr>
        <w:t xml:space="preserve">pertinents </w:t>
      </w:r>
      <w:r w:rsidR="004E6E80" w:rsidRPr="00B26B5B">
        <w:rPr>
          <w:kern w:val="22"/>
          <w:szCs w:val="22"/>
          <w:lang w:val="fr-CA"/>
        </w:rPr>
        <w:t>et dans la société et l’économie en général, et liens avec les autres processus pertinents</w:t>
      </w:r>
      <w:r w:rsidR="00B92D18">
        <w:rPr>
          <w:kern w:val="22"/>
          <w:szCs w:val="22"/>
          <w:lang w:val="fr-CA"/>
        </w:rPr>
        <w:t>;</w:t>
      </w:r>
    </w:p>
    <w:p w:rsidR="00CD36A6" w:rsidRPr="00B26B5B" w:rsidRDefault="006E4722" w:rsidP="00C33570">
      <w:pPr>
        <w:pStyle w:val="Para1"/>
        <w:numPr>
          <w:ilvl w:val="1"/>
          <w:numId w:val="2"/>
        </w:numPr>
        <w:suppressLineNumbers/>
        <w:tabs>
          <w:tab w:val="clear" w:pos="1440"/>
          <w:tab w:val="left" w:pos="1418"/>
        </w:tabs>
        <w:suppressAutoHyphens/>
        <w:spacing w:before="0"/>
        <w:rPr>
          <w:kern w:val="22"/>
          <w:szCs w:val="22"/>
          <w:lang w:val="fr-CA"/>
        </w:rPr>
      </w:pPr>
      <w:r>
        <w:rPr>
          <w:kern w:val="22"/>
          <w:szCs w:val="22"/>
          <w:lang w:val="fr-CA"/>
        </w:rPr>
        <w:t>Mobilisation des ressources,</w:t>
      </w:r>
      <w:r w:rsidR="004E6E80" w:rsidRPr="00B26B5B">
        <w:rPr>
          <w:kern w:val="22"/>
          <w:szCs w:val="22"/>
          <w:lang w:val="fr-CA"/>
        </w:rPr>
        <w:t xml:space="preserve"> et engagements et contributions volontaires</w:t>
      </w:r>
      <w:r w:rsidR="00B92D18">
        <w:rPr>
          <w:kern w:val="22"/>
          <w:szCs w:val="22"/>
          <w:lang w:val="fr-CA"/>
        </w:rPr>
        <w:t>;</w:t>
      </w:r>
    </w:p>
    <w:p w:rsidR="00CD36A6" w:rsidRPr="00B26B5B" w:rsidRDefault="004E6E8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Renforcement des capacités, coopération technique et scientifique</w:t>
      </w:r>
      <w:r w:rsidR="006E4722">
        <w:rPr>
          <w:kern w:val="22"/>
          <w:szCs w:val="22"/>
          <w:lang w:val="fr-CA"/>
        </w:rPr>
        <w:t>,</w:t>
      </w:r>
      <w:r w:rsidRPr="00B26B5B">
        <w:rPr>
          <w:kern w:val="22"/>
          <w:szCs w:val="22"/>
          <w:lang w:val="fr-CA"/>
        </w:rPr>
        <w:t xml:space="preserve"> et gestion du savoir</w:t>
      </w:r>
      <w:r w:rsidR="00B92D18">
        <w:rPr>
          <w:kern w:val="22"/>
          <w:szCs w:val="22"/>
          <w:lang w:val="fr-CA"/>
        </w:rPr>
        <w:t>;</w:t>
      </w:r>
    </w:p>
    <w:p w:rsidR="00CD36A6" w:rsidRPr="00B26B5B" w:rsidRDefault="004E6E8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Communication</w:t>
      </w:r>
      <w:r w:rsidR="006E4722">
        <w:rPr>
          <w:kern w:val="22"/>
          <w:szCs w:val="22"/>
          <w:lang w:val="fr-CA"/>
        </w:rPr>
        <w:t>s</w:t>
      </w:r>
      <w:r w:rsidRPr="00B26B5B">
        <w:rPr>
          <w:kern w:val="22"/>
          <w:szCs w:val="22"/>
          <w:lang w:val="fr-CA"/>
        </w:rPr>
        <w:t xml:space="preserve"> et activités de proximité</w:t>
      </w:r>
      <w:r w:rsidR="00B92D18">
        <w:rPr>
          <w:kern w:val="22"/>
          <w:szCs w:val="22"/>
          <w:lang w:val="fr-CA"/>
        </w:rPr>
        <w:t>;</w:t>
      </w:r>
    </w:p>
    <w:p w:rsidR="00CD36A6" w:rsidRPr="00B26B5B" w:rsidRDefault="004E6E8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 xml:space="preserve">Intégration des </w:t>
      </w:r>
      <w:r w:rsidR="006E4722">
        <w:rPr>
          <w:kern w:val="22"/>
          <w:szCs w:val="22"/>
          <w:lang w:val="fr-CA"/>
        </w:rPr>
        <w:t>différentes</w:t>
      </w:r>
      <w:r w:rsidRPr="00B26B5B">
        <w:rPr>
          <w:kern w:val="22"/>
          <w:szCs w:val="22"/>
          <w:lang w:val="fr-CA"/>
        </w:rPr>
        <w:t xml:space="preserve"> perspectives et égalité des sexes</w:t>
      </w:r>
      <w:r w:rsidR="00B92D18">
        <w:rPr>
          <w:kern w:val="22"/>
          <w:szCs w:val="22"/>
          <w:lang w:val="fr-CA"/>
        </w:rPr>
        <w:t>;</w:t>
      </w:r>
    </w:p>
    <w:p w:rsidR="00C43060" w:rsidRPr="00B26B5B" w:rsidRDefault="004E6E80" w:rsidP="00C33570">
      <w:pPr>
        <w:pStyle w:val="Para1"/>
        <w:numPr>
          <w:ilvl w:val="1"/>
          <w:numId w:val="2"/>
        </w:numPr>
        <w:suppressLineNumbers/>
        <w:tabs>
          <w:tab w:val="clear" w:pos="1440"/>
          <w:tab w:val="left" w:pos="1418"/>
        </w:tabs>
        <w:suppressAutoHyphens/>
        <w:spacing w:before="0"/>
        <w:rPr>
          <w:kern w:val="22"/>
          <w:szCs w:val="22"/>
          <w:lang w:val="fr-CA"/>
        </w:rPr>
      </w:pPr>
      <w:r w:rsidRPr="00B26B5B">
        <w:rPr>
          <w:kern w:val="22"/>
          <w:szCs w:val="22"/>
          <w:lang w:val="fr-CA"/>
        </w:rPr>
        <w:t xml:space="preserve">Mise en œuvre à l’échelle nationale, </w:t>
      </w:r>
      <w:r w:rsidR="00C837FE">
        <w:rPr>
          <w:kern w:val="22"/>
          <w:szCs w:val="22"/>
          <w:lang w:val="fr-CA"/>
        </w:rPr>
        <w:t>SPANB</w:t>
      </w:r>
      <w:r w:rsidRPr="00B26B5B">
        <w:rPr>
          <w:kern w:val="22"/>
          <w:szCs w:val="22"/>
          <w:lang w:val="fr-CA"/>
        </w:rPr>
        <w:t>, processus de révision et mécanismes de responsabilité</w:t>
      </w:r>
      <w:r w:rsidR="00CD36A6" w:rsidRPr="00B26B5B">
        <w:rPr>
          <w:kern w:val="22"/>
          <w:szCs w:val="22"/>
          <w:lang w:val="fr-CA"/>
        </w:rPr>
        <w:t>.</w:t>
      </w:r>
    </w:p>
    <w:p w:rsidR="00E80155" w:rsidRPr="00B26B5B" w:rsidRDefault="008B22DB" w:rsidP="00C33570">
      <w:pPr>
        <w:pStyle w:val="Titre3"/>
        <w:suppressLineNumbers/>
        <w:suppressAutoHyphens/>
        <w:rPr>
          <w:kern w:val="22"/>
          <w:szCs w:val="22"/>
          <w:lang w:val="fr-CA"/>
        </w:rPr>
      </w:pPr>
      <w:r w:rsidRPr="00B26B5B">
        <w:rPr>
          <w:kern w:val="22"/>
          <w:szCs w:val="22"/>
          <w:lang w:val="fr-CA"/>
        </w:rPr>
        <w:t>1.</w:t>
      </w:r>
      <w:r w:rsidR="00C17645" w:rsidRPr="00B26B5B">
        <w:rPr>
          <w:kern w:val="22"/>
          <w:szCs w:val="22"/>
          <w:lang w:val="fr-CA"/>
        </w:rPr>
        <w:tab/>
      </w:r>
      <w:r w:rsidR="004E6E80" w:rsidRPr="00B26B5B">
        <w:rPr>
          <w:kern w:val="22"/>
          <w:szCs w:val="22"/>
          <w:lang w:val="fr-CA"/>
        </w:rPr>
        <w:t>Structure du cadre</w:t>
      </w:r>
    </w:p>
    <w:p w:rsidR="006839DA" w:rsidRPr="00B26B5B" w:rsidRDefault="00F8483F" w:rsidP="00C33570">
      <w:pPr>
        <w:pStyle w:val="Para1"/>
        <w:suppressLineNumbers/>
        <w:tabs>
          <w:tab w:val="clear" w:pos="360"/>
        </w:tabs>
        <w:suppressAutoHyphens/>
        <w:rPr>
          <w:kern w:val="22"/>
          <w:szCs w:val="22"/>
          <w:lang w:val="fr-CA"/>
        </w:rPr>
      </w:pPr>
      <w:r>
        <w:rPr>
          <w:kern w:val="22"/>
          <w:szCs w:val="22"/>
          <w:lang w:val="fr-CA"/>
        </w:rPr>
        <w:t>Bien</w:t>
      </w:r>
      <w:r w:rsidR="000631D4" w:rsidRPr="00B26B5B">
        <w:rPr>
          <w:kern w:val="22"/>
          <w:szCs w:val="22"/>
          <w:lang w:val="fr-CA"/>
        </w:rPr>
        <w:t xml:space="preserve"> que le Plan stratégique pour la diversité biologique 2011-2020 contienne des éléments qui pourraient être révisés et développés, aucun changement radical ne s’impose. Par contre, il faut évaluer ce qui a fonctionné et ce qui n’a pas fonctionné, et recenser les améliorations nécessaires afin d’améliorer la mise en œuvre et l’impact. Il importe aussi de réviser les plans stratég</w:t>
      </w:r>
      <w:r w:rsidR="00FB3EAB" w:rsidRPr="00B26B5B">
        <w:rPr>
          <w:kern w:val="22"/>
          <w:szCs w:val="22"/>
          <w:lang w:val="fr-CA"/>
        </w:rPr>
        <w:t>iques des autres accords multila</w:t>
      </w:r>
      <w:r w:rsidR="000631D4" w:rsidRPr="00B26B5B">
        <w:rPr>
          <w:kern w:val="22"/>
          <w:szCs w:val="22"/>
          <w:lang w:val="fr-CA"/>
        </w:rPr>
        <w:t>téraux sur l’environnement et tirer des enseignements de ce qui a donné les meilleurs résultats</w:t>
      </w:r>
      <w:r w:rsidR="00722C55" w:rsidRPr="00B26B5B">
        <w:rPr>
          <w:kern w:val="22"/>
          <w:szCs w:val="22"/>
          <w:lang w:val="fr-CA"/>
        </w:rPr>
        <w:t>.</w:t>
      </w:r>
    </w:p>
    <w:p w:rsidR="00E577D8" w:rsidRPr="00B26B5B" w:rsidRDefault="00E577D8" w:rsidP="00C33570">
      <w:pPr>
        <w:pStyle w:val="Para1"/>
        <w:suppressLineNumbers/>
        <w:tabs>
          <w:tab w:val="clear" w:pos="360"/>
        </w:tabs>
        <w:suppressAutoHyphens/>
        <w:rPr>
          <w:kern w:val="22"/>
          <w:szCs w:val="22"/>
          <w:lang w:val="fr-CA"/>
        </w:rPr>
      </w:pPr>
      <w:r w:rsidRPr="00B26B5B">
        <w:rPr>
          <w:i/>
          <w:kern w:val="22"/>
          <w:szCs w:val="22"/>
          <w:lang w:val="fr-CA"/>
        </w:rPr>
        <w:t>Structure</w:t>
      </w:r>
      <w:r w:rsidR="00CD0FC3">
        <w:rPr>
          <w:i/>
          <w:kern w:val="22"/>
          <w:szCs w:val="22"/>
          <w:lang w:val="fr-CA"/>
        </w:rPr>
        <w:t> </w:t>
      </w:r>
      <w:r w:rsidRPr="00B26B5B">
        <w:rPr>
          <w:kern w:val="22"/>
          <w:szCs w:val="22"/>
          <w:lang w:val="fr-CA"/>
        </w:rPr>
        <w:t xml:space="preserve">: </w:t>
      </w:r>
      <w:r w:rsidR="00FB3EAB" w:rsidRPr="00B26B5B">
        <w:rPr>
          <w:kern w:val="22"/>
          <w:szCs w:val="22"/>
          <w:lang w:val="fr-CA"/>
        </w:rPr>
        <w:t xml:space="preserve">Le </w:t>
      </w:r>
      <w:r w:rsidR="00F8483F">
        <w:rPr>
          <w:kern w:val="22"/>
          <w:szCs w:val="22"/>
          <w:lang w:val="fr-CA"/>
        </w:rPr>
        <w:t>cadre mondial de la biodiversité pour l</w:t>
      </w:r>
      <w:r w:rsidR="00CD0FC3">
        <w:rPr>
          <w:kern w:val="22"/>
          <w:szCs w:val="22"/>
          <w:lang w:val="fr-CA"/>
        </w:rPr>
        <w:t>’</w:t>
      </w:r>
      <w:r w:rsidR="00F8483F">
        <w:rPr>
          <w:kern w:val="22"/>
          <w:szCs w:val="22"/>
          <w:lang w:val="fr-CA"/>
        </w:rPr>
        <w:t xml:space="preserve">après-2020 </w:t>
      </w:r>
      <w:r w:rsidR="00FB3EAB" w:rsidRPr="00B26B5B">
        <w:rPr>
          <w:kern w:val="22"/>
          <w:szCs w:val="22"/>
          <w:lang w:val="fr-CA"/>
        </w:rPr>
        <w:t>doit être bien structur</w:t>
      </w:r>
      <w:r w:rsidR="00F8483F">
        <w:rPr>
          <w:kern w:val="22"/>
          <w:szCs w:val="22"/>
          <w:lang w:val="fr-CA"/>
        </w:rPr>
        <w:t>é</w:t>
      </w:r>
      <w:r w:rsidR="00FB3EAB" w:rsidRPr="00B26B5B">
        <w:rPr>
          <w:kern w:val="22"/>
          <w:szCs w:val="22"/>
          <w:lang w:val="fr-CA"/>
        </w:rPr>
        <w:t>, stratégique et spécifique, et il doit éviter de devenir trop g</w:t>
      </w:r>
      <w:r w:rsidR="003B00DF" w:rsidRPr="00B26B5B">
        <w:rPr>
          <w:kern w:val="22"/>
          <w:szCs w:val="22"/>
          <w:lang w:val="fr-CA"/>
        </w:rPr>
        <w:t>énéral. Le cadre des Objectifs de développement durable, qui comprend 17 grands objectifs et des cibles spécifiques pour chacun des objectifs, peut offrir un point de référence utile et un exemple pour orienter la structure et la présentation du cadre mondial de la biodiversité pour l</w:t>
      </w:r>
      <w:r w:rsidR="00CD0FC3">
        <w:rPr>
          <w:kern w:val="22"/>
          <w:szCs w:val="22"/>
          <w:lang w:val="fr-CA"/>
        </w:rPr>
        <w:t>’</w:t>
      </w:r>
      <w:r w:rsidR="003B00DF" w:rsidRPr="00B26B5B">
        <w:rPr>
          <w:kern w:val="22"/>
          <w:szCs w:val="22"/>
          <w:lang w:val="fr-CA"/>
        </w:rPr>
        <w:t>après-2020. Les Objectifs de développement durable sont présentés de manière systématique dans une langue simple</w:t>
      </w:r>
      <w:r w:rsidR="00F8483F">
        <w:rPr>
          <w:kern w:val="22"/>
          <w:szCs w:val="22"/>
          <w:lang w:val="fr-CA"/>
        </w:rPr>
        <w:t xml:space="preserve">, ce qui </w:t>
      </w:r>
      <w:r w:rsidR="003B00DF" w:rsidRPr="00B26B5B">
        <w:rPr>
          <w:kern w:val="22"/>
          <w:szCs w:val="22"/>
          <w:lang w:val="fr-CA"/>
        </w:rPr>
        <w:t>facilite les communications avec le public</w:t>
      </w:r>
      <w:r w:rsidR="00FE5DB6" w:rsidRPr="00B26B5B">
        <w:rPr>
          <w:kern w:val="22"/>
          <w:szCs w:val="22"/>
          <w:lang w:val="fr-CA"/>
        </w:rPr>
        <w:t>.</w:t>
      </w:r>
    </w:p>
    <w:p w:rsidR="00722766" w:rsidRPr="00B26B5B" w:rsidRDefault="00FB3EAB" w:rsidP="00C33570">
      <w:pPr>
        <w:pStyle w:val="Para1"/>
        <w:suppressLineNumbers/>
        <w:tabs>
          <w:tab w:val="clear" w:pos="360"/>
        </w:tabs>
        <w:suppressAutoHyphens/>
        <w:rPr>
          <w:kern w:val="22"/>
          <w:szCs w:val="22"/>
          <w:lang w:val="fr-CA"/>
        </w:rPr>
      </w:pPr>
      <w:r w:rsidRPr="00B26B5B">
        <w:rPr>
          <w:i/>
          <w:kern w:val="22"/>
          <w:szCs w:val="22"/>
          <w:lang w:val="fr-CA"/>
        </w:rPr>
        <w:t>Objectifs et cibles</w:t>
      </w:r>
      <w:r w:rsidR="00CD0FC3">
        <w:rPr>
          <w:i/>
          <w:kern w:val="22"/>
          <w:szCs w:val="22"/>
          <w:lang w:val="fr-CA"/>
        </w:rPr>
        <w:t> </w:t>
      </w:r>
      <w:r w:rsidR="001C13A3" w:rsidRPr="00B26B5B">
        <w:rPr>
          <w:kern w:val="22"/>
          <w:szCs w:val="22"/>
          <w:lang w:val="fr-CA"/>
        </w:rPr>
        <w:t xml:space="preserve">: </w:t>
      </w:r>
      <w:r w:rsidR="00F8483F">
        <w:rPr>
          <w:kern w:val="22"/>
          <w:szCs w:val="22"/>
          <w:lang w:val="fr-CA"/>
        </w:rPr>
        <w:t>Il</w:t>
      </w:r>
      <w:r w:rsidR="00E5129A" w:rsidRPr="00B26B5B">
        <w:rPr>
          <w:kern w:val="22"/>
          <w:szCs w:val="22"/>
          <w:lang w:val="fr-CA"/>
        </w:rPr>
        <w:t xml:space="preserve"> n’existe aucun lien clair et logique entre la vision, les objectifs et les cibles du Plan stratégique actuel. De plus, plusieurs cibles sont nébuleuses</w:t>
      </w:r>
      <w:r w:rsidR="00CD0FC3">
        <w:rPr>
          <w:kern w:val="22"/>
          <w:szCs w:val="22"/>
          <w:lang w:val="fr-CA"/>
        </w:rPr>
        <w:t> </w:t>
      </w:r>
      <w:r w:rsidR="00E5129A" w:rsidRPr="00B26B5B">
        <w:rPr>
          <w:kern w:val="22"/>
          <w:szCs w:val="22"/>
          <w:lang w:val="fr-CA"/>
        </w:rPr>
        <w:t xml:space="preserve">: certaines sont rédigées comme des objectifs tandis que d’autres sont </w:t>
      </w:r>
      <w:r w:rsidR="00F8483F">
        <w:rPr>
          <w:kern w:val="22"/>
          <w:szCs w:val="22"/>
          <w:lang w:val="fr-CA"/>
        </w:rPr>
        <w:t>présentées</w:t>
      </w:r>
      <w:r w:rsidR="00E5129A" w:rsidRPr="00B26B5B">
        <w:rPr>
          <w:kern w:val="22"/>
          <w:szCs w:val="22"/>
          <w:lang w:val="fr-CA"/>
        </w:rPr>
        <w:t xml:space="preserve"> comme une méthode de mise en œuvre. Les participants ont exprimé les observations et les suggestions suivantes à cet égard</w:t>
      </w:r>
      <w:r w:rsidR="00CD0FC3">
        <w:rPr>
          <w:kern w:val="22"/>
          <w:szCs w:val="22"/>
          <w:lang w:val="fr-CA"/>
        </w:rPr>
        <w:t> </w:t>
      </w:r>
      <w:r w:rsidR="00722766" w:rsidRPr="00B26B5B">
        <w:rPr>
          <w:kern w:val="22"/>
          <w:szCs w:val="22"/>
          <w:lang w:val="fr-CA"/>
        </w:rPr>
        <w:t>:</w:t>
      </w:r>
    </w:p>
    <w:p w:rsidR="00722766" w:rsidRPr="00B26B5B" w:rsidRDefault="00012472" w:rsidP="00C33570">
      <w:pPr>
        <w:pStyle w:val="Para1"/>
        <w:numPr>
          <w:ilvl w:val="1"/>
          <w:numId w:val="2"/>
        </w:numPr>
        <w:suppressLineNumbers/>
        <w:suppressAutoHyphens/>
        <w:rPr>
          <w:kern w:val="22"/>
          <w:szCs w:val="22"/>
          <w:lang w:val="fr-CA"/>
        </w:rPr>
      </w:pPr>
      <w:r w:rsidRPr="00B26B5B">
        <w:rPr>
          <w:kern w:val="22"/>
          <w:szCs w:val="22"/>
          <w:lang w:val="fr-CA"/>
        </w:rPr>
        <w:t xml:space="preserve">Les objectifs et cibles stratégiques doivent être révisés ou </w:t>
      </w:r>
      <w:r w:rsidR="00C24A27">
        <w:rPr>
          <w:kern w:val="22"/>
          <w:szCs w:val="22"/>
          <w:lang w:val="fr-CA"/>
        </w:rPr>
        <w:t>retravaillés</w:t>
      </w:r>
      <w:r w:rsidRPr="00B26B5B">
        <w:rPr>
          <w:kern w:val="22"/>
          <w:szCs w:val="22"/>
          <w:lang w:val="fr-CA"/>
        </w:rPr>
        <w:t xml:space="preserve"> (c.-à-d., simplifiés, reformulés et </w:t>
      </w:r>
      <w:r w:rsidR="00F8483F">
        <w:rPr>
          <w:kern w:val="22"/>
          <w:szCs w:val="22"/>
          <w:lang w:val="fr-CA"/>
        </w:rPr>
        <w:t>amalgamés</w:t>
      </w:r>
      <w:r w:rsidRPr="00B26B5B">
        <w:rPr>
          <w:kern w:val="22"/>
          <w:szCs w:val="22"/>
          <w:lang w:val="fr-CA"/>
        </w:rPr>
        <w:t xml:space="preserve"> lorsque possible), afin de les rendre plus clairs, plus cohérents et ambitieux, et à l’image des nouvelles réalités et développements</w:t>
      </w:r>
      <w:r w:rsidR="00B92D18">
        <w:rPr>
          <w:kern w:val="22"/>
          <w:szCs w:val="22"/>
          <w:lang w:val="fr-CA"/>
        </w:rPr>
        <w:t>;</w:t>
      </w:r>
    </w:p>
    <w:p w:rsidR="00722766" w:rsidRPr="00B26B5B" w:rsidRDefault="00012472" w:rsidP="00C33570">
      <w:pPr>
        <w:pStyle w:val="Para1"/>
        <w:numPr>
          <w:ilvl w:val="1"/>
          <w:numId w:val="2"/>
        </w:numPr>
        <w:suppressLineNumbers/>
        <w:suppressAutoHyphens/>
        <w:rPr>
          <w:kern w:val="22"/>
          <w:szCs w:val="22"/>
          <w:lang w:val="fr-CA"/>
        </w:rPr>
      </w:pPr>
      <w:r w:rsidRPr="00B26B5B">
        <w:rPr>
          <w:kern w:val="22"/>
          <w:szCs w:val="22"/>
          <w:lang w:val="fr-CA"/>
        </w:rPr>
        <w:t xml:space="preserve">Les nouveaux objectifs doivent être définis, et les objectifs existants doivent être révisés dans le contexte d’une analyse </w:t>
      </w:r>
      <w:proofErr w:type="spellStart"/>
      <w:r w:rsidRPr="00B26B5B">
        <w:rPr>
          <w:kern w:val="22"/>
          <w:szCs w:val="22"/>
          <w:lang w:val="fr-CA"/>
        </w:rPr>
        <w:t>FFPM</w:t>
      </w:r>
      <w:proofErr w:type="spellEnd"/>
      <w:r w:rsidRPr="00B26B5B">
        <w:rPr>
          <w:kern w:val="22"/>
          <w:szCs w:val="22"/>
          <w:lang w:val="fr-CA"/>
        </w:rPr>
        <w:t xml:space="preserve"> (forces, faiblesses, possibilités, menaces)</w:t>
      </w:r>
      <w:r w:rsidR="00B92D18">
        <w:rPr>
          <w:kern w:val="22"/>
          <w:szCs w:val="22"/>
          <w:lang w:val="fr-CA"/>
        </w:rPr>
        <w:t>;</w:t>
      </w:r>
    </w:p>
    <w:p w:rsidR="00773AB7" w:rsidRPr="00B26B5B" w:rsidRDefault="00061DDC" w:rsidP="00C33570">
      <w:pPr>
        <w:pStyle w:val="Para1"/>
        <w:numPr>
          <w:ilvl w:val="1"/>
          <w:numId w:val="2"/>
        </w:numPr>
        <w:suppressLineNumbers/>
        <w:suppressAutoHyphens/>
        <w:rPr>
          <w:kern w:val="22"/>
          <w:szCs w:val="22"/>
          <w:lang w:val="fr-CA"/>
        </w:rPr>
      </w:pPr>
      <w:r w:rsidRPr="00B26B5B">
        <w:rPr>
          <w:kern w:val="22"/>
          <w:szCs w:val="22"/>
          <w:lang w:val="fr-CA"/>
        </w:rPr>
        <w:t>Les nouvelles cibles et les cibles révisées doivent être</w:t>
      </w:r>
      <w:r w:rsidR="00CD0FC3">
        <w:rPr>
          <w:kern w:val="22"/>
          <w:szCs w:val="22"/>
          <w:lang w:val="fr-CA"/>
        </w:rPr>
        <w:t> </w:t>
      </w:r>
      <w:r w:rsidR="00773AB7" w:rsidRPr="00B26B5B">
        <w:rPr>
          <w:kern w:val="22"/>
          <w:szCs w:val="22"/>
          <w:lang w:val="fr-CA"/>
        </w:rPr>
        <w:t>:</w:t>
      </w:r>
    </w:p>
    <w:p w:rsidR="00773AB7" w:rsidRPr="00B26B5B" w:rsidRDefault="00061DDC" w:rsidP="002511BD">
      <w:pPr>
        <w:pStyle w:val="Para1"/>
        <w:numPr>
          <w:ilvl w:val="3"/>
          <w:numId w:val="8"/>
        </w:numPr>
        <w:suppressLineNumbers/>
        <w:suppressAutoHyphens/>
        <w:spacing w:before="0"/>
        <w:rPr>
          <w:kern w:val="22"/>
          <w:szCs w:val="22"/>
          <w:lang w:val="fr-CA"/>
        </w:rPr>
      </w:pPr>
      <w:r w:rsidRPr="00B26B5B">
        <w:rPr>
          <w:kern w:val="22"/>
          <w:szCs w:val="22"/>
          <w:lang w:val="fr-CA"/>
        </w:rPr>
        <w:t>Plus « SMART » (spécifiques, mesurables, atteignables, réalistes et temporel</w:t>
      </w:r>
      <w:r w:rsidR="00F74EAD">
        <w:rPr>
          <w:kern w:val="22"/>
          <w:szCs w:val="22"/>
          <w:lang w:val="fr-CA"/>
        </w:rPr>
        <w:t>le</w:t>
      </w:r>
      <w:r w:rsidRPr="00B26B5B">
        <w:rPr>
          <w:kern w:val="22"/>
          <w:szCs w:val="22"/>
          <w:lang w:val="fr-CA"/>
        </w:rPr>
        <w:t xml:space="preserve">s), concrètes et faciles à communiquer aux décideurs, </w:t>
      </w:r>
      <w:r w:rsidR="00F74EAD">
        <w:rPr>
          <w:kern w:val="22"/>
          <w:szCs w:val="22"/>
          <w:lang w:val="fr-CA"/>
        </w:rPr>
        <w:t>au public</w:t>
      </w:r>
      <w:r w:rsidRPr="00B26B5B">
        <w:rPr>
          <w:kern w:val="22"/>
          <w:szCs w:val="22"/>
          <w:lang w:val="fr-CA"/>
        </w:rPr>
        <w:t xml:space="preserve"> et </w:t>
      </w:r>
      <w:r w:rsidR="00F74EAD">
        <w:rPr>
          <w:kern w:val="22"/>
          <w:szCs w:val="22"/>
          <w:lang w:val="fr-CA"/>
        </w:rPr>
        <w:t>aux</w:t>
      </w:r>
      <w:r w:rsidRPr="00B26B5B">
        <w:rPr>
          <w:kern w:val="22"/>
          <w:szCs w:val="22"/>
          <w:lang w:val="fr-CA"/>
        </w:rPr>
        <w:t xml:space="preserve"> </w:t>
      </w:r>
      <w:r w:rsidR="00F74EAD">
        <w:rPr>
          <w:kern w:val="22"/>
          <w:szCs w:val="22"/>
          <w:lang w:val="fr-CA"/>
        </w:rPr>
        <w:t>professionnels</w:t>
      </w:r>
      <w:r w:rsidRPr="00B26B5B">
        <w:rPr>
          <w:kern w:val="22"/>
          <w:szCs w:val="22"/>
          <w:lang w:val="fr-CA"/>
        </w:rPr>
        <w:t xml:space="preserve"> sur le terrain</w:t>
      </w:r>
      <w:r w:rsidR="00B92D18">
        <w:rPr>
          <w:kern w:val="22"/>
          <w:szCs w:val="22"/>
          <w:lang w:val="fr-CA"/>
        </w:rPr>
        <w:t>;</w:t>
      </w:r>
    </w:p>
    <w:p w:rsidR="00773AB7" w:rsidRPr="00B26B5B" w:rsidRDefault="00F625BB" w:rsidP="002511BD">
      <w:pPr>
        <w:pStyle w:val="Para1"/>
        <w:numPr>
          <w:ilvl w:val="3"/>
          <w:numId w:val="8"/>
        </w:numPr>
        <w:suppressLineNumbers/>
        <w:tabs>
          <w:tab w:val="clear" w:pos="2160"/>
        </w:tabs>
        <w:suppressAutoHyphens/>
        <w:spacing w:before="0"/>
        <w:rPr>
          <w:kern w:val="22"/>
          <w:szCs w:val="22"/>
          <w:lang w:val="fr-CA"/>
        </w:rPr>
      </w:pPr>
      <w:r w:rsidRPr="00B26B5B">
        <w:rPr>
          <w:kern w:val="22"/>
          <w:szCs w:val="22"/>
          <w:lang w:val="fr-CA"/>
        </w:rPr>
        <w:t>Ambitieux (c.-à-d., au-delà du statu quo), mais tempérés par le réalisme, y compris l</w:t>
      </w:r>
      <w:r w:rsidR="00F74EAD">
        <w:rPr>
          <w:kern w:val="22"/>
          <w:szCs w:val="22"/>
          <w:lang w:val="fr-CA"/>
        </w:rPr>
        <w:t xml:space="preserve">e temps et les ressources disponibles et nécessaires </w:t>
      </w:r>
      <w:r w:rsidRPr="00B26B5B">
        <w:rPr>
          <w:kern w:val="22"/>
          <w:szCs w:val="22"/>
          <w:lang w:val="fr-CA"/>
        </w:rPr>
        <w:t>pour les réaliser</w:t>
      </w:r>
      <w:r w:rsidR="00B92D18">
        <w:rPr>
          <w:kern w:val="22"/>
          <w:szCs w:val="22"/>
          <w:lang w:val="fr-CA"/>
        </w:rPr>
        <w:t>;</w:t>
      </w:r>
    </w:p>
    <w:p w:rsidR="004A61EC" w:rsidRPr="00B26B5B" w:rsidRDefault="00F625BB" w:rsidP="002511BD">
      <w:pPr>
        <w:pStyle w:val="Para1"/>
        <w:numPr>
          <w:ilvl w:val="3"/>
          <w:numId w:val="8"/>
        </w:numPr>
        <w:suppressLineNumbers/>
        <w:tabs>
          <w:tab w:val="clear" w:pos="2160"/>
        </w:tabs>
        <w:suppressAutoHyphens/>
        <w:spacing w:before="0"/>
        <w:rPr>
          <w:kern w:val="22"/>
          <w:szCs w:val="22"/>
          <w:lang w:val="fr-CA"/>
        </w:rPr>
      </w:pPr>
      <w:r w:rsidRPr="00B26B5B">
        <w:rPr>
          <w:kern w:val="22"/>
          <w:szCs w:val="22"/>
          <w:lang w:val="fr-CA"/>
        </w:rPr>
        <w:lastRenderedPageBreak/>
        <w:t xml:space="preserve">Fondés sur des </w:t>
      </w:r>
      <w:r w:rsidR="00C24A27">
        <w:rPr>
          <w:kern w:val="22"/>
          <w:szCs w:val="22"/>
          <w:lang w:val="fr-CA"/>
        </w:rPr>
        <w:t>éléments probants</w:t>
      </w:r>
      <w:r w:rsidRPr="00B26B5B">
        <w:rPr>
          <w:kern w:val="22"/>
          <w:szCs w:val="22"/>
          <w:lang w:val="fr-CA"/>
        </w:rPr>
        <w:t xml:space="preserve"> et </w:t>
      </w:r>
      <w:r w:rsidR="00F74EAD">
        <w:rPr>
          <w:kern w:val="22"/>
          <w:szCs w:val="22"/>
          <w:lang w:val="fr-CA"/>
        </w:rPr>
        <w:t>reposant sur</w:t>
      </w:r>
      <w:r w:rsidRPr="00B26B5B">
        <w:rPr>
          <w:kern w:val="22"/>
          <w:szCs w:val="22"/>
          <w:lang w:val="fr-CA"/>
        </w:rPr>
        <w:t xml:space="preserve"> des études scientifiques et </w:t>
      </w:r>
      <w:r w:rsidR="00F74EAD">
        <w:rPr>
          <w:kern w:val="22"/>
          <w:szCs w:val="22"/>
          <w:lang w:val="fr-CA"/>
        </w:rPr>
        <w:t>des rapports d’évaluation, tel</w:t>
      </w:r>
      <w:r w:rsidRPr="00B26B5B">
        <w:rPr>
          <w:kern w:val="22"/>
          <w:szCs w:val="22"/>
          <w:lang w:val="fr-CA"/>
        </w:rPr>
        <w:t xml:space="preserve">s que les évaluations mondiales et </w:t>
      </w:r>
      <w:r w:rsidR="00D17C5A" w:rsidRPr="00B26B5B">
        <w:rPr>
          <w:kern w:val="22"/>
          <w:szCs w:val="22"/>
          <w:lang w:val="fr-CA"/>
        </w:rPr>
        <w:t>ré</w:t>
      </w:r>
      <w:r w:rsidRPr="00B26B5B">
        <w:rPr>
          <w:kern w:val="22"/>
          <w:szCs w:val="22"/>
          <w:lang w:val="fr-CA"/>
        </w:rPr>
        <w:t>gionales de la diversité biologique</w:t>
      </w:r>
      <w:r w:rsidR="00D17C5A" w:rsidRPr="00B26B5B">
        <w:rPr>
          <w:kern w:val="22"/>
          <w:szCs w:val="22"/>
          <w:lang w:val="fr-CA"/>
        </w:rPr>
        <w:t xml:space="preserve"> et des services écosystémiques réalisées </w:t>
      </w:r>
      <w:r w:rsidR="00C24A27">
        <w:rPr>
          <w:kern w:val="22"/>
          <w:szCs w:val="22"/>
          <w:lang w:val="fr-CA"/>
        </w:rPr>
        <w:t>par</w:t>
      </w:r>
      <w:r w:rsidR="00D17C5A" w:rsidRPr="00B26B5B">
        <w:rPr>
          <w:kern w:val="22"/>
          <w:szCs w:val="22"/>
          <w:lang w:val="fr-CA"/>
        </w:rPr>
        <w:t xml:space="preserve"> la Plateforme intergouvernementale scientifique et politique sur la biodiversité et les services écosystémiques (</w:t>
      </w:r>
      <w:proofErr w:type="spellStart"/>
      <w:r w:rsidR="00D17C5A" w:rsidRPr="00B26B5B">
        <w:rPr>
          <w:kern w:val="22"/>
          <w:szCs w:val="22"/>
          <w:lang w:val="fr-CA"/>
        </w:rPr>
        <w:t>IPBES</w:t>
      </w:r>
      <w:proofErr w:type="spellEnd"/>
      <w:r w:rsidR="00D17C5A" w:rsidRPr="00B26B5B">
        <w:rPr>
          <w:kern w:val="22"/>
          <w:szCs w:val="22"/>
          <w:lang w:val="fr-CA"/>
        </w:rPr>
        <w:t xml:space="preserve">) et </w:t>
      </w:r>
      <w:r w:rsidR="00F74EAD" w:rsidRPr="00B26B5B">
        <w:rPr>
          <w:kern w:val="22"/>
          <w:szCs w:val="22"/>
          <w:lang w:val="fr-CA"/>
        </w:rPr>
        <w:t>l’</w:t>
      </w:r>
      <w:r w:rsidR="00F74EAD" w:rsidRPr="00B26B5B">
        <w:rPr>
          <w:i/>
          <w:kern w:val="22"/>
          <w:szCs w:val="22"/>
          <w:lang w:val="fr-CA"/>
        </w:rPr>
        <w:t>État de la biodiversité pour l’alimentation et l’agriculture dans le monde</w:t>
      </w:r>
      <w:r w:rsidR="004F2049">
        <w:rPr>
          <w:i/>
          <w:kern w:val="22"/>
          <w:szCs w:val="22"/>
          <w:lang w:val="fr-CA"/>
        </w:rPr>
        <w:t xml:space="preserve"> </w:t>
      </w:r>
      <w:r w:rsidR="004F2049">
        <w:rPr>
          <w:kern w:val="22"/>
          <w:szCs w:val="22"/>
          <w:lang w:val="fr-CA"/>
        </w:rPr>
        <w:t>de l’</w:t>
      </w:r>
      <w:r w:rsidR="00385529" w:rsidRPr="00B26B5B">
        <w:rPr>
          <w:kern w:val="22"/>
          <w:szCs w:val="22"/>
          <w:lang w:val="fr-CA"/>
        </w:rPr>
        <w:t>Organisation des Nati</w:t>
      </w:r>
      <w:r w:rsidR="00D17C5A" w:rsidRPr="00B26B5B">
        <w:rPr>
          <w:kern w:val="22"/>
          <w:szCs w:val="22"/>
          <w:lang w:val="fr-CA"/>
        </w:rPr>
        <w:t>ons Unies pour l’alimentation et l’</w:t>
      </w:r>
      <w:r w:rsidR="00385529" w:rsidRPr="00B26B5B">
        <w:rPr>
          <w:kern w:val="22"/>
          <w:szCs w:val="22"/>
          <w:lang w:val="fr-CA"/>
        </w:rPr>
        <w:t>agri</w:t>
      </w:r>
      <w:r w:rsidR="00D17C5A" w:rsidRPr="00B26B5B">
        <w:rPr>
          <w:kern w:val="22"/>
          <w:szCs w:val="22"/>
          <w:lang w:val="fr-CA"/>
        </w:rPr>
        <w:t>culture (FAO)</w:t>
      </w:r>
      <w:r w:rsidR="00B92D18">
        <w:rPr>
          <w:kern w:val="22"/>
          <w:szCs w:val="22"/>
          <w:lang w:val="fr-CA"/>
        </w:rPr>
        <w:t>;</w:t>
      </w:r>
    </w:p>
    <w:p w:rsidR="00C15621" w:rsidRPr="00B26B5B" w:rsidRDefault="00385529" w:rsidP="002511BD">
      <w:pPr>
        <w:pStyle w:val="Para1"/>
        <w:numPr>
          <w:ilvl w:val="3"/>
          <w:numId w:val="8"/>
        </w:numPr>
        <w:suppressLineNumbers/>
        <w:tabs>
          <w:tab w:val="clear" w:pos="2160"/>
        </w:tabs>
        <w:suppressAutoHyphens/>
        <w:spacing w:before="0"/>
        <w:rPr>
          <w:kern w:val="22"/>
          <w:szCs w:val="22"/>
          <w:lang w:val="fr-CA"/>
        </w:rPr>
      </w:pPr>
      <w:r w:rsidRPr="00B26B5B">
        <w:rPr>
          <w:kern w:val="22"/>
          <w:szCs w:val="22"/>
          <w:lang w:val="fr-CA"/>
        </w:rPr>
        <w:t>Fondés sur ce qu’il faut faire pour atteindre l’état souhaitable pour la diversité biologique (ou déterminer la direction et le niveau de changement de l’état de la diversité biologique) et les moteurs et mesures de réponse</w:t>
      </w:r>
      <w:r w:rsidR="00B92D18">
        <w:rPr>
          <w:kern w:val="22"/>
          <w:szCs w:val="22"/>
          <w:lang w:val="fr-CA"/>
        </w:rPr>
        <w:t>;</w:t>
      </w:r>
    </w:p>
    <w:p w:rsidR="00EB7E33" w:rsidRPr="00B26B5B" w:rsidRDefault="00385529" w:rsidP="002511BD">
      <w:pPr>
        <w:pStyle w:val="Para1"/>
        <w:numPr>
          <w:ilvl w:val="3"/>
          <w:numId w:val="8"/>
        </w:numPr>
        <w:suppressLineNumbers/>
        <w:tabs>
          <w:tab w:val="clear" w:pos="2160"/>
        </w:tabs>
        <w:suppressAutoHyphens/>
        <w:spacing w:before="0"/>
        <w:rPr>
          <w:kern w:val="22"/>
          <w:szCs w:val="22"/>
          <w:lang w:val="fr-CA"/>
        </w:rPr>
      </w:pPr>
      <w:r w:rsidRPr="00B26B5B">
        <w:rPr>
          <w:kern w:val="22"/>
          <w:szCs w:val="22"/>
          <w:lang w:val="fr-CA"/>
        </w:rPr>
        <w:t>Orientés par les principes de facilité de mise en œuvre et de réalisation de répercussions mesurables</w:t>
      </w:r>
      <w:r w:rsidR="00B92D18">
        <w:rPr>
          <w:kern w:val="22"/>
          <w:szCs w:val="22"/>
          <w:lang w:val="fr-CA"/>
        </w:rPr>
        <w:t>;</w:t>
      </w:r>
    </w:p>
    <w:p w:rsidR="00C15621" w:rsidRPr="00B26B5B" w:rsidRDefault="00385529" w:rsidP="00C33570">
      <w:pPr>
        <w:pStyle w:val="Para1"/>
        <w:numPr>
          <w:ilvl w:val="1"/>
          <w:numId w:val="2"/>
        </w:numPr>
        <w:suppressLineNumbers/>
        <w:suppressAutoHyphens/>
        <w:rPr>
          <w:kern w:val="22"/>
          <w:szCs w:val="22"/>
          <w:lang w:val="fr-CA"/>
        </w:rPr>
      </w:pPr>
      <w:r w:rsidRPr="00B26B5B">
        <w:rPr>
          <w:kern w:val="22"/>
          <w:szCs w:val="22"/>
          <w:lang w:val="fr-CA"/>
        </w:rPr>
        <w:t xml:space="preserve">Des cibles secondaires assorties d’indicateurs mesurables, tels que ceux des Objectifs de développement durable, </w:t>
      </w:r>
      <w:r w:rsidR="004F2049">
        <w:rPr>
          <w:kern w:val="22"/>
          <w:szCs w:val="22"/>
          <w:lang w:val="fr-CA"/>
        </w:rPr>
        <w:t>seraient</w:t>
      </w:r>
      <w:r w:rsidRPr="00B26B5B">
        <w:rPr>
          <w:kern w:val="22"/>
          <w:szCs w:val="22"/>
          <w:lang w:val="fr-CA"/>
        </w:rPr>
        <w:t xml:space="preserve"> utiles</w:t>
      </w:r>
      <w:r w:rsidR="00B92D18">
        <w:rPr>
          <w:kern w:val="22"/>
          <w:szCs w:val="22"/>
          <w:lang w:val="fr-CA"/>
        </w:rPr>
        <w:t>;</w:t>
      </w:r>
    </w:p>
    <w:p w:rsidR="00C15621" w:rsidRPr="00B26B5B" w:rsidRDefault="00385529" w:rsidP="00C33570">
      <w:pPr>
        <w:pStyle w:val="Para1"/>
        <w:numPr>
          <w:ilvl w:val="1"/>
          <w:numId w:val="2"/>
        </w:numPr>
        <w:suppressLineNumbers/>
        <w:suppressAutoHyphens/>
        <w:rPr>
          <w:kern w:val="22"/>
          <w:szCs w:val="22"/>
          <w:lang w:val="fr-CA"/>
        </w:rPr>
      </w:pPr>
      <w:r w:rsidRPr="00B26B5B">
        <w:rPr>
          <w:kern w:val="22"/>
          <w:szCs w:val="22"/>
          <w:lang w:val="fr-CA"/>
        </w:rPr>
        <w:t>Les exigences principales des trois objectifs de la Convention doivent être examiné</w:t>
      </w:r>
      <w:r w:rsidR="004F2049">
        <w:rPr>
          <w:kern w:val="22"/>
          <w:szCs w:val="22"/>
          <w:lang w:val="fr-CA"/>
        </w:rPr>
        <w:t>e</w:t>
      </w:r>
      <w:r w:rsidRPr="00B26B5B">
        <w:rPr>
          <w:kern w:val="22"/>
          <w:szCs w:val="22"/>
          <w:lang w:val="fr-CA"/>
        </w:rPr>
        <w:t xml:space="preserve">s avec soin et </w:t>
      </w:r>
      <w:r w:rsidR="004F2049">
        <w:rPr>
          <w:kern w:val="22"/>
          <w:szCs w:val="22"/>
          <w:lang w:val="fr-CA"/>
        </w:rPr>
        <w:t>intégrées adéquatement dans l’é</w:t>
      </w:r>
      <w:r w:rsidRPr="00B26B5B">
        <w:rPr>
          <w:kern w:val="22"/>
          <w:szCs w:val="22"/>
          <w:lang w:val="fr-CA"/>
        </w:rPr>
        <w:t>laboration des objectifs et des cibles</w:t>
      </w:r>
      <w:r w:rsidR="00B92D18">
        <w:rPr>
          <w:kern w:val="22"/>
          <w:szCs w:val="22"/>
          <w:lang w:val="fr-CA"/>
        </w:rPr>
        <w:t>;</w:t>
      </w:r>
    </w:p>
    <w:p w:rsidR="00C15621" w:rsidRPr="00B26B5B" w:rsidRDefault="00A374E9" w:rsidP="00C33570">
      <w:pPr>
        <w:pStyle w:val="Para1"/>
        <w:numPr>
          <w:ilvl w:val="1"/>
          <w:numId w:val="2"/>
        </w:numPr>
        <w:suppressLineNumbers/>
        <w:suppressAutoHyphens/>
        <w:rPr>
          <w:kern w:val="22"/>
          <w:szCs w:val="22"/>
          <w:lang w:val="fr-CA"/>
        </w:rPr>
      </w:pPr>
      <w:r w:rsidRPr="00B26B5B">
        <w:rPr>
          <w:kern w:val="22"/>
          <w:szCs w:val="22"/>
          <w:lang w:val="fr-CA"/>
        </w:rPr>
        <w:t xml:space="preserve">La terminologie des objectifs et cibles doit tenir compte des programmes pour la diversité biologique établissant déjà des cibles et </w:t>
      </w:r>
      <w:r w:rsidR="00BF3B88">
        <w:rPr>
          <w:kern w:val="22"/>
          <w:szCs w:val="22"/>
          <w:lang w:val="fr-CA"/>
        </w:rPr>
        <w:t>inté</w:t>
      </w:r>
      <w:r w:rsidR="004F2049">
        <w:rPr>
          <w:kern w:val="22"/>
          <w:szCs w:val="22"/>
          <w:lang w:val="fr-CA"/>
        </w:rPr>
        <w:t>grant</w:t>
      </w:r>
      <w:r w:rsidRPr="00B26B5B">
        <w:rPr>
          <w:kern w:val="22"/>
          <w:szCs w:val="22"/>
          <w:lang w:val="fr-CA"/>
        </w:rPr>
        <w:t xml:space="preserve"> le Programme à l’horizon 2030 et les Objectifs de développement durable</w:t>
      </w:r>
      <w:r w:rsidR="00C15621" w:rsidRPr="00B26B5B">
        <w:rPr>
          <w:kern w:val="22"/>
          <w:szCs w:val="22"/>
          <w:lang w:val="fr-CA"/>
        </w:rPr>
        <w:t>.</w:t>
      </w:r>
    </w:p>
    <w:p w:rsidR="004A6F60" w:rsidRPr="00B26B5B" w:rsidRDefault="00A374E9" w:rsidP="00C33570">
      <w:pPr>
        <w:pStyle w:val="Para1"/>
        <w:suppressLineNumbers/>
        <w:tabs>
          <w:tab w:val="clear" w:pos="360"/>
        </w:tabs>
        <w:suppressAutoHyphens/>
        <w:rPr>
          <w:kern w:val="22"/>
          <w:szCs w:val="22"/>
          <w:lang w:val="fr-CA"/>
        </w:rPr>
      </w:pPr>
      <w:r w:rsidRPr="00B26B5B">
        <w:rPr>
          <w:i/>
          <w:kern w:val="22"/>
          <w:szCs w:val="22"/>
          <w:lang w:val="fr-CA"/>
        </w:rPr>
        <w:t>Indicateurs</w:t>
      </w:r>
      <w:r w:rsidR="00CD0FC3">
        <w:rPr>
          <w:i/>
          <w:kern w:val="22"/>
          <w:szCs w:val="22"/>
          <w:lang w:val="fr-CA"/>
        </w:rPr>
        <w:t> </w:t>
      </w:r>
      <w:r w:rsidR="004A6F60" w:rsidRPr="00B26B5B">
        <w:rPr>
          <w:kern w:val="22"/>
          <w:szCs w:val="22"/>
          <w:lang w:val="fr-CA"/>
        </w:rPr>
        <w:t xml:space="preserve">: </w:t>
      </w:r>
      <w:r w:rsidRPr="00B26B5B">
        <w:rPr>
          <w:kern w:val="22"/>
          <w:szCs w:val="22"/>
          <w:lang w:val="fr-CA"/>
        </w:rPr>
        <w:t xml:space="preserve">Le Plan stratégique actuel ne comprenait pas d’indicateurs de suivi et évaluation au moment de son adoption. Ils </w:t>
      </w:r>
      <w:r w:rsidR="004F2049">
        <w:rPr>
          <w:kern w:val="22"/>
          <w:szCs w:val="22"/>
          <w:lang w:val="fr-CA"/>
        </w:rPr>
        <w:t>ont</w:t>
      </w:r>
      <w:r w:rsidRPr="00B26B5B">
        <w:rPr>
          <w:kern w:val="22"/>
          <w:szCs w:val="22"/>
          <w:lang w:val="fr-CA"/>
        </w:rPr>
        <w:t xml:space="preserve"> été développés plusieurs années plus tard. Le cadre de l’après-2020 doit comprendre des indicateurs clairs et mesurables. Les indicateurs utilisés dans des stratégies pertinentes (dont les Objectifs de développemen</w:t>
      </w:r>
      <w:r w:rsidR="00D46D51" w:rsidRPr="00B26B5B">
        <w:rPr>
          <w:kern w:val="22"/>
          <w:szCs w:val="22"/>
          <w:lang w:val="fr-CA"/>
        </w:rPr>
        <w:t>t durable et les accords multila</w:t>
      </w:r>
      <w:r w:rsidRPr="00B26B5B">
        <w:rPr>
          <w:kern w:val="22"/>
          <w:szCs w:val="22"/>
          <w:lang w:val="fr-CA"/>
        </w:rPr>
        <w:t xml:space="preserve">téraux sur l’environnement) doivent être examinés et intégrés, si nécessaire, ou </w:t>
      </w:r>
      <w:r w:rsidR="00067AA9">
        <w:rPr>
          <w:kern w:val="22"/>
          <w:szCs w:val="22"/>
          <w:lang w:val="fr-CA"/>
        </w:rPr>
        <w:t>alignés</w:t>
      </w:r>
      <w:r w:rsidR="00D46D51" w:rsidRPr="00B26B5B">
        <w:rPr>
          <w:kern w:val="22"/>
          <w:szCs w:val="22"/>
          <w:lang w:val="fr-CA"/>
        </w:rPr>
        <w:t xml:space="preserve"> </w:t>
      </w:r>
      <w:r w:rsidR="00067AA9">
        <w:rPr>
          <w:kern w:val="22"/>
          <w:szCs w:val="22"/>
          <w:lang w:val="fr-CA"/>
        </w:rPr>
        <w:t>de manière à</w:t>
      </w:r>
      <w:r w:rsidR="00D46D51" w:rsidRPr="00B26B5B">
        <w:rPr>
          <w:kern w:val="22"/>
          <w:szCs w:val="22"/>
          <w:lang w:val="fr-CA"/>
        </w:rPr>
        <w:t xml:space="preserve"> souligner les liens. Des précautions s’imposent toutefois, afin de ne pas miner les objectifs et ambitions pour la diversité biologique</w:t>
      </w:r>
      <w:r w:rsidR="004A6F60" w:rsidRPr="00B26B5B">
        <w:rPr>
          <w:kern w:val="22"/>
          <w:szCs w:val="22"/>
          <w:lang w:val="fr-CA"/>
        </w:rPr>
        <w:t>.</w:t>
      </w:r>
    </w:p>
    <w:p w:rsidR="004B3F5C" w:rsidRPr="00B26B5B" w:rsidRDefault="00D46D51" w:rsidP="00C33570">
      <w:pPr>
        <w:pStyle w:val="Para1"/>
        <w:suppressLineNumbers/>
        <w:tabs>
          <w:tab w:val="clear" w:pos="360"/>
        </w:tabs>
        <w:suppressAutoHyphens/>
        <w:rPr>
          <w:kern w:val="22"/>
          <w:szCs w:val="22"/>
          <w:lang w:val="fr-CA"/>
        </w:rPr>
      </w:pPr>
      <w:r w:rsidRPr="00B26B5B">
        <w:rPr>
          <w:i/>
          <w:kern w:val="22"/>
          <w:szCs w:val="22"/>
          <w:lang w:val="fr-CA"/>
        </w:rPr>
        <w:t>Éléments de la vision</w:t>
      </w:r>
      <w:r w:rsidR="00CD0FC3">
        <w:rPr>
          <w:i/>
          <w:kern w:val="22"/>
          <w:szCs w:val="22"/>
          <w:lang w:val="fr-CA"/>
        </w:rPr>
        <w:t> </w:t>
      </w:r>
      <w:r w:rsidR="005974B4" w:rsidRPr="00B26B5B">
        <w:rPr>
          <w:kern w:val="22"/>
          <w:szCs w:val="22"/>
          <w:lang w:val="fr-CA"/>
        </w:rPr>
        <w:t xml:space="preserve">: </w:t>
      </w:r>
      <w:r w:rsidR="00D72926" w:rsidRPr="00B26B5B">
        <w:rPr>
          <w:kern w:val="22"/>
          <w:szCs w:val="22"/>
          <w:lang w:val="fr-CA"/>
        </w:rPr>
        <w:t xml:space="preserve">Les participants ont proposé que les quatre éléments de la Vision 2050, c’est-à-dire valoriser, conserver, restaurer et utiliser </w:t>
      </w:r>
      <w:r w:rsidR="00067AA9">
        <w:rPr>
          <w:kern w:val="22"/>
          <w:szCs w:val="22"/>
          <w:lang w:val="fr-CA"/>
        </w:rPr>
        <w:t>judicieusement</w:t>
      </w:r>
      <w:r w:rsidR="00D72926" w:rsidRPr="00B26B5B">
        <w:rPr>
          <w:kern w:val="22"/>
          <w:szCs w:val="22"/>
          <w:lang w:val="fr-CA"/>
        </w:rPr>
        <w:t xml:space="preserve"> la diversité biologique, </w:t>
      </w:r>
      <w:r w:rsidR="00FF71FA" w:rsidRPr="00B26B5B">
        <w:rPr>
          <w:kern w:val="22"/>
          <w:szCs w:val="22"/>
          <w:lang w:val="fr-CA"/>
        </w:rPr>
        <w:t>soient reflétés de la façon suivante dans le</w:t>
      </w:r>
      <w:r w:rsidR="00D72926" w:rsidRPr="00B26B5B">
        <w:rPr>
          <w:kern w:val="22"/>
          <w:szCs w:val="22"/>
          <w:lang w:val="fr-CA"/>
        </w:rPr>
        <w:t xml:space="preserve"> </w:t>
      </w:r>
      <w:r w:rsidR="00FF71FA" w:rsidRPr="00B26B5B">
        <w:rPr>
          <w:kern w:val="22"/>
          <w:szCs w:val="22"/>
          <w:lang w:val="fr-CA"/>
        </w:rPr>
        <w:t>cadre mondial de la biodiversité pour l</w:t>
      </w:r>
      <w:r w:rsidR="00CD0FC3">
        <w:rPr>
          <w:kern w:val="22"/>
          <w:szCs w:val="22"/>
          <w:lang w:val="fr-CA"/>
        </w:rPr>
        <w:t>’</w:t>
      </w:r>
      <w:r w:rsidR="00FF71FA" w:rsidRPr="00B26B5B">
        <w:rPr>
          <w:kern w:val="22"/>
          <w:szCs w:val="22"/>
          <w:lang w:val="fr-CA"/>
        </w:rPr>
        <w:t>après-2020</w:t>
      </w:r>
      <w:r w:rsidR="00CD0FC3">
        <w:rPr>
          <w:kern w:val="22"/>
          <w:szCs w:val="22"/>
          <w:lang w:val="fr-CA"/>
        </w:rPr>
        <w:t> </w:t>
      </w:r>
      <w:r w:rsidR="00527725" w:rsidRPr="00B26B5B">
        <w:rPr>
          <w:kern w:val="22"/>
          <w:szCs w:val="22"/>
          <w:lang w:val="fr-CA"/>
        </w:rPr>
        <w:t>:</w:t>
      </w:r>
    </w:p>
    <w:p w:rsidR="004B3F5C" w:rsidRPr="00B26B5B" w:rsidRDefault="00FF71FA" w:rsidP="00C33570">
      <w:pPr>
        <w:pStyle w:val="Para1"/>
        <w:numPr>
          <w:ilvl w:val="1"/>
          <w:numId w:val="2"/>
        </w:numPr>
        <w:suppressLineNumbers/>
        <w:suppressAutoHyphens/>
        <w:rPr>
          <w:kern w:val="22"/>
          <w:szCs w:val="22"/>
          <w:lang w:val="fr-CA"/>
        </w:rPr>
      </w:pPr>
      <w:r w:rsidRPr="00B26B5B">
        <w:rPr>
          <w:kern w:val="22"/>
          <w:szCs w:val="22"/>
          <w:lang w:val="fr-CA"/>
        </w:rPr>
        <w:t xml:space="preserve">Les intégrer en tant que stratégies différentes </w:t>
      </w:r>
      <w:r w:rsidR="00BF3B88">
        <w:rPr>
          <w:kern w:val="22"/>
          <w:szCs w:val="22"/>
          <w:lang w:val="fr-CA"/>
        </w:rPr>
        <w:t>accompagnées</w:t>
      </w:r>
      <w:r w:rsidRPr="00B26B5B">
        <w:rPr>
          <w:kern w:val="22"/>
          <w:szCs w:val="22"/>
          <w:lang w:val="fr-CA"/>
        </w:rPr>
        <w:t xml:space="preserve"> chacune </w:t>
      </w:r>
      <w:r w:rsidR="00BF3B88">
        <w:rPr>
          <w:kern w:val="22"/>
          <w:szCs w:val="22"/>
          <w:lang w:val="fr-CA"/>
        </w:rPr>
        <w:t>d’</w:t>
      </w:r>
      <w:r w:rsidRPr="00B26B5B">
        <w:rPr>
          <w:kern w:val="22"/>
          <w:szCs w:val="22"/>
          <w:lang w:val="fr-CA"/>
        </w:rPr>
        <w:t>un plan d’action détaillé, afin d’orienter les actions pour la réalisation de la vision</w:t>
      </w:r>
      <w:r w:rsidR="00B92D18">
        <w:rPr>
          <w:kern w:val="22"/>
          <w:szCs w:val="22"/>
          <w:lang w:val="fr-CA"/>
        </w:rPr>
        <w:t>;</w:t>
      </w:r>
    </w:p>
    <w:p w:rsidR="004B3F5C" w:rsidRPr="00B26B5B" w:rsidRDefault="00FF71FA" w:rsidP="00C33570">
      <w:pPr>
        <w:pStyle w:val="Para1"/>
        <w:numPr>
          <w:ilvl w:val="1"/>
          <w:numId w:val="2"/>
        </w:numPr>
        <w:suppressLineNumbers/>
        <w:suppressAutoHyphens/>
        <w:rPr>
          <w:kern w:val="22"/>
          <w:szCs w:val="22"/>
          <w:lang w:val="fr-CA"/>
        </w:rPr>
      </w:pPr>
      <w:r w:rsidRPr="00B26B5B">
        <w:rPr>
          <w:kern w:val="22"/>
          <w:szCs w:val="22"/>
          <w:lang w:val="fr-CA"/>
        </w:rPr>
        <w:t>Développer les objectifs du cadre de l’après-2020 autour des quatre éléments et les présenter d’une façon facile à communiquer</w:t>
      </w:r>
      <w:r w:rsidR="00BF3B88">
        <w:rPr>
          <w:kern w:val="22"/>
          <w:szCs w:val="22"/>
          <w:lang w:val="fr-CA"/>
        </w:rPr>
        <w:t>;</w:t>
      </w:r>
    </w:p>
    <w:p w:rsidR="000E37E6" w:rsidRPr="00B26B5B" w:rsidRDefault="00FF71FA" w:rsidP="00C33570">
      <w:pPr>
        <w:pStyle w:val="Para1"/>
        <w:numPr>
          <w:ilvl w:val="1"/>
          <w:numId w:val="2"/>
        </w:numPr>
        <w:suppressLineNumbers/>
        <w:suppressAutoHyphens/>
        <w:rPr>
          <w:kern w:val="22"/>
          <w:szCs w:val="22"/>
          <w:lang w:val="fr-CA"/>
        </w:rPr>
      </w:pPr>
      <w:r w:rsidRPr="00B26B5B">
        <w:rPr>
          <w:kern w:val="22"/>
          <w:szCs w:val="22"/>
          <w:lang w:val="fr-CA"/>
        </w:rPr>
        <w:t>Les intégrer dans toute la structure du cadre, à tous les niveaux et de manière équilibrée, afin qu’ils soient bien saisis et abordés</w:t>
      </w:r>
      <w:r w:rsidR="00DB00C5" w:rsidRPr="00B26B5B">
        <w:rPr>
          <w:kern w:val="22"/>
          <w:szCs w:val="22"/>
          <w:lang w:val="fr-CA"/>
        </w:rPr>
        <w:t>.</w:t>
      </w:r>
    </w:p>
    <w:p w:rsidR="00342C6C" w:rsidRPr="00B26B5B" w:rsidRDefault="00FF71FA" w:rsidP="00C33570">
      <w:pPr>
        <w:pStyle w:val="Para1"/>
        <w:suppressLineNumbers/>
        <w:tabs>
          <w:tab w:val="clear" w:pos="360"/>
        </w:tabs>
        <w:suppressAutoHyphens/>
        <w:rPr>
          <w:kern w:val="22"/>
          <w:szCs w:val="22"/>
          <w:lang w:val="fr-CA"/>
        </w:rPr>
      </w:pPr>
      <w:r w:rsidRPr="00B26B5B">
        <w:rPr>
          <w:i/>
          <w:kern w:val="22"/>
          <w:szCs w:val="22"/>
          <w:lang w:val="fr-CA"/>
        </w:rPr>
        <w:t>Questions intersectorielles</w:t>
      </w:r>
      <w:r w:rsidR="00CD0FC3">
        <w:rPr>
          <w:i/>
          <w:kern w:val="22"/>
          <w:szCs w:val="22"/>
          <w:lang w:val="fr-CA"/>
        </w:rPr>
        <w:t> </w:t>
      </w:r>
      <w:r w:rsidR="00712B50" w:rsidRPr="00B26B5B">
        <w:rPr>
          <w:kern w:val="22"/>
          <w:szCs w:val="22"/>
          <w:lang w:val="fr-CA"/>
        </w:rPr>
        <w:t xml:space="preserve">: </w:t>
      </w:r>
      <w:r w:rsidR="005025D1" w:rsidRPr="00B26B5B">
        <w:rPr>
          <w:kern w:val="22"/>
          <w:szCs w:val="22"/>
          <w:lang w:val="fr-CA"/>
        </w:rPr>
        <w:t xml:space="preserve">Deux points de vue radicalement différents ont été proposés </w:t>
      </w:r>
      <w:r w:rsidR="00482C34">
        <w:rPr>
          <w:kern w:val="22"/>
          <w:szCs w:val="22"/>
          <w:lang w:val="fr-CA"/>
        </w:rPr>
        <w:t>sur la façon d’</w:t>
      </w:r>
      <w:r w:rsidR="00223625">
        <w:rPr>
          <w:kern w:val="22"/>
          <w:szCs w:val="22"/>
          <w:lang w:val="fr-CA"/>
        </w:rPr>
        <w:t>aborder</w:t>
      </w:r>
      <w:r w:rsidR="005025D1" w:rsidRPr="00B26B5B">
        <w:rPr>
          <w:kern w:val="22"/>
          <w:szCs w:val="22"/>
          <w:lang w:val="fr-CA"/>
        </w:rPr>
        <w:t xml:space="preserve"> les questions intersectorielles (telles que l’égalité des sexes, les connaissances traditionnelles, la prévention des risques biotechnologiques, l’accès et le partage des avantages et autres) dans le cadre mondial de la biodiversité pour l</w:t>
      </w:r>
      <w:r w:rsidR="00CD0FC3">
        <w:rPr>
          <w:kern w:val="22"/>
          <w:szCs w:val="22"/>
          <w:lang w:val="fr-CA"/>
        </w:rPr>
        <w:t>’</w:t>
      </w:r>
      <w:r w:rsidR="005025D1" w:rsidRPr="00B26B5B">
        <w:rPr>
          <w:kern w:val="22"/>
          <w:szCs w:val="22"/>
          <w:lang w:val="fr-CA"/>
        </w:rPr>
        <w:t>après-2020. Certains participants étaient d’avis qu’elles devaient être intégrées à l’échelle du document</w:t>
      </w:r>
      <w:r w:rsidR="00B427DD" w:rsidRPr="00B26B5B">
        <w:rPr>
          <w:kern w:val="22"/>
          <w:szCs w:val="22"/>
          <w:lang w:val="fr-CA"/>
        </w:rPr>
        <w:t xml:space="preserve"> et clairement éno</w:t>
      </w:r>
      <w:r w:rsidR="005025D1" w:rsidRPr="00B26B5B">
        <w:rPr>
          <w:kern w:val="22"/>
          <w:szCs w:val="22"/>
          <w:lang w:val="fr-CA"/>
        </w:rPr>
        <w:t>ncé</w:t>
      </w:r>
      <w:r w:rsidR="00223625">
        <w:rPr>
          <w:kern w:val="22"/>
          <w:szCs w:val="22"/>
          <w:lang w:val="fr-CA"/>
        </w:rPr>
        <w:t>e</w:t>
      </w:r>
      <w:r w:rsidR="005025D1" w:rsidRPr="00B26B5B">
        <w:rPr>
          <w:kern w:val="22"/>
          <w:szCs w:val="22"/>
          <w:lang w:val="fr-CA"/>
        </w:rPr>
        <w:t xml:space="preserve">s dans les cibles et </w:t>
      </w:r>
      <w:r w:rsidR="00223625">
        <w:rPr>
          <w:kern w:val="22"/>
          <w:szCs w:val="22"/>
          <w:lang w:val="fr-CA"/>
        </w:rPr>
        <w:t>pas</w:t>
      </w:r>
      <w:r w:rsidR="005025D1" w:rsidRPr="00B26B5B">
        <w:rPr>
          <w:kern w:val="22"/>
          <w:szCs w:val="22"/>
          <w:lang w:val="fr-CA"/>
        </w:rPr>
        <w:t xml:space="preserve"> </w:t>
      </w:r>
      <w:r w:rsidR="00223625">
        <w:rPr>
          <w:kern w:val="22"/>
          <w:szCs w:val="22"/>
          <w:lang w:val="fr-CA"/>
        </w:rPr>
        <w:t>uniquement</w:t>
      </w:r>
      <w:r w:rsidR="005025D1" w:rsidRPr="00B26B5B">
        <w:rPr>
          <w:kern w:val="22"/>
          <w:szCs w:val="22"/>
          <w:lang w:val="fr-CA"/>
        </w:rPr>
        <w:t xml:space="preserve"> réuni</w:t>
      </w:r>
      <w:r w:rsidR="00223625">
        <w:rPr>
          <w:kern w:val="22"/>
          <w:szCs w:val="22"/>
          <w:lang w:val="fr-CA"/>
        </w:rPr>
        <w:t>e</w:t>
      </w:r>
      <w:r w:rsidR="005025D1" w:rsidRPr="00B26B5B">
        <w:rPr>
          <w:kern w:val="22"/>
          <w:szCs w:val="22"/>
          <w:lang w:val="fr-CA"/>
        </w:rPr>
        <w:t>s dans une seule section du document. D’autres ont suggéré de les réunir dans une section séparée</w:t>
      </w:r>
      <w:r w:rsidR="00B427DD" w:rsidRPr="00B26B5B">
        <w:rPr>
          <w:kern w:val="22"/>
          <w:szCs w:val="22"/>
          <w:lang w:val="fr-CA"/>
        </w:rPr>
        <w:t xml:space="preserve"> et de les soutenir au moyen d’un programme de travail ou d’un plan d’action clair</w:t>
      </w:r>
      <w:r w:rsidR="00223625">
        <w:rPr>
          <w:kern w:val="22"/>
          <w:szCs w:val="22"/>
          <w:lang w:val="fr-CA"/>
        </w:rPr>
        <w:t>.</w:t>
      </w:r>
    </w:p>
    <w:p w:rsidR="00C43060" w:rsidRPr="00B26B5B" w:rsidRDefault="00B427DD" w:rsidP="00C33570">
      <w:pPr>
        <w:pStyle w:val="Para1"/>
        <w:suppressLineNumbers/>
        <w:tabs>
          <w:tab w:val="clear" w:pos="360"/>
        </w:tabs>
        <w:suppressAutoHyphens/>
        <w:rPr>
          <w:kern w:val="22"/>
          <w:szCs w:val="22"/>
          <w:lang w:val="fr-CA"/>
        </w:rPr>
      </w:pPr>
      <w:r w:rsidRPr="00B26B5B">
        <w:rPr>
          <w:i/>
          <w:kern w:val="22"/>
          <w:szCs w:val="22"/>
          <w:lang w:val="fr-CA"/>
        </w:rPr>
        <w:t>Méthode de mise en œuvre</w:t>
      </w:r>
      <w:r w:rsidR="00CD0FC3">
        <w:rPr>
          <w:i/>
          <w:kern w:val="22"/>
          <w:szCs w:val="22"/>
          <w:lang w:val="fr-CA"/>
        </w:rPr>
        <w:t> </w:t>
      </w:r>
      <w:r w:rsidR="00EB7E33" w:rsidRPr="00B26B5B">
        <w:rPr>
          <w:kern w:val="22"/>
          <w:szCs w:val="22"/>
          <w:lang w:val="fr-CA"/>
        </w:rPr>
        <w:t xml:space="preserve">: </w:t>
      </w:r>
      <w:r w:rsidRPr="00B26B5B">
        <w:rPr>
          <w:kern w:val="22"/>
          <w:szCs w:val="22"/>
          <w:lang w:val="fr-CA"/>
        </w:rPr>
        <w:t>Le cadre mondial de la biodiversité pour l</w:t>
      </w:r>
      <w:r w:rsidR="00CD0FC3">
        <w:rPr>
          <w:kern w:val="22"/>
          <w:szCs w:val="22"/>
          <w:lang w:val="fr-CA"/>
        </w:rPr>
        <w:t>’</w:t>
      </w:r>
      <w:r w:rsidRPr="00B26B5B">
        <w:rPr>
          <w:kern w:val="22"/>
          <w:szCs w:val="22"/>
          <w:lang w:val="fr-CA"/>
        </w:rPr>
        <w:t>après-2020 doit prévoir une méthode de mise en œuvre et d’application claire, et préciser qui est responsable de sa mise en œuvre</w:t>
      </w:r>
      <w:r w:rsidR="00482C34">
        <w:rPr>
          <w:kern w:val="22"/>
          <w:szCs w:val="22"/>
          <w:lang w:val="fr-CA"/>
        </w:rPr>
        <w:t>.</w:t>
      </w:r>
    </w:p>
    <w:p w:rsidR="00C17645" w:rsidRPr="00B26B5B" w:rsidRDefault="008B22DB" w:rsidP="00C33570">
      <w:pPr>
        <w:pStyle w:val="Titre3"/>
        <w:suppressLineNumbers/>
        <w:suppressAutoHyphens/>
        <w:rPr>
          <w:kern w:val="22"/>
          <w:szCs w:val="22"/>
          <w:lang w:val="fr-CA"/>
        </w:rPr>
      </w:pPr>
      <w:r w:rsidRPr="00B26B5B">
        <w:rPr>
          <w:kern w:val="22"/>
          <w:szCs w:val="22"/>
          <w:lang w:val="fr-CA"/>
        </w:rPr>
        <w:lastRenderedPageBreak/>
        <w:t>2.</w:t>
      </w:r>
      <w:r w:rsidR="00C17645" w:rsidRPr="00B26B5B">
        <w:rPr>
          <w:kern w:val="22"/>
          <w:szCs w:val="22"/>
          <w:lang w:val="fr-CA"/>
        </w:rPr>
        <w:tab/>
      </w:r>
      <w:r w:rsidR="00D27089" w:rsidRPr="00B26B5B">
        <w:rPr>
          <w:kern w:val="22"/>
          <w:szCs w:val="22"/>
          <w:lang w:val="fr-CA"/>
        </w:rPr>
        <w:t>Intégration des questions liées aux Protocoles</w:t>
      </w:r>
    </w:p>
    <w:p w:rsidR="009B0A79" w:rsidRPr="00B26B5B" w:rsidRDefault="003B0D7D" w:rsidP="00037441">
      <w:pPr>
        <w:pStyle w:val="Para1"/>
        <w:suppressLineNumbers/>
        <w:tabs>
          <w:tab w:val="clear" w:pos="360"/>
        </w:tabs>
        <w:suppressAutoHyphens/>
        <w:rPr>
          <w:kern w:val="22"/>
          <w:szCs w:val="22"/>
          <w:lang w:val="fr-CA"/>
        </w:rPr>
      </w:pPr>
      <w:r>
        <w:rPr>
          <w:kern w:val="22"/>
          <w:szCs w:val="22"/>
          <w:lang w:val="fr-CA"/>
        </w:rPr>
        <w:t>Le</w:t>
      </w:r>
      <w:r w:rsidR="00B427DD" w:rsidRPr="00B26B5B">
        <w:rPr>
          <w:kern w:val="22"/>
          <w:szCs w:val="22"/>
          <w:lang w:val="fr-CA"/>
        </w:rPr>
        <w:t xml:space="preserve"> cadre mondial de la biodiversité pour l</w:t>
      </w:r>
      <w:r w:rsidR="00CD0FC3">
        <w:rPr>
          <w:kern w:val="22"/>
          <w:szCs w:val="22"/>
          <w:lang w:val="fr-CA"/>
        </w:rPr>
        <w:t>’</w:t>
      </w:r>
      <w:r w:rsidR="00B427DD" w:rsidRPr="00B26B5B">
        <w:rPr>
          <w:kern w:val="22"/>
          <w:szCs w:val="22"/>
          <w:lang w:val="fr-CA"/>
        </w:rPr>
        <w:t xml:space="preserve">après-2020 doit traiter des trois objectifs de la Convention de manière équilibrée et </w:t>
      </w:r>
      <w:r w:rsidR="00037441" w:rsidRPr="00B26B5B">
        <w:rPr>
          <w:kern w:val="22"/>
          <w:szCs w:val="22"/>
          <w:lang w:val="fr-CA"/>
        </w:rPr>
        <w:t xml:space="preserve">uniforme. </w:t>
      </w:r>
      <w:r>
        <w:rPr>
          <w:kern w:val="22"/>
          <w:szCs w:val="22"/>
          <w:lang w:val="fr-CA"/>
        </w:rPr>
        <w:t>Le</w:t>
      </w:r>
      <w:r w:rsidR="00037441" w:rsidRPr="00B26B5B">
        <w:rPr>
          <w:kern w:val="22"/>
          <w:szCs w:val="22"/>
          <w:lang w:val="fr-CA"/>
        </w:rPr>
        <w:t xml:space="preserve"> Protocole de Nagoya sur l’accès et le partage des avantages, le Protocole de Cartagena sur la prévention des risques biotechnologiques et le Protocole additionnel de Nagoya-Kuala Lumpur sur la responsabilité et la réparation sont des instruments juridiques indépendants qui soutiennent les objectifs de la Convention. Le cadre mondial de la biodiversité pour l</w:t>
      </w:r>
      <w:r w:rsidR="00CD0FC3">
        <w:rPr>
          <w:kern w:val="22"/>
          <w:szCs w:val="22"/>
          <w:lang w:val="fr-CA"/>
        </w:rPr>
        <w:t>’</w:t>
      </w:r>
      <w:r w:rsidR="00037441" w:rsidRPr="00B26B5B">
        <w:rPr>
          <w:kern w:val="22"/>
          <w:szCs w:val="22"/>
          <w:lang w:val="fr-CA"/>
        </w:rPr>
        <w:t>après-2020 doit donc intégrer les questions en lien avec les Protocoles au niveau stratégique</w:t>
      </w:r>
      <w:r w:rsidR="007E4F41" w:rsidRPr="00B26B5B">
        <w:rPr>
          <w:kern w:val="22"/>
          <w:szCs w:val="22"/>
          <w:lang w:val="fr-CA"/>
        </w:rPr>
        <w:t>.</w:t>
      </w:r>
    </w:p>
    <w:p w:rsidR="00C43060" w:rsidRPr="00B26B5B" w:rsidRDefault="00037441" w:rsidP="00C33570">
      <w:pPr>
        <w:pStyle w:val="Para1"/>
        <w:suppressLineNumbers/>
        <w:tabs>
          <w:tab w:val="clear" w:pos="360"/>
        </w:tabs>
        <w:suppressAutoHyphens/>
        <w:rPr>
          <w:kern w:val="22"/>
          <w:szCs w:val="22"/>
          <w:lang w:val="fr-CA"/>
        </w:rPr>
      </w:pPr>
      <w:r w:rsidRPr="00B26B5B">
        <w:rPr>
          <w:i/>
          <w:kern w:val="22"/>
          <w:szCs w:val="22"/>
          <w:lang w:val="fr-CA"/>
        </w:rPr>
        <w:t>Accès et partage des avantages et Protocole de Nagoya</w:t>
      </w:r>
      <w:r w:rsidR="00CD0FC3">
        <w:rPr>
          <w:i/>
          <w:kern w:val="22"/>
          <w:szCs w:val="22"/>
          <w:lang w:val="fr-CA"/>
        </w:rPr>
        <w:t> </w:t>
      </w:r>
      <w:r w:rsidR="009B0A79" w:rsidRPr="00B26B5B">
        <w:rPr>
          <w:kern w:val="22"/>
          <w:szCs w:val="22"/>
          <w:lang w:val="fr-CA"/>
        </w:rPr>
        <w:t xml:space="preserve">: </w:t>
      </w:r>
      <w:r w:rsidR="003B0D7D">
        <w:rPr>
          <w:kern w:val="22"/>
          <w:szCs w:val="22"/>
          <w:lang w:val="fr-CA"/>
        </w:rPr>
        <w:t>L</w:t>
      </w:r>
      <w:r w:rsidR="00776FA1" w:rsidRPr="00B26B5B">
        <w:rPr>
          <w:kern w:val="22"/>
          <w:szCs w:val="22"/>
          <w:lang w:val="fr-CA"/>
        </w:rPr>
        <w:t>’intégration de l’accès et du partage des avantages au cadre mondial de la biodiversité pour l</w:t>
      </w:r>
      <w:r w:rsidR="00CD0FC3">
        <w:rPr>
          <w:kern w:val="22"/>
          <w:szCs w:val="22"/>
          <w:lang w:val="fr-CA"/>
        </w:rPr>
        <w:t>’</w:t>
      </w:r>
      <w:r w:rsidR="00776FA1" w:rsidRPr="00B26B5B">
        <w:rPr>
          <w:kern w:val="22"/>
          <w:szCs w:val="22"/>
          <w:lang w:val="fr-CA"/>
        </w:rPr>
        <w:t xml:space="preserve">après-2020 doit </w:t>
      </w:r>
      <w:r w:rsidR="003B0D7D">
        <w:rPr>
          <w:kern w:val="22"/>
          <w:szCs w:val="22"/>
          <w:lang w:val="fr-CA"/>
        </w:rPr>
        <w:t>aller au-delà du</w:t>
      </w:r>
      <w:r w:rsidR="00776FA1" w:rsidRPr="00B26B5B">
        <w:rPr>
          <w:kern w:val="22"/>
          <w:szCs w:val="22"/>
          <w:lang w:val="fr-CA"/>
        </w:rPr>
        <w:t xml:space="preserve"> Protocole de Nagoya, </w:t>
      </w:r>
      <w:r w:rsidR="00A664D4">
        <w:rPr>
          <w:kern w:val="22"/>
          <w:szCs w:val="22"/>
          <w:lang w:val="fr-CA"/>
        </w:rPr>
        <w:t>car</w:t>
      </w:r>
      <w:r w:rsidR="00776FA1" w:rsidRPr="00B26B5B">
        <w:rPr>
          <w:kern w:val="22"/>
          <w:szCs w:val="22"/>
          <w:lang w:val="fr-CA"/>
        </w:rPr>
        <w:t xml:space="preserve"> l’accès et le partage des avantages est le troisième objectif de la Convention et que l’article 15 de la Convention impose certaines obligations</w:t>
      </w:r>
      <w:r w:rsidR="00A664D4">
        <w:rPr>
          <w:kern w:val="22"/>
          <w:szCs w:val="22"/>
          <w:lang w:val="fr-CA"/>
        </w:rPr>
        <w:t xml:space="preserve"> à cet égard</w:t>
      </w:r>
      <w:r w:rsidR="00776FA1" w:rsidRPr="00B26B5B">
        <w:rPr>
          <w:kern w:val="22"/>
          <w:szCs w:val="22"/>
          <w:lang w:val="fr-CA"/>
        </w:rPr>
        <w:t>. De plus, des liens devraient être établis avec d’autres processus et mécanismes traitant d’accès et de partage des avantages, tels que ceux relevant du Traité international sur les ressources phytogénétiques pour l’alimentation et l’agriculture et</w:t>
      </w:r>
      <w:r w:rsidR="00A664D4">
        <w:rPr>
          <w:kern w:val="22"/>
          <w:szCs w:val="22"/>
          <w:lang w:val="fr-CA"/>
        </w:rPr>
        <w:t xml:space="preserve"> de</w:t>
      </w:r>
      <w:r w:rsidR="00776FA1" w:rsidRPr="00B26B5B">
        <w:rPr>
          <w:kern w:val="22"/>
          <w:szCs w:val="22"/>
          <w:lang w:val="fr-CA"/>
        </w:rPr>
        <w:t xml:space="preserve"> l’Organisation mondiale de la santé</w:t>
      </w:r>
      <w:r w:rsidR="009B0A79" w:rsidRPr="00B26B5B">
        <w:rPr>
          <w:kern w:val="22"/>
          <w:szCs w:val="22"/>
          <w:lang w:val="fr-CA"/>
        </w:rPr>
        <w:t>.</w:t>
      </w:r>
    </w:p>
    <w:p w:rsidR="00C7181F" w:rsidRPr="00B26B5B" w:rsidRDefault="001E1571" w:rsidP="00C33570">
      <w:pPr>
        <w:pStyle w:val="Para1"/>
        <w:suppressLineNumbers/>
        <w:tabs>
          <w:tab w:val="clear" w:pos="360"/>
        </w:tabs>
        <w:suppressAutoHyphens/>
        <w:rPr>
          <w:kern w:val="22"/>
          <w:szCs w:val="22"/>
          <w:lang w:val="fr-CA"/>
        </w:rPr>
      </w:pPr>
      <w:r w:rsidRPr="00B26B5B">
        <w:rPr>
          <w:i/>
          <w:kern w:val="22"/>
          <w:szCs w:val="22"/>
          <w:lang w:val="fr-CA"/>
        </w:rPr>
        <w:t>C</w:t>
      </w:r>
      <w:r w:rsidR="00425AD5" w:rsidRPr="00B26B5B">
        <w:rPr>
          <w:i/>
          <w:kern w:val="22"/>
          <w:szCs w:val="22"/>
          <w:lang w:val="fr-CA"/>
        </w:rPr>
        <w:t>ontribution des Protocoles aux Objectifs de développement durable</w:t>
      </w:r>
      <w:r w:rsidR="00CD0FC3">
        <w:rPr>
          <w:i/>
          <w:kern w:val="22"/>
          <w:szCs w:val="22"/>
          <w:lang w:val="fr-CA"/>
        </w:rPr>
        <w:t> </w:t>
      </w:r>
      <w:r w:rsidRPr="00B26B5B">
        <w:rPr>
          <w:kern w:val="22"/>
          <w:szCs w:val="22"/>
          <w:lang w:val="fr-CA"/>
        </w:rPr>
        <w:t xml:space="preserve">: </w:t>
      </w:r>
      <w:r w:rsidR="004B12A9" w:rsidRPr="00B26B5B">
        <w:rPr>
          <w:kern w:val="22"/>
          <w:szCs w:val="22"/>
          <w:lang w:val="fr-CA"/>
        </w:rPr>
        <w:t xml:space="preserve">Les Protocoles comprennent des éléments importants qui </w:t>
      </w:r>
      <w:r w:rsidR="009C41F0">
        <w:rPr>
          <w:kern w:val="22"/>
          <w:szCs w:val="22"/>
          <w:lang w:val="fr-CA"/>
        </w:rPr>
        <w:t>constituent un complément aux</w:t>
      </w:r>
      <w:r w:rsidR="004B12A9" w:rsidRPr="00B26B5B">
        <w:rPr>
          <w:kern w:val="22"/>
          <w:szCs w:val="22"/>
          <w:lang w:val="fr-CA"/>
        </w:rPr>
        <w:t xml:space="preserve"> Objectifs de développement durable et contribuent à leur réalisation. Par exemple, la mise en œuvre du Protocole de Nagoya peut contribuer à la réalisation des Objectifs de développement durable</w:t>
      </w:r>
      <w:r w:rsidR="00A664D4">
        <w:rPr>
          <w:kern w:val="22"/>
          <w:szCs w:val="22"/>
          <w:lang w:val="fr-CA"/>
        </w:rPr>
        <w:t xml:space="preserve"> liés à la sécurité alimentaire</w:t>
      </w:r>
      <w:r w:rsidR="004B12A9" w:rsidRPr="00B26B5B">
        <w:rPr>
          <w:kern w:val="22"/>
          <w:szCs w:val="22"/>
          <w:lang w:val="fr-CA"/>
        </w:rPr>
        <w:t>, la santé et l’atténuation de la pauvreté. Il est donc nécessaire de renforcer les liens entre les Protocoles, le cadre de l’après-2020 et le Programme de développement durable à l’horizon 2030 et les Objectifs de développement durable</w:t>
      </w:r>
      <w:r w:rsidR="00C05643" w:rsidRPr="00B26B5B">
        <w:rPr>
          <w:kern w:val="22"/>
          <w:szCs w:val="22"/>
          <w:lang w:val="fr-CA"/>
        </w:rPr>
        <w:t>.</w:t>
      </w:r>
    </w:p>
    <w:p w:rsidR="006A3843" w:rsidRPr="00B26B5B" w:rsidRDefault="004B12A9" w:rsidP="00C33570">
      <w:pPr>
        <w:pStyle w:val="Para1"/>
        <w:suppressLineNumbers/>
        <w:tabs>
          <w:tab w:val="clear" w:pos="360"/>
        </w:tabs>
        <w:suppressAutoHyphens/>
        <w:rPr>
          <w:kern w:val="22"/>
          <w:szCs w:val="22"/>
          <w:lang w:val="fr-CA"/>
        </w:rPr>
      </w:pPr>
      <w:r w:rsidRPr="00B26B5B">
        <w:rPr>
          <w:i/>
          <w:kern w:val="22"/>
          <w:szCs w:val="22"/>
          <w:lang w:val="fr-CA"/>
        </w:rPr>
        <w:t>Plans de mise en œuvre des Protocoles</w:t>
      </w:r>
      <w:r w:rsidR="00CD0FC3">
        <w:rPr>
          <w:i/>
          <w:kern w:val="22"/>
          <w:szCs w:val="22"/>
          <w:lang w:val="fr-CA"/>
        </w:rPr>
        <w:t> </w:t>
      </w:r>
      <w:r w:rsidR="000E76B6" w:rsidRPr="00B26B5B">
        <w:rPr>
          <w:i/>
          <w:kern w:val="22"/>
          <w:szCs w:val="22"/>
          <w:lang w:val="fr-CA"/>
        </w:rPr>
        <w:t>:</w:t>
      </w:r>
      <w:r w:rsidR="00134598" w:rsidRPr="00B26B5B">
        <w:rPr>
          <w:kern w:val="22"/>
          <w:szCs w:val="22"/>
          <w:lang w:val="fr-CA"/>
        </w:rPr>
        <w:t xml:space="preserve"> </w:t>
      </w:r>
      <w:r w:rsidR="000E76B6" w:rsidRPr="00B26B5B">
        <w:rPr>
          <w:kern w:val="22"/>
          <w:szCs w:val="22"/>
          <w:lang w:val="fr-CA"/>
        </w:rPr>
        <w:t>Bien que les Protocoles compor</w:t>
      </w:r>
      <w:r w:rsidR="00C13435" w:rsidRPr="00B26B5B">
        <w:rPr>
          <w:kern w:val="22"/>
          <w:szCs w:val="22"/>
          <w:lang w:val="fr-CA"/>
        </w:rPr>
        <w:t>t</w:t>
      </w:r>
      <w:r w:rsidR="000E76B6" w:rsidRPr="00B26B5B">
        <w:rPr>
          <w:kern w:val="22"/>
          <w:szCs w:val="22"/>
          <w:lang w:val="fr-CA"/>
        </w:rPr>
        <w:t>ent des éléments intersectoriels pouvant être intégrés au cadre de l’après-2020, chacun des P</w:t>
      </w:r>
      <w:r w:rsidR="00C13435" w:rsidRPr="00B26B5B">
        <w:rPr>
          <w:kern w:val="22"/>
          <w:szCs w:val="22"/>
          <w:lang w:val="fr-CA"/>
        </w:rPr>
        <w:t>r</w:t>
      </w:r>
      <w:r w:rsidR="000E76B6" w:rsidRPr="00B26B5B">
        <w:rPr>
          <w:kern w:val="22"/>
          <w:szCs w:val="22"/>
          <w:lang w:val="fr-CA"/>
        </w:rPr>
        <w:t xml:space="preserve">otocoles </w:t>
      </w:r>
      <w:r w:rsidR="00A664D4">
        <w:rPr>
          <w:kern w:val="22"/>
          <w:szCs w:val="22"/>
          <w:lang w:val="fr-CA"/>
        </w:rPr>
        <w:t>comprend</w:t>
      </w:r>
      <w:r w:rsidR="000E76B6" w:rsidRPr="00B26B5B">
        <w:rPr>
          <w:kern w:val="22"/>
          <w:szCs w:val="22"/>
          <w:lang w:val="fr-CA"/>
        </w:rPr>
        <w:t xml:space="preserve"> des éléments particuliers uniques qui exigent leur propre mécanisme de faci</w:t>
      </w:r>
      <w:r w:rsidR="00C13435" w:rsidRPr="00B26B5B">
        <w:rPr>
          <w:kern w:val="22"/>
          <w:szCs w:val="22"/>
          <w:lang w:val="fr-CA"/>
        </w:rPr>
        <w:t>litati</w:t>
      </w:r>
      <w:r w:rsidR="00A664D4">
        <w:rPr>
          <w:kern w:val="22"/>
          <w:szCs w:val="22"/>
          <w:lang w:val="fr-CA"/>
        </w:rPr>
        <w:t>on.</w:t>
      </w:r>
      <w:r w:rsidR="000E76B6" w:rsidRPr="00B26B5B">
        <w:rPr>
          <w:kern w:val="22"/>
          <w:szCs w:val="22"/>
          <w:lang w:val="fr-CA"/>
        </w:rPr>
        <w:t xml:space="preserve"> À cet égard, certains participants</w:t>
      </w:r>
      <w:r w:rsidR="00C13435" w:rsidRPr="00B26B5B">
        <w:rPr>
          <w:kern w:val="22"/>
          <w:szCs w:val="22"/>
          <w:lang w:val="fr-CA"/>
        </w:rPr>
        <w:t xml:space="preserve"> </w:t>
      </w:r>
      <w:r w:rsidR="000E76B6" w:rsidRPr="00B26B5B">
        <w:rPr>
          <w:kern w:val="22"/>
          <w:szCs w:val="22"/>
          <w:lang w:val="fr-CA"/>
        </w:rPr>
        <w:t>ont souligné la nécessité d’él</w:t>
      </w:r>
      <w:r w:rsidR="00C13435" w:rsidRPr="00B26B5B">
        <w:rPr>
          <w:kern w:val="22"/>
          <w:szCs w:val="22"/>
          <w:lang w:val="fr-CA"/>
        </w:rPr>
        <w:t>abo</w:t>
      </w:r>
      <w:r w:rsidR="000E76B6" w:rsidRPr="00B26B5B">
        <w:rPr>
          <w:kern w:val="22"/>
          <w:szCs w:val="22"/>
          <w:lang w:val="fr-CA"/>
        </w:rPr>
        <w:t>rer des plans stratégiques autonomes pour les Protocoles comprenant des exigences de ressource</w:t>
      </w:r>
      <w:r w:rsidR="009C41F0">
        <w:rPr>
          <w:kern w:val="22"/>
          <w:szCs w:val="22"/>
          <w:lang w:val="fr-CA"/>
        </w:rPr>
        <w:t>s</w:t>
      </w:r>
      <w:r w:rsidR="000E76B6" w:rsidRPr="00B26B5B">
        <w:rPr>
          <w:kern w:val="22"/>
          <w:szCs w:val="22"/>
          <w:lang w:val="fr-CA"/>
        </w:rPr>
        <w:t xml:space="preserve"> priorisé</w:t>
      </w:r>
      <w:r w:rsidR="00A95354">
        <w:rPr>
          <w:kern w:val="22"/>
          <w:szCs w:val="22"/>
          <w:lang w:val="fr-CA"/>
        </w:rPr>
        <w:t>e</w:t>
      </w:r>
      <w:r w:rsidR="000E76B6" w:rsidRPr="00B26B5B">
        <w:rPr>
          <w:kern w:val="22"/>
          <w:szCs w:val="22"/>
          <w:lang w:val="fr-CA"/>
        </w:rPr>
        <w:t>s et des indicateurs intersec</w:t>
      </w:r>
      <w:r w:rsidR="00C13435" w:rsidRPr="00B26B5B">
        <w:rPr>
          <w:kern w:val="22"/>
          <w:szCs w:val="22"/>
          <w:lang w:val="fr-CA"/>
        </w:rPr>
        <w:t>to</w:t>
      </w:r>
      <w:r w:rsidR="000E76B6" w:rsidRPr="00B26B5B">
        <w:rPr>
          <w:kern w:val="22"/>
          <w:szCs w:val="22"/>
          <w:lang w:val="fr-CA"/>
        </w:rPr>
        <w:t xml:space="preserve">riels liés au cadre de l’après-2020. Les Parties au Protocole de Cartagena ont adopté un processus </w:t>
      </w:r>
      <w:r w:rsidR="00C13435" w:rsidRPr="00B26B5B">
        <w:rPr>
          <w:kern w:val="22"/>
          <w:szCs w:val="22"/>
          <w:lang w:val="fr-CA"/>
        </w:rPr>
        <w:t>qui produirait un plan de mise en œuvre spécifique pour la Protocole ancré dans le cadre mondial de la biodiversité pour l</w:t>
      </w:r>
      <w:r w:rsidR="00CD0FC3">
        <w:rPr>
          <w:kern w:val="22"/>
          <w:szCs w:val="22"/>
          <w:lang w:val="fr-CA"/>
        </w:rPr>
        <w:t>’</w:t>
      </w:r>
      <w:r w:rsidR="00C13435" w:rsidRPr="00B26B5B">
        <w:rPr>
          <w:kern w:val="22"/>
          <w:szCs w:val="22"/>
          <w:lang w:val="fr-CA"/>
        </w:rPr>
        <w:t>après-2020 et le compléterait</w:t>
      </w:r>
      <w:r w:rsidR="00544273" w:rsidRPr="00B26B5B">
        <w:rPr>
          <w:kern w:val="22"/>
          <w:szCs w:val="22"/>
          <w:lang w:val="fr-CA"/>
        </w:rPr>
        <w:t>.</w:t>
      </w:r>
      <w:r w:rsidR="00544273" w:rsidRPr="00B26B5B">
        <w:rPr>
          <w:rStyle w:val="Appelnotedebasdep"/>
          <w:kern w:val="22"/>
          <w:szCs w:val="22"/>
          <w:lang w:val="fr-CA"/>
        </w:rPr>
        <w:footnoteReference w:id="4"/>
      </w:r>
      <w:r w:rsidR="00544273" w:rsidRPr="00B26B5B">
        <w:rPr>
          <w:kern w:val="22"/>
          <w:szCs w:val="22"/>
          <w:lang w:val="fr-CA"/>
        </w:rPr>
        <w:t xml:space="preserve"> </w:t>
      </w:r>
      <w:r w:rsidR="00C13435" w:rsidRPr="00B26B5B">
        <w:rPr>
          <w:kern w:val="22"/>
          <w:szCs w:val="22"/>
          <w:lang w:val="fr-CA"/>
        </w:rPr>
        <w:t>Il demeure toutefois nécessaire d’entreprendre une évaluation en bonne et due forme du Plan stratégique du Protocole, qui prend fin en 2020, afin d’orienter le processus de l’après-2020</w:t>
      </w:r>
      <w:r w:rsidR="00EC65A8" w:rsidRPr="00B26B5B">
        <w:rPr>
          <w:kern w:val="22"/>
          <w:szCs w:val="22"/>
          <w:lang w:val="fr-CA"/>
        </w:rPr>
        <w:t>.</w:t>
      </w:r>
    </w:p>
    <w:p w:rsidR="004F2EEC" w:rsidRPr="00B26B5B" w:rsidRDefault="00146837" w:rsidP="00C33570">
      <w:pPr>
        <w:pStyle w:val="Para1"/>
        <w:suppressLineNumbers/>
        <w:tabs>
          <w:tab w:val="clear" w:pos="360"/>
        </w:tabs>
        <w:suppressAutoHyphens/>
        <w:rPr>
          <w:kern w:val="22"/>
          <w:szCs w:val="22"/>
          <w:lang w:val="fr-CA"/>
        </w:rPr>
      </w:pPr>
      <w:r w:rsidRPr="00B26B5B">
        <w:rPr>
          <w:kern w:val="22"/>
          <w:szCs w:val="22"/>
          <w:lang w:val="fr-CA"/>
        </w:rPr>
        <w:t>Plusieurs particip</w:t>
      </w:r>
      <w:r w:rsidR="0092448A" w:rsidRPr="00B26B5B">
        <w:rPr>
          <w:kern w:val="22"/>
          <w:szCs w:val="22"/>
          <w:lang w:val="fr-CA"/>
        </w:rPr>
        <w:t xml:space="preserve">ants </w:t>
      </w:r>
      <w:r w:rsidR="00A95354">
        <w:rPr>
          <w:kern w:val="22"/>
          <w:szCs w:val="22"/>
          <w:lang w:val="fr-CA"/>
        </w:rPr>
        <w:t>étaient d’avis</w:t>
      </w:r>
      <w:r w:rsidR="0092448A" w:rsidRPr="00B26B5B">
        <w:rPr>
          <w:kern w:val="22"/>
          <w:szCs w:val="22"/>
          <w:lang w:val="fr-CA"/>
        </w:rPr>
        <w:t xml:space="preserve"> qu’un plan de mise en œuvre devra être élaboré pour le Protocole de Montréal après l’adoption du cadre de l’après-2020</w:t>
      </w:r>
      <w:r w:rsidR="006A3843" w:rsidRPr="00B26B5B">
        <w:rPr>
          <w:kern w:val="22"/>
          <w:szCs w:val="22"/>
          <w:lang w:val="fr-CA"/>
        </w:rPr>
        <w:t>.</w:t>
      </w:r>
      <w:r w:rsidR="0092448A" w:rsidRPr="00B26B5B">
        <w:rPr>
          <w:kern w:val="22"/>
          <w:szCs w:val="22"/>
          <w:lang w:val="fr-CA"/>
        </w:rPr>
        <w:t xml:space="preserve"> Quelques autres </w:t>
      </w:r>
      <w:r w:rsidR="007B769C">
        <w:rPr>
          <w:kern w:val="22"/>
          <w:szCs w:val="22"/>
          <w:lang w:val="fr-CA"/>
        </w:rPr>
        <w:t>ont d</w:t>
      </w:r>
      <w:r w:rsidR="00A95354">
        <w:rPr>
          <w:kern w:val="22"/>
          <w:szCs w:val="22"/>
          <w:lang w:val="fr-CA"/>
        </w:rPr>
        <w:t>it</w:t>
      </w:r>
      <w:r w:rsidR="0092448A" w:rsidRPr="00B26B5B">
        <w:rPr>
          <w:kern w:val="22"/>
          <w:szCs w:val="22"/>
          <w:lang w:val="fr-CA"/>
        </w:rPr>
        <w:t xml:space="preserve"> que l’accès et le partage des avantages devraient être intégrés </w:t>
      </w:r>
      <w:r w:rsidR="007B059F" w:rsidRPr="00B26B5B">
        <w:rPr>
          <w:kern w:val="22"/>
          <w:szCs w:val="22"/>
          <w:lang w:val="fr-CA"/>
        </w:rPr>
        <w:t xml:space="preserve">à différents niveaux </w:t>
      </w:r>
      <w:r w:rsidR="0092448A" w:rsidRPr="00B26B5B">
        <w:rPr>
          <w:kern w:val="22"/>
          <w:szCs w:val="22"/>
          <w:lang w:val="fr-CA"/>
        </w:rPr>
        <w:t>au cadre de l’après-2020</w:t>
      </w:r>
      <w:r w:rsidR="005D3F47" w:rsidRPr="00B26B5B">
        <w:rPr>
          <w:kern w:val="22"/>
          <w:szCs w:val="22"/>
          <w:lang w:val="fr-CA"/>
        </w:rPr>
        <w:t xml:space="preserve"> </w:t>
      </w:r>
      <w:r w:rsidR="0092448A" w:rsidRPr="00B26B5B">
        <w:rPr>
          <w:kern w:val="22"/>
          <w:szCs w:val="22"/>
          <w:lang w:val="fr-CA"/>
        </w:rPr>
        <w:t>en tant qu’éléments intersectoriel</w:t>
      </w:r>
      <w:r w:rsidR="005D3F47" w:rsidRPr="00B26B5B">
        <w:rPr>
          <w:kern w:val="22"/>
          <w:szCs w:val="22"/>
          <w:lang w:val="fr-CA"/>
        </w:rPr>
        <w:t>s, notamment à la mission, aux objectifs, aux cibles, aux buts et aux indicateurs, selon le cas, et non seulement en tant qu’objectif</w:t>
      </w:r>
      <w:r w:rsidR="007B059F">
        <w:rPr>
          <w:kern w:val="22"/>
          <w:szCs w:val="22"/>
          <w:lang w:val="fr-CA"/>
        </w:rPr>
        <w:t>s</w:t>
      </w:r>
      <w:r w:rsidR="005D3F47" w:rsidRPr="00B26B5B">
        <w:rPr>
          <w:kern w:val="22"/>
          <w:szCs w:val="22"/>
          <w:lang w:val="fr-CA"/>
        </w:rPr>
        <w:t xml:space="preserve"> simple</w:t>
      </w:r>
      <w:r w:rsidR="007B059F">
        <w:rPr>
          <w:kern w:val="22"/>
          <w:szCs w:val="22"/>
          <w:lang w:val="fr-CA"/>
        </w:rPr>
        <w:t>s</w:t>
      </w:r>
      <w:r w:rsidR="005D3F47" w:rsidRPr="00B26B5B">
        <w:rPr>
          <w:kern w:val="22"/>
          <w:szCs w:val="22"/>
          <w:lang w:val="fr-CA"/>
        </w:rPr>
        <w:t>. L’Objectif 16 des Objectifs d’Aichi pour la biodiversité devrait être révisé et rendu plus ambitieux afin de soutenir la mise en œuvre de l’accès et du partage des avantages.</w:t>
      </w:r>
    </w:p>
    <w:p w:rsidR="004F2EEC" w:rsidRPr="00B26B5B" w:rsidRDefault="005D3F47" w:rsidP="00C33570">
      <w:pPr>
        <w:pStyle w:val="Para1"/>
        <w:suppressLineNumbers/>
        <w:tabs>
          <w:tab w:val="clear" w:pos="360"/>
        </w:tabs>
        <w:suppressAutoHyphens/>
        <w:rPr>
          <w:kern w:val="22"/>
          <w:szCs w:val="22"/>
          <w:lang w:val="fr-CA"/>
        </w:rPr>
      </w:pPr>
      <w:r w:rsidRPr="00B26B5B">
        <w:rPr>
          <w:i/>
          <w:kern w:val="22"/>
          <w:szCs w:val="22"/>
          <w:lang w:val="fr-CA"/>
        </w:rPr>
        <w:t>Méthodes de mise en œuvre des Protocoles</w:t>
      </w:r>
      <w:r w:rsidR="00CD0FC3">
        <w:rPr>
          <w:i/>
          <w:kern w:val="22"/>
          <w:szCs w:val="22"/>
          <w:lang w:val="fr-CA"/>
        </w:rPr>
        <w:t> </w:t>
      </w:r>
      <w:r w:rsidR="004F2EEC" w:rsidRPr="00B26B5B">
        <w:rPr>
          <w:kern w:val="22"/>
          <w:szCs w:val="22"/>
          <w:lang w:val="fr-CA"/>
        </w:rPr>
        <w:t xml:space="preserve">: </w:t>
      </w:r>
      <w:r w:rsidRPr="00B26B5B">
        <w:rPr>
          <w:kern w:val="22"/>
          <w:szCs w:val="22"/>
          <w:lang w:val="fr-CA"/>
        </w:rPr>
        <w:t>Les participants ont suggéré</w:t>
      </w:r>
      <w:r w:rsidR="000F6239" w:rsidRPr="00B26B5B">
        <w:rPr>
          <w:kern w:val="22"/>
          <w:szCs w:val="22"/>
          <w:lang w:val="fr-CA"/>
        </w:rPr>
        <w:t xml:space="preserve"> que la méthode de mise en œuvre de la Convention proposée dans le cadre de l’après-2020 </w:t>
      </w:r>
      <w:r w:rsidR="007B059F">
        <w:rPr>
          <w:kern w:val="22"/>
          <w:szCs w:val="22"/>
          <w:lang w:val="fr-CA"/>
        </w:rPr>
        <w:t>serve aussi</w:t>
      </w:r>
      <w:r w:rsidR="000F6239" w:rsidRPr="00B26B5B">
        <w:rPr>
          <w:kern w:val="22"/>
          <w:szCs w:val="22"/>
          <w:lang w:val="fr-CA"/>
        </w:rPr>
        <w:t xml:space="preserve"> de méthode pour la mise en œuvre des Protocoles</w:t>
      </w:r>
      <w:r w:rsidR="004F2EEC" w:rsidRPr="00B26B5B">
        <w:rPr>
          <w:kern w:val="22"/>
          <w:szCs w:val="22"/>
          <w:lang w:val="fr-CA"/>
        </w:rPr>
        <w:t>.</w:t>
      </w:r>
    </w:p>
    <w:p w:rsidR="00A21305" w:rsidRPr="00B26B5B" w:rsidRDefault="000F6239" w:rsidP="00C33570">
      <w:pPr>
        <w:pStyle w:val="Para1"/>
        <w:suppressLineNumbers/>
        <w:tabs>
          <w:tab w:val="clear" w:pos="360"/>
        </w:tabs>
        <w:suppressAutoHyphens/>
        <w:rPr>
          <w:kern w:val="22"/>
          <w:szCs w:val="22"/>
          <w:lang w:val="fr-CA"/>
        </w:rPr>
      </w:pPr>
      <w:r w:rsidRPr="00B26B5B">
        <w:rPr>
          <w:i/>
          <w:kern w:val="22"/>
          <w:szCs w:val="22"/>
          <w:lang w:val="fr-CA"/>
        </w:rPr>
        <w:t>Questions émergentes en lien avec les Protocoles</w:t>
      </w:r>
      <w:r w:rsidR="00CD0FC3">
        <w:rPr>
          <w:i/>
          <w:kern w:val="22"/>
          <w:szCs w:val="22"/>
          <w:lang w:val="fr-CA"/>
        </w:rPr>
        <w:t> </w:t>
      </w:r>
      <w:r w:rsidR="00134598" w:rsidRPr="00B26B5B">
        <w:rPr>
          <w:kern w:val="22"/>
          <w:szCs w:val="22"/>
          <w:lang w:val="fr-CA"/>
        </w:rPr>
        <w:t xml:space="preserve">: </w:t>
      </w:r>
      <w:r w:rsidR="007B059F">
        <w:rPr>
          <w:kern w:val="22"/>
          <w:szCs w:val="22"/>
          <w:lang w:val="fr-CA"/>
        </w:rPr>
        <w:t>Bien</w:t>
      </w:r>
      <w:r w:rsidRPr="00B26B5B">
        <w:rPr>
          <w:kern w:val="22"/>
          <w:szCs w:val="22"/>
          <w:lang w:val="fr-CA"/>
        </w:rPr>
        <w:t xml:space="preserve"> que les échanges sur de nombreuses questions et technologies émergentes liées au Protocoles, tell</w:t>
      </w:r>
      <w:r w:rsidR="00780275" w:rsidRPr="00B26B5B">
        <w:rPr>
          <w:kern w:val="22"/>
          <w:szCs w:val="22"/>
          <w:lang w:val="fr-CA"/>
        </w:rPr>
        <w:t>e</w:t>
      </w:r>
      <w:r w:rsidRPr="00B26B5B">
        <w:rPr>
          <w:kern w:val="22"/>
          <w:szCs w:val="22"/>
          <w:lang w:val="fr-CA"/>
        </w:rPr>
        <w:t>s que le s</w:t>
      </w:r>
      <w:r w:rsidR="00780275" w:rsidRPr="00B26B5B">
        <w:rPr>
          <w:kern w:val="22"/>
          <w:szCs w:val="22"/>
          <w:lang w:val="fr-CA"/>
        </w:rPr>
        <w:t>é</w:t>
      </w:r>
      <w:r w:rsidRPr="00B26B5B">
        <w:rPr>
          <w:kern w:val="22"/>
          <w:szCs w:val="22"/>
          <w:lang w:val="fr-CA"/>
        </w:rPr>
        <w:t>quençage numérique de l’information sur les resso</w:t>
      </w:r>
      <w:r w:rsidR="00780275" w:rsidRPr="00B26B5B">
        <w:rPr>
          <w:kern w:val="22"/>
          <w:szCs w:val="22"/>
          <w:lang w:val="fr-CA"/>
        </w:rPr>
        <w:t>u</w:t>
      </w:r>
      <w:r w:rsidRPr="00B26B5B">
        <w:rPr>
          <w:kern w:val="22"/>
          <w:szCs w:val="22"/>
          <w:lang w:val="fr-CA"/>
        </w:rPr>
        <w:t xml:space="preserve">rces génétiques, </w:t>
      </w:r>
      <w:r w:rsidR="00780275" w:rsidRPr="00B26B5B">
        <w:rPr>
          <w:kern w:val="22"/>
          <w:szCs w:val="22"/>
          <w:lang w:val="fr-CA"/>
        </w:rPr>
        <w:t xml:space="preserve">le mécanisme mondial de partage multilatéral des avantages et la biologie synthétique, ne prendront fin </w:t>
      </w:r>
      <w:r w:rsidR="00A25BB9">
        <w:rPr>
          <w:kern w:val="22"/>
          <w:szCs w:val="22"/>
          <w:lang w:val="fr-CA"/>
        </w:rPr>
        <w:t>qu’après</w:t>
      </w:r>
      <w:r w:rsidR="00780275" w:rsidRPr="00B26B5B">
        <w:rPr>
          <w:kern w:val="22"/>
          <w:szCs w:val="22"/>
          <w:lang w:val="fr-CA"/>
        </w:rPr>
        <w:t xml:space="preserve"> l’adoption du cadre de l’après-2020</w:t>
      </w:r>
      <w:r w:rsidR="00FF4E52" w:rsidRPr="00B26B5B">
        <w:rPr>
          <w:kern w:val="22"/>
          <w:szCs w:val="22"/>
          <w:lang w:val="fr-CA"/>
        </w:rPr>
        <w:t>, il faut accorder une certaine souplesse au cadre afin que ces questions puissent être abordées au cours de la période de l’après-2020</w:t>
      </w:r>
      <w:r w:rsidR="00A21305" w:rsidRPr="00B26B5B">
        <w:rPr>
          <w:kern w:val="22"/>
          <w:szCs w:val="22"/>
          <w:lang w:val="fr-CA"/>
        </w:rPr>
        <w:t>.</w:t>
      </w:r>
    </w:p>
    <w:p w:rsidR="00C17645" w:rsidRPr="00B26B5B" w:rsidRDefault="007B059F" w:rsidP="00D27089">
      <w:pPr>
        <w:pStyle w:val="Titre3"/>
        <w:suppressLineNumbers/>
        <w:tabs>
          <w:tab w:val="clear" w:pos="567"/>
        </w:tabs>
        <w:suppressAutoHyphens/>
        <w:rPr>
          <w:kern w:val="22"/>
          <w:szCs w:val="22"/>
          <w:lang w:val="fr-CA"/>
        </w:rPr>
      </w:pPr>
      <w:r>
        <w:rPr>
          <w:kern w:val="22"/>
          <w:szCs w:val="22"/>
        </w:rPr>
        <w:lastRenderedPageBreak/>
        <w:t>3</w:t>
      </w:r>
      <w:r w:rsidR="00D27089" w:rsidRPr="00B26B5B">
        <w:rPr>
          <w:kern w:val="22"/>
          <w:szCs w:val="22"/>
        </w:rPr>
        <w:t>.</w:t>
      </w:r>
      <w:r w:rsidR="00D27089" w:rsidRPr="00B26B5B">
        <w:rPr>
          <w:kern w:val="22"/>
          <w:szCs w:val="22"/>
        </w:rPr>
        <w:tab/>
      </w:r>
      <w:r w:rsidR="00D27089" w:rsidRPr="00B26B5B">
        <w:rPr>
          <w:kern w:val="22"/>
          <w:szCs w:val="22"/>
          <w:lang w:val="fr-CA"/>
        </w:rPr>
        <w:t>Intégration</w:t>
      </w:r>
    </w:p>
    <w:p w:rsidR="00411FE5" w:rsidRPr="00B26B5B" w:rsidRDefault="00F2399B" w:rsidP="00C33570">
      <w:pPr>
        <w:pStyle w:val="Para1"/>
        <w:suppressLineNumbers/>
        <w:tabs>
          <w:tab w:val="clear" w:pos="360"/>
        </w:tabs>
        <w:suppressAutoHyphens/>
        <w:rPr>
          <w:kern w:val="22"/>
          <w:szCs w:val="22"/>
          <w:lang w:val="fr-CA"/>
        </w:rPr>
      </w:pPr>
      <w:r w:rsidRPr="00B26B5B">
        <w:rPr>
          <w:kern w:val="22"/>
          <w:szCs w:val="22"/>
          <w:lang w:val="fr-CA"/>
        </w:rPr>
        <w:t xml:space="preserve">Les participants ont souligné la nécessité d’aborder efficacement l’intégration de la diversité biologique </w:t>
      </w:r>
      <w:r w:rsidR="00440227">
        <w:rPr>
          <w:kern w:val="22"/>
          <w:szCs w:val="22"/>
          <w:lang w:val="fr-CA"/>
        </w:rPr>
        <w:t>aux</w:t>
      </w:r>
      <w:r w:rsidRPr="00B26B5B">
        <w:rPr>
          <w:kern w:val="22"/>
          <w:szCs w:val="22"/>
          <w:lang w:val="fr-CA"/>
        </w:rPr>
        <w:t xml:space="preserve"> différents secteurs et segments de la société dans le cadre de l’après-2020</w:t>
      </w:r>
      <w:r w:rsidR="0062014A" w:rsidRPr="00B26B5B">
        <w:rPr>
          <w:kern w:val="22"/>
          <w:szCs w:val="22"/>
          <w:lang w:val="fr-CA"/>
        </w:rPr>
        <w:t>.</w:t>
      </w:r>
      <w:r w:rsidRPr="00B26B5B">
        <w:rPr>
          <w:kern w:val="22"/>
          <w:szCs w:val="22"/>
          <w:lang w:val="fr-CA"/>
        </w:rPr>
        <w:t xml:space="preserve"> Pour ce faire efficacement, il sera important de préciser le sens exact de </w:t>
      </w:r>
      <w:r w:rsidR="00D0497B" w:rsidRPr="00B26B5B">
        <w:rPr>
          <w:kern w:val="22"/>
          <w:szCs w:val="22"/>
          <w:lang w:val="fr-CA"/>
        </w:rPr>
        <w:t xml:space="preserve">l’intégration, sa nécessité et la façon </w:t>
      </w:r>
      <w:r w:rsidR="00440227">
        <w:rPr>
          <w:kern w:val="22"/>
          <w:szCs w:val="22"/>
          <w:lang w:val="fr-CA"/>
        </w:rPr>
        <w:t>de la réaliser</w:t>
      </w:r>
      <w:r w:rsidR="00D0497B" w:rsidRPr="00B26B5B">
        <w:rPr>
          <w:kern w:val="22"/>
          <w:szCs w:val="22"/>
          <w:lang w:val="fr-CA"/>
        </w:rPr>
        <w:t xml:space="preserve">. Certains participants </w:t>
      </w:r>
      <w:r w:rsidR="00A25BB9">
        <w:rPr>
          <w:kern w:val="22"/>
          <w:szCs w:val="22"/>
          <w:lang w:val="fr-CA"/>
        </w:rPr>
        <w:t>se sont demandé</w:t>
      </w:r>
      <w:r w:rsidR="00F17B2F">
        <w:rPr>
          <w:kern w:val="22"/>
          <w:szCs w:val="22"/>
          <w:lang w:val="fr-CA"/>
        </w:rPr>
        <w:t xml:space="preserve"> si l’intégration consistait</w:t>
      </w:r>
      <w:r w:rsidR="00D0497B" w:rsidRPr="00B26B5B">
        <w:rPr>
          <w:kern w:val="22"/>
          <w:szCs w:val="22"/>
          <w:lang w:val="fr-CA"/>
        </w:rPr>
        <w:t xml:space="preserve"> à assimiler les questions liées à la diversité biologique </w:t>
      </w:r>
      <w:r w:rsidR="00440227">
        <w:rPr>
          <w:kern w:val="22"/>
          <w:szCs w:val="22"/>
          <w:lang w:val="fr-CA"/>
        </w:rPr>
        <w:t>aux</w:t>
      </w:r>
      <w:r w:rsidR="00F17B2F">
        <w:rPr>
          <w:kern w:val="22"/>
          <w:szCs w:val="22"/>
          <w:lang w:val="fr-CA"/>
        </w:rPr>
        <w:t xml:space="preserve"> autres secteurs ou à </w:t>
      </w:r>
      <w:r w:rsidR="00D0497B" w:rsidRPr="00B26B5B">
        <w:rPr>
          <w:kern w:val="22"/>
          <w:szCs w:val="22"/>
          <w:lang w:val="fr-CA"/>
        </w:rPr>
        <w:t xml:space="preserve">assimiler les questions des autres secteurs aux travaux sur la diversité biologique. </w:t>
      </w:r>
      <w:r w:rsidR="00440227">
        <w:rPr>
          <w:kern w:val="22"/>
          <w:szCs w:val="22"/>
          <w:lang w:val="fr-CA"/>
        </w:rPr>
        <w:t>L’</w:t>
      </w:r>
      <w:r w:rsidR="00D0497B" w:rsidRPr="00B26B5B">
        <w:rPr>
          <w:kern w:val="22"/>
          <w:szCs w:val="22"/>
          <w:lang w:val="fr-CA"/>
        </w:rPr>
        <w:t xml:space="preserve">intégration comporte plusieurs facettes et </w:t>
      </w:r>
      <w:r w:rsidR="00440227">
        <w:rPr>
          <w:kern w:val="22"/>
          <w:szCs w:val="22"/>
          <w:lang w:val="fr-CA"/>
        </w:rPr>
        <w:t>les</w:t>
      </w:r>
      <w:r w:rsidR="00D0497B" w:rsidRPr="00B26B5B">
        <w:rPr>
          <w:kern w:val="22"/>
          <w:szCs w:val="22"/>
          <w:lang w:val="fr-CA"/>
        </w:rPr>
        <w:t xml:space="preserve"> indicateurs de processus et de résultats</w:t>
      </w:r>
      <w:r w:rsidR="00440227">
        <w:rPr>
          <w:kern w:val="22"/>
          <w:szCs w:val="22"/>
          <w:lang w:val="fr-CA"/>
        </w:rPr>
        <w:t xml:space="preserve"> sont nécessaires</w:t>
      </w:r>
      <w:r w:rsidR="00D0497B" w:rsidRPr="00B26B5B">
        <w:rPr>
          <w:kern w:val="22"/>
          <w:szCs w:val="22"/>
          <w:lang w:val="fr-CA"/>
        </w:rPr>
        <w:t xml:space="preserve"> afin de suivre les progrès du processus d’intégration.</w:t>
      </w:r>
    </w:p>
    <w:p w:rsidR="004C16FB" w:rsidRPr="00B26B5B" w:rsidRDefault="00D0497B" w:rsidP="00C33570">
      <w:pPr>
        <w:pStyle w:val="Para1"/>
        <w:suppressLineNumbers/>
        <w:tabs>
          <w:tab w:val="clear" w:pos="360"/>
        </w:tabs>
        <w:suppressAutoHyphens/>
        <w:rPr>
          <w:kern w:val="22"/>
          <w:szCs w:val="22"/>
          <w:lang w:val="fr-CA"/>
        </w:rPr>
      </w:pPr>
      <w:r w:rsidRPr="00B26B5B">
        <w:rPr>
          <w:i/>
          <w:kern w:val="22"/>
          <w:szCs w:val="22"/>
          <w:lang w:val="fr-CA"/>
        </w:rPr>
        <w:t>Difficultés de l’i</w:t>
      </w:r>
      <w:r w:rsidR="00C46CAE" w:rsidRPr="00B26B5B">
        <w:rPr>
          <w:i/>
          <w:kern w:val="22"/>
          <w:szCs w:val="22"/>
          <w:lang w:val="fr-CA"/>
        </w:rPr>
        <w:t>ntégration</w:t>
      </w:r>
      <w:r w:rsidR="00CD0FC3">
        <w:rPr>
          <w:i/>
          <w:kern w:val="22"/>
          <w:szCs w:val="22"/>
          <w:lang w:val="fr-CA"/>
        </w:rPr>
        <w:t> </w:t>
      </w:r>
      <w:r w:rsidR="009C1BBF" w:rsidRPr="00B26B5B">
        <w:rPr>
          <w:kern w:val="22"/>
          <w:szCs w:val="22"/>
          <w:lang w:val="fr-CA"/>
        </w:rPr>
        <w:t xml:space="preserve">: </w:t>
      </w:r>
      <w:r w:rsidR="00440227">
        <w:rPr>
          <w:kern w:val="22"/>
          <w:szCs w:val="22"/>
          <w:lang w:val="fr-CA"/>
        </w:rPr>
        <w:t>L’</w:t>
      </w:r>
      <w:r w:rsidR="00C46CAE" w:rsidRPr="00B26B5B">
        <w:rPr>
          <w:kern w:val="22"/>
          <w:szCs w:val="22"/>
          <w:lang w:val="fr-CA"/>
        </w:rPr>
        <w:t>intégration n’a pas été facile. L’intégration aux processus mondiaux et à la mise en œuvre nationale est limitée. Voici quelques raisons recensées pendant les échanges</w:t>
      </w:r>
      <w:r w:rsidR="00CD0FC3">
        <w:rPr>
          <w:kern w:val="22"/>
          <w:szCs w:val="22"/>
          <w:lang w:val="fr-CA"/>
        </w:rPr>
        <w:t> </w:t>
      </w:r>
      <w:r w:rsidR="004C16FB" w:rsidRPr="00B26B5B">
        <w:rPr>
          <w:kern w:val="22"/>
          <w:szCs w:val="22"/>
          <w:lang w:val="fr-CA"/>
        </w:rPr>
        <w:t>:</w:t>
      </w:r>
    </w:p>
    <w:p w:rsidR="00947F26" w:rsidRPr="00B26B5B" w:rsidRDefault="00C46CAE" w:rsidP="00C33570">
      <w:pPr>
        <w:pStyle w:val="Para1"/>
        <w:numPr>
          <w:ilvl w:val="1"/>
          <w:numId w:val="2"/>
        </w:numPr>
        <w:suppressLineNumbers/>
        <w:suppressAutoHyphens/>
        <w:rPr>
          <w:kern w:val="22"/>
          <w:szCs w:val="22"/>
          <w:lang w:val="fr-CA"/>
        </w:rPr>
      </w:pPr>
      <w:r w:rsidRPr="00B26B5B">
        <w:rPr>
          <w:kern w:val="22"/>
          <w:szCs w:val="22"/>
          <w:lang w:val="fr-CA"/>
        </w:rPr>
        <w:t>Le manque de compréhension ou de juste reconnaissance de la valeur de la diversité biologique et des services écosystémiques par les d</w:t>
      </w:r>
      <w:r w:rsidR="00DC7625" w:rsidRPr="00B26B5B">
        <w:rPr>
          <w:kern w:val="22"/>
          <w:szCs w:val="22"/>
          <w:lang w:val="fr-CA"/>
        </w:rPr>
        <w:t>ifférents secteur</w:t>
      </w:r>
      <w:r w:rsidRPr="00B26B5B">
        <w:rPr>
          <w:kern w:val="22"/>
          <w:szCs w:val="22"/>
          <w:lang w:val="fr-CA"/>
        </w:rPr>
        <w:t>s. À cet é</w:t>
      </w:r>
      <w:r w:rsidR="00DC7625" w:rsidRPr="00B26B5B">
        <w:rPr>
          <w:kern w:val="22"/>
          <w:szCs w:val="22"/>
          <w:lang w:val="fr-CA"/>
        </w:rPr>
        <w:t>g</w:t>
      </w:r>
      <w:r w:rsidRPr="00B26B5B">
        <w:rPr>
          <w:kern w:val="22"/>
          <w:szCs w:val="22"/>
          <w:lang w:val="fr-CA"/>
        </w:rPr>
        <w:t xml:space="preserve">ard, les participants ont souligné la nécessité </w:t>
      </w:r>
      <w:r w:rsidR="00DC7625" w:rsidRPr="00B26B5B">
        <w:rPr>
          <w:kern w:val="22"/>
          <w:szCs w:val="22"/>
          <w:lang w:val="fr-CA"/>
        </w:rPr>
        <w:t>dépasser les limites de l’intégration et de démontrer la valeur et l’importance</w:t>
      </w:r>
      <w:r w:rsidRPr="00B26B5B">
        <w:rPr>
          <w:kern w:val="22"/>
          <w:szCs w:val="22"/>
          <w:lang w:val="fr-CA"/>
        </w:rPr>
        <w:t xml:space="preserve"> </w:t>
      </w:r>
      <w:r w:rsidR="00DC7625" w:rsidRPr="00B26B5B">
        <w:rPr>
          <w:kern w:val="22"/>
          <w:szCs w:val="22"/>
          <w:lang w:val="fr-CA"/>
        </w:rPr>
        <w:t>de la diversité biologique aux autres secteurs</w:t>
      </w:r>
      <w:r w:rsidR="00383686">
        <w:rPr>
          <w:kern w:val="22"/>
          <w:szCs w:val="22"/>
          <w:lang w:val="fr-CA"/>
        </w:rPr>
        <w:t>,</w:t>
      </w:r>
      <w:r w:rsidR="00DC7625" w:rsidRPr="00B26B5B">
        <w:rPr>
          <w:kern w:val="22"/>
          <w:szCs w:val="22"/>
          <w:lang w:val="fr-CA"/>
        </w:rPr>
        <w:t xml:space="preserve"> et les sensibiliser à celles-ci. Les outils de comptabilité du capital naturel pourraient être très utiles dans le cadre de ces efforts</w:t>
      </w:r>
      <w:r w:rsidR="00B92D18">
        <w:rPr>
          <w:kern w:val="22"/>
          <w:szCs w:val="22"/>
          <w:lang w:val="fr-CA"/>
        </w:rPr>
        <w:t>;</w:t>
      </w:r>
    </w:p>
    <w:p w:rsidR="00723677" w:rsidRPr="00B26B5B" w:rsidRDefault="00E70309" w:rsidP="00C33570">
      <w:pPr>
        <w:pStyle w:val="Para1"/>
        <w:numPr>
          <w:ilvl w:val="1"/>
          <w:numId w:val="2"/>
        </w:numPr>
        <w:suppressLineNumbers/>
        <w:suppressAutoHyphens/>
        <w:rPr>
          <w:kern w:val="22"/>
          <w:szCs w:val="22"/>
          <w:lang w:val="fr-CA"/>
        </w:rPr>
      </w:pPr>
      <w:r w:rsidRPr="00B26B5B">
        <w:rPr>
          <w:kern w:val="22"/>
          <w:szCs w:val="22"/>
          <w:lang w:val="fr-CA"/>
        </w:rPr>
        <w:t xml:space="preserve">Le manque de volonté et d’engagement politiques. La diversité biologique n’est pas souvent considérée comme une priorité par les décideurs </w:t>
      </w:r>
      <w:r w:rsidR="00383686">
        <w:rPr>
          <w:kern w:val="22"/>
          <w:szCs w:val="22"/>
          <w:lang w:val="fr-CA"/>
        </w:rPr>
        <w:t>infranationaux, nationaux, régionaux</w:t>
      </w:r>
      <w:r w:rsidRPr="00B26B5B">
        <w:rPr>
          <w:kern w:val="22"/>
          <w:szCs w:val="22"/>
          <w:lang w:val="fr-CA"/>
        </w:rPr>
        <w:t xml:space="preserve"> et internationa</w:t>
      </w:r>
      <w:r w:rsidR="00383686">
        <w:rPr>
          <w:kern w:val="22"/>
          <w:szCs w:val="22"/>
          <w:lang w:val="fr-CA"/>
        </w:rPr>
        <w:t>ux</w:t>
      </w:r>
      <w:r w:rsidRPr="00B26B5B">
        <w:rPr>
          <w:kern w:val="22"/>
          <w:szCs w:val="22"/>
          <w:lang w:val="fr-CA"/>
        </w:rPr>
        <w:t>. Nous devons approcher les décideurs et leur expliquer en toute urgence pourquoi la diversité biologique et l’environnement sont des priorités</w:t>
      </w:r>
      <w:r w:rsidR="0050534A" w:rsidRPr="00B26B5B">
        <w:rPr>
          <w:kern w:val="22"/>
          <w:szCs w:val="22"/>
          <w:lang w:val="fr-CA"/>
        </w:rPr>
        <w:t xml:space="preserve">, afin qu’ils encouragent et soutiennent </w:t>
      </w:r>
      <w:r w:rsidR="00383686">
        <w:rPr>
          <w:kern w:val="22"/>
          <w:szCs w:val="22"/>
          <w:lang w:val="fr-CA"/>
        </w:rPr>
        <w:t>leur</w:t>
      </w:r>
      <w:r w:rsidR="0050534A" w:rsidRPr="00B26B5B">
        <w:rPr>
          <w:kern w:val="22"/>
          <w:szCs w:val="22"/>
          <w:lang w:val="fr-CA"/>
        </w:rPr>
        <w:t xml:space="preserve"> intégration dans les divers plans sectoriels et intersectoriels, politiques, projets et programmes, plans d’action et projets</w:t>
      </w:r>
      <w:r w:rsidR="00B92D18">
        <w:rPr>
          <w:kern w:val="22"/>
          <w:szCs w:val="22"/>
          <w:lang w:val="fr-CA"/>
        </w:rPr>
        <w:t>;</w:t>
      </w:r>
    </w:p>
    <w:p w:rsidR="009C1BBF" w:rsidRPr="00B26B5B" w:rsidRDefault="0050534A" w:rsidP="00C33570">
      <w:pPr>
        <w:pStyle w:val="Para1"/>
        <w:numPr>
          <w:ilvl w:val="1"/>
          <w:numId w:val="2"/>
        </w:numPr>
        <w:suppressLineNumbers/>
        <w:suppressAutoHyphens/>
        <w:rPr>
          <w:kern w:val="22"/>
          <w:szCs w:val="22"/>
          <w:lang w:val="fr-CA"/>
        </w:rPr>
      </w:pPr>
      <w:r w:rsidRPr="00B26B5B">
        <w:rPr>
          <w:kern w:val="22"/>
          <w:szCs w:val="22"/>
          <w:lang w:val="fr-CA"/>
        </w:rPr>
        <w:t xml:space="preserve">Les travaux de la Convention sur la diversité biologique et des autres conventions </w:t>
      </w:r>
      <w:r w:rsidR="00FF374C" w:rsidRPr="00B26B5B">
        <w:rPr>
          <w:kern w:val="22"/>
          <w:szCs w:val="22"/>
          <w:lang w:val="fr-CA"/>
        </w:rPr>
        <w:t>ne sont pas bien harmonisés au niveau national. Par exemple, certains participants ont constaté que les représentant</w:t>
      </w:r>
      <w:r w:rsidR="00383686">
        <w:rPr>
          <w:kern w:val="22"/>
          <w:szCs w:val="22"/>
          <w:lang w:val="fr-CA"/>
        </w:rPr>
        <w:t>s</w:t>
      </w:r>
      <w:r w:rsidR="00FF374C" w:rsidRPr="00B26B5B">
        <w:rPr>
          <w:kern w:val="22"/>
          <w:szCs w:val="22"/>
          <w:lang w:val="fr-CA"/>
        </w:rPr>
        <w:t xml:space="preserve"> des ministères responsables des différents aspects de la Conventions se réunissaient lors des réunions </w:t>
      </w:r>
      <w:r w:rsidR="009930F0">
        <w:rPr>
          <w:kern w:val="22"/>
          <w:szCs w:val="22"/>
          <w:lang w:val="fr-CA"/>
        </w:rPr>
        <w:t>préparatoires de</w:t>
      </w:r>
      <w:r w:rsidR="00FF374C" w:rsidRPr="00B26B5B">
        <w:rPr>
          <w:kern w:val="22"/>
          <w:szCs w:val="22"/>
          <w:lang w:val="fr-CA"/>
        </w:rPr>
        <w:t xml:space="preserve"> la Conférence des Parties, mais </w:t>
      </w:r>
      <w:r w:rsidR="009930F0">
        <w:rPr>
          <w:kern w:val="22"/>
          <w:szCs w:val="22"/>
          <w:lang w:val="fr-CA"/>
        </w:rPr>
        <w:t xml:space="preserve">qu’ils </w:t>
      </w:r>
      <w:r w:rsidR="00FF374C" w:rsidRPr="00B26B5B">
        <w:rPr>
          <w:kern w:val="22"/>
          <w:szCs w:val="22"/>
          <w:lang w:val="fr-CA"/>
        </w:rPr>
        <w:t xml:space="preserve">retournaient </w:t>
      </w:r>
      <w:r w:rsidR="009930F0">
        <w:rPr>
          <w:kern w:val="22"/>
          <w:szCs w:val="22"/>
          <w:lang w:val="fr-CA"/>
        </w:rPr>
        <w:t xml:space="preserve">tous </w:t>
      </w:r>
      <w:r w:rsidR="00FF374C" w:rsidRPr="00B26B5B">
        <w:rPr>
          <w:kern w:val="22"/>
          <w:szCs w:val="22"/>
          <w:lang w:val="fr-CA"/>
        </w:rPr>
        <w:t>dans leurs silos après les réunions. Un b</w:t>
      </w:r>
      <w:r w:rsidR="009930F0">
        <w:rPr>
          <w:kern w:val="22"/>
          <w:szCs w:val="22"/>
          <w:lang w:val="fr-CA"/>
        </w:rPr>
        <w:t>ur</w:t>
      </w:r>
      <w:r w:rsidR="00FF374C" w:rsidRPr="00B26B5B">
        <w:rPr>
          <w:kern w:val="22"/>
          <w:szCs w:val="22"/>
          <w:lang w:val="fr-CA"/>
        </w:rPr>
        <w:t>eau de coordination devrait être créé afin d’harmoniser les actions des mini</w:t>
      </w:r>
      <w:r w:rsidR="006250BB" w:rsidRPr="00B26B5B">
        <w:rPr>
          <w:kern w:val="22"/>
          <w:szCs w:val="22"/>
          <w:lang w:val="fr-CA"/>
        </w:rPr>
        <w:t>s</w:t>
      </w:r>
      <w:r w:rsidR="00FF374C" w:rsidRPr="00B26B5B">
        <w:rPr>
          <w:kern w:val="22"/>
          <w:szCs w:val="22"/>
          <w:lang w:val="fr-CA"/>
        </w:rPr>
        <w:t>tères et des agences travaillant pour les différentes conventions</w:t>
      </w:r>
      <w:r w:rsidR="00B92D18">
        <w:rPr>
          <w:kern w:val="22"/>
          <w:szCs w:val="22"/>
          <w:lang w:val="fr-CA"/>
        </w:rPr>
        <w:t>;</w:t>
      </w:r>
    </w:p>
    <w:p w:rsidR="000C2C39" w:rsidRPr="00B26B5B" w:rsidRDefault="006250BB" w:rsidP="00C33570">
      <w:pPr>
        <w:pStyle w:val="Para1"/>
        <w:numPr>
          <w:ilvl w:val="1"/>
          <w:numId w:val="2"/>
        </w:numPr>
        <w:suppressLineNumbers/>
        <w:suppressAutoHyphens/>
        <w:rPr>
          <w:kern w:val="22"/>
          <w:szCs w:val="22"/>
          <w:lang w:val="fr-CA"/>
        </w:rPr>
      </w:pPr>
      <w:r w:rsidRPr="00B26B5B">
        <w:rPr>
          <w:kern w:val="22"/>
          <w:szCs w:val="22"/>
          <w:lang w:val="fr-CA"/>
        </w:rPr>
        <w:t xml:space="preserve">Les questions liées à la diversité biologique ne sont pas </w:t>
      </w:r>
      <w:r w:rsidR="009930F0">
        <w:rPr>
          <w:kern w:val="22"/>
          <w:szCs w:val="22"/>
          <w:lang w:val="fr-CA"/>
        </w:rPr>
        <w:t>examinées à fond</w:t>
      </w:r>
      <w:r w:rsidRPr="00B26B5B">
        <w:rPr>
          <w:kern w:val="22"/>
          <w:szCs w:val="22"/>
          <w:lang w:val="fr-CA"/>
        </w:rPr>
        <w:t xml:space="preserve"> dans les évaluations stratégiques environnementales (</w:t>
      </w:r>
      <w:proofErr w:type="spellStart"/>
      <w:r w:rsidRPr="00B26B5B">
        <w:rPr>
          <w:kern w:val="22"/>
          <w:szCs w:val="22"/>
          <w:lang w:val="fr-CA"/>
        </w:rPr>
        <w:t>ESE</w:t>
      </w:r>
      <w:proofErr w:type="spellEnd"/>
      <w:r w:rsidRPr="00B26B5B">
        <w:rPr>
          <w:kern w:val="22"/>
          <w:szCs w:val="22"/>
          <w:lang w:val="fr-CA"/>
        </w:rPr>
        <w:t>) et les études d’impact sur l’environnement</w:t>
      </w:r>
      <w:r w:rsidR="00005746" w:rsidRPr="00B26B5B">
        <w:rPr>
          <w:kern w:val="22"/>
          <w:szCs w:val="22"/>
          <w:lang w:val="fr-CA"/>
        </w:rPr>
        <w:t xml:space="preserve"> (</w:t>
      </w:r>
      <w:proofErr w:type="spellStart"/>
      <w:r w:rsidR="00005746" w:rsidRPr="00B26B5B">
        <w:rPr>
          <w:kern w:val="22"/>
          <w:szCs w:val="22"/>
          <w:lang w:val="fr-CA"/>
        </w:rPr>
        <w:t>EIE</w:t>
      </w:r>
      <w:proofErr w:type="spellEnd"/>
      <w:r w:rsidR="00005746" w:rsidRPr="00B26B5B">
        <w:rPr>
          <w:kern w:val="22"/>
          <w:szCs w:val="22"/>
          <w:lang w:val="fr-CA"/>
        </w:rPr>
        <w:t>)</w:t>
      </w:r>
      <w:r w:rsidR="00332085" w:rsidRPr="00B26B5B">
        <w:rPr>
          <w:kern w:val="22"/>
          <w:szCs w:val="22"/>
          <w:lang w:val="fr-CA"/>
        </w:rPr>
        <w:t>.</w:t>
      </w:r>
    </w:p>
    <w:p w:rsidR="00004584" w:rsidRPr="00B26B5B" w:rsidRDefault="00332085" w:rsidP="00C33570">
      <w:pPr>
        <w:pStyle w:val="Para1"/>
        <w:suppressLineNumbers/>
        <w:tabs>
          <w:tab w:val="clear" w:pos="360"/>
        </w:tabs>
        <w:suppressAutoHyphens/>
        <w:rPr>
          <w:kern w:val="22"/>
          <w:szCs w:val="22"/>
          <w:lang w:val="fr-CA"/>
        </w:rPr>
      </w:pPr>
      <w:r w:rsidRPr="00B26B5B">
        <w:rPr>
          <w:i/>
          <w:kern w:val="22"/>
          <w:szCs w:val="22"/>
          <w:lang w:val="fr-CA"/>
        </w:rPr>
        <w:t>Stratégies d’intégration</w:t>
      </w:r>
      <w:r w:rsidR="00CD0FC3">
        <w:rPr>
          <w:i/>
          <w:kern w:val="22"/>
          <w:szCs w:val="22"/>
          <w:lang w:val="fr-CA"/>
        </w:rPr>
        <w:t> </w:t>
      </w:r>
      <w:r w:rsidR="00AD02CD" w:rsidRPr="00B26B5B">
        <w:rPr>
          <w:kern w:val="22"/>
          <w:szCs w:val="22"/>
          <w:lang w:val="fr-CA"/>
        </w:rPr>
        <w:t xml:space="preserve">: </w:t>
      </w:r>
      <w:r w:rsidRPr="00B26B5B">
        <w:rPr>
          <w:kern w:val="22"/>
          <w:szCs w:val="22"/>
          <w:lang w:val="fr-CA"/>
        </w:rPr>
        <w:t>Les participants ont recensé des stratégies possibles pour promouvoir l’intégration de la diversité biologique. En voici quelques-unes</w:t>
      </w:r>
      <w:r w:rsidR="00CD0FC3">
        <w:rPr>
          <w:kern w:val="22"/>
          <w:szCs w:val="22"/>
          <w:lang w:val="fr-CA"/>
        </w:rPr>
        <w:t> </w:t>
      </w:r>
      <w:r w:rsidR="00657B78" w:rsidRPr="00B26B5B">
        <w:rPr>
          <w:kern w:val="22"/>
          <w:szCs w:val="22"/>
          <w:lang w:val="fr-CA"/>
        </w:rPr>
        <w:t>:</w:t>
      </w:r>
    </w:p>
    <w:p w:rsidR="006202F2" w:rsidRPr="00B26B5B" w:rsidRDefault="005243EC" w:rsidP="00C33570">
      <w:pPr>
        <w:pStyle w:val="Para1"/>
        <w:numPr>
          <w:ilvl w:val="1"/>
          <w:numId w:val="2"/>
        </w:numPr>
        <w:suppressLineNumbers/>
        <w:suppressAutoHyphens/>
        <w:rPr>
          <w:kern w:val="22"/>
          <w:szCs w:val="22"/>
          <w:lang w:val="fr-CA"/>
        </w:rPr>
      </w:pPr>
      <w:r w:rsidRPr="00B26B5B">
        <w:rPr>
          <w:kern w:val="22"/>
          <w:szCs w:val="22"/>
          <w:lang w:val="fr-CA"/>
        </w:rPr>
        <w:t xml:space="preserve">Les ministères et les agences nationales responsables de la diversité biologique devraient préparer des trousses d’information pour </w:t>
      </w:r>
      <w:r w:rsidR="00FA01A3">
        <w:rPr>
          <w:kern w:val="22"/>
          <w:szCs w:val="22"/>
          <w:lang w:val="fr-CA"/>
        </w:rPr>
        <w:t>renseigner</w:t>
      </w:r>
      <w:r w:rsidR="009930F0">
        <w:rPr>
          <w:kern w:val="22"/>
          <w:szCs w:val="22"/>
          <w:lang w:val="fr-CA"/>
        </w:rPr>
        <w:t xml:space="preserve"> </w:t>
      </w:r>
      <w:r w:rsidRPr="00B26B5B">
        <w:rPr>
          <w:kern w:val="22"/>
          <w:szCs w:val="22"/>
          <w:lang w:val="fr-CA"/>
        </w:rPr>
        <w:t xml:space="preserve">les autres secteurs </w:t>
      </w:r>
      <w:r w:rsidR="009930F0">
        <w:rPr>
          <w:kern w:val="22"/>
          <w:szCs w:val="22"/>
          <w:lang w:val="fr-CA"/>
        </w:rPr>
        <w:t>sur la façon d’</w:t>
      </w:r>
      <w:r w:rsidRPr="00B26B5B">
        <w:rPr>
          <w:kern w:val="22"/>
          <w:szCs w:val="22"/>
          <w:lang w:val="fr-CA"/>
        </w:rPr>
        <w:t>inclure la diversité biologique dans leurs cadres. Les trousses devraient donner les grandes lignes de ce qui est nécessaire et des occasions et avantages existants, ce qui comprend une analyse de rentabilité de la diversité biologique</w:t>
      </w:r>
      <w:r w:rsidR="00B92D18">
        <w:rPr>
          <w:kern w:val="22"/>
          <w:szCs w:val="22"/>
          <w:lang w:val="fr-CA"/>
        </w:rPr>
        <w:t>;</w:t>
      </w:r>
    </w:p>
    <w:p w:rsidR="00004584" w:rsidRPr="00B26B5B" w:rsidRDefault="005243EC" w:rsidP="00C33570">
      <w:pPr>
        <w:pStyle w:val="Para1"/>
        <w:numPr>
          <w:ilvl w:val="1"/>
          <w:numId w:val="2"/>
        </w:numPr>
        <w:suppressLineNumbers/>
        <w:suppressAutoHyphens/>
        <w:rPr>
          <w:kern w:val="22"/>
          <w:szCs w:val="22"/>
          <w:lang w:val="fr-CA"/>
        </w:rPr>
      </w:pPr>
      <w:r w:rsidRPr="00B26B5B">
        <w:rPr>
          <w:kern w:val="22"/>
          <w:szCs w:val="22"/>
          <w:lang w:val="fr-CA"/>
        </w:rPr>
        <w:t xml:space="preserve">Les experts </w:t>
      </w:r>
      <w:r w:rsidR="009930F0">
        <w:rPr>
          <w:kern w:val="22"/>
          <w:szCs w:val="22"/>
          <w:lang w:val="fr-CA"/>
        </w:rPr>
        <w:t>de la</w:t>
      </w:r>
      <w:r w:rsidRPr="00B26B5B">
        <w:rPr>
          <w:kern w:val="22"/>
          <w:szCs w:val="22"/>
          <w:lang w:val="fr-CA"/>
        </w:rPr>
        <w:t xml:space="preserve"> diversité biologique des différents ministères devraient participer au processus de budgétisation nationale afin de s’assurer que des sommes so</w:t>
      </w:r>
      <w:r w:rsidR="00FA01A3">
        <w:rPr>
          <w:kern w:val="22"/>
          <w:szCs w:val="22"/>
          <w:lang w:val="fr-CA"/>
        </w:rPr>
        <w:t>ie</w:t>
      </w:r>
      <w:r w:rsidRPr="00B26B5B">
        <w:rPr>
          <w:kern w:val="22"/>
          <w:szCs w:val="22"/>
          <w:lang w:val="fr-CA"/>
        </w:rPr>
        <w:t>nt allouées à la diversité biologique</w:t>
      </w:r>
      <w:r w:rsidR="00B92D18">
        <w:rPr>
          <w:kern w:val="22"/>
          <w:szCs w:val="22"/>
          <w:lang w:val="fr-CA"/>
        </w:rPr>
        <w:t>;</w:t>
      </w:r>
    </w:p>
    <w:p w:rsidR="00004584" w:rsidRPr="00B26B5B" w:rsidRDefault="005243EC" w:rsidP="00C33570">
      <w:pPr>
        <w:pStyle w:val="Para1"/>
        <w:numPr>
          <w:ilvl w:val="1"/>
          <w:numId w:val="2"/>
        </w:numPr>
        <w:suppressLineNumbers/>
        <w:suppressAutoHyphens/>
        <w:rPr>
          <w:kern w:val="22"/>
          <w:szCs w:val="22"/>
          <w:lang w:val="fr-CA"/>
        </w:rPr>
      </w:pPr>
      <w:r w:rsidRPr="00B26B5B">
        <w:rPr>
          <w:kern w:val="22"/>
          <w:szCs w:val="22"/>
          <w:lang w:val="fr-CA"/>
        </w:rPr>
        <w:t xml:space="preserve">Les experts en diversité biologique devraient aussi </w:t>
      </w:r>
      <w:r w:rsidR="009930F0">
        <w:rPr>
          <w:kern w:val="22"/>
          <w:szCs w:val="22"/>
          <w:lang w:val="fr-CA"/>
        </w:rPr>
        <w:t>s</w:t>
      </w:r>
      <w:r w:rsidRPr="00B26B5B">
        <w:rPr>
          <w:kern w:val="22"/>
          <w:szCs w:val="22"/>
          <w:lang w:val="fr-CA"/>
        </w:rPr>
        <w:t>’engager</w:t>
      </w:r>
      <w:r w:rsidR="002B5914" w:rsidRPr="00B26B5B">
        <w:rPr>
          <w:kern w:val="22"/>
          <w:szCs w:val="22"/>
          <w:lang w:val="fr-CA"/>
        </w:rPr>
        <w:t xml:space="preserve"> de manière proactive dans les processus nationaux de planification afin de s’assurer que la diversité biologique </w:t>
      </w:r>
      <w:r w:rsidR="00FA01A3">
        <w:rPr>
          <w:kern w:val="22"/>
          <w:szCs w:val="22"/>
          <w:lang w:val="fr-CA"/>
        </w:rPr>
        <w:t>soit</w:t>
      </w:r>
      <w:r w:rsidR="002B5914" w:rsidRPr="00B26B5B">
        <w:rPr>
          <w:kern w:val="22"/>
          <w:szCs w:val="22"/>
          <w:lang w:val="fr-CA"/>
        </w:rPr>
        <w:t xml:space="preserve"> </w:t>
      </w:r>
      <w:r w:rsidR="00A9024D">
        <w:rPr>
          <w:kern w:val="22"/>
          <w:szCs w:val="22"/>
          <w:lang w:val="fr-CA"/>
        </w:rPr>
        <w:t>intégrée</w:t>
      </w:r>
      <w:r w:rsidR="002B5914" w:rsidRPr="00B26B5B">
        <w:rPr>
          <w:kern w:val="22"/>
          <w:szCs w:val="22"/>
          <w:lang w:val="fr-CA"/>
        </w:rPr>
        <w:t xml:space="preserve"> adéquatement dans les plans directeur</w:t>
      </w:r>
      <w:r w:rsidR="00A9024D">
        <w:rPr>
          <w:kern w:val="22"/>
          <w:szCs w:val="22"/>
          <w:lang w:val="fr-CA"/>
        </w:rPr>
        <w:t>s</w:t>
      </w:r>
      <w:r w:rsidR="002B5914" w:rsidRPr="00B26B5B">
        <w:rPr>
          <w:kern w:val="22"/>
          <w:szCs w:val="22"/>
          <w:lang w:val="fr-CA"/>
        </w:rPr>
        <w:t xml:space="preserve"> économiques nationaux</w:t>
      </w:r>
      <w:r w:rsidR="00B92D18">
        <w:rPr>
          <w:kern w:val="22"/>
          <w:szCs w:val="22"/>
          <w:lang w:val="fr-CA"/>
        </w:rPr>
        <w:t>;</w:t>
      </w:r>
    </w:p>
    <w:p w:rsidR="00004584" w:rsidRPr="00B26B5B" w:rsidRDefault="002B5914" w:rsidP="00C33570">
      <w:pPr>
        <w:pStyle w:val="Para1"/>
        <w:numPr>
          <w:ilvl w:val="1"/>
          <w:numId w:val="2"/>
        </w:numPr>
        <w:suppressLineNumbers/>
        <w:suppressAutoHyphens/>
        <w:rPr>
          <w:kern w:val="22"/>
          <w:szCs w:val="22"/>
          <w:lang w:val="fr-CA"/>
        </w:rPr>
      </w:pPr>
      <w:r w:rsidRPr="00B26B5B">
        <w:rPr>
          <w:kern w:val="22"/>
          <w:szCs w:val="22"/>
          <w:lang w:val="fr-CA"/>
        </w:rPr>
        <w:t>Les ministères des Finances e</w:t>
      </w:r>
      <w:r w:rsidR="00A63281" w:rsidRPr="00B26B5B">
        <w:rPr>
          <w:kern w:val="22"/>
          <w:szCs w:val="22"/>
          <w:lang w:val="fr-CA"/>
        </w:rPr>
        <w:t>t tous les secteurs concernés devraient participer au développement</w:t>
      </w:r>
      <w:r w:rsidR="00A9024D">
        <w:rPr>
          <w:kern w:val="22"/>
          <w:szCs w:val="22"/>
          <w:lang w:val="fr-CA"/>
        </w:rPr>
        <w:t xml:space="preserve"> et à la mise en œuvre des </w:t>
      </w:r>
      <w:r w:rsidR="00C837FE">
        <w:rPr>
          <w:kern w:val="22"/>
          <w:szCs w:val="22"/>
          <w:lang w:val="fr-CA"/>
        </w:rPr>
        <w:t>SPANB</w:t>
      </w:r>
      <w:r w:rsidR="00B92D18">
        <w:rPr>
          <w:kern w:val="22"/>
          <w:szCs w:val="22"/>
          <w:lang w:val="fr-CA"/>
        </w:rPr>
        <w:t>;</w:t>
      </w:r>
    </w:p>
    <w:p w:rsidR="00004584" w:rsidRPr="00B26B5B" w:rsidRDefault="00CE002E" w:rsidP="00C33570">
      <w:pPr>
        <w:pStyle w:val="Para1"/>
        <w:numPr>
          <w:ilvl w:val="1"/>
          <w:numId w:val="2"/>
        </w:numPr>
        <w:suppressLineNumbers/>
        <w:suppressAutoHyphens/>
        <w:rPr>
          <w:kern w:val="22"/>
          <w:szCs w:val="22"/>
          <w:lang w:val="fr-CA"/>
        </w:rPr>
      </w:pPr>
      <w:r>
        <w:rPr>
          <w:kern w:val="22"/>
          <w:szCs w:val="22"/>
          <w:lang w:val="fr-CA"/>
        </w:rPr>
        <w:t>Les rapports</w:t>
      </w:r>
      <w:r w:rsidR="00A63281" w:rsidRPr="00B26B5B">
        <w:rPr>
          <w:kern w:val="22"/>
          <w:szCs w:val="22"/>
          <w:lang w:val="fr-CA"/>
        </w:rPr>
        <w:t xml:space="preserve">, les politiques et les plans </w:t>
      </w:r>
      <w:r>
        <w:rPr>
          <w:kern w:val="22"/>
          <w:szCs w:val="22"/>
          <w:lang w:val="fr-CA"/>
        </w:rPr>
        <w:t xml:space="preserve">de secteur </w:t>
      </w:r>
      <w:r w:rsidR="00A63281" w:rsidRPr="00B26B5B">
        <w:rPr>
          <w:kern w:val="22"/>
          <w:szCs w:val="22"/>
          <w:lang w:val="fr-CA"/>
        </w:rPr>
        <w:t>devraient comprendre des éléments sur la diversité biologique</w:t>
      </w:r>
      <w:r w:rsidR="00B92D18">
        <w:rPr>
          <w:kern w:val="22"/>
          <w:szCs w:val="22"/>
          <w:lang w:val="fr-CA"/>
        </w:rPr>
        <w:t>;</w:t>
      </w:r>
    </w:p>
    <w:p w:rsidR="00004584" w:rsidRPr="00B26B5B" w:rsidRDefault="00A63281" w:rsidP="00C33570">
      <w:pPr>
        <w:pStyle w:val="Para1"/>
        <w:numPr>
          <w:ilvl w:val="1"/>
          <w:numId w:val="2"/>
        </w:numPr>
        <w:suppressLineNumbers/>
        <w:suppressAutoHyphens/>
        <w:rPr>
          <w:kern w:val="22"/>
          <w:szCs w:val="22"/>
          <w:lang w:val="fr-CA"/>
        </w:rPr>
      </w:pPr>
      <w:r w:rsidRPr="00B26B5B">
        <w:rPr>
          <w:kern w:val="22"/>
          <w:szCs w:val="22"/>
          <w:lang w:val="fr-CA"/>
        </w:rPr>
        <w:lastRenderedPageBreak/>
        <w:t xml:space="preserve">Les stratégies et plans d’action pour le climat devraient comprendre des aspects de la diversité biologique et être préparés avec la participation active des </w:t>
      </w:r>
      <w:r w:rsidR="00C837FE">
        <w:rPr>
          <w:kern w:val="22"/>
          <w:szCs w:val="22"/>
          <w:lang w:val="fr-CA"/>
        </w:rPr>
        <w:t>professionnels</w:t>
      </w:r>
      <w:r w:rsidRPr="00B26B5B">
        <w:rPr>
          <w:kern w:val="22"/>
          <w:szCs w:val="22"/>
          <w:lang w:val="fr-CA"/>
        </w:rPr>
        <w:t xml:space="preserve"> dans le domaine de la diversité biologique</w:t>
      </w:r>
      <w:r w:rsidR="00B92D18">
        <w:rPr>
          <w:kern w:val="22"/>
          <w:szCs w:val="22"/>
          <w:lang w:val="fr-CA"/>
        </w:rPr>
        <w:t>;</w:t>
      </w:r>
    </w:p>
    <w:p w:rsidR="001702CB" w:rsidRPr="00B26B5B" w:rsidRDefault="00A63281" w:rsidP="00C33570">
      <w:pPr>
        <w:pStyle w:val="Para1"/>
        <w:numPr>
          <w:ilvl w:val="1"/>
          <w:numId w:val="2"/>
        </w:numPr>
        <w:suppressLineNumbers/>
        <w:suppressAutoHyphens/>
        <w:rPr>
          <w:kern w:val="22"/>
          <w:szCs w:val="22"/>
          <w:lang w:val="fr-CA"/>
        </w:rPr>
      </w:pPr>
      <w:r w:rsidRPr="00B26B5B">
        <w:rPr>
          <w:kern w:val="22"/>
          <w:szCs w:val="22"/>
          <w:lang w:val="fr-CA"/>
        </w:rPr>
        <w:t xml:space="preserve">L’utilisation des terres et la planification physique devraient prendre en ligne de compte les questions liées à la diversité biologique </w:t>
      </w:r>
      <w:r w:rsidR="004977D7" w:rsidRPr="00B26B5B">
        <w:rPr>
          <w:kern w:val="22"/>
          <w:szCs w:val="22"/>
          <w:lang w:val="fr-CA"/>
        </w:rPr>
        <w:t xml:space="preserve">telles que les aires de conservation </w:t>
      </w:r>
      <w:r w:rsidRPr="00B26B5B">
        <w:rPr>
          <w:kern w:val="22"/>
          <w:szCs w:val="22"/>
          <w:lang w:val="fr-CA"/>
        </w:rPr>
        <w:t>et les aires d’importance pour la diversité biologique</w:t>
      </w:r>
      <w:r w:rsidR="00B92D18">
        <w:rPr>
          <w:kern w:val="22"/>
          <w:szCs w:val="22"/>
          <w:lang w:val="fr-CA"/>
        </w:rPr>
        <w:t>;</w:t>
      </w:r>
    </w:p>
    <w:p w:rsidR="000C2C39" w:rsidRPr="00B26B5B" w:rsidRDefault="004977D7" w:rsidP="00C33570">
      <w:pPr>
        <w:pStyle w:val="Para1"/>
        <w:numPr>
          <w:ilvl w:val="1"/>
          <w:numId w:val="2"/>
        </w:numPr>
        <w:suppressLineNumbers/>
        <w:suppressAutoHyphens/>
        <w:rPr>
          <w:kern w:val="22"/>
          <w:szCs w:val="22"/>
          <w:lang w:val="fr-CA"/>
        </w:rPr>
      </w:pPr>
      <w:r w:rsidRPr="00B26B5B">
        <w:rPr>
          <w:kern w:val="22"/>
          <w:szCs w:val="22"/>
          <w:lang w:val="fr-CA"/>
        </w:rPr>
        <w:t xml:space="preserve">Les </w:t>
      </w:r>
      <w:r w:rsidR="00005746" w:rsidRPr="00B26B5B">
        <w:rPr>
          <w:kern w:val="22"/>
          <w:szCs w:val="22"/>
          <w:lang w:val="fr-CA"/>
        </w:rPr>
        <w:t xml:space="preserve">ministères gouvernementaux devraient être obligés </w:t>
      </w:r>
      <w:r w:rsidR="00C837FE">
        <w:rPr>
          <w:kern w:val="22"/>
          <w:szCs w:val="22"/>
          <w:lang w:val="fr-CA"/>
        </w:rPr>
        <w:t>de tenir compte de</w:t>
      </w:r>
      <w:r w:rsidR="00005746" w:rsidRPr="00B26B5B">
        <w:rPr>
          <w:kern w:val="22"/>
          <w:szCs w:val="22"/>
          <w:lang w:val="fr-CA"/>
        </w:rPr>
        <w:t xml:space="preserve"> la diversité biologique dans leurs processus d’</w:t>
      </w:r>
      <w:proofErr w:type="spellStart"/>
      <w:r w:rsidR="00005746" w:rsidRPr="00B26B5B">
        <w:rPr>
          <w:kern w:val="22"/>
          <w:szCs w:val="22"/>
          <w:lang w:val="fr-CA"/>
        </w:rPr>
        <w:t>ESE</w:t>
      </w:r>
      <w:proofErr w:type="spellEnd"/>
      <w:r w:rsidR="00005746" w:rsidRPr="00B26B5B">
        <w:rPr>
          <w:kern w:val="22"/>
          <w:szCs w:val="22"/>
          <w:lang w:val="fr-CA"/>
        </w:rPr>
        <w:t xml:space="preserve"> et d’</w:t>
      </w:r>
      <w:proofErr w:type="spellStart"/>
      <w:r w:rsidR="00005746" w:rsidRPr="00B26B5B">
        <w:rPr>
          <w:kern w:val="22"/>
          <w:szCs w:val="22"/>
          <w:lang w:val="fr-CA"/>
        </w:rPr>
        <w:t>EIE</w:t>
      </w:r>
      <w:proofErr w:type="spellEnd"/>
      <w:r w:rsidR="00005746" w:rsidRPr="00B26B5B">
        <w:rPr>
          <w:kern w:val="22"/>
          <w:szCs w:val="22"/>
          <w:lang w:val="fr-CA"/>
        </w:rPr>
        <w:t xml:space="preserve"> afin d’intégrer la conservation et l’utilisation durable de la diversité biologique très tôt dans le processus. De plus, des mesures </w:t>
      </w:r>
      <w:r w:rsidR="00CE002E">
        <w:rPr>
          <w:kern w:val="22"/>
          <w:szCs w:val="22"/>
          <w:lang w:val="fr-CA"/>
        </w:rPr>
        <w:t>devront</w:t>
      </w:r>
      <w:r w:rsidR="00C837FE">
        <w:rPr>
          <w:kern w:val="22"/>
          <w:szCs w:val="22"/>
          <w:lang w:val="fr-CA"/>
        </w:rPr>
        <w:t xml:space="preserve"> être prises </w:t>
      </w:r>
      <w:r w:rsidR="00005746" w:rsidRPr="00B26B5B">
        <w:rPr>
          <w:kern w:val="22"/>
          <w:szCs w:val="22"/>
          <w:lang w:val="fr-CA"/>
        </w:rPr>
        <w:t>pour régler les conflits d’intérêts possibles lors de l’élaboration des rapports d’</w:t>
      </w:r>
      <w:proofErr w:type="spellStart"/>
      <w:r w:rsidR="00005746" w:rsidRPr="00B26B5B">
        <w:rPr>
          <w:kern w:val="22"/>
          <w:szCs w:val="22"/>
          <w:lang w:val="fr-CA"/>
        </w:rPr>
        <w:t>ESE</w:t>
      </w:r>
      <w:proofErr w:type="spellEnd"/>
      <w:r w:rsidR="007A78B5" w:rsidRPr="00B26B5B">
        <w:rPr>
          <w:kern w:val="22"/>
          <w:szCs w:val="22"/>
          <w:lang w:val="fr-CA"/>
        </w:rPr>
        <w:t xml:space="preserve">, car ceux-ci pourraient miner les efforts </w:t>
      </w:r>
      <w:r w:rsidR="00C837FE">
        <w:rPr>
          <w:kern w:val="22"/>
          <w:szCs w:val="22"/>
          <w:lang w:val="fr-CA"/>
        </w:rPr>
        <w:t>d’intégration de</w:t>
      </w:r>
      <w:r w:rsidR="007A78B5" w:rsidRPr="00B26B5B">
        <w:rPr>
          <w:kern w:val="22"/>
          <w:szCs w:val="22"/>
          <w:lang w:val="fr-CA"/>
        </w:rPr>
        <w:t xml:space="preserve"> la diversité biologique. Ces mesures pourraient comprendre le recours à des commissions offrant une expertise interdisciplinaire pour </w:t>
      </w:r>
      <w:r w:rsidR="00C837FE">
        <w:rPr>
          <w:kern w:val="22"/>
          <w:szCs w:val="22"/>
          <w:lang w:val="fr-CA"/>
        </w:rPr>
        <w:t xml:space="preserve">la </w:t>
      </w:r>
      <w:r w:rsidR="007A78B5" w:rsidRPr="00B26B5B">
        <w:rPr>
          <w:kern w:val="22"/>
          <w:szCs w:val="22"/>
          <w:lang w:val="fr-CA"/>
        </w:rPr>
        <w:t xml:space="preserve">tenue des </w:t>
      </w:r>
      <w:proofErr w:type="spellStart"/>
      <w:r w:rsidR="007A78B5" w:rsidRPr="00B26B5B">
        <w:rPr>
          <w:kern w:val="22"/>
          <w:szCs w:val="22"/>
          <w:lang w:val="fr-CA"/>
        </w:rPr>
        <w:t>EIE</w:t>
      </w:r>
      <w:proofErr w:type="spellEnd"/>
      <w:r w:rsidR="003D14E4" w:rsidRPr="00B26B5B">
        <w:rPr>
          <w:kern w:val="22"/>
          <w:szCs w:val="22"/>
          <w:lang w:val="fr-CA"/>
        </w:rPr>
        <w:t>.</w:t>
      </w:r>
    </w:p>
    <w:p w:rsidR="006F575F" w:rsidRPr="00B26B5B" w:rsidRDefault="007A78B5" w:rsidP="00C33570">
      <w:pPr>
        <w:pStyle w:val="Para1"/>
        <w:suppressLineNumbers/>
        <w:tabs>
          <w:tab w:val="clear" w:pos="360"/>
        </w:tabs>
        <w:suppressAutoHyphens/>
        <w:rPr>
          <w:kern w:val="22"/>
          <w:szCs w:val="22"/>
          <w:lang w:val="fr-CA"/>
        </w:rPr>
      </w:pPr>
      <w:r w:rsidRPr="00B26B5B">
        <w:rPr>
          <w:i/>
          <w:kern w:val="22"/>
          <w:szCs w:val="22"/>
          <w:lang w:val="fr-CA"/>
        </w:rPr>
        <w:t>Renforcer les liens avec les autres accords multilatéraux sur l’environnement</w:t>
      </w:r>
      <w:r w:rsidR="00CD0FC3">
        <w:rPr>
          <w:i/>
          <w:kern w:val="22"/>
          <w:szCs w:val="22"/>
          <w:lang w:val="fr-CA"/>
        </w:rPr>
        <w:t> </w:t>
      </w:r>
      <w:r w:rsidR="00AD02CD" w:rsidRPr="00B26B5B">
        <w:rPr>
          <w:kern w:val="22"/>
          <w:szCs w:val="22"/>
          <w:lang w:val="fr-CA"/>
        </w:rPr>
        <w:t xml:space="preserve">: </w:t>
      </w:r>
      <w:r w:rsidR="00985DEB">
        <w:rPr>
          <w:kern w:val="22"/>
          <w:szCs w:val="22"/>
          <w:lang w:val="fr-CA"/>
        </w:rPr>
        <w:t xml:space="preserve">Il faut continuer à engager et </w:t>
      </w:r>
      <w:r w:rsidRPr="00B26B5B">
        <w:rPr>
          <w:kern w:val="22"/>
          <w:szCs w:val="22"/>
          <w:lang w:val="fr-CA"/>
        </w:rPr>
        <w:t>utiliser les accords</w:t>
      </w:r>
      <w:r w:rsidR="007E4816" w:rsidRPr="00B26B5B">
        <w:rPr>
          <w:kern w:val="22"/>
          <w:szCs w:val="22"/>
          <w:lang w:val="fr-CA"/>
        </w:rPr>
        <w:t xml:space="preserve">, processus et programmes </w:t>
      </w:r>
      <w:r w:rsidRPr="00B26B5B">
        <w:rPr>
          <w:kern w:val="22"/>
          <w:szCs w:val="22"/>
          <w:lang w:val="fr-CA"/>
        </w:rPr>
        <w:t xml:space="preserve">multilatéraux </w:t>
      </w:r>
      <w:r w:rsidR="007E4816" w:rsidRPr="00B26B5B">
        <w:rPr>
          <w:kern w:val="22"/>
          <w:szCs w:val="22"/>
          <w:lang w:val="fr-CA"/>
        </w:rPr>
        <w:t>sur l’environnement</w:t>
      </w:r>
      <w:r w:rsidR="00985DEB">
        <w:rPr>
          <w:kern w:val="22"/>
          <w:szCs w:val="22"/>
          <w:lang w:val="fr-CA"/>
        </w:rPr>
        <w:t>,</w:t>
      </w:r>
      <w:r w:rsidR="007E4816" w:rsidRPr="00B26B5B">
        <w:rPr>
          <w:kern w:val="22"/>
          <w:szCs w:val="22"/>
          <w:lang w:val="fr-CA"/>
        </w:rPr>
        <w:t xml:space="preserve"> tels que l</w:t>
      </w:r>
      <w:r w:rsidR="00422C0D" w:rsidRPr="00B26B5B">
        <w:rPr>
          <w:kern w:val="22"/>
          <w:szCs w:val="22"/>
          <w:lang w:val="fr-CA"/>
        </w:rPr>
        <w:t>es Objectifs de développement d</w:t>
      </w:r>
      <w:r w:rsidR="007E4816" w:rsidRPr="00B26B5B">
        <w:rPr>
          <w:kern w:val="22"/>
          <w:szCs w:val="22"/>
          <w:lang w:val="fr-CA"/>
        </w:rPr>
        <w:t>urable et l’Accord de Paris, afin de diriger les responsables des orientat</w:t>
      </w:r>
      <w:r w:rsidR="00422C0D" w:rsidRPr="00B26B5B">
        <w:rPr>
          <w:kern w:val="22"/>
          <w:szCs w:val="22"/>
          <w:lang w:val="fr-CA"/>
        </w:rPr>
        <w:t>ions politiques vers des secteurs dans lesquels ils p</w:t>
      </w:r>
      <w:r w:rsidR="007E4816" w:rsidRPr="00B26B5B">
        <w:rPr>
          <w:kern w:val="22"/>
          <w:szCs w:val="22"/>
          <w:lang w:val="fr-CA"/>
        </w:rPr>
        <w:t xml:space="preserve">euvent prendre des mesures pour intégrer la diversité biologique. </w:t>
      </w:r>
      <w:r w:rsidR="00985DEB">
        <w:rPr>
          <w:kern w:val="22"/>
          <w:szCs w:val="22"/>
          <w:lang w:val="fr-CA"/>
        </w:rPr>
        <w:t>Il faut aussi</w:t>
      </w:r>
      <w:r w:rsidR="007E4816" w:rsidRPr="00B26B5B">
        <w:rPr>
          <w:kern w:val="22"/>
          <w:szCs w:val="22"/>
          <w:lang w:val="fr-CA"/>
        </w:rPr>
        <w:t xml:space="preserve"> renforcer les liens et les synergies avec les Objectifs de développement durable et le</w:t>
      </w:r>
      <w:r w:rsidR="00422C0D" w:rsidRPr="00B26B5B">
        <w:rPr>
          <w:kern w:val="22"/>
          <w:szCs w:val="22"/>
          <w:lang w:val="fr-CA"/>
        </w:rPr>
        <w:t>s</w:t>
      </w:r>
      <w:r w:rsidR="007E4816" w:rsidRPr="00B26B5B">
        <w:rPr>
          <w:kern w:val="22"/>
          <w:szCs w:val="22"/>
          <w:lang w:val="fr-CA"/>
        </w:rPr>
        <w:t xml:space="preserve"> accords multilatéraux sur l’environnement </w:t>
      </w:r>
      <w:r w:rsidR="00985DEB">
        <w:rPr>
          <w:kern w:val="22"/>
          <w:szCs w:val="22"/>
          <w:lang w:val="fr-CA"/>
        </w:rPr>
        <w:t>pour</w:t>
      </w:r>
      <w:r w:rsidR="007E4816" w:rsidRPr="00B26B5B">
        <w:rPr>
          <w:kern w:val="22"/>
          <w:szCs w:val="22"/>
          <w:lang w:val="fr-CA"/>
        </w:rPr>
        <w:t xml:space="preserve"> la mise en œuvre nationale et</w:t>
      </w:r>
      <w:r w:rsidR="00985DEB">
        <w:rPr>
          <w:kern w:val="22"/>
          <w:szCs w:val="22"/>
          <w:lang w:val="fr-CA"/>
        </w:rPr>
        <w:t xml:space="preserve"> international</w:t>
      </w:r>
      <w:r w:rsidR="00F2508F">
        <w:rPr>
          <w:kern w:val="22"/>
          <w:szCs w:val="22"/>
          <w:lang w:val="fr-CA"/>
        </w:rPr>
        <w:t>e</w:t>
      </w:r>
      <w:r w:rsidR="00985DEB">
        <w:rPr>
          <w:kern w:val="22"/>
          <w:szCs w:val="22"/>
          <w:lang w:val="fr-CA"/>
        </w:rPr>
        <w:t xml:space="preserve">, et </w:t>
      </w:r>
      <w:r w:rsidR="00422C0D" w:rsidRPr="00B26B5B">
        <w:rPr>
          <w:kern w:val="22"/>
          <w:szCs w:val="22"/>
          <w:lang w:val="fr-CA"/>
        </w:rPr>
        <w:t>encourager la collaboration entre les secrétariats des accords multilatéraux sur l’environnement</w:t>
      </w:r>
      <w:r w:rsidR="006F575F" w:rsidRPr="00B26B5B">
        <w:rPr>
          <w:kern w:val="22"/>
          <w:szCs w:val="22"/>
          <w:lang w:val="fr-CA"/>
        </w:rPr>
        <w:t>.</w:t>
      </w:r>
    </w:p>
    <w:p w:rsidR="00C17645" w:rsidRPr="00B26B5B" w:rsidRDefault="008B22DB" w:rsidP="00C33570">
      <w:pPr>
        <w:pStyle w:val="Titre3"/>
        <w:suppressLineNumbers/>
        <w:suppressAutoHyphens/>
        <w:rPr>
          <w:kern w:val="22"/>
          <w:szCs w:val="22"/>
          <w:lang w:val="fr-CA"/>
        </w:rPr>
      </w:pPr>
      <w:r w:rsidRPr="00B26B5B">
        <w:rPr>
          <w:kern w:val="22"/>
          <w:szCs w:val="22"/>
          <w:lang w:val="fr-CA"/>
        </w:rPr>
        <w:t>4.</w:t>
      </w:r>
      <w:r w:rsidRPr="00B26B5B">
        <w:rPr>
          <w:kern w:val="22"/>
          <w:szCs w:val="22"/>
          <w:lang w:val="fr-CA"/>
        </w:rPr>
        <w:tab/>
      </w:r>
      <w:r w:rsidR="00D27089" w:rsidRPr="00B26B5B">
        <w:rPr>
          <w:kern w:val="22"/>
          <w:szCs w:val="22"/>
          <w:lang w:val="fr-CA"/>
        </w:rPr>
        <w:t>Mobilisation des ressources</w:t>
      </w:r>
    </w:p>
    <w:p w:rsidR="006B7EB9" w:rsidRPr="00B26B5B" w:rsidRDefault="00422C0D" w:rsidP="00C33570">
      <w:pPr>
        <w:pStyle w:val="Para1"/>
        <w:suppressLineNumbers/>
        <w:tabs>
          <w:tab w:val="clear" w:pos="360"/>
        </w:tabs>
        <w:suppressAutoHyphens/>
        <w:rPr>
          <w:kern w:val="22"/>
          <w:szCs w:val="22"/>
          <w:lang w:val="fr-CA"/>
        </w:rPr>
      </w:pPr>
      <w:r w:rsidRPr="00B26B5B">
        <w:rPr>
          <w:kern w:val="22"/>
          <w:szCs w:val="22"/>
          <w:lang w:val="fr-CA"/>
        </w:rPr>
        <w:t>Le cadre mondial de la biodiversité pour l</w:t>
      </w:r>
      <w:r w:rsidR="00CD0FC3">
        <w:rPr>
          <w:kern w:val="22"/>
          <w:szCs w:val="22"/>
          <w:lang w:val="fr-CA"/>
        </w:rPr>
        <w:t>’</w:t>
      </w:r>
      <w:r w:rsidRPr="00B26B5B">
        <w:rPr>
          <w:kern w:val="22"/>
          <w:szCs w:val="22"/>
          <w:lang w:val="fr-CA"/>
        </w:rPr>
        <w:t>après-2020 doit tenir compte du financement dès le début. Il doit être développé p</w:t>
      </w:r>
      <w:r w:rsidR="00E25F98" w:rsidRPr="00B26B5B">
        <w:rPr>
          <w:kern w:val="22"/>
          <w:szCs w:val="22"/>
          <w:lang w:val="fr-CA"/>
        </w:rPr>
        <w:t>our faciliter la mobilisati</w:t>
      </w:r>
      <w:r w:rsidRPr="00B26B5B">
        <w:rPr>
          <w:kern w:val="22"/>
          <w:szCs w:val="22"/>
          <w:lang w:val="fr-CA"/>
        </w:rPr>
        <w:t>on des ressources, le financement i</w:t>
      </w:r>
      <w:r w:rsidR="00E25F98" w:rsidRPr="00B26B5B">
        <w:rPr>
          <w:kern w:val="22"/>
          <w:szCs w:val="22"/>
          <w:lang w:val="fr-CA"/>
        </w:rPr>
        <w:t>nnovateur, les nouveaux partenar</w:t>
      </w:r>
      <w:r w:rsidRPr="00B26B5B">
        <w:rPr>
          <w:kern w:val="22"/>
          <w:szCs w:val="22"/>
          <w:lang w:val="fr-CA"/>
        </w:rPr>
        <w:t xml:space="preserve">iats et un engagement plus actif du secteur privé. </w:t>
      </w:r>
      <w:r w:rsidR="00E25F98" w:rsidRPr="00B26B5B">
        <w:rPr>
          <w:kern w:val="22"/>
          <w:szCs w:val="22"/>
          <w:lang w:val="fr-CA"/>
        </w:rPr>
        <w:t>Le prix du c</w:t>
      </w:r>
      <w:r w:rsidRPr="00B26B5B">
        <w:rPr>
          <w:kern w:val="22"/>
          <w:szCs w:val="22"/>
          <w:lang w:val="fr-CA"/>
        </w:rPr>
        <w:t>adre doit être établi et</w:t>
      </w:r>
      <w:r w:rsidR="00E25F98" w:rsidRPr="00B26B5B">
        <w:rPr>
          <w:kern w:val="22"/>
          <w:szCs w:val="22"/>
          <w:lang w:val="fr-CA"/>
        </w:rPr>
        <w:t xml:space="preserve"> </w:t>
      </w:r>
      <w:r w:rsidR="00EE5F01">
        <w:rPr>
          <w:kern w:val="22"/>
          <w:szCs w:val="22"/>
          <w:lang w:val="fr-CA"/>
        </w:rPr>
        <w:t>comprendre</w:t>
      </w:r>
      <w:r w:rsidR="00E25F98" w:rsidRPr="00B26B5B">
        <w:rPr>
          <w:kern w:val="22"/>
          <w:szCs w:val="22"/>
          <w:lang w:val="fr-CA"/>
        </w:rPr>
        <w:t xml:space="preserve"> un plan priorisé </w:t>
      </w:r>
      <w:r w:rsidR="00EE5F01">
        <w:rPr>
          <w:kern w:val="22"/>
          <w:szCs w:val="22"/>
          <w:lang w:val="fr-CA"/>
        </w:rPr>
        <w:t>assorti</w:t>
      </w:r>
      <w:r w:rsidR="00E25F98" w:rsidRPr="00B26B5B">
        <w:rPr>
          <w:kern w:val="22"/>
          <w:szCs w:val="22"/>
          <w:lang w:val="fr-CA"/>
        </w:rPr>
        <w:t xml:space="preserve"> de cibles et d</w:t>
      </w:r>
      <w:r w:rsidR="00EE5F01">
        <w:rPr>
          <w:kern w:val="22"/>
          <w:szCs w:val="22"/>
          <w:lang w:val="fr-CA"/>
        </w:rPr>
        <w:t>’</w:t>
      </w:r>
      <w:r w:rsidR="00E25F98" w:rsidRPr="00B26B5B">
        <w:rPr>
          <w:kern w:val="22"/>
          <w:szCs w:val="22"/>
          <w:lang w:val="fr-CA"/>
        </w:rPr>
        <w:t>échéances</w:t>
      </w:r>
      <w:r w:rsidR="006B7EB9" w:rsidRPr="00B26B5B">
        <w:rPr>
          <w:kern w:val="22"/>
          <w:szCs w:val="22"/>
          <w:lang w:val="fr-CA"/>
        </w:rPr>
        <w:t>.</w:t>
      </w:r>
    </w:p>
    <w:p w:rsidR="006B7EB9" w:rsidRPr="00B26B5B" w:rsidRDefault="00723281" w:rsidP="00C33570">
      <w:pPr>
        <w:pStyle w:val="Para1"/>
        <w:suppressLineNumbers/>
        <w:tabs>
          <w:tab w:val="clear" w:pos="360"/>
        </w:tabs>
        <w:suppressAutoHyphens/>
        <w:rPr>
          <w:kern w:val="22"/>
          <w:szCs w:val="22"/>
          <w:lang w:val="fr-CA"/>
        </w:rPr>
      </w:pPr>
      <w:r w:rsidRPr="00B26B5B">
        <w:rPr>
          <w:i/>
          <w:kern w:val="22"/>
          <w:szCs w:val="22"/>
          <w:lang w:val="fr-CA"/>
        </w:rPr>
        <w:t>Appropriation par le pays</w:t>
      </w:r>
      <w:r w:rsidR="00CD0FC3">
        <w:rPr>
          <w:i/>
          <w:kern w:val="22"/>
          <w:szCs w:val="22"/>
          <w:lang w:val="fr-CA"/>
        </w:rPr>
        <w:t> </w:t>
      </w:r>
      <w:r w:rsidR="006B7EB9" w:rsidRPr="00B26B5B">
        <w:rPr>
          <w:kern w:val="22"/>
          <w:szCs w:val="22"/>
          <w:lang w:val="fr-CA"/>
        </w:rPr>
        <w:t xml:space="preserve">: </w:t>
      </w:r>
      <w:r w:rsidR="00E25F98" w:rsidRPr="00B26B5B">
        <w:rPr>
          <w:kern w:val="22"/>
          <w:szCs w:val="22"/>
          <w:lang w:val="fr-CA"/>
        </w:rPr>
        <w:t>Les Parties doivent allouer des budgets intérieurs adéquats pour la conservation et l’utilisation durable de la diversité biologique</w:t>
      </w:r>
      <w:r w:rsidR="00EE5F01">
        <w:rPr>
          <w:kern w:val="22"/>
          <w:szCs w:val="22"/>
          <w:lang w:val="fr-CA"/>
        </w:rPr>
        <w:t>, qui tiennent</w:t>
      </w:r>
      <w:r w:rsidR="00EE5F01" w:rsidRPr="00B26B5B">
        <w:rPr>
          <w:kern w:val="22"/>
          <w:szCs w:val="22"/>
          <w:lang w:val="fr-CA"/>
        </w:rPr>
        <w:t xml:space="preserve"> compte des objectifs nationaux pour la diversité biologique et des écarts de financement connus</w:t>
      </w:r>
      <w:r w:rsidR="00EE5F01">
        <w:rPr>
          <w:kern w:val="22"/>
          <w:szCs w:val="22"/>
          <w:lang w:val="fr-CA"/>
        </w:rPr>
        <w:t>,</w:t>
      </w:r>
      <w:r w:rsidR="00E25F98" w:rsidRPr="00B26B5B">
        <w:rPr>
          <w:kern w:val="22"/>
          <w:szCs w:val="22"/>
          <w:lang w:val="fr-CA"/>
        </w:rPr>
        <w:t xml:space="preserve"> </w:t>
      </w:r>
      <w:r w:rsidR="00F62258" w:rsidRPr="00B26B5B">
        <w:rPr>
          <w:kern w:val="22"/>
          <w:szCs w:val="22"/>
          <w:lang w:val="fr-CA"/>
        </w:rPr>
        <w:t xml:space="preserve">afin d’accroître </w:t>
      </w:r>
      <w:r w:rsidRPr="00B26B5B">
        <w:rPr>
          <w:kern w:val="22"/>
          <w:szCs w:val="22"/>
          <w:lang w:val="fr-CA"/>
        </w:rPr>
        <w:t>l’appropriation par le pays</w:t>
      </w:r>
      <w:r w:rsidR="00EE5F01">
        <w:rPr>
          <w:kern w:val="22"/>
          <w:szCs w:val="22"/>
          <w:lang w:val="fr-CA"/>
        </w:rPr>
        <w:t xml:space="preserve"> du cadre de l’après-2020</w:t>
      </w:r>
      <w:r w:rsidR="00F62258" w:rsidRPr="00B26B5B">
        <w:rPr>
          <w:kern w:val="22"/>
          <w:szCs w:val="22"/>
          <w:lang w:val="fr-CA"/>
        </w:rPr>
        <w:t>.</w:t>
      </w:r>
    </w:p>
    <w:p w:rsidR="008041D7" w:rsidRPr="00B26B5B" w:rsidRDefault="00F62258" w:rsidP="00C33570">
      <w:pPr>
        <w:pStyle w:val="Para1"/>
        <w:suppressLineNumbers/>
        <w:tabs>
          <w:tab w:val="clear" w:pos="360"/>
          <w:tab w:val="num" w:pos="720"/>
        </w:tabs>
        <w:suppressAutoHyphens/>
        <w:rPr>
          <w:kern w:val="22"/>
          <w:szCs w:val="22"/>
          <w:lang w:val="fr-CA"/>
        </w:rPr>
      </w:pPr>
      <w:r w:rsidRPr="00B26B5B">
        <w:rPr>
          <w:i/>
          <w:kern w:val="22"/>
          <w:szCs w:val="22"/>
          <w:lang w:val="fr-CA"/>
        </w:rPr>
        <w:t>Fonds de la diversité biologique</w:t>
      </w:r>
      <w:r w:rsidR="00CD0FC3">
        <w:rPr>
          <w:i/>
          <w:kern w:val="22"/>
          <w:szCs w:val="22"/>
          <w:lang w:val="fr-CA"/>
        </w:rPr>
        <w:t> </w:t>
      </w:r>
      <w:r w:rsidR="006B7EB9" w:rsidRPr="00B26B5B">
        <w:rPr>
          <w:kern w:val="22"/>
          <w:szCs w:val="22"/>
          <w:lang w:val="fr-CA"/>
        </w:rPr>
        <w:t xml:space="preserve">: </w:t>
      </w:r>
      <w:r w:rsidR="00F2508F">
        <w:rPr>
          <w:kern w:val="22"/>
          <w:szCs w:val="22"/>
          <w:lang w:val="fr-CA"/>
        </w:rPr>
        <w:t>Un</w:t>
      </w:r>
      <w:r w:rsidRPr="00B26B5B">
        <w:rPr>
          <w:kern w:val="22"/>
          <w:szCs w:val="22"/>
          <w:lang w:val="fr-CA"/>
        </w:rPr>
        <w:t xml:space="preserve"> fonds mondial dédié à la diversité biologique</w:t>
      </w:r>
      <w:r w:rsidR="00F2508F">
        <w:rPr>
          <w:kern w:val="22"/>
          <w:szCs w:val="22"/>
          <w:lang w:val="fr-CA"/>
        </w:rPr>
        <w:t xml:space="preserve"> doit être créé</w:t>
      </w:r>
      <w:r w:rsidRPr="00B26B5B">
        <w:rPr>
          <w:kern w:val="22"/>
          <w:szCs w:val="22"/>
          <w:lang w:val="fr-CA"/>
        </w:rPr>
        <w:t xml:space="preserve">. Les contributions au fonds pourraient être établies en fonction du produit intérieur brut (PIB). Le fonds utiliserait </w:t>
      </w:r>
      <w:r w:rsidR="00F2508F">
        <w:rPr>
          <w:kern w:val="22"/>
          <w:szCs w:val="22"/>
          <w:lang w:val="fr-CA"/>
        </w:rPr>
        <w:t>et compléterait l</w:t>
      </w:r>
      <w:r w:rsidRPr="00B26B5B">
        <w:rPr>
          <w:kern w:val="22"/>
          <w:szCs w:val="22"/>
          <w:lang w:val="fr-CA"/>
        </w:rPr>
        <w:t>es ressources fournies par des mécanismes de financement existants tels que le Fonds pour l’environnement mondial (FEM) et le Fonds vert pour le climat.</w:t>
      </w:r>
    </w:p>
    <w:p w:rsidR="006B7EB9" w:rsidRPr="00B26B5B" w:rsidRDefault="00F62258" w:rsidP="00C33570">
      <w:pPr>
        <w:pStyle w:val="Para1"/>
        <w:suppressLineNumbers/>
        <w:tabs>
          <w:tab w:val="clear" w:pos="360"/>
          <w:tab w:val="num" w:pos="630"/>
        </w:tabs>
        <w:suppressAutoHyphens/>
        <w:rPr>
          <w:kern w:val="22"/>
          <w:szCs w:val="22"/>
          <w:lang w:val="fr-CA"/>
        </w:rPr>
      </w:pPr>
      <w:r w:rsidRPr="00B26B5B">
        <w:rPr>
          <w:i/>
          <w:kern w:val="22"/>
          <w:szCs w:val="22"/>
          <w:lang w:val="fr-CA"/>
        </w:rPr>
        <w:t>Le Fonds pour l’environnement mondial en tant que mécanisme de financement principal</w:t>
      </w:r>
      <w:r w:rsidR="00CD0FC3">
        <w:rPr>
          <w:i/>
          <w:kern w:val="22"/>
          <w:szCs w:val="22"/>
          <w:lang w:val="fr-CA"/>
        </w:rPr>
        <w:t> </w:t>
      </w:r>
      <w:r w:rsidR="006B7EB9" w:rsidRPr="00B26B5B">
        <w:rPr>
          <w:kern w:val="22"/>
          <w:szCs w:val="22"/>
          <w:lang w:val="fr-CA"/>
        </w:rPr>
        <w:t xml:space="preserve">: </w:t>
      </w:r>
      <w:r w:rsidRPr="00B26B5B">
        <w:rPr>
          <w:kern w:val="22"/>
          <w:szCs w:val="22"/>
          <w:lang w:val="fr-CA"/>
        </w:rPr>
        <w:t xml:space="preserve">Le système transparent d’allocation des ressources (STAR) du FEM doit mieux tenir compte </w:t>
      </w:r>
      <w:r w:rsidR="00B3440F">
        <w:rPr>
          <w:kern w:val="22"/>
          <w:szCs w:val="22"/>
          <w:lang w:val="fr-CA"/>
        </w:rPr>
        <w:t>de la nécessité</w:t>
      </w:r>
      <w:r w:rsidRPr="00B26B5B">
        <w:rPr>
          <w:kern w:val="22"/>
          <w:szCs w:val="22"/>
          <w:lang w:val="fr-CA"/>
        </w:rPr>
        <w:t xml:space="preserve"> </w:t>
      </w:r>
      <w:r w:rsidR="00EE5F01">
        <w:rPr>
          <w:kern w:val="22"/>
          <w:szCs w:val="22"/>
          <w:lang w:val="fr-CA"/>
        </w:rPr>
        <w:t>de conserver</w:t>
      </w:r>
      <w:r w:rsidRPr="00B26B5B">
        <w:rPr>
          <w:kern w:val="22"/>
          <w:szCs w:val="22"/>
          <w:lang w:val="fr-CA"/>
        </w:rPr>
        <w:t xml:space="preserve"> la diversité biologique. Les liens entre le STAR et les </w:t>
      </w:r>
      <w:r w:rsidR="00C837FE">
        <w:rPr>
          <w:kern w:val="22"/>
          <w:szCs w:val="22"/>
          <w:lang w:val="fr-CA"/>
        </w:rPr>
        <w:t>SPANB</w:t>
      </w:r>
      <w:r w:rsidRPr="00B26B5B">
        <w:rPr>
          <w:kern w:val="22"/>
          <w:szCs w:val="22"/>
          <w:lang w:val="fr-CA"/>
        </w:rPr>
        <w:t xml:space="preserve"> doivent </w:t>
      </w:r>
      <w:r w:rsidR="0081638D" w:rsidRPr="00B26B5B">
        <w:rPr>
          <w:kern w:val="22"/>
          <w:szCs w:val="22"/>
          <w:lang w:val="fr-CA"/>
        </w:rPr>
        <w:t>êtr</w:t>
      </w:r>
      <w:r w:rsidRPr="00B26B5B">
        <w:rPr>
          <w:kern w:val="22"/>
          <w:szCs w:val="22"/>
          <w:lang w:val="fr-CA"/>
        </w:rPr>
        <w:t xml:space="preserve">e renforcés et harmonisés et, à cet égard, les membres du conseil du FEM et les correspondants </w:t>
      </w:r>
      <w:r w:rsidR="0081638D" w:rsidRPr="00B26B5B">
        <w:rPr>
          <w:kern w:val="22"/>
          <w:szCs w:val="22"/>
          <w:lang w:val="fr-CA"/>
        </w:rPr>
        <w:t>foncti</w:t>
      </w:r>
      <w:r w:rsidRPr="00B26B5B">
        <w:rPr>
          <w:kern w:val="22"/>
          <w:szCs w:val="22"/>
          <w:lang w:val="fr-CA"/>
        </w:rPr>
        <w:t>onnels doivent améliorer</w:t>
      </w:r>
      <w:r w:rsidR="0081638D" w:rsidRPr="00B26B5B">
        <w:rPr>
          <w:kern w:val="22"/>
          <w:szCs w:val="22"/>
          <w:lang w:val="fr-CA"/>
        </w:rPr>
        <w:t xml:space="preserve"> </w:t>
      </w:r>
      <w:r w:rsidRPr="00B26B5B">
        <w:rPr>
          <w:kern w:val="22"/>
          <w:szCs w:val="22"/>
          <w:lang w:val="fr-CA"/>
        </w:rPr>
        <w:t>la coordination avec les cor</w:t>
      </w:r>
      <w:r w:rsidR="00EE5F01">
        <w:rPr>
          <w:kern w:val="22"/>
          <w:szCs w:val="22"/>
          <w:lang w:val="fr-CA"/>
        </w:rPr>
        <w:t>respondants nationaux de la CDB.</w:t>
      </w:r>
      <w:r w:rsidRPr="00B26B5B">
        <w:rPr>
          <w:kern w:val="22"/>
          <w:szCs w:val="22"/>
          <w:lang w:val="fr-CA"/>
        </w:rPr>
        <w:t xml:space="preserve"> Il faut </w:t>
      </w:r>
      <w:r w:rsidR="00EE5F01">
        <w:rPr>
          <w:kern w:val="22"/>
          <w:szCs w:val="22"/>
          <w:lang w:val="fr-CA"/>
        </w:rPr>
        <w:t>accroître</w:t>
      </w:r>
      <w:r w:rsidRPr="00B26B5B">
        <w:rPr>
          <w:kern w:val="22"/>
          <w:szCs w:val="22"/>
          <w:lang w:val="fr-CA"/>
        </w:rPr>
        <w:t xml:space="preserve"> la transparence de l’</w:t>
      </w:r>
      <w:r w:rsidR="0081638D" w:rsidRPr="00B26B5B">
        <w:rPr>
          <w:kern w:val="22"/>
          <w:szCs w:val="22"/>
          <w:lang w:val="fr-CA"/>
        </w:rPr>
        <w:t>organe</w:t>
      </w:r>
      <w:r w:rsidRPr="00B26B5B">
        <w:rPr>
          <w:kern w:val="22"/>
          <w:szCs w:val="22"/>
          <w:lang w:val="fr-CA"/>
        </w:rPr>
        <w:t xml:space="preserve"> décisi</w:t>
      </w:r>
      <w:r w:rsidR="00BB0212">
        <w:rPr>
          <w:kern w:val="22"/>
          <w:szCs w:val="22"/>
          <w:lang w:val="fr-CA"/>
        </w:rPr>
        <w:t>onnel du Secrétariat du FEM et a</w:t>
      </w:r>
      <w:r w:rsidRPr="00B26B5B">
        <w:rPr>
          <w:kern w:val="22"/>
          <w:szCs w:val="22"/>
          <w:lang w:val="fr-CA"/>
        </w:rPr>
        <w:t>u niveau national concer</w:t>
      </w:r>
      <w:r w:rsidR="0081638D" w:rsidRPr="00B26B5B">
        <w:rPr>
          <w:kern w:val="22"/>
          <w:szCs w:val="22"/>
          <w:lang w:val="fr-CA"/>
        </w:rPr>
        <w:t>n</w:t>
      </w:r>
      <w:r w:rsidRPr="00B26B5B">
        <w:rPr>
          <w:kern w:val="22"/>
          <w:szCs w:val="22"/>
          <w:lang w:val="fr-CA"/>
        </w:rPr>
        <w:t xml:space="preserve">ant la priorisation des projets à financer. </w:t>
      </w:r>
      <w:r w:rsidR="0081638D" w:rsidRPr="00B26B5B">
        <w:rPr>
          <w:kern w:val="22"/>
          <w:szCs w:val="22"/>
          <w:lang w:val="fr-CA"/>
        </w:rPr>
        <w:t>Il faut aussi réduire la complexité et la bureaucratie, et accélérer davantage les processus administratifs en toute urgence</w:t>
      </w:r>
      <w:r w:rsidR="006B7EB9" w:rsidRPr="00B26B5B">
        <w:rPr>
          <w:kern w:val="22"/>
          <w:szCs w:val="22"/>
          <w:lang w:val="fr-CA"/>
        </w:rPr>
        <w:t>.</w:t>
      </w:r>
    </w:p>
    <w:p w:rsidR="006B7EB9" w:rsidRPr="00B26B5B" w:rsidRDefault="005821D8" w:rsidP="00C33570">
      <w:pPr>
        <w:pStyle w:val="Para1"/>
        <w:suppressLineNumbers/>
        <w:tabs>
          <w:tab w:val="clear" w:pos="360"/>
          <w:tab w:val="num" w:pos="720"/>
        </w:tabs>
        <w:suppressAutoHyphens/>
        <w:rPr>
          <w:kern w:val="22"/>
          <w:szCs w:val="22"/>
          <w:lang w:val="fr-CA"/>
        </w:rPr>
      </w:pPr>
      <w:r w:rsidRPr="00B26B5B">
        <w:rPr>
          <w:i/>
          <w:kern w:val="22"/>
          <w:szCs w:val="22"/>
          <w:lang w:val="fr-CA"/>
        </w:rPr>
        <w:t>Mécanismes de financement innovateurs</w:t>
      </w:r>
      <w:r w:rsidR="00CD0FC3">
        <w:rPr>
          <w:i/>
          <w:kern w:val="22"/>
          <w:szCs w:val="22"/>
          <w:lang w:val="fr-CA"/>
        </w:rPr>
        <w:t> </w:t>
      </w:r>
      <w:r w:rsidR="006B7EB9" w:rsidRPr="00B26B5B">
        <w:rPr>
          <w:kern w:val="22"/>
          <w:szCs w:val="22"/>
          <w:lang w:val="fr-CA"/>
        </w:rPr>
        <w:t xml:space="preserve">: </w:t>
      </w:r>
      <w:r w:rsidRPr="00B26B5B">
        <w:rPr>
          <w:kern w:val="22"/>
          <w:szCs w:val="22"/>
          <w:lang w:val="fr-CA"/>
        </w:rPr>
        <w:t>Les ministères des Finances doivent pa</w:t>
      </w:r>
      <w:r w:rsidR="00BA2018" w:rsidRPr="00B26B5B">
        <w:rPr>
          <w:kern w:val="22"/>
          <w:szCs w:val="22"/>
          <w:lang w:val="fr-CA"/>
        </w:rPr>
        <w:t>rticiper plus activement aux pr</w:t>
      </w:r>
      <w:r w:rsidRPr="00B26B5B">
        <w:rPr>
          <w:kern w:val="22"/>
          <w:szCs w:val="22"/>
          <w:lang w:val="fr-CA"/>
        </w:rPr>
        <w:t xml:space="preserve">ocessus car ils doivent comprendre et reconnaître la pleine valeur de la diversité biologique. Le renforcement des capacités </w:t>
      </w:r>
      <w:r w:rsidR="00BB0212">
        <w:rPr>
          <w:kern w:val="22"/>
          <w:szCs w:val="22"/>
          <w:lang w:val="fr-CA"/>
        </w:rPr>
        <w:t xml:space="preserve">pourrait être utile </w:t>
      </w:r>
      <w:r w:rsidRPr="00B26B5B">
        <w:rPr>
          <w:kern w:val="22"/>
          <w:szCs w:val="22"/>
          <w:lang w:val="fr-CA"/>
        </w:rPr>
        <w:t xml:space="preserve">pour la mobilisation et l’absorption des </w:t>
      </w:r>
      <w:r w:rsidR="00BA2018" w:rsidRPr="00B26B5B">
        <w:rPr>
          <w:kern w:val="22"/>
          <w:szCs w:val="22"/>
          <w:lang w:val="fr-CA"/>
        </w:rPr>
        <w:t>ressources</w:t>
      </w:r>
      <w:r w:rsidRPr="00B26B5B">
        <w:rPr>
          <w:kern w:val="22"/>
          <w:szCs w:val="22"/>
          <w:lang w:val="fr-CA"/>
        </w:rPr>
        <w:t>, surtout en ce qui concerne la facilitation de mécanismes de financement innovateurs. Les taxes, l’échange de dettes, les obligations vertes et les autres mécanismes de financement innovateurs</w:t>
      </w:r>
      <w:r w:rsidR="00BA2018" w:rsidRPr="00B26B5B">
        <w:rPr>
          <w:kern w:val="22"/>
          <w:szCs w:val="22"/>
          <w:lang w:val="fr-CA"/>
        </w:rPr>
        <w:t xml:space="preserve"> pourra</w:t>
      </w:r>
      <w:r w:rsidRPr="00B26B5B">
        <w:rPr>
          <w:kern w:val="22"/>
          <w:szCs w:val="22"/>
          <w:lang w:val="fr-CA"/>
        </w:rPr>
        <w:t>ient être utilisés au niveau national afin de faciliter la mobilisation des ressources</w:t>
      </w:r>
      <w:r w:rsidR="006B7EB9" w:rsidRPr="00B26B5B">
        <w:rPr>
          <w:kern w:val="22"/>
          <w:szCs w:val="22"/>
          <w:lang w:val="fr-CA"/>
        </w:rPr>
        <w:t>.</w:t>
      </w:r>
    </w:p>
    <w:p w:rsidR="003D13F2" w:rsidRPr="00B26B5B" w:rsidRDefault="00BA2018" w:rsidP="00C33570">
      <w:pPr>
        <w:pStyle w:val="Para1"/>
        <w:suppressLineNumbers/>
        <w:tabs>
          <w:tab w:val="clear" w:pos="360"/>
          <w:tab w:val="num" w:pos="720"/>
        </w:tabs>
        <w:suppressAutoHyphens/>
        <w:rPr>
          <w:kern w:val="22"/>
          <w:szCs w:val="22"/>
          <w:lang w:val="fr-CA"/>
        </w:rPr>
      </w:pPr>
      <w:r w:rsidRPr="00B26B5B">
        <w:rPr>
          <w:i/>
          <w:kern w:val="22"/>
          <w:szCs w:val="22"/>
          <w:lang w:val="fr-CA"/>
        </w:rPr>
        <w:lastRenderedPageBreak/>
        <w:t>Amélior</w:t>
      </w:r>
      <w:r w:rsidR="00BB0212">
        <w:rPr>
          <w:i/>
          <w:kern w:val="22"/>
          <w:szCs w:val="22"/>
          <w:lang w:val="fr-CA"/>
        </w:rPr>
        <w:t>ation du</w:t>
      </w:r>
      <w:r w:rsidRPr="00B26B5B">
        <w:rPr>
          <w:i/>
          <w:kern w:val="22"/>
          <w:szCs w:val="22"/>
          <w:lang w:val="fr-CA"/>
        </w:rPr>
        <w:t xml:space="preserve"> financement existant</w:t>
      </w:r>
      <w:r w:rsidR="00CD0FC3">
        <w:rPr>
          <w:i/>
          <w:kern w:val="22"/>
          <w:szCs w:val="22"/>
          <w:lang w:val="fr-CA"/>
        </w:rPr>
        <w:t> </w:t>
      </w:r>
      <w:r w:rsidR="006B7EB9" w:rsidRPr="00B26B5B">
        <w:rPr>
          <w:kern w:val="22"/>
          <w:szCs w:val="22"/>
          <w:lang w:val="fr-CA"/>
        </w:rPr>
        <w:t xml:space="preserve">: </w:t>
      </w:r>
      <w:r w:rsidRPr="00B26B5B">
        <w:rPr>
          <w:kern w:val="22"/>
          <w:szCs w:val="22"/>
          <w:lang w:val="fr-CA"/>
        </w:rPr>
        <w:t>L</w:t>
      </w:r>
      <w:r w:rsidR="00BB0212">
        <w:rPr>
          <w:kern w:val="22"/>
          <w:szCs w:val="22"/>
          <w:lang w:val="fr-CA"/>
        </w:rPr>
        <w:t>es mécanismes de financement tel</w:t>
      </w:r>
      <w:r w:rsidRPr="00B26B5B">
        <w:rPr>
          <w:kern w:val="22"/>
          <w:szCs w:val="22"/>
          <w:lang w:val="fr-CA"/>
        </w:rPr>
        <w:t xml:space="preserve">s que </w:t>
      </w:r>
      <w:proofErr w:type="spellStart"/>
      <w:r w:rsidRPr="00B26B5B">
        <w:rPr>
          <w:kern w:val="22"/>
          <w:szCs w:val="22"/>
          <w:lang w:val="fr-CA"/>
        </w:rPr>
        <w:t>BIOFIN</w:t>
      </w:r>
      <w:proofErr w:type="spellEnd"/>
      <w:r w:rsidRPr="00B26B5B">
        <w:rPr>
          <w:kern w:val="22"/>
          <w:szCs w:val="22"/>
          <w:lang w:val="fr-CA"/>
        </w:rPr>
        <w:t xml:space="preserve"> doivent être améliorés afin que les pays puissent mesurer leurs dépenses actuelles liées à la diversité biologique, évaluer leurs besoins financiers et découvrir et élargir les solutions et les investissements de financement existants. Il faut encourager des échanges accrus sur les bonnes pratiques et l’apprentissage entre les pays. Les questions liées à la diversité biologique doivent êtr</w:t>
      </w:r>
      <w:r w:rsidR="00B12CB8" w:rsidRPr="00B26B5B">
        <w:rPr>
          <w:kern w:val="22"/>
          <w:szCs w:val="22"/>
          <w:lang w:val="fr-CA"/>
        </w:rPr>
        <w:t>e intégrées aux engagements sur le clim</w:t>
      </w:r>
      <w:r w:rsidRPr="00B26B5B">
        <w:rPr>
          <w:kern w:val="22"/>
          <w:szCs w:val="22"/>
          <w:lang w:val="fr-CA"/>
        </w:rPr>
        <w:t>at</w:t>
      </w:r>
      <w:r w:rsidR="00B12CB8" w:rsidRPr="00B26B5B">
        <w:rPr>
          <w:kern w:val="22"/>
          <w:szCs w:val="22"/>
          <w:lang w:val="fr-CA"/>
        </w:rPr>
        <w:t xml:space="preserve"> et les mécanismes tels que le Fonds vert pour le climat. Il est également important de souligner que les investissements fondés sur la nature peuvent </w:t>
      </w:r>
      <w:r w:rsidR="00BB0212">
        <w:rPr>
          <w:kern w:val="22"/>
          <w:szCs w:val="22"/>
          <w:lang w:val="fr-CA"/>
        </w:rPr>
        <w:t>assurer</w:t>
      </w:r>
      <w:r w:rsidR="00B12CB8" w:rsidRPr="00B26B5B">
        <w:rPr>
          <w:kern w:val="22"/>
          <w:szCs w:val="22"/>
          <w:lang w:val="fr-CA"/>
        </w:rPr>
        <w:t xml:space="preserve"> des revenus et des profits (paiements pour les services écosystémiques) tout en évitant d’appauvrir davantage la diversité biologique</w:t>
      </w:r>
      <w:r w:rsidR="006B7EB9" w:rsidRPr="00B26B5B">
        <w:rPr>
          <w:kern w:val="22"/>
          <w:szCs w:val="22"/>
          <w:lang w:val="fr-CA"/>
        </w:rPr>
        <w:t>.</w:t>
      </w:r>
    </w:p>
    <w:p w:rsidR="00E15EF6" w:rsidRPr="00B26B5B" w:rsidRDefault="00B12CB8" w:rsidP="00C33570">
      <w:pPr>
        <w:pStyle w:val="Para1"/>
        <w:suppressLineNumbers/>
        <w:tabs>
          <w:tab w:val="clear" w:pos="360"/>
          <w:tab w:val="num" w:pos="720"/>
        </w:tabs>
        <w:suppressAutoHyphens/>
        <w:rPr>
          <w:kern w:val="22"/>
          <w:szCs w:val="22"/>
          <w:lang w:val="fr-CA"/>
        </w:rPr>
      </w:pPr>
      <w:r w:rsidRPr="00B26B5B">
        <w:rPr>
          <w:i/>
          <w:kern w:val="22"/>
          <w:szCs w:val="22"/>
          <w:lang w:val="fr-CA"/>
        </w:rPr>
        <w:t>Secteur privé</w:t>
      </w:r>
      <w:r w:rsidR="00CD0FC3">
        <w:rPr>
          <w:i/>
          <w:kern w:val="22"/>
          <w:szCs w:val="22"/>
          <w:lang w:val="fr-CA"/>
        </w:rPr>
        <w:t> </w:t>
      </w:r>
      <w:r w:rsidR="006B7EB9" w:rsidRPr="00B26B5B">
        <w:rPr>
          <w:kern w:val="22"/>
          <w:szCs w:val="22"/>
          <w:lang w:val="fr-CA"/>
        </w:rPr>
        <w:t xml:space="preserve">: </w:t>
      </w:r>
      <w:r w:rsidRPr="00B26B5B">
        <w:rPr>
          <w:kern w:val="22"/>
          <w:szCs w:val="22"/>
          <w:lang w:val="fr-CA"/>
        </w:rPr>
        <w:t xml:space="preserve">Le secteur privé doit </w:t>
      </w:r>
      <w:r w:rsidR="00D76E9D" w:rsidRPr="00B26B5B">
        <w:rPr>
          <w:kern w:val="22"/>
          <w:szCs w:val="22"/>
          <w:lang w:val="fr-CA"/>
        </w:rPr>
        <w:t>être encouragé</w:t>
      </w:r>
      <w:r w:rsidRPr="00B26B5B">
        <w:rPr>
          <w:kern w:val="22"/>
          <w:szCs w:val="22"/>
          <w:lang w:val="fr-CA"/>
        </w:rPr>
        <w:t xml:space="preserve"> </w:t>
      </w:r>
      <w:r w:rsidR="00D76E9D" w:rsidRPr="00B26B5B">
        <w:rPr>
          <w:kern w:val="22"/>
          <w:szCs w:val="22"/>
          <w:lang w:val="fr-CA"/>
        </w:rPr>
        <w:t xml:space="preserve">à </w:t>
      </w:r>
      <w:r w:rsidRPr="00B26B5B">
        <w:rPr>
          <w:kern w:val="22"/>
          <w:szCs w:val="22"/>
          <w:lang w:val="fr-CA"/>
        </w:rPr>
        <w:t>tenir le secteur des affaires et l’industrie plus responsable</w:t>
      </w:r>
      <w:r w:rsidR="00F70181">
        <w:rPr>
          <w:kern w:val="22"/>
          <w:szCs w:val="22"/>
          <w:lang w:val="fr-CA"/>
        </w:rPr>
        <w:t>s</w:t>
      </w:r>
      <w:r w:rsidR="00D76E9D" w:rsidRPr="00B26B5B">
        <w:rPr>
          <w:kern w:val="22"/>
          <w:szCs w:val="22"/>
          <w:lang w:val="fr-CA"/>
        </w:rPr>
        <w:t>, à le</w:t>
      </w:r>
      <w:r w:rsidR="00F70181">
        <w:rPr>
          <w:kern w:val="22"/>
          <w:szCs w:val="22"/>
          <w:lang w:val="fr-CA"/>
        </w:rPr>
        <w:t>s</w:t>
      </w:r>
      <w:r w:rsidR="00D76E9D" w:rsidRPr="00B26B5B">
        <w:rPr>
          <w:kern w:val="22"/>
          <w:szCs w:val="22"/>
          <w:lang w:val="fr-CA"/>
        </w:rPr>
        <w:t xml:space="preserve"> faire participer au financement national de la diversité biologique, et à veiller à ce qu’il</w:t>
      </w:r>
      <w:r w:rsidR="00F70181">
        <w:rPr>
          <w:kern w:val="22"/>
          <w:szCs w:val="22"/>
          <w:lang w:val="fr-CA"/>
        </w:rPr>
        <w:t>s</w:t>
      </w:r>
      <w:r w:rsidR="00D76E9D" w:rsidRPr="00B26B5B">
        <w:rPr>
          <w:kern w:val="22"/>
          <w:szCs w:val="22"/>
          <w:lang w:val="fr-CA"/>
        </w:rPr>
        <w:t xml:space="preserve"> respecte</w:t>
      </w:r>
      <w:r w:rsidR="00F70181">
        <w:rPr>
          <w:kern w:val="22"/>
          <w:szCs w:val="22"/>
          <w:lang w:val="fr-CA"/>
        </w:rPr>
        <w:t>nt leurs</w:t>
      </w:r>
      <w:r w:rsidR="00D76E9D" w:rsidRPr="00B26B5B">
        <w:rPr>
          <w:kern w:val="22"/>
          <w:szCs w:val="22"/>
          <w:lang w:val="fr-CA"/>
        </w:rPr>
        <w:t xml:space="preserve"> obligations de r</w:t>
      </w:r>
      <w:r w:rsidR="00F70181">
        <w:rPr>
          <w:kern w:val="22"/>
          <w:szCs w:val="22"/>
          <w:lang w:val="fr-CA"/>
        </w:rPr>
        <w:t>esponsabilité</w:t>
      </w:r>
      <w:r w:rsidR="00D76E9D" w:rsidRPr="00B26B5B">
        <w:rPr>
          <w:kern w:val="22"/>
          <w:szCs w:val="22"/>
          <w:lang w:val="fr-CA"/>
        </w:rPr>
        <w:t xml:space="preserve"> sociale</w:t>
      </w:r>
      <w:r w:rsidR="00F70181">
        <w:rPr>
          <w:kern w:val="22"/>
          <w:szCs w:val="22"/>
          <w:lang w:val="fr-CA"/>
        </w:rPr>
        <w:t xml:space="preserve"> d’entreprises</w:t>
      </w:r>
      <w:r w:rsidR="006B7EB9" w:rsidRPr="00B26B5B">
        <w:rPr>
          <w:kern w:val="22"/>
          <w:szCs w:val="22"/>
          <w:lang w:val="fr-CA"/>
        </w:rPr>
        <w:t>.</w:t>
      </w:r>
    </w:p>
    <w:p w:rsidR="00C17645" w:rsidRPr="00B26B5B" w:rsidRDefault="008B2929" w:rsidP="00C33570">
      <w:pPr>
        <w:pStyle w:val="Titre3"/>
        <w:suppressLineNumbers/>
        <w:suppressAutoHyphens/>
        <w:rPr>
          <w:kern w:val="22"/>
          <w:szCs w:val="22"/>
        </w:rPr>
      </w:pPr>
      <w:r w:rsidRPr="00B26B5B">
        <w:rPr>
          <w:kern w:val="22"/>
          <w:szCs w:val="22"/>
        </w:rPr>
        <w:t>5</w:t>
      </w:r>
      <w:r w:rsidR="008B22DB" w:rsidRPr="00B26B5B">
        <w:rPr>
          <w:kern w:val="22"/>
          <w:szCs w:val="22"/>
        </w:rPr>
        <w:t>.</w:t>
      </w:r>
      <w:r w:rsidR="008B22DB" w:rsidRPr="00B26B5B">
        <w:rPr>
          <w:kern w:val="22"/>
          <w:szCs w:val="22"/>
        </w:rPr>
        <w:tab/>
      </w:r>
      <w:r w:rsidR="00D27089" w:rsidRPr="00B26B5B">
        <w:rPr>
          <w:kern w:val="22"/>
          <w:szCs w:val="22"/>
          <w:lang w:val="fr-CA"/>
        </w:rPr>
        <w:t>Renforcement des capacités</w:t>
      </w:r>
    </w:p>
    <w:p w:rsidR="00F6778D" w:rsidRPr="00B26B5B" w:rsidRDefault="00E2272A" w:rsidP="00C33570">
      <w:pPr>
        <w:pStyle w:val="Para1"/>
        <w:suppressLineNumbers/>
        <w:tabs>
          <w:tab w:val="clear" w:pos="360"/>
        </w:tabs>
        <w:suppressAutoHyphens/>
        <w:rPr>
          <w:kern w:val="22"/>
          <w:szCs w:val="22"/>
          <w:lang w:val="fr-CA"/>
        </w:rPr>
      </w:pPr>
      <w:r>
        <w:rPr>
          <w:kern w:val="22"/>
          <w:szCs w:val="22"/>
          <w:lang w:val="fr-CA"/>
        </w:rPr>
        <w:t>Le</w:t>
      </w:r>
      <w:r w:rsidR="00C463A7" w:rsidRPr="00B26B5B">
        <w:rPr>
          <w:kern w:val="22"/>
          <w:szCs w:val="22"/>
          <w:lang w:val="fr-CA"/>
        </w:rPr>
        <w:t xml:space="preserve"> renforcement des capacités est une </w:t>
      </w:r>
      <w:r>
        <w:rPr>
          <w:kern w:val="22"/>
          <w:szCs w:val="22"/>
          <w:lang w:val="fr-CA"/>
        </w:rPr>
        <w:t xml:space="preserve">des </w:t>
      </w:r>
      <w:r w:rsidR="00C463A7" w:rsidRPr="00B26B5B">
        <w:rPr>
          <w:kern w:val="22"/>
          <w:szCs w:val="22"/>
          <w:lang w:val="fr-CA"/>
        </w:rPr>
        <w:t>méthode</w:t>
      </w:r>
      <w:r>
        <w:rPr>
          <w:kern w:val="22"/>
          <w:szCs w:val="22"/>
          <w:lang w:val="fr-CA"/>
        </w:rPr>
        <w:t>s</w:t>
      </w:r>
      <w:r w:rsidR="00C463A7" w:rsidRPr="00B26B5B">
        <w:rPr>
          <w:kern w:val="22"/>
          <w:szCs w:val="22"/>
          <w:lang w:val="fr-CA"/>
        </w:rPr>
        <w:t xml:space="preserve"> de mise en œuvre critique</w:t>
      </w:r>
      <w:r>
        <w:rPr>
          <w:kern w:val="22"/>
          <w:szCs w:val="22"/>
          <w:lang w:val="fr-CA"/>
        </w:rPr>
        <w:t>s</w:t>
      </w:r>
      <w:r w:rsidR="00C463A7" w:rsidRPr="00B26B5B">
        <w:rPr>
          <w:kern w:val="22"/>
          <w:szCs w:val="22"/>
          <w:lang w:val="fr-CA"/>
        </w:rPr>
        <w:t xml:space="preserve"> qui déterminera le succès ou l’échec du cadre mondial de la biodiversité pour l</w:t>
      </w:r>
      <w:r w:rsidR="00CD0FC3">
        <w:rPr>
          <w:kern w:val="22"/>
          <w:szCs w:val="22"/>
          <w:lang w:val="fr-CA"/>
        </w:rPr>
        <w:t>’</w:t>
      </w:r>
      <w:r w:rsidR="00C463A7" w:rsidRPr="00B26B5B">
        <w:rPr>
          <w:kern w:val="22"/>
          <w:szCs w:val="22"/>
          <w:lang w:val="fr-CA"/>
        </w:rPr>
        <w:t xml:space="preserve">après-2020. </w:t>
      </w:r>
      <w:r>
        <w:rPr>
          <w:kern w:val="22"/>
          <w:szCs w:val="22"/>
          <w:lang w:val="fr-CA"/>
        </w:rPr>
        <w:t>La</w:t>
      </w:r>
      <w:r w:rsidR="00C463A7" w:rsidRPr="00B26B5B">
        <w:rPr>
          <w:kern w:val="22"/>
          <w:szCs w:val="22"/>
          <w:lang w:val="fr-CA"/>
        </w:rPr>
        <w:t xml:space="preserve"> plupart des Parties en Afrique n’ont pas suffisamment de capacités individuelles, institutionnelles et systémiques pour mettre en œuvre la Convention et ses Protocoles efficacement, ce qui explique en partie pourquoi elles ont été incapables de r</w:t>
      </w:r>
      <w:r w:rsidR="0083218F">
        <w:rPr>
          <w:kern w:val="22"/>
          <w:szCs w:val="22"/>
          <w:lang w:val="fr-CA"/>
        </w:rPr>
        <w:t>éalise</w:t>
      </w:r>
      <w:r w:rsidR="00C463A7" w:rsidRPr="00B26B5B">
        <w:rPr>
          <w:kern w:val="22"/>
          <w:szCs w:val="22"/>
          <w:lang w:val="fr-CA"/>
        </w:rPr>
        <w:t>r la plupart des Objectifs d’Aichi pour la biodiversité</w:t>
      </w:r>
      <w:r w:rsidR="007D2B73" w:rsidRPr="00B26B5B">
        <w:rPr>
          <w:kern w:val="22"/>
          <w:szCs w:val="22"/>
          <w:lang w:val="fr-CA"/>
        </w:rPr>
        <w:t>.</w:t>
      </w:r>
    </w:p>
    <w:p w:rsidR="005137AE" w:rsidRPr="00B26B5B" w:rsidRDefault="00C463A7" w:rsidP="00C33570">
      <w:pPr>
        <w:pStyle w:val="Para1"/>
        <w:suppressLineNumbers/>
        <w:tabs>
          <w:tab w:val="clear" w:pos="360"/>
        </w:tabs>
        <w:suppressAutoHyphens/>
        <w:rPr>
          <w:kern w:val="22"/>
          <w:szCs w:val="22"/>
          <w:lang w:val="fr-CA"/>
        </w:rPr>
      </w:pPr>
      <w:r w:rsidRPr="00B26B5B">
        <w:rPr>
          <w:kern w:val="22"/>
          <w:szCs w:val="22"/>
          <w:lang w:val="fr-CA"/>
        </w:rPr>
        <w:t>Les participants ont débattu de l’état du renforcement des capacités dans la région au cours des dix dernières années et</w:t>
      </w:r>
      <w:r w:rsidR="007F5A10" w:rsidRPr="00B26B5B">
        <w:rPr>
          <w:kern w:val="22"/>
          <w:szCs w:val="22"/>
          <w:lang w:val="fr-CA"/>
        </w:rPr>
        <w:t xml:space="preserve"> </w:t>
      </w:r>
      <w:r w:rsidR="0083218F">
        <w:rPr>
          <w:kern w:val="22"/>
          <w:szCs w:val="22"/>
          <w:lang w:val="fr-CA"/>
        </w:rPr>
        <w:t>ont</w:t>
      </w:r>
      <w:r w:rsidR="007F5A10" w:rsidRPr="00B26B5B">
        <w:rPr>
          <w:kern w:val="22"/>
          <w:szCs w:val="22"/>
          <w:lang w:val="fr-CA"/>
        </w:rPr>
        <w:t xml:space="preserve"> relevé les faiblesses et les difficultés suivantes qui doivent être examinées et corrigées au cours de l’élaboration du cadre mondial de la biodiversité pour l</w:t>
      </w:r>
      <w:r w:rsidR="00CD0FC3">
        <w:rPr>
          <w:kern w:val="22"/>
          <w:szCs w:val="22"/>
          <w:lang w:val="fr-CA"/>
        </w:rPr>
        <w:t>’</w:t>
      </w:r>
      <w:r w:rsidR="007F5A10" w:rsidRPr="00B26B5B">
        <w:rPr>
          <w:kern w:val="22"/>
          <w:szCs w:val="22"/>
          <w:lang w:val="fr-CA"/>
        </w:rPr>
        <w:t xml:space="preserve">après-2020 et </w:t>
      </w:r>
      <w:r w:rsidR="0083218F">
        <w:rPr>
          <w:kern w:val="22"/>
          <w:szCs w:val="22"/>
          <w:lang w:val="fr-CA"/>
        </w:rPr>
        <w:t>du</w:t>
      </w:r>
      <w:r w:rsidR="007F5A10" w:rsidRPr="00B26B5B">
        <w:rPr>
          <w:kern w:val="22"/>
          <w:szCs w:val="22"/>
          <w:lang w:val="fr-CA"/>
        </w:rPr>
        <w:t xml:space="preserve"> cadre stratégique à long terme pour le renforcement des capacités après 2020</w:t>
      </w:r>
      <w:r w:rsidR="00CD0FC3">
        <w:rPr>
          <w:kern w:val="22"/>
          <w:szCs w:val="22"/>
          <w:lang w:val="fr-CA"/>
        </w:rPr>
        <w:t> </w:t>
      </w:r>
      <w:r w:rsidR="00B1366F" w:rsidRPr="00B26B5B">
        <w:rPr>
          <w:kern w:val="22"/>
          <w:szCs w:val="22"/>
          <w:lang w:val="fr-CA"/>
        </w:rPr>
        <w:t>:</w:t>
      </w:r>
    </w:p>
    <w:p w:rsidR="00D7403F" w:rsidRPr="00B26B5B" w:rsidRDefault="00697B79" w:rsidP="00C33570">
      <w:pPr>
        <w:pStyle w:val="Para1"/>
        <w:numPr>
          <w:ilvl w:val="1"/>
          <w:numId w:val="2"/>
        </w:numPr>
        <w:suppressLineNumbers/>
        <w:suppressAutoHyphens/>
        <w:rPr>
          <w:kern w:val="22"/>
          <w:szCs w:val="22"/>
          <w:lang w:val="fr-CA"/>
        </w:rPr>
      </w:pPr>
      <w:r w:rsidRPr="00B26B5B">
        <w:rPr>
          <w:i/>
          <w:kern w:val="22"/>
          <w:szCs w:val="22"/>
          <w:lang w:val="fr-CA"/>
        </w:rPr>
        <w:t>A</w:t>
      </w:r>
      <w:r w:rsidR="007F5A10" w:rsidRPr="00B26B5B">
        <w:rPr>
          <w:i/>
          <w:kern w:val="22"/>
          <w:szCs w:val="22"/>
          <w:lang w:val="fr-CA"/>
        </w:rPr>
        <w:t xml:space="preserve">bsence d’une </w:t>
      </w:r>
      <w:r w:rsidR="00B01109" w:rsidRPr="00B26B5B">
        <w:rPr>
          <w:i/>
          <w:kern w:val="22"/>
          <w:szCs w:val="22"/>
          <w:lang w:val="fr-CA"/>
        </w:rPr>
        <w:t>compré</w:t>
      </w:r>
      <w:r w:rsidR="007F5A10" w:rsidRPr="00B26B5B">
        <w:rPr>
          <w:i/>
          <w:kern w:val="22"/>
          <w:szCs w:val="22"/>
          <w:lang w:val="fr-CA"/>
        </w:rPr>
        <w:t xml:space="preserve">hension commune </w:t>
      </w:r>
      <w:r w:rsidR="00B01109" w:rsidRPr="00B26B5B">
        <w:rPr>
          <w:i/>
          <w:kern w:val="22"/>
          <w:szCs w:val="22"/>
          <w:lang w:val="fr-CA"/>
        </w:rPr>
        <w:t>de la signification</w:t>
      </w:r>
      <w:r w:rsidR="007F5A10" w:rsidRPr="00B26B5B">
        <w:rPr>
          <w:i/>
          <w:kern w:val="22"/>
          <w:szCs w:val="22"/>
          <w:lang w:val="fr-CA"/>
        </w:rPr>
        <w:t xml:space="preserve"> et de</w:t>
      </w:r>
      <w:r w:rsidR="00B01109" w:rsidRPr="00B26B5B">
        <w:rPr>
          <w:i/>
          <w:kern w:val="22"/>
          <w:szCs w:val="22"/>
          <w:lang w:val="fr-CA"/>
        </w:rPr>
        <w:t xml:space="preserve"> l’envergure du renforcement des capacités</w:t>
      </w:r>
      <w:r w:rsidR="00CD0FC3">
        <w:rPr>
          <w:i/>
          <w:kern w:val="22"/>
          <w:szCs w:val="22"/>
          <w:lang w:val="fr-CA"/>
        </w:rPr>
        <w:t> </w:t>
      </w:r>
      <w:r w:rsidR="00D7403F" w:rsidRPr="00B26B5B">
        <w:rPr>
          <w:kern w:val="22"/>
          <w:szCs w:val="22"/>
          <w:lang w:val="fr-CA"/>
        </w:rPr>
        <w:t xml:space="preserve">: </w:t>
      </w:r>
      <w:r w:rsidR="0083218F">
        <w:rPr>
          <w:kern w:val="22"/>
          <w:szCs w:val="22"/>
          <w:lang w:val="fr-CA"/>
        </w:rPr>
        <w:t>Le</w:t>
      </w:r>
      <w:r w:rsidR="00B01109" w:rsidRPr="00B26B5B">
        <w:rPr>
          <w:kern w:val="22"/>
          <w:szCs w:val="22"/>
          <w:lang w:val="fr-CA"/>
        </w:rPr>
        <w:t>s points de vue</w:t>
      </w:r>
      <w:r w:rsidR="0083218F">
        <w:rPr>
          <w:kern w:val="22"/>
          <w:szCs w:val="22"/>
          <w:lang w:val="fr-CA"/>
        </w:rPr>
        <w:t xml:space="preserve"> divergent</w:t>
      </w:r>
      <w:r w:rsidR="00B01109" w:rsidRPr="00B26B5B">
        <w:rPr>
          <w:kern w:val="22"/>
          <w:szCs w:val="22"/>
          <w:lang w:val="fr-CA"/>
        </w:rPr>
        <w:t xml:space="preserve"> sur la signification du renforcement des capacités. Il ne s’agit parfois que de formation. Les nombreuses définitions et façons de comprendre le sens de l’expression</w:t>
      </w:r>
      <w:r w:rsidRPr="00B26B5B">
        <w:rPr>
          <w:kern w:val="22"/>
          <w:szCs w:val="22"/>
          <w:lang w:val="fr-CA"/>
        </w:rPr>
        <w:t xml:space="preserve"> créent de la confusion chez les donateurs, et les fournisseurs et bénéficiaires du renforcement des capacités</w:t>
      </w:r>
      <w:r w:rsidR="00B92D18">
        <w:rPr>
          <w:kern w:val="22"/>
          <w:szCs w:val="22"/>
          <w:lang w:val="fr-CA"/>
        </w:rPr>
        <w:t>;</w:t>
      </w:r>
    </w:p>
    <w:p w:rsidR="00D2486E" w:rsidRPr="00B26B5B" w:rsidRDefault="00697B79" w:rsidP="00C33570">
      <w:pPr>
        <w:pStyle w:val="Para1"/>
        <w:numPr>
          <w:ilvl w:val="1"/>
          <w:numId w:val="2"/>
        </w:numPr>
        <w:suppressLineNumbers/>
        <w:suppressAutoHyphens/>
        <w:rPr>
          <w:kern w:val="22"/>
          <w:szCs w:val="22"/>
          <w:lang w:val="fr-CA"/>
        </w:rPr>
      </w:pPr>
      <w:r w:rsidRPr="00B26B5B">
        <w:rPr>
          <w:i/>
          <w:kern w:val="22"/>
          <w:szCs w:val="22"/>
          <w:lang w:val="fr-CA"/>
        </w:rPr>
        <w:t>Absence d’orientation stratégique</w:t>
      </w:r>
      <w:r w:rsidR="00CD0FC3">
        <w:rPr>
          <w:i/>
          <w:kern w:val="22"/>
          <w:szCs w:val="22"/>
          <w:lang w:val="fr-CA"/>
        </w:rPr>
        <w:t> </w:t>
      </w:r>
      <w:r w:rsidR="00705714" w:rsidRPr="00B26B5B">
        <w:rPr>
          <w:kern w:val="22"/>
          <w:szCs w:val="22"/>
          <w:lang w:val="fr-CA"/>
        </w:rPr>
        <w:t xml:space="preserve">: </w:t>
      </w:r>
      <w:r w:rsidRPr="00B26B5B">
        <w:rPr>
          <w:kern w:val="22"/>
          <w:szCs w:val="22"/>
          <w:lang w:val="fr-CA"/>
        </w:rPr>
        <w:t xml:space="preserve">La Conférence des Parties a adopté un plan à court terme de renforcement des capacités en 2016, plus de six ans après le lancement du Plan stratégique pour la diversité biologique 2011-2020. La Convention n’a </w:t>
      </w:r>
      <w:r w:rsidR="00723281" w:rsidRPr="00B26B5B">
        <w:rPr>
          <w:kern w:val="22"/>
          <w:szCs w:val="22"/>
          <w:lang w:val="fr-CA"/>
        </w:rPr>
        <w:t xml:space="preserve">longtemps </w:t>
      </w:r>
      <w:r w:rsidRPr="00B26B5B">
        <w:rPr>
          <w:kern w:val="22"/>
          <w:szCs w:val="22"/>
          <w:lang w:val="fr-CA"/>
        </w:rPr>
        <w:t xml:space="preserve">eu aucun cadre d’orientation fournissant une direction stratégique et </w:t>
      </w:r>
      <w:r w:rsidR="00723281" w:rsidRPr="00B26B5B">
        <w:rPr>
          <w:kern w:val="22"/>
          <w:szCs w:val="22"/>
          <w:lang w:val="fr-CA"/>
        </w:rPr>
        <w:t>favorisant une approche complète et cohérente en matière de renforcement des capacités</w:t>
      </w:r>
      <w:r w:rsidR="00B92D18">
        <w:rPr>
          <w:kern w:val="22"/>
          <w:szCs w:val="22"/>
          <w:lang w:val="fr-CA"/>
        </w:rPr>
        <w:t>;</w:t>
      </w:r>
    </w:p>
    <w:p w:rsidR="00CF3D87" w:rsidRPr="00B26B5B" w:rsidRDefault="00C12E82" w:rsidP="00C33570">
      <w:pPr>
        <w:pStyle w:val="Para1"/>
        <w:numPr>
          <w:ilvl w:val="1"/>
          <w:numId w:val="2"/>
        </w:numPr>
        <w:suppressLineNumbers/>
        <w:suppressAutoHyphens/>
        <w:rPr>
          <w:kern w:val="22"/>
          <w:szCs w:val="22"/>
          <w:lang w:val="fr-CA"/>
        </w:rPr>
      </w:pPr>
      <w:r>
        <w:rPr>
          <w:i/>
          <w:kern w:val="22"/>
          <w:szCs w:val="22"/>
          <w:lang w:val="fr-CA"/>
        </w:rPr>
        <w:t>Manque d’a</w:t>
      </w:r>
      <w:r w:rsidR="00723281" w:rsidRPr="00B26B5B">
        <w:rPr>
          <w:i/>
          <w:kern w:val="22"/>
          <w:szCs w:val="22"/>
          <w:lang w:val="fr-CA"/>
        </w:rPr>
        <w:t>ppropriation par le pays</w:t>
      </w:r>
      <w:r w:rsidR="00CD0FC3">
        <w:rPr>
          <w:i/>
          <w:kern w:val="22"/>
          <w:szCs w:val="22"/>
          <w:lang w:val="fr-CA"/>
        </w:rPr>
        <w:t> </w:t>
      </w:r>
      <w:r w:rsidR="00CF3D87" w:rsidRPr="00B26B5B">
        <w:rPr>
          <w:kern w:val="22"/>
          <w:szCs w:val="22"/>
          <w:lang w:val="fr-CA"/>
        </w:rPr>
        <w:t xml:space="preserve">: </w:t>
      </w:r>
      <w:r w:rsidR="00007F6F" w:rsidRPr="00B26B5B">
        <w:rPr>
          <w:kern w:val="22"/>
          <w:szCs w:val="22"/>
          <w:lang w:val="fr-CA"/>
        </w:rPr>
        <w:t>Plusieurs projets de renforcement des capacités de la région sont axés sur les donateurs</w:t>
      </w:r>
      <w:r>
        <w:rPr>
          <w:kern w:val="22"/>
          <w:szCs w:val="22"/>
          <w:lang w:val="fr-CA"/>
        </w:rPr>
        <w:t>, et les</w:t>
      </w:r>
      <w:r w:rsidR="00007F6F" w:rsidRPr="00B26B5B">
        <w:rPr>
          <w:kern w:val="22"/>
          <w:szCs w:val="22"/>
          <w:lang w:val="fr-CA"/>
        </w:rPr>
        <w:t xml:space="preserve"> agences gouvernementales concernées et </w:t>
      </w:r>
      <w:r>
        <w:rPr>
          <w:kern w:val="22"/>
          <w:szCs w:val="22"/>
          <w:lang w:val="fr-CA"/>
        </w:rPr>
        <w:t>les</w:t>
      </w:r>
      <w:r w:rsidR="00007F6F" w:rsidRPr="00B26B5B">
        <w:rPr>
          <w:kern w:val="22"/>
          <w:szCs w:val="22"/>
          <w:lang w:val="fr-CA"/>
        </w:rPr>
        <w:t xml:space="preserve"> publics cibles</w:t>
      </w:r>
      <w:r>
        <w:rPr>
          <w:kern w:val="22"/>
          <w:szCs w:val="22"/>
          <w:lang w:val="fr-CA"/>
        </w:rPr>
        <w:t xml:space="preserve"> ne s’en sont pas entièrement appropriés</w:t>
      </w:r>
      <w:r w:rsidR="00007F6F" w:rsidRPr="00B26B5B">
        <w:rPr>
          <w:kern w:val="22"/>
          <w:szCs w:val="22"/>
          <w:lang w:val="fr-CA"/>
        </w:rPr>
        <w:t xml:space="preserve">. </w:t>
      </w:r>
      <w:r w:rsidR="00831FC6" w:rsidRPr="00B26B5B">
        <w:rPr>
          <w:kern w:val="22"/>
          <w:szCs w:val="22"/>
          <w:lang w:val="fr-CA"/>
        </w:rPr>
        <w:t xml:space="preserve">Les agences gouvernementales responsables appuient les programmes, dans certains cas, mais ne participent pas entièrement à la détermination du champ d’application de ces projets. Par conséquent, certains projets ne reflètent pas les priorités, les intérêts et les souhaits du gouvernement, et d’un </w:t>
      </w:r>
      <w:r w:rsidR="00464EB4">
        <w:rPr>
          <w:kern w:val="22"/>
          <w:szCs w:val="22"/>
          <w:lang w:val="fr-CA"/>
        </w:rPr>
        <w:t>vaste éventail de parties prenantes.</w:t>
      </w:r>
      <w:r w:rsidR="00831FC6" w:rsidRPr="00B26B5B">
        <w:rPr>
          <w:kern w:val="22"/>
          <w:szCs w:val="22"/>
          <w:lang w:val="fr-CA"/>
        </w:rPr>
        <w:t xml:space="preserve"> Les mesures de renforcement des capacités sont parfois déterminé</w:t>
      </w:r>
      <w:r w:rsidR="00464EB4">
        <w:rPr>
          <w:kern w:val="22"/>
          <w:szCs w:val="22"/>
          <w:lang w:val="fr-CA"/>
        </w:rPr>
        <w:t>e</w:t>
      </w:r>
      <w:r w:rsidR="009B2D7C">
        <w:rPr>
          <w:kern w:val="22"/>
          <w:szCs w:val="22"/>
          <w:lang w:val="fr-CA"/>
        </w:rPr>
        <w:t>s par le financement de</w:t>
      </w:r>
      <w:r w:rsidR="00831FC6" w:rsidRPr="00B26B5B">
        <w:rPr>
          <w:kern w:val="22"/>
          <w:szCs w:val="22"/>
          <w:lang w:val="fr-CA"/>
        </w:rPr>
        <w:t xml:space="preserve"> donateurs disponible. Les gouvernements utilisent les fonds réservés</w:t>
      </w:r>
      <w:r w:rsidR="00464EB4">
        <w:rPr>
          <w:kern w:val="22"/>
          <w:szCs w:val="22"/>
          <w:lang w:val="fr-CA"/>
        </w:rPr>
        <w:t xml:space="preserve"> au renforcement des capacités s</w:t>
      </w:r>
      <w:r w:rsidR="00831FC6" w:rsidRPr="00B26B5B">
        <w:rPr>
          <w:kern w:val="22"/>
          <w:szCs w:val="22"/>
          <w:lang w:val="fr-CA"/>
        </w:rPr>
        <w:t>ans stratégie définie, de besoin évalué</w:t>
      </w:r>
      <w:r w:rsidR="00464EB4">
        <w:rPr>
          <w:kern w:val="22"/>
          <w:szCs w:val="22"/>
          <w:lang w:val="fr-CA"/>
        </w:rPr>
        <w:t>s</w:t>
      </w:r>
      <w:r w:rsidR="00831FC6" w:rsidRPr="00B26B5B">
        <w:rPr>
          <w:kern w:val="22"/>
          <w:szCs w:val="22"/>
          <w:lang w:val="fr-CA"/>
        </w:rPr>
        <w:t xml:space="preserve"> ou de résultats clairs souhaités</w:t>
      </w:r>
      <w:r w:rsidR="00B92D18">
        <w:rPr>
          <w:kern w:val="22"/>
          <w:szCs w:val="22"/>
          <w:lang w:val="fr-CA"/>
        </w:rPr>
        <w:t>;</w:t>
      </w:r>
    </w:p>
    <w:p w:rsidR="00051A70" w:rsidRPr="00B26B5B" w:rsidRDefault="00A75F2B" w:rsidP="00C33570">
      <w:pPr>
        <w:pStyle w:val="Para1"/>
        <w:numPr>
          <w:ilvl w:val="1"/>
          <w:numId w:val="2"/>
        </w:numPr>
        <w:suppressLineNumbers/>
        <w:suppressAutoHyphens/>
        <w:rPr>
          <w:kern w:val="22"/>
          <w:szCs w:val="22"/>
          <w:lang w:val="fr-CA"/>
        </w:rPr>
      </w:pPr>
      <w:r w:rsidRPr="00B26B5B">
        <w:rPr>
          <w:i/>
          <w:kern w:val="22"/>
          <w:szCs w:val="22"/>
          <w:lang w:val="fr-CA"/>
        </w:rPr>
        <w:t>Couverture thématique incomplète</w:t>
      </w:r>
      <w:r w:rsidR="00CD0FC3">
        <w:rPr>
          <w:i/>
          <w:kern w:val="22"/>
          <w:szCs w:val="22"/>
          <w:lang w:val="fr-CA"/>
        </w:rPr>
        <w:t> </w:t>
      </w:r>
      <w:r w:rsidR="00D7403F" w:rsidRPr="00B26B5B">
        <w:rPr>
          <w:kern w:val="22"/>
          <w:szCs w:val="22"/>
          <w:lang w:val="fr-CA"/>
        </w:rPr>
        <w:t xml:space="preserve">: </w:t>
      </w:r>
      <w:r w:rsidRPr="00B26B5B">
        <w:rPr>
          <w:kern w:val="22"/>
          <w:szCs w:val="22"/>
          <w:lang w:val="fr-CA"/>
        </w:rPr>
        <w:t xml:space="preserve">Plusieurs secteurs thématiques de la Convention et de ses Protocoles ne </w:t>
      </w:r>
      <w:r w:rsidR="00464EB4">
        <w:rPr>
          <w:kern w:val="22"/>
          <w:szCs w:val="22"/>
          <w:lang w:val="fr-CA"/>
        </w:rPr>
        <w:t>font</w:t>
      </w:r>
      <w:r w:rsidRPr="00B26B5B">
        <w:rPr>
          <w:kern w:val="22"/>
          <w:szCs w:val="22"/>
          <w:lang w:val="fr-CA"/>
        </w:rPr>
        <w:t xml:space="preserve"> </w:t>
      </w:r>
      <w:r w:rsidR="00464EB4">
        <w:rPr>
          <w:kern w:val="22"/>
          <w:szCs w:val="22"/>
          <w:lang w:val="fr-CA"/>
        </w:rPr>
        <w:t>encore</w:t>
      </w:r>
      <w:r w:rsidRPr="00B26B5B">
        <w:rPr>
          <w:kern w:val="22"/>
          <w:szCs w:val="22"/>
          <w:lang w:val="fr-CA"/>
        </w:rPr>
        <w:t xml:space="preserve"> que partiellement </w:t>
      </w:r>
      <w:r w:rsidR="00464EB4">
        <w:rPr>
          <w:kern w:val="22"/>
          <w:szCs w:val="22"/>
          <w:lang w:val="fr-CA"/>
        </w:rPr>
        <w:t>l’objet</w:t>
      </w:r>
      <w:r w:rsidRPr="00B26B5B">
        <w:rPr>
          <w:kern w:val="22"/>
          <w:szCs w:val="22"/>
          <w:lang w:val="fr-CA"/>
        </w:rPr>
        <w:t xml:space="preserve"> de projets de renforcement des capacités et ont besoin de plus d’attention. Par exemple, </w:t>
      </w:r>
      <w:r w:rsidR="008767E7" w:rsidRPr="00B26B5B">
        <w:rPr>
          <w:kern w:val="22"/>
          <w:szCs w:val="22"/>
          <w:lang w:val="fr-CA"/>
        </w:rPr>
        <w:t xml:space="preserve">les </w:t>
      </w:r>
      <w:r w:rsidR="00166F4A">
        <w:rPr>
          <w:kern w:val="22"/>
          <w:szCs w:val="22"/>
          <w:lang w:val="fr-CA"/>
        </w:rPr>
        <w:t>secteurs</w:t>
      </w:r>
      <w:r w:rsidR="008767E7" w:rsidRPr="00B26B5B">
        <w:rPr>
          <w:kern w:val="22"/>
          <w:szCs w:val="22"/>
          <w:lang w:val="fr-CA"/>
        </w:rPr>
        <w:t xml:space="preserve"> thématiques, tels que les impacts socioéconomiques des organismes vivants modifiés et le partage des avantages (surtout les processus de permis d’accès), et les capacités fonctionnelles, telles que le renforcement des capacités institutionnelles, le développement de projets, la mobilisation des ressources, les communications et l’établissement de rapports nationaux) ont besoin de capacités techniques</w:t>
      </w:r>
      <w:r w:rsidR="00B92D18">
        <w:rPr>
          <w:kern w:val="22"/>
          <w:szCs w:val="22"/>
          <w:lang w:val="fr-CA"/>
        </w:rPr>
        <w:t>;</w:t>
      </w:r>
    </w:p>
    <w:p w:rsidR="0001470C" w:rsidRPr="00B26B5B" w:rsidRDefault="00AD5897" w:rsidP="00C33570">
      <w:pPr>
        <w:pStyle w:val="Para1"/>
        <w:numPr>
          <w:ilvl w:val="1"/>
          <w:numId w:val="2"/>
        </w:numPr>
        <w:suppressLineNumbers/>
        <w:suppressAutoHyphens/>
        <w:rPr>
          <w:kern w:val="22"/>
          <w:szCs w:val="22"/>
          <w:lang w:val="fr-CA"/>
        </w:rPr>
      </w:pPr>
      <w:r w:rsidRPr="00B26B5B">
        <w:rPr>
          <w:i/>
          <w:kern w:val="22"/>
          <w:szCs w:val="22"/>
          <w:lang w:val="fr-CA"/>
        </w:rPr>
        <w:lastRenderedPageBreak/>
        <w:t>Couverture régionale inégale</w:t>
      </w:r>
      <w:r w:rsidR="00CD0FC3">
        <w:rPr>
          <w:i/>
          <w:kern w:val="22"/>
          <w:szCs w:val="22"/>
          <w:lang w:val="fr-CA"/>
        </w:rPr>
        <w:t> </w:t>
      </w:r>
      <w:r w:rsidR="00FA3B28" w:rsidRPr="00B26B5B">
        <w:rPr>
          <w:kern w:val="22"/>
          <w:szCs w:val="22"/>
          <w:lang w:val="fr-CA"/>
        </w:rPr>
        <w:t xml:space="preserve">: </w:t>
      </w:r>
      <w:r w:rsidRPr="00B26B5B">
        <w:rPr>
          <w:kern w:val="22"/>
          <w:szCs w:val="22"/>
          <w:lang w:val="fr-CA"/>
        </w:rPr>
        <w:t>Les projets de renforcement des capacités ne sont pas répartis équitablement dans la région. Par exemple, l’Afrique de l’Ouest accuse du retard en matière de couverture des projets de renforcement des capacités pour la diversité biologique et d’occasions d’apprentissage</w:t>
      </w:r>
      <w:r w:rsidR="00B92D18">
        <w:rPr>
          <w:kern w:val="22"/>
          <w:szCs w:val="22"/>
          <w:lang w:val="fr-CA"/>
        </w:rPr>
        <w:t>;</w:t>
      </w:r>
    </w:p>
    <w:p w:rsidR="00DD4C3B" w:rsidRPr="00B26B5B" w:rsidRDefault="00AD5897" w:rsidP="00C33570">
      <w:pPr>
        <w:pStyle w:val="Para1"/>
        <w:numPr>
          <w:ilvl w:val="1"/>
          <w:numId w:val="2"/>
        </w:numPr>
        <w:suppressLineNumbers/>
        <w:suppressAutoHyphens/>
        <w:rPr>
          <w:kern w:val="22"/>
          <w:szCs w:val="22"/>
          <w:lang w:val="fr-CA"/>
        </w:rPr>
      </w:pPr>
      <w:r w:rsidRPr="00B26B5B">
        <w:rPr>
          <w:i/>
          <w:kern w:val="22"/>
          <w:szCs w:val="22"/>
          <w:lang w:val="fr-CA"/>
        </w:rPr>
        <w:t xml:space="preserve">Absence d’évaluation des besoins et </w:t>
      </w:r>
      <w:r w:rsidR="003D2E3D" w:rsidRPr="00B26B5B">
        <w:rPr>
          <w:i/>
          <w:kern w:val="22"/>
          <w:szCs w:val="22"/>
          <w:lang w:val="fr-CA"/>
        </w:rPr>
        <w:t>de bilan</w:t>
      </w:r>
      <w:r w:rsidR="00E55918">
        <w:rPr>
          <w:i/>
          <w:kern w:val="22"/>
          <w:szCs w:val="22"/>
          <w:lang w:val="fr-CA"/>
        </w:rPr>
        <w:t>s</w:t>
      </w:r>
      <w:r w:rsidR="003D2E3D" w:rsidRPr="00B26B5B">
        <w:rPr>
          <w:i/>
          <w:kern w:val="22"/>
          <w:szCs w:val="22"/>
          <w:lang w:val="fr-CA"/>
        </w:rPr>
        <w:t xml:space="preserve"> systématiques</w:t>
      </w:r>
      <w:r w:rsidR="00CD0FC3">
        <w:rPr>
          <w:i/>
          <w:kern w:val="22"/>
          <w:szCs w:val="22"/>
          <w:lang w:val="fr-CA"/>
        </w:rPr>
        <w:t> </w:t>
      </w:r>
      <w:r w:rsidR="008D1CFC" w:rsidRPr="00B26B5B">
        <w:rPr>
          <w:kern w:val="22"/>
          <w:szCs w:val="22"/>
          <w:lang w:val="fr-CA"/>
        </w:rPr>
        <w:t xml:space="preserve">: </w:t>
      </w:r>
      <w:r w:rsidR="003D2E3D" w:rsidRPr="00B26B5B">
        <w:rPr>
          <w:kern w:val="22"/>
          <w:szCs w:val="22"/>
          <w:lang w:val="fr-CA"/>
        </w:rPr>
        <w:t>Les interventions de renforcement des capacités ne répondent pas toujours à un besoin exprimé des Parties ou d’un autre public cible, et ne dressent pas le bilan, ne développent pas et n’utilisent pas les capacités existantes. Certaines évaluations des besoins et bilans sont réalisés lors du dévelo</w:t>
      </w:r>
      <w:r w:rsidR="00AF7288" w:rsidRPr="00B26B5B">
        <w:rPr>
          <w:kern w:val="22"/>
          <w:szCs w:val="22"/>
          <w:lang w:val="fr-CA"/>
        </w:rPr>
        <w:t>ppement de projet</w:t>
      </w:r>
      <w:r w:rsidR="003D2E3D" w:rsidRPr="00B26B5B">
        <w:rPr>
          <w:kern w:val="22"/>
          <w:szCs w:val="22"/>
          <w:lang w:val="fr-CA"/>
        </w:rPr>
        <w:t>s</w:t>
      </w:r>
      <w:r w:rsidR="00AF7288" w:rsidRPr="00B26B5B">
        <w:rPr>
          <w:kern w:val="22"/>
          <w:szCs w:val="22"/>
          <w:lang w:val="fr-CA"/>
        </w:rPr>
        <w:t xml:space="preserve"> </w:t>
      </w:r>
      <w:r w:rsidR="002C7BA3">
        <w:rPr>
          <w:kern w:val="22"/>
          <w:szCs w:val="22"/>
          <w:lang w:val="fr-CA"/>
        </w:rPr>
        <w:t xml:space="preserve">et d’activités </w:t>
      </w:r>
      <w:r w:rsidR="00AF7288" w:rsidRPr="00B26B5B">
        <w:rPr>
          <w:kern w:val="22"/>
          <w:szCs w:val="22"/>
          <w:lang w:val="fr-CA"/>
        </w:rPr>
        <w:t>précis (</w:t>
      </w:r>
      <w:r w:rsidR="003D2E3D" w:rsidRPr="00B26B5B">
        <w:rPr>
          <w:kern w:val="22"/>
          <w:szCs w:val="22"/>
          <w:lang w:val="fr-CA"/>
        </w:rPr>
        <w:t>tels que les cours de formation), mais ces évaluations ne sont pas systémati</w:t>
      </w:r>
      <w:r w:rsidR="002C7BA3">
        <w:rPr>
          <w:kern w:val="22"/>
          <w:szCs w:val="22"/>
          <w:lang w:val="fr-CA"/>
        </w:rPr>
        <w:t>sées</w:t>
      </w:r>
      <w:r w:rsidR="003D2E3D" w:rsidRPr="00B26B5B">
        <w:rPr>
          <w:kern w:val="22"/>
          <w:szCs w:val="22"/>
          <w:lang w:val="fr-CA"/>
        </w:rPr>
        <w:t xml:space="preserve">, </w:t>
      </w:r>
      <w:r w:rsidR="002C7BA3">
        <w:rPr>
          <w:kern w:val="22"/>
          <w:szCs w:val="22"/>
          <w:lang w:val="fr-CA"/>
        </w:rPr>
        <w:t>en général</w:t>
      </w:r>
      <w:r w:rsidR="003D2E3D" w:rsidRPr="00B26B5B">
        <w:rPr>
          <w:kern w:val="22"/>
          <w:szCs w:val="22"/>
          <w:lang w:val="fr-CA"/>
        </w:rPr>
        <w:t>, ni analysées au niv</w:t>
      </w:r>
      <w:r w:rsidR="00AF7288" w:rsidRPr="00B26B5B">
        <w:rPr>
          <w:kern w:val="22"/>
          <w:szCs w:val="22"/>
          <w:lang w:val="fr-CA"/>
        </w:rPr>
        <w:t>e</w:t>
      </w:r>
      <w:r w:rsidR="003D2E3D" w:rsidRPr="00B26B5B">
        <w:rPr>
          <w:kern w:val="22"/>
          <w:szCs w:val="22"/>
          <w:lang w:val="fr-CA"/>
        </w:rPr>
        <w:t>au organisationnel ou systémique</w:t>
      </w:r>
      <w:r w:rsidR="00B92D18">
        <w:rPr>
          <w:kern w:val="22"/>
          <w:szCs w:val="22"/>
          <w:lang w:val="fr-CA"/>
        </w:rPr>
        <w:t>;</w:t>
      </w:r>
    </w:p>
    <w:p w:rsidR="00A17A2E" w:rsidRPr="00B26B5B" w:rsidRDefault="00AF7288" w:rsidP="00C33570">
      <w:pPr>
        <w:pStyle w:val="Para1"/>
        <w:numPr>
          <w:ilvl w:val="1"/>
          <w:numId w:val="2"/>
        </w:numPr>
        <w:suppressLineNumbers/>
        <w:suppressAutoHyphens/>
        <w:rPr>
          <w:kern w:val="22"/>
          <w:szCs w:val="22"/>
          <w:lang w:val="fr-CA"/>
        </w:rPr>
      </w:pPr>
      <w:r w:rsidRPr="00B26B5B">
        <w:rPr>
          <w:i/>
          <w:kern w:val="22"/>
          <w:szCs w:val="22"/>
          <w:lang w:val="fr-CA"/>
        </w:rPr>
        <w:t>Absence de valeurs de référence et d’indicateurs pour mesurer les impacts</w:t>
      </w:r>
      <w:r w:rsidR="00CD0FC3">
        <w:rPr>
          <w:i/>
          <w:kern w:val="22"/>
          <w:szCs w:val="22"/>
          <w:lang w:val="fr-CA"/>
        </w:rPr>
        <w:t> </w:t>
      </w:r>
      <w:r w:rsidR="00AF1BB2" w:rsidRPr="00B26B5B">
        <w:rPr>
          <w:kern w:val="22"/>
          <w:szCs w:val="22"/>
          <w:lang w:val="fr-CA"/>
        </w:rPr>
        <w:t xml:space="preserve">: </w:t>
      </w:r>
      <w:r w:rsidRPr="00B26B5B">
        <w:rPr>
          <w:kern w:val="22"/>
          <w:szCs w:val="22"/>
          <w:lang w:val="fr-CA"/>
        </w:rPr>
        <w:t>Les participants ont indiqué qu’il n’existe actuellement aucune valeur de référence ni repère pour suivre</w:t>
      </w:r>
      <w:r w:rsidR="009F0B59" w:rsidRPr="00B26B5B">
        <w:rPr>
          <w:kern w:val="22"/>
          <w:szCs w:val="22"/>
          <w:lang w:val="fr-CA"/>
        </w:rPr>
        <w:t xml:space="preserve"> </w:t>
      </w:r>
      <w:r w:rsidRPr="00B26B5B">
        <w:rPr>
          <w:kern w:val="22"/>
          <w:szCs w:val="22"/>
          <w:lang w:val="fr-CA"/>
        </w:rPr>
        <w:t>les progrès efficacement et mesurer les résultats et les impacts des interventions de renforcement des capacités et des investissements aux niveaux national et mondial</w:t>
      </w:r>
      <w:r w:rsidR="009F0B59" w:rsidRPr="00B26B5B">
        <w:rPr>
          <w:kern w:val="22"/>
          <w:szCs w:val="22"/>
          <w:lang w:val="fr-CA"/>
        </w:rPr>
        <w:t>, ce qui rend difficile l’établissement et la communication des contributions importantes aux efforts de renforcement des capacités aux décideurs et donateurs</w:t>
      </w:r>
      <w:r w:rsidR="00B92D18">
        <w:rPr>
          <w:kern w:val="22"/>
          <w:szCs w:val="22"/>
          <w:lang w:val="fr-CA"/>
        </w:rPr>
        <w:t>;</w:t>
      </w:r>
    </w:p>
    <w:p w:rsidR="00290F14" w:rsidRPr="00B26B5B" w:rsidRDefault="009F0B59" w:rsidP="00C33570">
      <w:pPr>
        <w:pStyle w:val="Para1"/>
        <w:numPr>
          <w:ilvl w:val="1"/>
          <w:numId w:val="2"/>
        </w:numPr>
        <w:suppressLineNumbers/>
        <w:suppressAutoHyphens/>
        <w:rPr>
          <w:kern w:val="22"/>
          <w:szCs w:val="22"/>
          <w:lang w:val="fr-CA"/>
        </w:rPr>
      </w:pPr>
      <w:r w:rsidRPr="00B26B5B">
        <w:rPr>
          <w:i/>
          <w:kern w:val="22"/>
          <w:szCs w:val="22"/>
          <w:lang w:val="fr-CA"/>
        </w:rPr>
        <w:t>Interventions de courte durée</w:t>
      </w:r>
      <w:r w:rsidR="00CD0FC3">
        <w:rPr>
          <w:i/>
          <w:kern w:val="22"/>
          <w:szCs w:val="22"/>
          <w:lang w:val="fr-CA"/>
        </w:rPr>
        <w:t> </w:t>
      </w:r>
      <w:r w:rsidR="00290F14" w:rsidRPr="00B26B5B">
        <w:rPr>
          <w:kern w:val="22"/>
          <w:szCs w:val="22"/>
          <w:lang w:val="fr-CA"/>
        </w:rPr>
        <w:t xml:space="preserve">: </w:t>
      </w:r>
      <w:r w:rsidR="002C7BA3">
        <w:rPr>
          <w:kern w:val="22"/>
          <w:szCs w:val="22"/>
          <w:lang w:val="fr-CA"/>
        </w:rPr>
        <w:t>Les</w:t>
      </w:r>
      <w:r w:rsidRPr="00B26B5B">
        <w:rPr>
          <w:kern w:val="22"/>
          <w:szCs w:val="22"/>
          <w:lang w:val="fr-CA"/>
        </w:rPr>
        <w:t xml:space="preserve"> interventions sont généralement de courte durée. </w:t>
      </w:r>
      <w:r w:rsidR="002C7BA3">
        <w:rPr>
          <w:kern w:val="22"/>
          <w:szCs w:val="22"/>
          <w:lang w:val="fr-CA"/>
        </w:rPr>
        <w:t xml:space="preserve">Il faut </w:t>
      </w:r>
      <w:r w:rsidRPr="00B26B5B">
        <w:rPr>
          <w:kern w:val="22"/>
          <w:szCs w:val="22"/>
          <w:lang w:val="fr-CA"/>
        </w:rPr>
        <w:t xml:space="preserve">encourager les programmes de longue durée, </w:t>
      </w:r>
      <w:r w:rsidR="002C7BA3">
        <w:rPr>
          <w:kern w:val="22"/>
          <w:szCs w:val="22"/>
          <w:lang w:val="fr-CA"/>
        </w:rPr>
        <w:t>car</w:t>
      </w:r>
      <w:r w:rsidRPr="00B26B5B">
        <w:rPr>
          <w:kern w:val="22"/>
          <w:szCs w:val="22"/>
          <w:lang w:val="fr-CA"/>
        </w:rPr>
        <w:t xml:space="preserve"> le renforcement des capacités est habituellement un effort</w:t>
      </w:r>
      <w:r w:rsidR="00265875" w:rsidRPr="00B26B5B">
        <w:rPr>
          <w:kern w:val="22"/>
          <w:szCs w:val="22"/>
          <w:lang w:val="fr-CA"/>
        </w:rPr>
        <w:t xml:space="preserve"> de longue durée dont les répercussi</w:t>
      </w:r>
      <w:r w:rsidRPr="00B26B5B">
        <w:rPr>
          <w:kern w:val="22"/>
          <w:szCs w:val="22"/>
          <w:lang w:val="fr-CA"/>
        </w:rPr>
        <w:t>ons ne sont pas ressenties à court terme</w:t>
      </w:r>
      <w:r w:rsidR="00B92D18">
        <w:rPr>
          <w:kern w:val="22"/>
          <w:szCs w:val="22"/>
          <w:lang w:val="fr-CA"/>
        </w:rPr>
        <w:t>;</w:t>
      </w:r>
    </w:p>
    <w:p w:rsidR="00705714" w:rsidRPr="00B26B5B" w:rsidRDefault="00353F8C" w:rsidP="00C33570">
      <w:pPr>
        <w:pStyle w:val="Para1"/>
        <w:numPr>
          <w:ilvl w:val="1"/>
          <w:numId w:val="2"/>
        </w:numPr>
        <w:suppressLineNumbers/>
        <w:suppressAutoHyphens/>
        <w:rPr>
          <w:kern w:val="22"/>
          <w:szCs w:val="22"/>
          <w:lang w:val="fr-CA"/>
        </w:rPr>
      </w:pPr>
      <w:r>
        <w:rPr>
          <w:i/>
          <w:kern w:val="22"/>
          <w:szCs w:val="22"/>
          <w:lang w:val="fr-CA"/>
        </w:rPr>
        <w:t>I</w:t>
      </w:r>
      <w:r w:rsidR="00265875" w:rsidRPr="00B26B5B">
        <w:rPr>
          <w:i/>
          <w:kern w:val="22"/>
          <w:szCs w:val="22"/>
          <w:lang w:val="fr-CA"/>
        </w:rPr>
        <w:t>nterventions de renforcement des capacité</w:t>
      </w:r>
      <w:r w:rsidR="00CD0FC3">
        <w:rPr>
          <w:i/>
          <w:kern w:val="22"/>
          <w:szCs w:val="22"/>
          <w:lang w:val="fr-CA"/>
        </w:rPr>
        <w:t>s</w:t>
      </w:r>
      <w:r>
        <w:rPr>
          <w:i/>
          <w:kern w:val="22"/>
          <w:szCs w:val="22"/>
          <w:lang w:val="fr-CA"/>
        </w:rPr>
        <w:t xml:space="preserve"> mal ciblées</w:t>
      </w:r>
      <w:r w:rsidR="00CD0FC3">
        <w:rPr>
          <w:i/>
          <w:kern w:val="22"/>
          <w:szCs w:val="22"/>
          <w:lang w:val="fr-CA"/>
        </w:rPr>
        <w:t> </w:t>
      </w:r>
      <w:r w:rsidR="00705714" w:rsidRPr="00B26B5B">
        <w:rPr>
          <w:kern w:val="22"/>
          <w:szCs w:val="22"/>
          <w:lang w:val="fr-CA"/>
        </w:rPr>
        <w:t xml:space="preserve">: </w:t>
      </w:r>
      <w:r w:rsidR="00265875" w:rsidRPr="00B26B5B">
        <w:rPr>
          <w:kern w:val="22"/>
          <w:szCs w:val="22"/>
          <w:lang w:val="fr-CA"/>
        </w:rPr>
        <w:t xml:space="preserve">Les interventions de renforcement des capacités ne sont pas toujours bien ciblées, ce qui </w:t>
      </w:r>
      <w:r>
        <w:rPr>
          <w:kern w:val="22"/>
          <w:szCs w:val="22"/>
          <w:lang w:val="fr-CA"/>
        </w:rPr>
        <w:t>crée</w:t>
      </w:r>
      <w:r w:rsidR="00265875" w:rsidRPr="00B26B5B">
        <w:rPr>
          <w:kern w:val="22"/>
          <w:szCs w:val="22"/>
          <w:lang w:val="fr-CA"/>
        </w:rPr>
        <w:t xml:space="preserve"> des situations où les mêmes personnes sont choisies pour la plupart des formations offertes ou les mauvais participants </w:t>
      </w:r>
      <w:r>
        <w:rPr>
          <w:kern w:val="22"/>
          <w:szCs w:val="22"/>
          <w:lang w:val="fr-CA"/>
        </w:rPr>
        <w:t>sont</w:t>
      </w:r>
      <w:r w:rsidR="00265875" w:rsidRPr="00B26B5B">
        <w:rPr>
          <w:kern w:val="22"/>
          <w:szCs w:val="22"/>
          <w:lang w:val="fr-CA"/>
        </w:rPr>
        <w:t xml:space="preserve"> choisis pour des </w:t>
      </w:r>
      <w:r w:rsidR="00CF1701" w:rsidRPr="00B26B5B">
        <w:rPr>
          <w:kern w:val="22"/>
          <w:szCs w:val="22"/>
          <w:lang w:val="fr-CA"/>
        </w:rPr>
        <w:t>activités de renforcement des c</w:t>
      </w:r>
      <w:r w:rsidR="00265875" w:rsidRPr="00B26B5B">
        <w:rPr>
          <w:kern w:val="22"/>
          <w:szCs w:val="22"/>
          <w:lang w:val="fr-CA"/>
        </w:rPr>
        <w:t>apacités pour les</w:t>
      </w:r>
      <w:r>
        <w:rPr>
          <w:kern w:val="22"/>
          <w:szCs w:val="22"/>
          <w:lang w:val="fr-CA"/>
        </w:rPr>
        <w:t>quelles il</w:t>
      </w:r>
      <w:r w:rsidR="00CD0FC3">
        <w:rPr>
          <w:kern w:val="22"/>
          <w:szCs w:val="22"/>
          <w:lang w:val="fr-CA"/>
        </w:rPr>
        <w:t>s</w:t>
      </w:r>
      <w:r>
        <w:rPr>
          <w:kern w:val="22"/>
          <w:szCs w:val="22"/>
          <w:lang w:val="fr-CA"/>
        </w:rPr>
        <w:t xml:space="preserve"> ne sont pas qualifié</w:t>
      </w:r>
      <w:r w:rsidR="00265875" w:rsidRPr="00B26B5B">
        <w:rPr>
          <w:kern w:val="22"/>
          <w:szCs w:val="22"/>
          <w:lang w:val="fr-CA"/>
        </w:rPr>
        <w:t xml:space="preserve">s </w:t>
      </w:r>
      <w:r w:rsidR="00356A32" w:rsidRPr="00B26B5B">
        <w:rPr>
          <w:kern w:val="22"/>
          <w:szCs w:val="22"/>
          <w:lang w:val="fr-CA"/>
        </w:rPr>
        <w:t xml:space="preserve">ou </w:t>
      </w:r>
      <w:r>
        <w:rPr>
          <w:kern w:val="22"/>
          <w:szCs w:val="22"/>
          <w:lang w:val="fr-CA"/>
        </w:rPr>
        <w:t>qui n’ont aucun</w:t>
      </w:r>
      <w:r w:rsidR="00CF1701" w:rsidRPr="00B26B5B">
        <w:rPr>
          <w:kern w:val="22"/>
          <w:szCs w:val="22"/>
          <w:lang w:val="fr-CA"/>
        </w:rPr>
        <w:t xml:space="preserve"> lien avec leur travai</w:t>
      </w:r>
      <w:r w:rsidR="00265875" w:rsidRPr="00B26B5B">
        <w:rPr>
          <w:kern w:val="22"/>
          <w:szCs w:val="22"/>
          <w:lang w:val="fr-CA"/>
        </w:rPr>
        <w:t>l. De plus, très peu d’importance est accordé</w:t>
      </w:r>
      <w:r w:rsidR="00CD0FC3">
        <w:rPr>
          <w:kern w:val="22"/>
          <w:szCs w:val="22"/>
          <w:lang w:val="fr-CA"/>
        </w:rPr>
        <w:t>e</w:t>
      </w:r>
      <w:r w:rsidR="00265875" w:rsidRPr="00B26B5B">
        <w:rPr>
          <w:kern w:val="22"/>
          <w:szCs w:val="22"/>
          <w:lang w:val="fr-CA"/>
        </w:rPr>
        <w:t xml:space="preserve"> à la formation des jeunes professionnels. Les participants </w:t>
      </w:r>
      <w:r>
        <w:rPr>
          <w:kern w:val="22"/>
          <w:szCs w:val="22"/>
          <w:lang w:val="fr-CA"/>
        </w:rPr>
        <w:t>doivent être choisis</w:t>
      </w:r>
      <w:r w:rsidR="00265875" w:rsidRPr="00B26B5B">
        <w:rPr>
          <w:kern w:val="22"/>
          <w:szCs w:val="22"/>
          <w:lang w:val="fr-CA"/>
        </w:rPr>
        <w:t xml:space="preserve"> stratégiquement</w:t>
      </w:r>
      <w:r>
        <w:rPr>
          <w:kern w:val="22"/>
          <w:szCs w:val="22"/>
          <w:lang w:val="fr-CA"/>
        </w:rPr>
        <w:t xml:space="preserve"> et attentivement</w:t>
      </w:r>
      <w:r w:rsidR="00CF1701" w:rsidRPr="00B26B5B">
        <w:rPr>
          <w:kern w:val="22"/>
          <w:szCs w:val="22"/>
          <w:lang w:val="fr-CA"/>
        </w:rPr>
        <w:t xml:space="preserve">. Le processus actuel de </w:t>
      </w:r>
      <w:r w:rsidR="00356A32" w:rsidRPr="00B26B5B">
        <w:rPr>
          <w:kern w:val="22"/>
          <w:szCs w:val="22"/>
          <w:lang w:val="fr-CA"/>
        </w:rPr>
        <w:t>sélection</w:t>
      </w:r>
      <w:r w:rsidR="00CF1701" w:rsidRPr="00B26B5B">
        <w:rPr>
          <w:kern w:val="22"/>
          <w:szCs w:val="22"/>
          <w:lang w:val="fr-CA"/>
        </w:rPr>
        <w:t xml:space="preserve"> des participants pour</w:t>
      </w:r>
      <w:r w:rsidR="00356A32" w:rsidRPr="00B26B5B">
        <w:rPr>
          <w:kern w:val="22"/>
          <w:szCs w:val="22"/>
          <w:lang w:val="fr-CA"/>
        </w:rPr>
        <w:t xml:space="preserve"> </w:t>
      </w:r>
      <w:r w:rsidR="00CF1701" w:rsidRPr="00B26B5B">
        <w:rPr>
          <w:kern w:val="22"/>
          <w:szCs w:val="22"/>
          <w:lang w:val="fr-CA"/>
        </w:rPr>
        <w:t>les activités de r</w:t>
      </w:r>
      <w:r w:rsidR="00356A32" w:rsidRPr="00B26B5B">
        <w:rPr>
          <w:kern w:val="22"/>
          <w:szCs w:val="22"/>
          <w:lang w:val="fr-CA"/>
        </w:rPr>
        <w:t>e</w:t>
      </w:r>
      <w:r w:rsidR="00CF1701" w:rsidRPr="00B26B5B">
        <w:rPr>
          <w:kern w:val="22"/>
          <w:szCs w:val="22"/>
          <w:lang w:val="fr-CA"/>
        </w:rPr>
        <w:t>nforcement des capacités au titre de la Convention est ponctuel et fondé sur les propositions des correspondants nationaux. Le processus tel qu’il est ne permet pas de cibler efficacement les bonnes personnes</w:t>
      </w:r>
      <w:r w:rsidR="00B92D18">
        <w:rPr>
          <w:kern w:val="22"/>
          <w:szCs w:val="22"/>
          <w:lang w:val="fr-CA"/>
        </w:rPr>
        <w:t>;</w:t>
      </w:r>
    </w:p>
    <w:p w:rsidR="00D626E8" w:rsidRPr="00B26B5B" w:rsidRDefault="00356A32" w:rsidP="00C33570">
      <w:pPr>
        <w:pStyle w:val="Para1"/>
        <w:numPr>
          <w:ilvl w:val="1"/>
          <w:numId w:val="2"/>
        </w:numPr>
        <w:suppressLineNumbers/>
        <w:suppressAutoHyphens/>
        <w:rPr>
          <w:kern w:val="22"/>
          <w:szCs w:val="22"/>
          <w:lang w:val="fr-CA"/>
        </w:rPr>
      </w:pPr>
      <w:r w:rsidRPr="00B26B5B">
        <w:rPr>
          <w:i/>
          <w:kern w:val="22"/>
          <w:szCs w:val="22"/>
          <w:lang w:val="fr-CA"/>
        </w:rPr>
        <w:t>Expertise limitée et important roulement de personnel</w:t>
      </w:r>
      <w:r w:rsidR="00CD0FC3">
        <w:rPr>
          <w:i/>
          <w:kern w:val="22"/>
          <w:szCs w:val="22"/>
          <w:lang w:val="fr-CA"/>
        </w:rPr>
        <w:t> </w:t>
      </w:r>
      <w:r w:rsidR="00D626E8" w:rsidRPr="00B26B5B">
        <w:rPr>
          <w:kern w:val="22"/>
          <w:szCs w:val="22"/>
          <w:lang w:val="fr-CA"/>
        </w:rPr>
        <w:t xml:space="preserve">: </w:t>
      </w:r>
      <w:r w:rsidRPr="00B26B5B">
        <w:rPr>
          <w:kern w:val="22"/>
          <w:szCs w:val="22"/>
          <w:lang w:val="fr-CA"/>
        </w:rPr>
        <w:t>Les pays d’</w:t>
      </w:r>
      <w:r w:rsidR="0098762F" w:rsidRPr="00B26B5B">
        <w:rPr>
          <w:kern w:val="22"/>
          <w:szCs w:val="22"/>
          <w:lang w:val="fr-CA"/>
        </w:rPr>
        <w:t>A</w:t>
      </w:r>
      <w:r w:rsidRPr="00B26B5B">
        <w:rPr>
          <w:kern w:val="22"/>
          <w:szCs w:val="22"/>
          <w:lang w:val="fr-CA"/>
        </w:rPr>
        <w:t xml:space="preserve">frique manquent d’experts dans plusieurs domaines. </w:t>
      </w:r>
      <w:r w:rsidR="00EA5B58">
        <w:rPr>
          <w:kern w:val="22"/>
          <w:szCs w:val="22"/>
          <w:lang w:val="fr-CA"/>
        </w:rPr>
        <w:t>Le manque</w:t>
      </w:r>
      <w:r w:rsidRPr="00B26B5B">
        <w:rPr>
          <w:kern w:val="22"/>
          <w:szCs w:val="22"/>
          <w:lang w:val="fr-CA"/>
        </w:rPr>
        <w:t xml:space="preserve"> d’expertise attribuable au taux élevé de roulement du personnel formé dans le</w:t>
      </w:r>
      <w:r w:rsidR="0098762F" w:rsidRPr="00B26B5B">
        <w:rPr>
          <w:kern w:val="22"/>
          <w:szCs w:val="22"/>
          <w:lang w:val="fr-CA"/>
        </w:rPr>
        <w:t xml:space="preserve"> cadre de programmes de renforcem</w:t>
      </w:r>
      <w:r w:rsidRPr="00B26B5B">
        <w:rPr>
          <w:kern w:val="22"/>
          <w:szCs w:val="22"/>
          <w:lang w:val="fr-CA"/>
        </w:rPr>
        <w:t xml:space="preserve">ent des capacités en lien avec la CDB exacerbe la situation. Certains participants ont suggéré des solutions à ce problème, dont </w:t>
      </w:r>
      <w:r w:rsidR="0098762F" w:rsidRPr="00B26B5B">
        <w:rPr>
          <w:kern w:val="22"/>
          <w:szCs w:val="22"/>
          <w:lang w:val="fr-CA"/>
        </w:rPr>
        <w:t>l’institutionnalisation</w:t>
      </w:r>
      <w:r w:rsidRPr="00B26B5B">
        <w:rPr>
          <w:kern w:val="22"/>
          <w:szCs w:val="22"/>
          <w:lang w:val="fr-CA"/>
        </w:rPr>
        <w:t xml:space="preserve"> de la formation des accompagnateurs, des mentors et des autres formations sur place, la promotion de programmes de formation de formateurs, des programmes d’encouragement</w:t>
      </w:r>
      <w:r w:rsidR="0098762F" w:rsidRPr="00B26B5B">
        <w:rPr>
          <w:kern w:val="22"/>
          <w:szCs w:val="22"/>
          <w:lang w:val="fr-CA"/>
        </w:rPr>
        <w:t xml:space="preserve"> et de développement de carrière pour le personnel, et la création de programmes de soutien pour les jeunes professionnels</w:t>
      </w:r>
      <w:r w:rsidR="00B92D18">
        <w:rPr>
          <w:kern w:val="22"/>
          <w:szCs w:val="22"/>
          <w:lang w:val="fr-CA"/>
        </w:rPr>
        <w:t>;</w:t>
      </w:r>
    </w:p>
    <w:p w:rsidR="0001470C" w:rsidRPr="00B26B5B" w:rsidRDefault="0098762F" w:rsidP="00C33570">
      <w:pPr>
        <w:pStyle w:val="Para1"/>
        <w:numPr>
          <w:ilvl w:val="1"/>
          <w:numId w:val="2"/>
        </w:numPr>
        <w:suppressLineNumbers/>
        <w:suppressAutoHyphens/>
        <w:rPr>
          <w:kern w:val="22"/>
          <w:szCs w:val="22"/>
          <w:lang w:val="fr-CA"/>
        </w:rPr>
      </w:pPr>
      <w:r w:rsidRPr="00B26B5B">
        <w:rPr>
          <w:i/>
          <w:kern w:val="22"/>
          <w:szCs w:val="22"/>
          <w:lang w:val="fr-CA"/>
        </w:rPr>
        <w:t>Peu d’importanc</w:t>
      </w:r>
      <w:r w:rsidR="00EA5B58">
        <w:rPr>
          <w:i/>
          <w:kern w:val="22"/>
          <w:szCs w:val="22"/>
          <w:lang w:val="fr-CA"/>
        </w:rPr>
        <w:t>e accordé</w:t>
      </w:r>
      <w:r w:rsidR="00CD0FC3">
        <w:rPr>
          <w:i/>
          <w:kern w:val="22"/>
          <w:szCs w:val="22"/>
          <w:lang w:val="fr-CA"/>
        </w:rPr>
        <w:t>e</w:t>
      </w:r>
      <w:r w:rsidR="00EA5B58">
        <w:rPr>
          <w:i/>
          <w:kern w:val="22"/>
          <w:szCs w:val="22"/>
          <w:lang w:val="fr-CA"/>
        </w:rPr>
        <w:t xml:space="preserve"> au renforcement des capacités i</w:t>
      </w:r>
      <w:r w:rsidRPr="00B26B5B">
        <w:rPr>
          <w:i/>
          <w:kern w:val="22"/>
          <w:szCs w:val="22"/>
          <w:lang w:val="fr-CA"/>
        </w:rPr>
        <w:t>nstitutionnel</w:t>
      </w:r>
      <w:r w:rsidR="00EA5B58">
        <w:rPr>
          <w:i/>
          <w:kern w:val="22"/>
          <w:szCs w:val="22"/>
          <w:lang w:val="fr-CA"/>
        </w:rPr>
        <w:t>les et</w:t>
      </w:r>
      <w:r w:rsidRPr="00B26B5B">
        <w:rPr>
          <w:i/>
          <w:kern w:val="22"/>
          <w:szCs w:val="22"/>
          <w:lang w:val="fr-CA"/>
        </w:rPr>
        <w:t xml:space="preserve"> systémique</w:t>
      </w:r>
      <w:r w:rsidR="00EA5B58">
        <w:rPr>
          <w:i/>
          <w:kern w:val="22"/>
          <w:szCs w:val="22"/>
          <w:lang w:val="fr-CA"/>
        </w:rPr>
        <w:t>s</w:t>
      </w:r>
      <w:r w:rsidR="00CD0FC3">
        <w:rPr>
          <w:i/>
          <w:kern w:val="22"/>
          <w:szCs w:val="22"/>
          <w:lang w:val="fr-CA"/>
        </w:rPr>
        <w:t> </w:t>
      </w:r>
      <w:r w:rsidR="00DD2488" w:rsidRPr="00B26B5B">
        <w:rPr>
          <w:kern w:val="22"/>
          <w:szCs w:val="22"/>
          <w:lang w:val="fr-CA"/>
        </w:rPr>
        <w:t xml:space="preserve">: </w:t>
      </w:r>
      <w:r w:rsidRPr="00B26B5B">
        <w:rPr>
          <w:kern w:val="22"/>
          <w:szCs w:val="22"/>
          <w:lang w:val="fr-CA"/>
        </w:rPr>
        <w:t>L</w:t>
      </w:r>
      <w:r w:rsidR="00407526" w:rsidRPr="00B26B5B">
        <w:rPr>
          <w:kern w:val="22"/>
          <w:szCs w:val="22"/>
          <w:lang w:val="fr-CA"/>
        </w:rPr>
        <w:t>e renforcem</w:t>
      </w:r>
      <w:r w:rsidRPr="00B26B5B">
        <w:rPr>
          <w:kern w:val="22"/>
          <w:szCs w:val="22"/>
          <w:lang w:val="fr-CA"/>
        </w:rPr>
        <w:t>ent des capacités individuelles (notamment au moyen</w:t>
      </w:r>
      <w:r w:rsidR="00407526" w:rsidRPr="00B26B5B">
        <w:rPr>
          <w:kern w:val="22"/>
          <w:szCs w:val="22"/>
          <w:lang w:val="fr-CA"/>
        </w:rPr>
        <w:t xml:space="preserve"> d’</w:t>
      </w:r>
      <w:r w:rsidRPr="00B26B5B">
        <w:rPr>
          <w:kern w:val="22"/>
          <w:szCs w:val="22"/>
          <w:lang w:val="fr-CA"/>
        </w:rPr>
        <w:t xml:space="preserve">ateliers de formation) </w:t>
      </w:r>
      <w:r w:rsidR="00407526" w:rsidRPr="00B26B5B">
        <w:rPr>
          <w:kern w:val="22"/>
          <w:szCs w:val="22"/>
          <w:lang w:val="fr-CA"/>
        </w:rPr>
        <w:t>a retenu trop d’attention au fil des ans</w:t>
      </w:r>
      <w:r w:rsidR="00EA5B58">
        <w:rPr>
          <w:kern w:val="22"/>
          <w:szCs w:val="22"/>
          <w:lang w:val="fr-CA"/>
        </w:rPr>
        <w:t>,</w:t>
      </w:r>
      <w:r w:rsidR="00407526" w:rsidRPr="00B26B5B">
        <w:rPr>
          <w:kern w:val="22"/>
          <w:szCs w:val="22"/>
          <w:lang w:val="fr-CA"/>
        </w:rPr>
        <w:t xml:space="preserve"> et trop peu d’attention a été accordé</w:t>
      </w:r>
      <w:r w:rsidR="00CD0FC3">
        <w:rPr>
          <w:kern w:val="22"/>
          <w:szCs w:val="22"/>
          <w:lang w:val="fr-CA"/>
        </w:rPr>
        <w:t>e</w:t>
      </w:r>
      <w:r w:rsidR="00407526" w:rsidRPr="00B26B5B">
        <w:rPr>
          <w:kern w:val="22"/>
          <w:szCs w:val="22"/>
          <w:lang w:val="fr-CA"/>
        </w:rPr>
        <w:t xml:space="preserve"> au renforcement des capacités institutionnelles et systémiques. De plus, trop d’attention a été accordé</w:t>
      </w:r>
      <w:r w:rsidR="00CD0FC3">
        <w:rPr>
          <w:kern w:val="22"/>
          <w:szCs w:val="22"/>
          <w:lang w:val="fr-CA"/>
        </w:rPr>
        <w:t>e</w:t>
      </w:r>
      <w:r w:rsidR="00407526" w:rsidRPr="00B26B5B">
        <w:rPr>
          <w:kern w:val="22"/>
          <w:szCs w:val="22"/>
          <w:lang w:val="fr-CA"/>
        </w:rPr>
        <w:t xml:space="preserve"> au développement des capacités techniques et trop peu aux capacités fonctionnelles, telles que l’élaboration et la gestion des projets, la mobilisation des ressources et les communications</w:t>
      </w:r>
      <w:r w:rsidR="00B92D18">
        <w:rPr>
          <w:kern w:val="22"/>
          <w:szCs w:val="22"/>
          <w:lang w:val="fr-CA"/>
        </w:rPr>
        <w:t>;</w:t>
      </w:r>
    </w:p>
    <w:p w:rsidR="003307CC" w:rsidRPr="00B26B5B" w:rsidRDefault="00407526" w:rsidP="00C33570">
      <w:pPr>
        <w:pStyle w:val="Para1"/>
        <w:numPr>
          <w:ilvl w:val="1"/>
          <w:numId w:val="2"/>
        </w:numPr>
        <w:suppressLineNumbers/>
        <w:suppressAutoHyphens/>
        <w:rPr>
          <w:kern w:val="22"/>
          <w:szCs w:val="22"/>
          <w:lang w:val="fr-CA"/>
        </w:rPr>
      </w:pPr>
      <w:r w:rsidRPr="00B26B5B">
        <w:rPr>
          <w:i/>
          <w:kern w:val="22"/>
          <w:szCs w:val="22"/>
          <w:lang w:val="fr-CA"/>
        </w:rPr>
        <w:t>Absence de durabilité</w:t>
      </w:r>
      <w:r w:rsidR="00CD0FC3">
        <w:rPr>
          <w:i/>
          <w:kern w:val="22"/>
          <w:szCs w:val="22"/>
          <w:lang w:val="fr-CA"/>
        </w:rPr>
        <w:t> </w:t>
      </w:r>
      <w:r w:rsidR="00DD2488" w:rsidRPr="00B26B5B">
        <w:rPr>
          <w:kern w:val="22"/>
          <w:szCs w:val="22"/>
          <w:lang w:val="fr-CA"/>
        </w:rPr>
        <w:t>:</w:t>
      </w:r>
      <w:r w:rsidR="0016428C" w:rsidRPr="00B26B5B">
        <w:rPr>
          <w:kern w:val="22"/>
          <w:szCs w:val="22"/>
          <w:lang w:val="fr-CA"/>
        </w:rPr>
        <w:t xml:space="preserve"> </w:t>
      </w:r>
      <w:r w:rsidR="00041D7D" w:rsidRPr="00B26B5B">
        <w:rPr>
          <w:kern w:val="22"/>
          <w:szCs w:val="22"/>
          <w:lang w:val="fr-CA"/>
        </w:rPr>
        <w:t xml:space="preserve">Plusieurs projets de renforcement des capacités n’ont pas eu de résultats </w:t>
      </w:r>
      <w:r w:rsidR="00753BCE">
        <w:rPr>
          <w:kern w:val="22"/>
          <w:szCs w:val="22"/>
          <w:lang w:val="fr-CA"/>
        </w:rPr>
        <w:t xml:space="preserve">durables </w:t>
      </w:r>
      <w:r w:rsidR="00041D7D" w:rsidRPr="00B26B5B">
        <w:rPr>
          <w:kern w:val="22"/>
          <w:szCs w:val="22"/>
          <w:lang w:val="fr-CA"/>
        </w:rPr>
        <w:t xml:space="preserve">ni mené à des solutions </w:t>
      </w:r>
      <w:r w:rsidR="00753BCE">
        <w:rPr>
          <w:kern w:val="22"/>
          <w:szCs w:val="22"/>
          <w:lang w:val="fr-CA"/>
        </w:rPr>
        <w:t>permanentes</w:t>
      </w:r>
      <w:r w:rsidR="00041D7D" w:rsidRPr="00B26B5B">
        <w:rPr>
          <w:kern w:val="22"/>
          <w:szCs w:val="22"/>
          <w:lang w:val="fr-CA"/>
        </w:rPr>
        <w:t>. La durabilité à long terme des programmes de renforcement des capacités est essentielle à l’obtention de changements durables une fois l’intervention terminée</w:t>
      </w:r>
      <w:r w:rsidR="00B92D18">
        <w:rPr>
          <w:kern w:val="22"/>
          <w:szCs w:val="22"/>
          <w:lang w:val="fr-CA"/>
        </w:rPr>
        <w:t>;</w:t>
      </w:r>
    </w:p>
    <w:p w:rsidR="00DD2488" w:rsidRPr="00B26B5B" w:rsidRDefault="00041D7D" w:rsidP="00C33570">
      <w:pPr>
        <w:pStyle w:val="Para1"/>
        <w:numPr>
          <w:ilvl w:val="1"/>
          <w:numId w:val="2"/>
        </w:numPr>
        <w:suppressLineNumbers/>
        <w:suppressAutoHyphens/>
        <w:rPr>
          <w:kern w:val="22"/>
          <w:szCs w:val="22"/>
          <w:lang w:val="fr-CA"/>
        </w:rPr>
      </w:pPr>
      <w:r w:rsidRPr="00B26B5B">
        <w:rPr>
          <w:kern w:val="22"/>
          <w:szCs w:val="22"/>
          <w:lang w:val="fr-CA"/>
        </w:rPr>
        <w:t xml:space="preserve">D’autres limites et contraintes importantes ont été recensées : </w:t>
      </w:r>
      <w:r w:rsidR="00753BCE">
        <w:rPr>
          <w:kern w:val="22"/>
          <w:szCs w:val="22"/>
          <w:lang w:val="fr-CA"/>
        </w:rPr>
        <w:t>P</w:t>
      </w:r>
      <w:r w:rsidR="00C769AE" w:rsidRPr="00B26B5B">
        <w:rPr>
          <w:kern w:val="22"/>
          <w:szCs w:val="22"/>
          <w:lang w:val="fr-CA"/>
        </w:rPr>
        <w:t xml:space="preserve">eu de ressources disponibles pour le renforcement des capacités, mauvaise allocation et souvent gaspillage des ressources financières, attention limitée accordée à la diversité biologique dans les programmes d’éducation formels (même au niveau de la maîtrise et du doctorat), une trop grande dépendance envers les consultants de l’extérieur pour </w:t>
      </w:r>
      <w:r w:rsidR="00C769AE" w:rsidRPr="00B26B5B">
        <w:rPr>
          <w:kern w:val="22"/>
          <w:szCs w:val="22"/>
          <w:lang w:val="fr-CA"/>
        </w:rPr>
        <w:lastRenderedPageBreak/>
        <w:t>offrir des occasions de renforcement des capacités, et l’utilisation inefficace des capacités et des occasions existantes (dont l’expertise, les outils et les centre</w:t>
      </w:r>
      <w:r w:rsidR="00CD0FC3">
        <w:rPr>
          <w:kern w:val="22"/>
          <w:szCs w:val="22"/>
          <w:lang w:val="fr-CA"/>
        </w:rPr>
        <w:t>s</w:t>
      </w:r>
      <w:r w:rsidR="00C769AE" w:rsidRPr="00B26B5B">
        <w:rPr>
          <w:kern w:val="22"/>
          <w:szCs w:val="22"/>
          <w:lang w:val="fr-CA"/>
        </w:rPr>
        <w:t xml:space="preserve"> d’excellence) dans la région</w:t>
      </w:r>
      <w:r w:rsidR="00C017D6" w:rsidRPr="00B26B5B">
        <w:rPr>
          <w:kern w:val="22"/>
          <w:szCs w:val="22"/>
          <w:lang w:val="fr-CA"/>
        </w:rPr>
        <w:t>.</w:t>
      </w:r>
    </w:p>
    <w:p w:rsidR="00F53883" w:rsidRPr="00B26B5B" w:rsidRDefault="00CC20E0" w:rsidP="00C33570">
      <w:pPr>
        <w:pStyle w:val="Para1"/>
        <w:suppressLineNumbers/>
        <w:tabs>
          <w:tab w:val="clear" w:pos="360"/>
        </w:tabs>
        <w:suppressAutoHyphens/>
        <w:rPr>
          <w:kern w:val="22"/>
          <w:szCs w:val="22"/>
          <w:lang w:val="fr-CA"/>
        </w:rPr>
      </w:pPr>
      <w:r w:rsidRPr="00B26B5B">
        <w:rPr>
          <w:kern w:val="22"/>
          <w:szCs w:val="22"/>
          <w:lang w:val="fr-CA"/>
        </w:rPr>
        <w:t>Les</w:t>
      </w:r>
      <w:r w:rsidR="00173028" w:rsidRPr="00B26B5B">
        <w:rPr>
          <w:kern w:val="22"/>
          <w:szCs w:val="22"/>
          <w:lang w:val="fr-CA"/>
        </w:rPr>
        <w:t xml:space="preserve"> solutions </w:t>
      </w:r>
      <w:r w:rsidRPr="00B26B5B">
        <w:rPr>
          <w:kern w:val="22"/>
          <w:szCs w:val="22"/>
          <w:lang w:val="fr-CA"/>
        </w:rPr>
        <w:t xml:space="preserve">ci-dessous </w:t>
      </w:r>
      <w:r w:rsidR="00173028" w:rsidRPr="00B26B5B">
        <w:rPr>
          <w:kern w:val="22"/>
          <w:szCs w:val="22"/>
          <w:lang w:val="fr-CA"/>
        </w:rPr>
        <w:t xml:space="preserve">proposent d’éliminer les contraintes et les défis, et </w:t>
      </w:r>
      <w:r w:rsidRPr="00B26B5B">
        <w:rPr>
          <w:kern w:val="22"/>
          <w:szCs w:val="22"/>
          <w:lang w:val="fr-CA"/>
        </w:rPr>
        <w:t>d’accroître</w:t>
      </w:r>
      <w:r w:rsidR="00173028" w:rsidRPr="00B26B5B">
        <w:rPr>
          <w:kern w:val="22"/>
          <w:szCs w:val="22"/>
          <w:lang w:val="fr-CA"/>
        </w:rPr>
        <w:t xml:space="preserve"> le renforcement des capacités afin de soutenir </w:t>
      </w:r>
      <w:r w:rsidR="00753BCE">
        <w:rPr>
          <w:kern w:val="22"/>
          <w:szCs w:val="22"/>
          <w:lang w:val="fr-CA"/>
        </w:rPr>
        <w:t xml:space="preserve">efficacement </w:t>
      </w:r>
      <w:r w:rsidR="00173028" w:rsidRPr="00B26B5B">
        <w:rPr>
          <w:kern w:val="22"/>
          <w:szCs w:val="22"/>
          <w:lang w:val="fr-CA"/>
        </w:rPr>
        <w:t>la mise en œuvre du cadre mondial de la</w:t>
      </w:r>
      <w:r w:rsidR="00753BCE">
        <w:rPr>
          <w:kern w:val="22"/>
          <w:szCs w:val="22"/>
          <w:lang w:val="fr-CA"/>
        </w:rPr>
        <w:t xml:space="preserve"> biodiversité pour l</w:t>
      </w:r>
      <w:r w:rsidR="00CD0FC3">
        <w:rPr>
          <w:kern w:val="22"/>
          <w:szCs w:val="22"/>
          <w:lang w:val="fr-CA"/>
        </w:rPr>
        <w:t>’</w:t>
      </w:r>
      <w:r w:rsidR="00753BCE">
        <w:rPr>
          <w:kern w:val="22"/>
          <w:szCs w:val="22"/>
          <w:lang w:val="fr-CA"/>
        </w:rPr>
        <w:t>après-2020</w:t>
      </w:r>
      <w:r w:rsidR="00CD0FC3">
        <w:rPr>
          <w:kern w:val="22"/>
          <w:szCs w:val="22"/>
          <w:lang w:val="fr-CA"/>
        </w:rPr>
        <w:t> </w:t>
      </w:r>
      <w:r w:rsidR="00D87608" w:rsidRPr="00B26B5B">
        <w:rPr>
          <w:kern w:val="22"/>
          <w:szCs w:val="22"/>
          <w:lang w:val="fr-CA"/>
        </w:rPr>
        <w:t>:</w:t>
      </w:r>
    </w:p>
    <w:p w:rsidR="00046220" w:rsidRPr="00B26B5B" w:rsidRDefault="00CC20E0" w:rsidP="00C33570">
      <w:pPr>
        <w:pStyle w:val="Para1"/>
        <w:numPr>
          <w:ilvl w:val="1"/>
          <w:numId w:val="2"/>
        </w:numPr>
        <w:suppressLineNumbers/>
        <w:suppressAutoHyphens/>
        <w:rPr>
          <w:kern w:val="22"/>
          <w:szCs w:val="22"/>
          <w:lang w:val="fr-CA"/>
        </w:rPr>
      </w:pPr>
      <w:r w:rsidRPr="00B26B5B">
        <w:rPr>
          <w:kern w:val="22"/>
          <w:szCs w:val="22"/>
          <w:lang w:val="fr-CA"/>
        </w:rPr>
        <w:t xml:space="preserve">Établir une définition pratique commune du renforcement des capacités et élaborer une compréhension commune </w:t>
      </w:r>
      <w:r w:rsidR="003A2670" w:rsidRPr="00B26B5B">
        <w:rPr>
          <w:kern w:val="22"/>
          <w:szCs w:val="22"/>
          <w:lang w:val="fr-CA"/>
        </w:rPr>
        <w:t>du champ d’application</w:t>
      </w:r>
      <w:r w:rsidRPr="00B26B5B">
        <w:rPr>
          <w:kern w:val="22"/>
          <w:szCs w:val="22"/>
          <w:lang w:val="fr-CA"/>
        </w:rPr>
        <w:t xml:space="preserve"> du renforcement des capacités dans le contexte du cadre mondial de la biodiversité pour l</w:t>
      </w:r>
      <w:r w:rsidR="00CD0FC3">
        <w:rPr>
          <w:kern w:val="22"/>
          <w:szCs w:val="22"/>
          <w:lang w:val="fr-CA"/>
        </w:rPr>
        <w:t>’</w:t>
      </w:r>
      <w:r w:rsidRPr="00B26B5B">
        <w:rPr>
          <w:kern w:val="22"/>
          <w:szCs w:val="22"/>
          <w:lang w:val="fr-CA"/>
        </w:rPr>
        <w:t>après-2020, notamment afin d’améliorer la communication entre les acteurs</w:t>
      </w:r>
      <w:r w:rsidR="00B92D18">
        <w:rPr>
          <w:kern w:val="22"/>
          <w:szCs w:val="22"/>
          <w:lang w:val="fr-CA"/>
        </w:rPr>
        <w:t>;</w:t>
      </w:r>
    </w:p>
    <w:p w:rsidR="004C14BD" w:rsidRPr="00B26B5B" w:rsidRDefault="00CC20E0" w:rsidP="00C33570">
      <w:pPr>
        <w:pStyle w:val="Para1"/>
        <w:numPr>
          <w:ilvl w:val="1"/>
          <w:numId w:val="2"/>
        </w:numPr>
        <w:suppressLineNumbers/>
        <w:suppressAutoHyphens/>
        <w:rPr>
          <w:kern w:val="22"/>
          <w:szCs w:val="22"/>
          <w:lang w:val="fr-CA"/>
        </w:rPr>
      </w:pPr>
      <w:r w:rsidRPr="00B26B5B">
        <w:rPr>
          <w:kern w:val="22"/>
          <w:szCs w:val="22"/>
          <w:lang w:val="fr-CA"/>
        </w:rPr>
        <w:t>Élargir le champ d’</w:t>
      </w:r>
      <w:r w:rsidR="003A2670" w:rsidRPr="00B26B5B">
        <w:rPr>
          <w:kern w:val="22"/>
          <w:szCs w:val="22"/>
          <w:lang w:val="fr-CA"/>
        </w:rPr>
        <w:t>applicati</w:t>
      </w:r>
      <w:r w:rsidRPr="00B26B5B">
        <w:rPr>
          <w:kern w:val="22"/>
          <w:szCs w:val="22"/>
          <w:lang w:val="fr-CA"/>
        </w:rPr>
        <w:t xml:space="preserve">on </w:t>
      </w:r>
      <w:r w:rsidR="003A2670" w:rsidRPr="00B26B5B">
        <w:rPr>
          <w:kern w:val="22"/>
          <w:szCs w:val="22"/>
          <w:lang w:val="fr-CA"/>
        </w:rPr>
        <w:t xml:space="preserve">du renforcement des capacités au-delà de la formation, </w:t>
      </w:r>
      <w:r w:rsidR="009A1A2F">
        <w:rPr>
          <w:kern w:val="22"/>
          <w:szCs w:val="22"/>
          <w:lang w:val="fr-CA"/>
        </w:rPr>
        <w:t>afin d’inclure</w:t>
      </w:r>
      <w:r w:rsidR="003A2670" w:rsidRPr="00B26B5B">
        <w:rPr>
          <w:kern w:val="22"/>
          <w:szCs w:val="22"/>
          <w:lang w:val="fr-CA"/>
        </w:rPr>
        <w:t xml:space="preserve"> les trois dimensions (environnement individuel, institutionnel et systémique/facilitant), </w:t>
      </w:r>
      <w:r w:rsidR="009A1A2F">
        <w:rPr>
          <w:kern w:val="22"/>
          <w:szCs w:val="22"/>
          <w:lang w:val="fr-CA"/>
        </w:rPr>
        <w:t>car</w:t>
      </w:r>
      <w:r w:rsidR="003A2670" w:rsidRPr="00B26B5B">
        <w:rPr>
          <w:kern w:val="22"/>
          <w:szCs w:val="22"/>
          <w:lang w:val="fr-CA"/>
        </w:rPr>
        <w:t xml:space="preserve"> le renforcement des capacités est un processus intégré à long terme</w:t>
      </w:r>
      <w:r w:rsidR="00B92D18">
        <w:rPr>
          <w:kern w:val="22"/>
          <w:szCs w:val="22"/>
          <w:lang w:val="fr-CA"/>
        </w:rPr>
        <w:t>;</w:t>
      </w:r>
    </w:p>
    <w:p w:rsidR="006E57CD" w:rsidRPr="00B26B5B" w:rsidRDefault="003A2670" w:rsidP="00C33570">
      <w:pPr>
        <w:pStyle w:val="Para1"/>
        <w:numPr>
          <w:ilvl w:val="1"/>
          <w:numId w:val="2"/>
        </w:numPr>
        <w:suppressLineNumbers/>
        <w:suppressAutoHyphens/>
        <w:rPr>
          <w:kern w:val="22"/>
          <w:szCs w:val="22"/>
          <w:lang w:val="fr-CA"/>
        </w:rPr>
      </w:pPr>
      <w:r w:rsidRPr="00B26B5B">
        <w:rPr>
          <w:kern w:val="22"/>
          <w:szCs w:val="22"/>
          <w:lang w:val="fr-CA"/>
        </w:rPr>
        <w:t xml:space="preserve">En ce qui concerne les projets de renforcement des capacités, toujours préciser les capacités </w:t>
      </w:r>
      <w:r w:rsidR="00561A47" w:rsidRPr="00B26B5B">
        <w:rPr>
          <w:kern w:val="22"/>
          <w:szCs w:val="22"/>
          <w:lang w:val="fr-CA"/>
        </w:rPr>
        <w:t>à renforcer et qui effectuera ce renforcement, et décrire la théorie du changement, c’est-à-dire le lien logique entre les gestes posés pour renforcer les capacités, les résultats escomptés et leur contribution</w:t>
      </w:r>
      <w:r w:rsidRPr="00B26B5B">
        <w:rPr>
          <w:kern w:val="22"/>
          <w:szCs w:val="22"/>
          <w:lang w:val="fr-CA"/>
        </w:rPr>
        <w:t xml:space="preserve"> </w:t>
      </w:r>
      <w:r w:rsidR="00561A47" w:rsidRPr="00B26B5B">
        <w:rPr>
          <w:kern w:val="22"/>
          <w:szCs w:val="22"/>
          <w:lang w:val="fr-CA"/>
        </w:rPr>
        <w:t xml:space="preserve">aux conséquences souhaitées et aux impacts importants </w:t>
      </w:r>
      <w:r w:rsidR="00631FB2" w:rsidRPr="00B26B5B">
        <w:rPr>
          <w:kern w:val="22"/>
          <w:szCs w:val="22"/>
          <w:lang w:val="fr-CA"/>
        </w:rPr>
        <w:t>pour freiner</w:t>
      </w:r>
      <w:r w:rsidR="00561A47" w:rsidRPr="00B26B5B">
        <w:rPr>
          <w:kern w:val="22"/>
          <w:szCs w:val="22"/>
          <w:lang w:val="fr-CA"/>
        </w:rPr>
        <w:t xml:space="preserve"> l’appauvrissement de la diversité biologique et </w:t>
      </w:r>
      <w:r w:rsidR="00631FB2" w:rsidRPr="00B26B5B">
        <w:rPr>
          <w:kern w:val="22"/>
          <w:szCs w:val="22"/>
          <w:lang w:val="fr-CA"/>
        </w:rPr>
        <w:t>vivre</w:t>
      </w:r>
      <w:r w:rsidR="00561A47" w:rsidRPr="00B26B5B">
        <w:rPr>
          <w:kern w:val="22"/>
          <w:szCs w:val="22"/>
          <w:lang w:val="fr-CA"/>
        </w:rPr>
        <w:t xml:space="preserve"> en harmonie avec la nature</w:t>
      </w:r>
      <w:r w:rsidR="00B92D18">
        <w:rPr>
          <w:kern w:val="22"/>
          <w:szCs w:val="22"/>
          <w:lang w:val="fr-CA"/>
        </w:rPr>
        <w:t>;</w:t>
      </w:r>
    </w:p>
    <w:p w:rsidR="00443000" w:rsidRPr="00B26B5B" w:rsidRDefault="00631FB2" w:rsidP="00C33570">
      <w:pPr>
        <w:pStyle w:val="Para1"/>
        <w:numPr>
          <w:ilvl w:val="1"/>
          <w:numId w:val="2"/>
        </w:numPr>
        <w:suppressLineNumbers/>
        <w:suppressAutoHyphens/>
        <w:rPr>
          <w:kern w:val="22"/>
          <w:szCs w:val="22"/>
          <w:lang w:val="fr-CA"/>
        </w:rPr>
      </w:pPr>
      <w:r w:rsidRPr="00B26B5B">
        <w:rPr>
          <w:kern w:val="22"/>
          <w:szCs w:val="22"/>
          <w:lang w:val="fr-CA"/>
        </w:rPr>
        <w:t xml:space="preserve">Entreprendre une évaluation participative des besoins de capacités et </w:t>
      </w:r>
      <w:r w:rsidR="003A753B">
        <w:rPr>
          <w:kern w:val="22"/>
          <w:szCs w:val="22"/>
          <w:lang w:val="fr-CA"/>
        </w:rPr>
        <w:t xml:space="preserve">dresser </w:t>
      </w:r>
      <w:r w:rsidRPr="00B26B5B">
        <w:rPr>
          <w:kern w:val="22"/>
          <w:szCs w:val="22"/>
          <w:lang w:val="fr-CA"/>
        </w:rPr>
        <w:t xml:space="preserve">un inventaire des capacités et occasions existantes avant de développer et de mettre en œuvre des interventions de renforcement des capacités. Analyser les besoins recensés dans </w:t>
      </w:r>
      <w:r w:rsidR="009A1A2F">
        <w:rPr>
          <w:kern w:val="22"/>
          <w:szCs w:val="22"/>
          <w:lang w:val="fr-CA"/>
        </w:rPr>
        <w:t>l</w:t>
      </w:r>
      <w:r w:rsidRPr="00B26B5B">
        <w:rPr>
          <w:kern w:val="22"/>
          <w:szCs w:val="22"/>
          <w:lang w:val="fr-CA"/>
        </w:rPr>
        <w:t xml:space="preserve">es </w:t>
      </w:r>
      <w:r w:rsidR="00C837FE">
        <w:rPr>
          <w:kern w:val="22"/>
          <w:szCs w:val="22"/>
          <w:lang w:val="fr-CA"/>
        </w:rPr>
        <w:t>SPANB</w:t>
      </w:r>
      <w:r w:rsidRPr="00B26B5B">
        <w:rPr>
          <w:kern w:val="22"/>
          <w:szCs w:val="22"/>
          <w:lang w:val="fr-CA"/>
        </w:rPr>
        <w:t xml:space="preserve">, si possible, et veiller à ce que </w:t>
      </w:r>
      <w:r w:rsidR="009A1A2F">
        <w:rPr>
          <w:kern w:val="22"/>
          <w:szCs w:val="22"/>
          <w:lang w:val="fr-CA"/>
        </w:rPr>
        <w:t xml:space="preserve">les </w:t>
      </w:r>
      <w:r w:rsidR="00B529EE" w:rsidRPr="00B26B5B">
        <w:rPr>
          <w:kern w:val="22"/>
          <w:szCs w:val="22"/>
          <w:lang w:val="fr-CA"/>
        </w:rPr>
        <w:t>communications approfondies entre les fournisseurs de renforcement des capacités et les agences et organisations nationales d’exécution</w:t>
      </w:r>
      <w:r w:rsidR="009A1A2F">
        <w:rPr>
          <w:kern w:val="22"/>
          <w:szCs w:val="22"/>
          <w:lang w:val="fr-CA"/>
        </w:rPr>
        <w:t xml:space="preserve"> répondent aux</w:t>
      </w:r>
      <w:r w:rsidR="009A1A2F" w:rsidRPr="00B26B5B">
        <w:rPr>
          <w:kern w:val="22"/>
          <w:szCs w:val="22"/>
          <w:lang w:val="fr-CA"/>
        </w:rPr>
        <w:t xml:space="preserve"> besoins exprimés par les P</w:t>
      </w:r>
      <w:r w:rsidR="009A1A2F">
        <w:rPr>
          <w:kern w:val="22"/>
          <w:szCs w:val="22"/>
          <w:lang w:val="fr-CA"/>
        </w:rPr>
        <w:t>arties et les parties prenantes</w:t>
      </w:r>
      <w:r w:rsidR="00B92D18">
        <w:rPr>
          <w:kern w:val="22"/>
          <w:szCs w:val="22"/>
          <w:lang w:val="fr-CA"/>
        </w:rPr>
        <w:t>;</w:t>
      </w:r>
      <w:r w:rsidR="00B529EE" w:rsidRPr="00B26B5B">
        <w:rPr>
          <w:kern w:val="22"/>
          <w:szCs w:val="22"/>
          <w:lang w:val="fr-CA"/>
        </w:rPr>
        <w:t xml:space="preserve"> s’assurer que les interventions de renforcement des capacités ciblent les besoins prioritaires</w:t>
      </w:r>
      <w:r w:rsidR="009A1A2F">
        <w:rPr>
          <w:kern w:val="22"/>
          <w:szCs w:val="22"/>
          <w:lang w:val="fr-CA"/>
        </w:rPr>
        <w:t xml:space="preserve"> les plus urgents</w:t>
      </w:r>
      <w:r w:rsidR="00B92D18">
        <w:rPr>
          <w:kern w:val="22"/>
          <w:szCs w:val="22"/>
          <w:lang w:val="fr-CA"/>
        </w:rPr>
        <w:t>;</w:t>
      </w:r>
    </w:p>
    <w:p w:rsidR="007B019E" w:rsidRPr="00B26B5B" w:rsidRDefault="00610462" w:rsidP="00C33570">
      <w:pPr>
        <w:pStyle w:val="Para1"/>
        <w:numPr>
          <w:ilvl w:val="1"/>
          <w:numId w:val="2"/>
        </w:numPr>
        <w:suppressLineNumbers/>
        <w:suppressAutoHyphens/>
        <w:rPr>
          <w:kern w:val="22"/>
          <w:szCs w:val="22"/>
          <w:lang w:val="fr-CA"/>
        </w:rPr>
      </w:pPr>
      <w:r w:rsidRPr="00B26B5B">
        <w:rPr>
          <w:kern w:val="22"/>
          <w:szCs w:val="22"/>
          <w:lang w:val="fr-CA"/>
        </w:rPr>
        <w:t xml:space="preserve">À partir de l’évaluation des besoins, élaborer des stratégies et plans d’action de renforcement des capacités, </w:t>
      </w:r>
      <w:r w:rsidR="007F34FB">
        <w:rPr>
          <w:kern w:val="22"/>
          <w:szCs w:val="22"/>
          <w:lang w:val="fr-CA"/>
        </w:rPr>
        <w:t>dont des</w:t>
      </w:r>
      <w:r w:rsidRPr="00B26B5B">
        <w:rPr>
          <w:kern w:val="22"/>
          <w:szCs w:val="22"/>
          <w:lang w:val="fr-CA"/>
        </w:rPr>
        <w:t xml:space="preserve"> cibles et indicateurs </w:t>
      </w:r>
      <w:r w:rsidR="007F34FB">
        <w:rPr>
          <w:kern w:val="22"/>
          <w:szCs w:val="22"/>
          <w:lang w:val="fr-CA"/>
        </w:rPr>
        <w:t>de renforcement des capacités, des échéances et d</w:t>
      </w:r>
      <w:r w:rsidRPr="00B26B5B">
        <w:rPr>
          <w:kern w:val="22"/>
          <w:szCs w:val="22"/>
          <w:lang w:val="fr-CA"/>
        </w:rPr>
        <w:t>es outils et approches à utiliser</w:t>
      </w:r>
      <w:r w:rsidR="00B92D18">
        <w:rPr>
          <w:kern w:val="22"/>
          <w:szCs w:val="22"/>
          <w:lang w:val="fr-CA"/>
        </w:rPr>
        <w:t>;</w:t>
      </w:r>
    </w:p>
    <w:p w:rsidR="0030426A" w:rsidRPr="00B26B5B" w:rsidRDefault="00610462" w:rsidP="00C33570">
      <w:pPr>
        <w:pStyle w:val="Para1"/>
        <w:numPr>
          <w:ilvl w:val="1"/>
          <w:numId w:val="2"/>
        </w:numPr>
        <w:suppressLineNumbers/>
        <w:suppressAutoHyphens/>
        <w:rPr>
          <w:kern w:val="22"/>
          <w:szCs w:val="22"/>
          <w:lang w:val="fr-CA"/>
        </w:rPr>
      </w:pPr>
      <w:r w:rsidRPr="00B26B5B">
        <w:rPr>
          <w:kern w:val="22"/>
          <w:szCs w:val="22"/>
          <w:lang w:val="fr-CA"/>
        </w:rPr>
        <w:t xml:space="preserve">Élaborer et mettre en œuvre un renforcement des capacités qui tient </w:t>
      </w:r>
      <w:r w:rsidR="007F34FB">
        <w:rPr>
          <w:kern w:val="22"/>
          <w:szCs w:val="22"/>
          <w:lang w:val="fr-CA"/>
        </w:rPr>
        <w:t>compte des besoins recensés et d</w:t>
      </w:r>
      <w:r w:rsidRPr="00B26B5B">
        <w:rPr>
          <w:kern w:val="22"/>
          <w:szCs w:val="22"/>
          <w:lang w:val="fr-CA"/>
        </w:rPr>
        <w:t>es priorités des Parties et des parties prenantes, et y répond</w:t>
      </w:r>
      <w:r w:rsidR="00B92D18">
        <w:rPr>
          <w:kern w:val="22"/>
          <w:szCs w:val="22"/>
          <w:lang w:val="fr-CA"/>
        </w:rPr>
        <w:t>;</w:t>
      </w:r>
    </w:p>
    <w:p w:rsidR="003263F2" w:rsidRPr="00B26B5B" w:rsidRDefault="007F34FB" w:rsidP="00C33570">
      <w:pPr>
        <w:pStyle w:val="Para1"/>
        <w:numPr>
          <w:ilvl w:val="1"/>
          <w:numId w:val="2"/>
        </w:numPr>
        <w:suppressLineNumbers/>
        <w:suppressAutoHyphens/>
        <w:rPr>
          <w:kern w:val="22"/>
          <w:szCs w:val="22"/>
          <w:lang w:val="fr-CA"/>
        </w:rPr>
      </w:pPr>
      <w:r>
        <w:rPr>
          <w:kern w:val="22"/>
          <w:szCs w:val="22"/>
          <w:lang w:val="fr-CA"/>
        </w:rPr>
        <w:t>Adopter une approche globale : L</w:t>
      </w:r>
      <w:r w:rsidR="00610462" w:rsidRPr="00B26B5B">
        <w:rPr>
          <w:kern w:val="22"/>
          <w:szCs w:val="22"/>
          <w:lang w:val="fr-CA"/>
        </w:rPr>
        <w:t>es projets de renforcement des capacités visent souvent tout un éventail de questions thématiques et intersectorielles, et comprennent une multitude de tâches et activités. Il est donc crucial d’adopter une approche globale (au lieu d’une approche fragmentaire ou ad hoc) pour le renforcement des capacités afin d’obtenir des résultats efficaces et durables</w:t>
      </w:r>
      <w:r w:rsidR="00B92D18">
        <w:rPr>
          <w:kern w:val="22"/>
          <w:szCs w:val="22"/>
          <w:lang w:val="fr-CA"/>
        </w:rPr>
        <w:t>;</w:t>
      </w:r>
    </w:p>
    <w:p w:rsidR="00DC11D8" w:rsidRPr="00B26B5B" w:rsidRDefault="00182DAE" w:rsidP="00C33570">
      <w:pPr>
        <w:pStyle w:val="Para1"/>
        <w:numPr>
          <w:ilvl w:val="1"/>
          <w:numId w:val="2"/>
        </w:numPr>
        <w:suppressLineNumbers/>
        <w:suppressAutoHyphens/>
        <w:rPr>
          <w:kern w:val="22"/>
          <w:szCs w:val="22"/>
          <w:lang w:val="fr-CA"/>
        </w:rPr>
      </w:pPr>
      <w:r w:rsidRPr="00B26B5B">
        <w:rPr>
          <w:kern w:val="22"/>
          <w:szCs w:val="22"/>
          <w:lang w:val="fr-CA"/>
        </w:rPr>
        <w:t xml:space="preserve">Entreprendre une démarche de suivi, d’évaluation et d’établissement de rapports rigoureuse : Les participants ont recommandé d’élaborer un cadre et </w:t>
      </w:r>
      <w:r w:rsidR="007F34FB">
        <w:rPr>
          <w:kern w:val="22"/>
          <w:szCs w:val="22"/>
          <w:lang w:val="fr-CA"/>
        </w:rPr>
        <w:t xml:space="preserve">des lignes directrices de suivi et </w:t>
      </w:r>
      <w:r w:rsidR="00B946EC" w:rsidRPr="00B26B5B">
        <w:rPr>
          <w:kern w:val="22"/>
          <w:szCs w:val="22"/>
          <w:lang w:val="fr-CA"/>
        </w:rPr>
        <w:t>évaluatio</w:t>
      </w:r>
      <w:r w:rsidRPr="00B26B5B">
        <w:rPr>
          <w:kern w:val="22"/>
          <w:szCs w:val="22"/>
          <w:lang w:val="fr-CA"/>
        </w:rPr>
        <w:t>n</w:t>
      </w:r>
      <w:r w:rsidR="00B946EC" w:rsidRPr="00B26B5B">
        <w:rPr>
          <w:kern w:val="22"/>
          <w:szCs w:val="22"/>
          <w:lang w:val="fr-CA"/>
        </w:rPr>
        <w:t>, afin d’aider les Parties à établir des valeurs de référence et à mesurer l’efficacité et l’impact des projets de renforcement des capacités en appui au cadre de l’après-2020. Ils ont aussi souligné la nécessité de définir, dès la conception, des i</w:t>
      </w:r>
      <w:r w:rsidR="007F34FB">
        <w:rPr>
          <w:kern w:val="22"/>
          <w:szCs w:val="22"/>
          <w:lang w:val="fr-CA"/>
        </w:rPr>
        <w:t>ndicateurs communs qui serviront</w:t>
      </w:r>
      <w:r w:rsidR="00B946EC" w:rsidRPr="00B26B5B">
        <w:rPr>
          <w:kern w:val="22"/>
          <w:szCs w:val="22"/>
          <w:lang w:val="fr-CA"/>
        </w:rPr>
        <w:t xml:space="preserve"> à évaluer les interventions de renforcement des capacités et documenter et diffuser les </w:t>
      </w:r>
      <w:r w:rsidR="007F34FB">
        <w:rPr>
          <w:kern w:val="22"/>
          <w:szCs w:val="22"/>
          <w:lang w:val="fr-CA"/>
        </w:rPr>
        <w:t>éléments probants</w:t>
      </w:r>
      <w:r w:rsidR="00B946EC" w:rsidRPr="00B26B5B">
        <w:rPr>
          <w:kern w:val="22"/>
          <w:szCs w:val="22"/>
          <w:lang w:val="fr-CA"/>
        </w:rPr>
        <w:t xml:space="preserve"> amassés grâce à ces indicateurs</w:t>
      </w:r>
      <w:r w:rsidR="00B92D18">
        <w:rPr>
          <w:kern w:val="22"/>
          <w:szCs w:val="22"/>
          <w:lang w:val="fr-CA"/>
        </w:rPr>
        <w:t>;</w:t>
      </w:r>
    </w:p>
    <w:p w:rsidR="00CA54C3" w:rsidRPr="00B26B5B" w:rsidRDefault="00B946EC" w:rsidP="00C33570">
      <w:pPr>
        <w:pStyle w:val="Para1"/>
        <w:numPr>
          <w:ilvl w:val="1"/>
          <w:numId w:val="2"/>
        </w:numPr>
        <w:suppressLineNumbers/>
        <w:suppressAutoHyphens/>
        <w:rPr>
          <w:kern w:val="22"/>
          <w:szCs w:val="22"/>
          <w:lang w:val="fr-CA"/>
        </w:rPr>
      </w:pPr>
      <w:r w:rsidRPr="00B26B5B">
        <w:rPr>
          <w:kern w:val="22"/>
          <w:szCs w:val="22"/>
          <w:lang w:val="fr-CA"/>
        </w:rPr>
        <w:t>Évaluer et communiquer les conséquences du renforcement des capacités : Les participants ont souligné la nécessité d’évaluer et de communiquer systématiquement les conséquences des projets de renforcement des capacités, de documenter et de partage</w:t>
      </w:r>
      <w:r w:rsidR="007F34FB">
        <w:rPr>
          <w:kern w:val="22"/>
          <w:szCs w:val="22"/>
          <w:lang w:val="fr-CA"/>
        </w:rPr>
        <w:t>r</w:t>
      </w:r>
      <w:r w:rsidRPr="00B26B5B">
        <w:rPr>
          <w:kern w:val="22"/>
          <w:szCs w:val="22"/>
          <w:lang w:val="fr-CA"/>
        </w:rPr>
        <w:t xml:space="preserve"> les histoires et les enseignements tirés, et d’assurer l’utilisation maximale des meilleures pratiques et des enseignements tirés dans le développement de nouveaux projets de renforcement des capacités</w:t>
      </w:r>
      <w:r w:rsidR="00B92D18">
        <w:rPr>
          <w:kern w:val="22"/>
          <w:szCs w:val="22"/>
          <w:lang w:val="fr-CA"/>
        </w:rPr>
        <w:t>;</w:t>
      </w:r>
    </w:p>
    <w:p w:rsidR="008F4FF4" w:rsidRPr="00B26B5B" w:rsidRDefault="0019765C" w:rsidP="00C33570">
      <w:pPr>
        <w:pStyle w:val="Para1"/>
        <w:numPr>
          <w:ilvl w:val="1"/>
          <w:numId w:val="2"/>
        </w:numPr>
        <w:suppressLineNumbers/>
        <w:suppressAutoHyphens/>
        <w:rPr>
          <w:kern w:val="22"/>
          <w:szCs w:val="22"/>
          <w:lang w:val="fr-CA"/>
        </w:rPr>
      </w:pPr>
      <w:r w:rsidRPr="00B26B5B">
        <w:rPr>
          <w:kern w:val="22"/>
          <w:szCs w:val="22"/>
          <w:lang w:val="fr-CA"/>
        </w:rPr>
        <w:t xml:space="preserve">Assurer la durabilité des projets de renforcement des capacités : </w:t>
      </w:r>
      <w:r w:rsidR="007F34FB">
        <w:rPr>
          <w:kern w:val="22"/>
          <w:szCs w:val="22"/>
          <w:lang w:val="fr-CA"/>
        </w:rPr>
        <w:t>Tou</w:t>
      </w:r>
      <w:r w:rsidRPr="00B26B5B">
        <w:rPr>
          <w:kern w:val="22"/>
          <w:szCs w:val="22"/>
          <w:lang w:val="fr-CA"/>
        </w:rPr>
        <w:t xml:space="preserve">s les projets et programmes de renforcement des capacités </w:t>
      </w:r>
      <w:r w:rsidR="007F34FB">
        <w:rPr>
          <w:kern w:val="22"/>
          <w:szCs w:val="22"/>
          <w:lang w:val="fr-CA"/>
        </w:rPr>
        <w:t xml:space="preserve">doivent comprendre </w:t>
      </w:r>
      <w:r w:rsidR="003F3A97" w:rsidRPr="00B26B5B">
        <w:rPr>
          <w:kern w:val="22"/>
          <w:szCs w:val="22"/>
          <w:lang w:val="fr-CA"/>
        </w:rPr>
        <w:t>des mesures de suivi e</w:t>
      </w:r>
      <w:r w:rsidRPr="00B26B5B">
        <w:rPr>
          <w:kern w:val="22"/>
          <w:szCs w:val="22"/>
          <w:lang w:val="fr-CA"/>
        </w:rPr>
        <w:t xml:space="preserve">fficaces afin de maintenir et/ou </w:t>
      </w:r>
      <w:r w:rsidR="00F118DD">
        <w:rPr>
          <w:kern w:val="22"/>
          <w:szCs w:val="22"/>
          <w:lang w:val="fr-CA"/>
        </w:rPr>
        <w:t>d’améliorer</w:t>
      </w:r>
      <w:r w:rsidRPr="00B26B5B">
        <w:rPr>
          <w:kern w:val="22"/>
          <w:szCs w:val="22"/>
          <w:lang w:val="fr-CA"/>
        </w:rPr>
        <w:t xml:space="preserve"> les résultats produits et escomptés à la fin du projet et </w:t>
      </w:r>
      <w:r w:rsidR="00F118DD">
        <w:rPr>
          <w:kern w:val="22"/>
          <w:szCs w:val="22"/>
          <w:lang w:val="fr-CA"/>
        </w:rPr>
        <w:t>mettre</w:t>
      </w:r>
      <w:r w:rsidRPr="00B26B5B">
        <w:rPr>
          <w:kern w:val="22"/>
          <w:szCs w:val="22"/>
          <w:lang w:val="fr-CA"/>
        </w:rPr>
        <w:t xml:space="preserve"> l’</w:t>
      </w:r>
      <w:r w:rsidR="003F3A97" w:rsidRPr="00B26B5B">
        <w:rPr>
          <w:kern w:val="22"/>
          <w:szCs w:val="22"/>
          <w:lang w:val="fr-CA"/>
        </w:rPr>
        <w:t>accen</w:t>
      </w:r>
      <w:r w:rsidRPr="00B26B5B">
        <w:rPr>
          <w:kern w:val="22"/>
          <w:szCs w:val="22"/>
          <w:lang w:val="fr-CA"/>
        </w:rPr>
        <w:t xml:space="preserve">t sur les solutions </w:t>
      </w:r>
      <w:r w:rsidR="003F3A97" w:rsidRPr="00B26B5B">
        <w:rPr>
          <w:kern w:val="22"/>
          <w:szCs w:val="22"/>
          <w:lang w:val="fr-CA"/>
        </w:rPr>
        <w:t>à long terme plutô</w:t>
      </w:r>
      <w:r w:rsidRPr="00B26B5B">
        <w:rPr>
          <w:kern w:val="22"/>
          <w:szCs w:val="22"/>
          <w:lang w:val="fr-CA"/>
        </w:rPr>
        <w:t xml:space="preserve">t qu’à court terme. Ces mesures pourraient comprendre, entre autres, </w:t>
      </w:r>
      <w:r w:rsidR="003A753B">
        <w:rPr>
          <w:kern w:val="22"/>
          <w:szCs w:val="22"/>
          <w:lang w:val="fr-CA"/>
        </w:rPr>
        <w:t xml:space="preserve">de </w:t>
      </w:r>
      <w:r w:rsidRPr="00B26B5B">
        <w:rPr>
          <w:kern w:val="22"/>
          <w:szCs w:val="22"/>
          <w:lang w:val="fr-CA"/>
        </w:rPr>
        <w:t xml:space="preserve">faire en </w:t>
      </w:r>
      <w:r w:rsidRPr="00B26B5B">
        <w:rPr>
          <w:kern w:val="22"/>
          <w:szCs w:val="22"/>
          <w:lang w:val="fr-CA"/>
        </w:rPr>
        <w:lastRenderedPageBreak/>
        <w:t>sorte que les pays s’approprient entièrement les projets</w:t>
      </w:r>
      <w:r w:rsidR="003F3A97" w:rsidRPr="00B26B5B">
        <w:rPr>
          <w:kern w:val="22"/>
          <w:szCs w:val="22"/>
          <w:lang w:val="fr-CA"/>
        </w:rPr>
        <w:t>, l’institutionnalisation des mesures de renforcement des capacités dans les structures et fonctions existantes, et la création de réseaux et de partenariats à long terme avec les institutions compétentes telles que les universités locales</w:t>
      </w:r>
      <w:r w:rsidR="000F2EE7" w:rsidRPr="00B26B5B">
        <w:rPr>
          <w:kern w:val="22"/>
          <w:szCs w:val="22"/>
          <w:lang w:val="fr-CA"/>
        </w:rPr>
        <w:t>.</w:t>
      </w:r>
    </w:p>
    <w:p w:rsidR="00D2486E" w:rsidRPr="00B26B5B" w:rsidRDefault="003F3A97" w:rsidP="00C33570">
      <w:pPr>
        <w:pStyle w:val="Para1"/>
        <w:suppressLineNumbers/>
        <w:tabs>
          <w:tab w:val="clear" w:pos="360"/>
        </w:tabs>
        <w:suppressAutoHyphens/>
        <w:rPr>
          <w:kern w:val="22"/>
          <w:szCs w:val="22"/>
          <w:lang w:val="fr-CA"/>
        </w:rPr>
      </w:pPr>
      <w:r w:rsidRPr="00B26B5B">
        <w:rPr>
          <w:kern w:val="22"/>
          <w:szCs w:val="22"/>
          <w:lang w:val="fr-CA"/>
        </w:rPr>
        <w:t xml:space="preserve">En résumé, les participants ont souligné la nécessité d’adopter une approche stratégique et pratique afin que le renforcement des capacités contribue utilement </w:t>
      </w:r>
      <w:r w:rsidR="00F118DD">
        <w:rPr>
          <w:kern w:val="22"/>
          <w:szCs w:val="22"/>
          <w:lang w:val="fr-CA"/>
        </w:rPr>
        <w:t xml:space="preserve">et efficacement </w:t>
      </w:r>
      <w:r w:rsidRPr="00B26B5B">
        <w:rPr>
          <w:kern w:val="22"/>
          <w:szCs w:val="22"/>
          <w:lang w:val="fr-CA"/>
        </w:rPr>
        <w:t>à la mise en œuvre efficace du cadre mondial de la biodiversité pour l</w:t>
      </w:r>
      <w:r w:rsidR="00CD0FC3">
        <w:rPr>
          <w:kern w:val="22"/>
          <w:szCs w:val="22"/>
          <w:lang w:val="fr-CA"/>
        </w:rPr>
        <w:t>’</w:t>
      </w:r>
      <w:r w:rsidRPr="00B26B5B">
        <w:rPr>
          <w:kern w:val="22"/>
          <w:szCs w:val="22"/>
          <w:lang w:val="fr-CA"/>
        </w:rPr>
        <w:t>après-2020</w:t>
      </w:r>
      <w:r w:rsidR="00092948" w:rsidRPr="00B26B5B">
        <w:rPr>
          <w:kern w:val="22"/>
          <w:szCs w:val="22"/>
          <w:lang w:val="fr-CA"/>
        </w:rPr>
        <w:t>.</w:t>
      </w:r>
    </w:p>
    <w:p w:rsidR="00CF3D87" w:rsidRPr="00B26B5B" w:rsidRDefault="008B2929" w:rsidP="00C33570">
      <w:pPr>
        <w:pStyle w:val="Titre3"/>
        <w:suppressLineNumbers/>
        <w:suppressAutoHyphens/>
        <w:rPr>
          <w:kern w:val="22"/>
          <w:szCs w:val="22"/>
          <w:lang w:val="fr-CA"/>
        </w:rPr>
      </w:pPr>
      <w:r w:rsidRPr="00B26B5B">
        <w:rPr>
          <w:kern w:val="22"/>
          <w:szCs w:val="22"/>
          <w:lang w:val="fr-CA"/>
        </w:rPr>
        <w:t>6</w:t>
      </w:r>
      <w:r w:rsidR="00CF3D87" w:rsidRPr="00B26B5B">
        <w:rPr>
          <w:kern w:val="22"/>
          <w:szCs w:val="22"/>
          <w:lang w:val="fr-CA"/>
        </w:rPr>
        <w:t>.</w:t>
      </w:r>
      <w:r w:rsidR="00CF3D87" w:rsidRPr="00B26B5B">
        <w:rPr>
          <w:kern w:val="22"/>
          <w:szCs w:val="22"/>
          <w:lang w:val="fr-CA"/>
        </w:rPr>
        <w:tab/>
      </w:r>
      <w:r w:rsidR="00D27089" w:rsidRPr="00B26B5B">
        <w:rPr>
          <w:kern w:val="22"/>
          <w:szCs w:val="22"/>
          <w:lang w:val="fr-CA"/>
        </w:rPr>
        <w:t>Coopération technique et scientifique, et transfert de technologie</w:t>
      </w:r>
    </w:p>
    <w:p w:rsidR="00A81305" w:rsidRPr="00B26B5B" w:rsidRDefault="00BB2D60" w:rsidP="00C33570">
      <w:pPr>
        <w:pStyle w:val="Para1"/>
        <w:suppressLineNumbers/>
        <w:tabs>
          <w:tab w:val="clear" w:pos="360"/>
        </w:tabs>
        <w:suppressAutoHyphens/>
        <w:rPr>
          <w:kern w:val="22"/>
          <w:szCs w:val="22"/>
          <w:lang w:val="fr-CA"/>
        </w:rPr>
      </w:pPr>
      <w:r>
        <w:rPr>
          <w:kern w:val="22"/>
          <w:szCs w:val="22"/>
          <w:lang w:val="fr-CA"/>
        </w:rPr>
        <w:t>Peu</w:t>
      </w:r>
      <w:r w:rsidR="009D6EEC" w:rsidRPr="00B26B5B">
        <w:rPr>
          <w:kern w:val="22"/>
          <w:szCs w:val="22"/>
          <w:lang w:val="fr-CA"/>
        </w:rPr>
        <w:t xml:space="preserve"> de progrès </w:t>
      </w:r>
      <w:r>
        <w:rPr>
          <w:kern w:val="22"/>
          <w:szCs w:val="22"/>
          <w:lang w:val="fr-CA"/>
        </w:rPr>
        <w:t>ont</w:t>
      </w:r>
      <w:r w:rsidR="009D6EEC" w:rsidRPr="00B26B5B">
        <w:rPr>
          <w:kern w:val="22"/>
          <w:szCs w:val="22"/>
          <w:lang w:val="fr-CA"/>
        </w:rPr>
        <w:t xml:space="preserve"> été accomplis dans la promotion de la coopération technique et scientifique, le transfert de technologie et l’innovation. </w:t>
      </w:r>
      <w:r>
        <w:rPr>
          <w:kern w:val="22"/>
          <w:szCs w:val="22"/>
          <w:lang w:val="fr-CA"/>
        </w:rPr>
        <w:t>C</w:t>
      </w:r>
      <w:r w:rsidR="009D6EEC" w:rsidRPr="00B26B5B">
        <w:rPr>
          <w:kern w:val="22"/>
          <w:szCs w:val="22"/>
          <w:lang w:val="fr-CA"/>
        </w:rPr>
        <w:t>ertains projets et programmes</w:t>
      </w:r>
      <w:r>
        <w:rPr>
          <w:kern w:val="22"/>
          <w:szCs w:val="22"/>
          <w:lang w:val="fr-CA"/>
        </w:rPr>
        <w:t xml:space="preserve"> ont été créés</w:t>
      </w:r>
      <w:r w:rsidR="009D6EEC" w:rsidRPr="00B26B5B">
        <w:rPr>
          <w:kern w:val="22"/>
          <w:szCs w:val="22"/>
          <w:lang w:val="fr-CA"/>
        </w:rPr>
        <w:t xml:space="preserve">, tels que l’Initiative Bio-Bridge, </w:t>
      </w:r>
      <w:r>
        <w:rPr>
          <w:kern w:val="22"/>
          <w:szCs w:val="22"/>
          <w:lang w:val="fr-CA"/>
        </w:rPr>
        <w:t xml:space="preserve">mais ils sont </w:t>
      </w:r>
      <w:r w:rsidR="009D6EEC" w:rsidRPr="00B26B5B">
        <w:rPr>
          <w:kern w:val="22"/>
          <w:szCs w:val="22"/>
          <w:lang w:val="fr-CA"/>
        </w:rPr>
        <w:t xml:space="preserve">sous-financés et </w:t>
      </w:r>
      <w:r>
        <w:rPr>
          <w:kern w:val="22"/>
          <w:szCs w:val="22"/>
          <w:lang w:val="fr-CA"/>
        </w:rPr>
        <w:t>quelques</w:t>
      </w:r>
      <w:r w:rsidR="009D6EEC" w:rsidRPr="00B26B5B">
        <w:rPr>
          <w:kern w:val="22"/>
          <w:szCs w:val="22"/>
          <w:lang w:val="fr-CA"/>
        </w:rPr>
        <w:t xml:space="preserve"> Parties </w:t>
      </w:r>
      <w:r>
        <w:rPr>
          <w:kern w:val="22"/>
          <w:szCs w:val="22"/>
          <w:lang w:val="fr-CA"/>
        </w:rPr>
        <w:t xml:space="preserve">seulement </w:t>
      </w:r>
      <w:r w:rsidR="009D6EEC" w:rsidRPr="00B26B5B">
        <w:rPr>
          <w:kern w:val="22"/>
          <w:szCs w:val="22"/>
          <w:lang w:val="fr-CA"/>
        </w:rPr>
        <w:t>en ont profité</w:t>
      </w:r>
      <w:r w:rsidR="006D1790" w:rsidRPr="00B26B5B">
        <w:rPr>
          <w:kern w:val="22"/>
          <w:szCs w:val="22"/>
          <w:lang w:val="fr-CA"/>
        </w:rPr>
        <w:t>.</w:t>
      </w:r>
    </w:p>
    <w:p w:rsidR="00CF3D87" w:rsidRPr="00BB2D60" w:rsidRDefault="00BB2D60" w:rsidP="00BB2D60">
      <w:pPr>
        <w:pStyle w:val="Para1"/>
        <w:suppressLineNumbers/>
        <w:tabs>
          <w:tab w:val="clear" w:pos="360"/>
        </w:tabs>
        <w:suppressAutoHyphens/>
        <w:rPr>
          <w:kern w:val="22"/>
          <w:szCs w:val="22"/>
          <w:lang w:val="fr-CA"/>
        </w:rPr>
      </w:pPr>
      <w:r>
        <w:rPr>
          <w:kern w:val="22"/>
          <w:szCs w:val="22"/>
          <w:lang w:val="fr-CA"/>
        </w:rPr>
        <w:t>Il faut</w:t>
      </w:r>
      <w:r w:rsidR="007F35F4" w:rsidRPr="00B26B5B">
        <w:rPr>
          <w:kern w:val="22"/>
          <w:szCs w:val="22"/>
          <w:lang w:val="fr-CA"/>
        </w:rPr>
        <w:t xml:space="preserve"> améliorer la coopération technique et scientifique, le transfert de technologie et l’innovation comme principal moyen de mise en œuvre</w:t>
      </w:r>
      <w:r>
        <w:rPr>
          <w:kern w:val="22"/>
          <w:szCs w:val="22"/>
          <w:lang w:val="fr-CA"/>
        </w:rPr>
        <w:t>,</w:t>
      </w:r>
      <w:r w:rsidR="007F35F4" w:rsidRPr="00B26B5B">
        <w:rPr>
          <w:kern w:val="22"/>
          <w:szCs w:val="22"/>
          <w:lang w:val="fr-CA"/>
        </w:rPr>
        <w:t xml:space="preserve"> afin de soutenir le cadre mondial de la biodiversité pour l</w:t>
      </w:r>
      <w:r w:rsidR="00CD0FC3">
        <w:rPr>
          <w:kern w:val="22"/>
          <w:szCs w:val="22"/>
          <w:lang w:val="fr-CA"/>
        </w:rPr>
        <w:t>’</w:t>
      </w:r>
      <w:r w:rsidR="007F35F4" w:rsidRPr="00B26B5B">
        <w:rPr>
          <w:kern w:val="22"/>
          <w:szCs w:val="22"/>
          <w:lang w:val="fr-CA"/>
        </w:rPr>
        <w:t xml:space="preserve">après-2020. </w:t>
      </w:r>
      <w:r>
        <w:rPr>
          <w:kern w:val="22"/>
          <w:szCs w:val="22"/>
          <w:lang w:val="fr-CA"/>
        </w:rPr>
        <w:t>L</w:t>
      </w:r>
      <w:r w:rsidRPr="00BB2D60">
        <w:rPr>
          <w:kern w:val="22"/>
          <w:szCs w:val="22"/>
          <w:lang w:val="fr-CA"/>
        </w:rPr>
        <w:t>es participants</w:t>
      </w:r>
      <w:r w:rsidR="007F35F4" w:rsidRPr="00BB2D60">
        <w:rPr>
          <w:kern w:val="22"/>
          <w:szCs w:val="22"/>
          <w:lang w:val="fr-CA"/>
        </w:rPr>
        <w:t xml:space="preserve"> ont proposé les démarches possibles, aux fins d’examen</w:t>
      </w:r>
      <w:r w:rsidR="00CD0FC3">
        <w:rPr>
          <w:kern w:val="22"/>
          <w:szCs w:val="22"/>
          <w:lang w:val="fr-CA"/>
        </w:rPr>
        <w:t> </w:t>
      </w:r>
      <w:r w:rsidR="001677FF" w:rsidRPr="00BB2D60">
        <w:rPr>
          <w:kern w:val="22"/>
          <w:szCs w:val="22"/>
          <w:lang w:val="fr-CA"/>
        </w:rPr>
        <w:t>:</w:t>
      </w:r>
    </w:p>
    <w:p w:rsidR="00A50DB6" w:rsidRPr="00B26B5B" w:rsidRDefault="007F35F4" w:rsidP="00C33570">
      <w:pPr>
        <w:pStyle w:val="Para1"/>
        <w:numPr>
          <w:ilvl w:val="1"/>
          <w:numId w:val="2"/>
        </w:numPr>
        <w:suppressLineNumbers/>
        <w:suppressAutoHyphens/>
        <w:rPr>
          <w:kern w:val="22"/>
          <w:szCs w:val="22"/>
          <w:lang w:val="fr-CA"/>
        </w:rPr>
      </w:pPr>
      <w:r w:rsidRPr="00B26B5B">
        <w:rPr>
          <w:kern w:val="22"/>
          <w:szCs w:val="22"/>
          <w:lang w:val="fr-CA"/>
        </w:rPr>
        <w:t>Cartographier et cataloguer les fournisseurs existants et potentiels d’assistance technique aux fins de jumelage possible avec les demandeurs d’assistance</w:t>
      </w:r>
      <w:r w:rsidR="00B92D18">
        <w:rPr>
          <w:kern w:val="22"/>
          <w:szCs w:val="22"/>
          <w:lang w:val="fr-CA"/>
        </w:rPr>
        <w:t>;</w:t>
      </w:r>
    </w:p>
    <w:p w:rsidR="006D1790" w:rsidRPr="00B26B5B" w:rsidRDefault="007F35F4" w:rsidP="00C33570">
      <w:pPr>
        <w:pStyle w:val="Para1"/>
        <w:numPr>
          <w:ilvl w:val="1"/>
          <w:numId w:val="2"/>
        </w:numPr>
        <w:suppressLineNumbers/>
        <w:suppressAutoHyphens/>
        <w:rPr>
          <w:kern w:val="22"/>
          <w:szCs w:val="22"/>
          <w:lang w:val="fr-CA"/>
        </w:rPr>
      </w:pPr>
      <w:r w:rsidRPr="00B26B5B">
        <w:rPr>
          <w:kern w:val="22"/>
          <w:szCs w:val="22"/>
          <w:lang w:val="fr-CA"/>
        </w:rPr>
        <w:t>Évaluation/inventaire des technologies pertinente</w:t>
      </w:r>
      <w:r w:rsidR="00DC451C">
        <w:rPr>
          <w:kern w:val="22"/>
          <w:szCs w:val="22"/>
          <w:lang w:val="fr-CA"/>
        </w:rPr>
        <w:t>s et des meilleures pratiques (</w:t>
      </w:r>
      <w:r w:rsidRPr="00B26B5B">
        <w:rPr>
          <w:kern w:val="22"/>
          <w:szCs w:val="22"/>
          <w:lang w:val="fr-CA"/>
        </w:rPr>
        <w:t xml:space="preserve">comprenant les connaissances traditionnelles et la science) </w:t>
      </w:r>
      <w:r w:rsidR="00DC451C">
        <w:rPr>
          <w:kern w:val="22"/>
          <w:szCs w:val="22"/>
          <w:lang w:val="fr-CA"/>
        </w:rPr>
        <w:t>pour</w:t>
      </w:r>
      <w:r w:rsidRPr="00B26B5B">
        <w:rPr>
          <w:kern w:val="22"/>
          <w:szCs w:val="22"/>
          <w:lang w:val="fr-CA"/>
        </w:rPr>
        <w:t xml:space="preserve"> repérer ce qui existe et</w:t>
      </w:r>
      <w:r w:rsidR="00EF7B6B" w:rsidRPr="00B26B5B">
        <w:rPr>
          <w:kern w:val="22"/>
          <w:szCs w:val="22"/>
          <w:lang w:val="fr-CA"/>
        </w:rPr>
        <w:t xml:space="preserve"> à qui elles appartiennent, afin que les responsables des orientations politiques et les professionnels puissent élaborer des mécanismes pour y avoir accès et/ou combler les lacunes et régler les difficultés survenues lors de l’accès</w:t>
      </w:r>
      <w:r w:rsidR="00B92D18">
        <w:rPr>
          <w:kern w:val="22"/>
          <w:szCs w:val="22"/>
          <w:lang w:val="fr-CA"/>
        </w:rPr>
        <w:t>;</w:t>
      </w:r>
    </w:p>
    <w:p w:rsidR="006D1790" w:rsidRPr="00B26B5B" w:rsidRDefault="00EF7B6B" w:rsidP="00C33570">
      <w:pPr>
        <w:pStyle w:val="Para1"/>
        <w:numPr>
          <w:ilvl w:val="1"/>
          <w:numId w:val="2"/>
        </w:numPr>
        <w:suppressLineNumbers/>
        <w:suppressAutoHyphens/>
        <w:rPr>
          <w:kern w:val="22"/>
          <w:szCs w:val="22"/>
          <w:lang w:val="fr-CA"/>
        </w:rPr>
      </w:pPr>
      <w:r w:rsidRPr="00B26B5B">
        <w:rPr>
          <w:kern w:val="22"/>
          <w:szCs w:val="22"/>
          <w:lang w:val="fr-CA"/>
        </w:rPr>
        <w:t>Technologie convenant à l’objectif : Passer en revue les exemples de technologies transférées au cours de la dernière décennie afin de comprendre l’ob</w:t>
      </w:r>
      <w:r w:rsidR="00AC0C29" w:rsidRPr="00B26B5B">
        <w:rPr>
          <w:kern w:val="22"/>
          <w:szCs w:val="22"/>
          <w:lang w:val="fr-CA"/>
        </w:rPr>
        <w:t>jectif et la raison du transfert, en vue d’adopter des stratégies et des décisions offrant des résultats correspondant aux objectifs</w:t>
      </w:r>
      <w:r w:rsidR="00B92D18">
        <w:rPr>
          <w:kern w:val="22"/>
          <w:szCs w:val="22"/>
          <w:lang w:val="fr-CA"/>
        </w:rPr>
        <w:t>;</w:t>
      </w:r>
    </w:p>
    <w:p w:rsidR="00CF77B8" w:rsidRPr="00B26B5B" w:rsidRDefault="00AC0C29" w:rsidP="00C33570">
      <w:pPr>
        <w:pStyle w:val="Para1"/>
        <w:numPr>
          <w:ilvl w:val="1"/>
          <w:numId w:val="2"/>
        </w:numPr>
        <w:suppressLineNumbers/>
        <w:suppressAutoHyphens/>
        <w:rPr>
          <w:kern w:val="22"/>
          <w:szCs w:val="22"/>
          <w:lang w:val="fr-CA"/>
        </w:rPr>
      </w:pPr>
      <w:r w:rsidRPr="00B26B5B">
        <w:rPr>
          <w:kern w:val="22"/>
          <w:szCs w:val="22"/>
          <w:lang w:val="fr-CA"/>
        </w:rPr>
        <w:t xml:space="preserve">Encourager et soutenir le développement de technologies à l’échelle locale au lieu de favoriser les transferts depuis d’autres pays, qui sont parfois difficiles </w:t>
      </w:r>
      <w:r w:rsidR="000D5CCE" w:rsidRPr="00B26B5B">
        <w:rPr>
          <w:kern w:val="22"/>
          <w:szCs w:val="22"/>
          <w:lang w:val="fr-CA"/>
        </w:rPr>
        <w:t>à cause des droits de propriété intellectuelle ou de l’absence de pièces de rechange, dans le cas d</w:t>
      </w:r>
      <w:r w:rsidR="00DC451C">
        <w:rPr>
          <w:kern w:val="22"/>
          <w:szCs w:val="22"/>
          <w:lang w:val="fr-CA"/>
        </w:rPr>
        <w:t xml:space="preserve">es </w:t>
      </w:r>
      <w:r w:rsidR="000D5CCE" w:rsidRPr="00B26B5B">
        <w:rPr>
          <w:kern w:val="22"/>
          <w:szCs w:val="22"/>
          <w:lang w:val="fr-CA"/>
        </w:rPr>
        <w:t>équipement</w:t>
      </w:r>
      <w:r w:rsidR="00DC451C">
        <w:rPr>
          <w:kern w:val="22"/>
          <w:szCs w:val="22"/>
          <w:lang w:val="fr-CA"/>
        </w:rPr>
        <w:t>s</w:t>
      </w:r>
      <w:r w:rsidR="000D5CCE" w:rsidRPr="00B26B5B">
        <w:rPr>
          <w:kern w:val="22"/>
          <w:szCs w:val="22"/>
          <w:lang w:val="fr-CA"/>
        </w:rPr>
        <w:t>. Les participants ont indiqué qu’il est préférable d’utiliser des produits et des connaissances locales afin de favoriser l</w:t>
      </w:r>
      <w:r w:rsidR="00CD0FC3">
        <w:rPr>
          <w:kern w:val="22"/>
          <w:szCs w:val="22"/>
          <w:lang w:val="fr-CA"/>
        </w:rPr>
        <w:t>a</w:t>
      </w:r>
      <w:r w:rsidR="000D5CCE" w:rsidRPr="00B26B5B">
        <w:rPr>
          <w:kern w:val="22"/>
          <w:szCs w:val="22"/>
          <w:lang w:val="fr-CA"/>
        </w:rPr>
        <w:t xml:space="preserve"> durabilité et de réduire la dépendance et les coûts, et ont souligné le besoin de mettre l’accent sur les technologies douces, les pratiques et le savoir-faire</w:t>
      </w:r>
      <w:r w:rsidR="00B92D18">
        <w:rPr>
          <w:kern w:val="22"/>
          <w:szCs w:val="22"/>
          <w:lang w:val="fr-CA"/>
        </w:rPr>
        <w:t>;</w:t>
      </w:r>
    </w:p>
    <w:p w:rsidR="00CF77B8" w:rsidRPr="00B26B5B" w:rsidRDefault="000D5CCE" w:rsidP="00C33570">
      <w:pPr>
        <w:pStyle w:val="Para1"/>
        <w:numPr>
          <w:ilvl w:val="1"/>
          <w:numId w:val="2"/>
        </w:numPr>
        <w:suppressLineNumbers/>
        <w:suppressAutoHyphens/>
        <w:rPr>
          <w:kern w:val="22"/>
          <w:szCs w:val="22"/>
          <w:lang w:val="fr-CA"/>
        </w:rPr>
      </w:pPr>
      <w:r w:rsidRPr="00B26B5B">
        <w:rPr>
          <w:kern w:val="22"/>
          <w:szCs w:val="22"/>
          <w:lang w:val="fr-CA"/>
        </w:rPr>
        <w:t xml:space="preserve">Promouvoir le développement, le transfert et l’utilisation des technologies autochtones et traditionnelles, notamment </w:t>
      </w:r>
      <w:r w:rsidR="00DC451C">
        <w:rPr>
          <w:kern w:val="22"/>
          <w:szCs w:val="22"/>
          <w:lang w:val="fr-CA"/>
        </w:rPr>
        <w:t>au moyen</w:t>
      </w:r>
      <w:r w:rsidRPr="00B26B5B">
        <w:rPr>
          <w:kern w:val="22"/>
          <w:szCs w:val="22"/>
          <w:lang w:val="fr-CA"/>
        </w:rPr>
        <w:t xml:space="preserve"> de</w:t>
      </w:r>
      <w:r w:rsidR="00DC451C">
        <w:rPr>
          <w:kern w:val="22"/>
          <w:szCs w:val="22"/>
          <w:lang w:val="fr-CA"/>
        </w:rPr>
        <w:t>s</w:t>
      </w:r>
      <w:r w:rsidRPr="00B26B5B">
        <w:rPr>
          <w:kern w:val="22"/>
          <w:szCs w:val="22"/>
          <w:lang w:val="fr-CA"/>
        </w:rPr>
        <w:t xml:space="preserve"> mécanismes et systèmes d’échange traditionnels existants</w:t>
      </w:r>
      <w:r w:rsidR="001C3EA6" w:rsidRPr="00B26B5B">
        <w:rPr>
          <w:kern w:val="22"/>
          <w:szCs w:val="22"/>
          <w:lang w:val="fr-CA"/>
        </w:rPr>
        <w:t xml:space="preserve"> chez les peuples autochtones et les communautés locales</w:t>
      </w:r>
      <w:r w:rsidR="00B92D18">
        <w:rPr>
          <w:kern w:val="22"/>
          <w:szCs w:val="22"/>
          <w:lang w:val="fr-CA"/>
        </w:rPr>
        <w:t>;</w:t>
      </w:r>
    </w:p>
    <w:p w:rsidR="004F250F" w:rsidRPr="00B26B5B" w:rsidRDefault="001C3EA6" w:rsidP="00C33570">
      <w:pPr>
        <w:pStyle w:val="Para1"/>
        <w:numPr>
          <w:ilvl w:val="1"/>
          <w:numId w:val="2"/>
        </w:numPr>
        <w:suppressLineNumbers/>
        <w:suppressAutoHyphens/>
        <w:rPr>
          <w:kern w:val="22"/>
          <w:szCs w:val="22"/>
          <w:lang w:val="fr-CA"/>
        </w:rPr>
      </w:pPr>
      <w:r w:rsidRPr="00B26B5B">
        <w:rPr>
          <w:kern w:val="22"/>
          <w:szCs w:val="22"/>
          <w:lang w:val="fr-CA"/>
        </w:rPr>
        <w:t xml:space="preserve">Créer des mécanismes d’accélération locaux et nationaux afin d’encourager et de promouvoir le développement de technologies, d’innovations et de solutions pour la conservation et l’utilisation durable de la diversité biologique en appui aux divers </w:t>
      </w:r>
      <w:r w:rsidR="00160915">
        <w:rPr>
          <w:kern w:val="22"/>
          <w:szCs w:val="22"/>
          <w:lang w:val="fr-CA"/>
        </w:rPr>
        <w:t>éléments</w:t>
      </w:r>
      <w:r w:rsidRPr="00B26B5B">
        <w:rPr>
          <w:kern w:val="22"/>
          <w:szCs w:val="22"/>
          <w:lang w:val="fr-CA"/>
        </w:rPr>
        <w:t xml:space="preserve"> du cadre mondial de la biodiversité pour l</w:t>
      </w:r>
      <w:r w:rsidR="00CD0FC3">
        <w:rPr>
          <w:kern w:val="22"/>
          <w:szCs w:val="22"/>
          <w:lang w:val="fr-CA"/>
        </w:rPr>
        <w:t>’</w:t>
      </w:r>
      <w:r w:rsidRPr="00B26B5B">
        <w:rPr>
          <w:kern w:val="22"/>
          <w:szCs w:val="22"/>
          <w:lang w:val="fr-CA"/>
        </w:rPr>
        <w:t xml:space="preserve">après-2020. Ces mécanismes fourniraient des plateformes pour analyser les défis techniques, discuter de nouvelles idées, entreprendre des études de faisabilité et de durabilité, et </w:t>
      </w:r>
      <w:r w:rsidR="00F810E9">
        <w:rPr>
          <w:kern w:val="22"/>
          <w:szCs w:val="22"/>
          <w:lang w:val="fr-CA"/>
        </w:rPr>
        <w:t>profiter</w:t>
      </w:r>
      <w:r w:rsidRPr="00B26B5B">
        <w:rPr>
          <w:kern w:val="22"/>
          <w:szCs w:val="22"/>
          <w:lang w:val="fr-CA"/>
        </w:rPr>
        <w:t xml:space="preserve"> des occasions existantes de collaborer </w:t>
      </w:r>
      <w:r w:rsidR="00F810E9">
        <w:rPr>
          <w:kern w:val="22"/>
          <w:szCs w:val="22"/>
          <w:lang w:val="fr-CA"/>
        </w:rPr>
        <w:t>au démarrage d’entreprises</w:t>
      </w:r>
      <w:r w:rsidRPr="00B26B5B">
        <w:rPr>
          <w:kern w:val="22"/>
          <w:szCs w:val="22"/>
          <w:lang w:val="fr-CA"/>
        </w:rPr>
        <w:t xml:space="preserve"> et </w:t>
      </w:r>
      <w:r w:rsidR="00F810E9">
        <w:rPr>
          <w:kern w:val="22"/>
          <w:szCs w:val="22"/>
          <w:lang w:val="fr-CA"/>
        </w:rPr>
        <w:t>d’</w:t>
      </w:r>
      <w:r w:rsidRPr="00B26B5B">
        <w:rPr>
          <w:kern w:val="22"/>
          <w:szCs w:val="22"/>
          <w:lang w:val="fr-CA"/>
        </w:rPr>
        <w:t>accélérer le déploiement de solutions prometteuses et innovatrices</w:t>
      </w:r>
      <w:r w:rsidR="00B92D18">
        <w:rPr>
          <w:kern w:val="22"/>
          <w:szCs w:val="22"/>
          <w:lang w:val="fr-CA"/>
        </w:rPr>
        <w:t>;</w:t>
      </w:r>
    </w:p>
    <w:p w:rsidR="006D1790" w:rsidRPr="00B26B5B" w:rsidRDefault="001C3EA6" w:rsidP="00C33570">
      <w:pPr>
        <w:pStyle w:val="Para1"/>
        <w:numPr>
          <w:ilvl w:val="1"/>
          <w:numId w:val="2"/>
        </w:numPr>
        <w:suppressLineNumbers/>
        <w:suppressAutoHyphens/>
        <w:rPr>
          <w:kern w:val="22"/>
          <w:szCs w:val="22"/>
          <w:lang w:val="fr-CA"/>
        </w:rPr>
      </w:pPr>
      <w:r w:rsidRPr="00B26B5B">
        <w:rPr>
          <w:kern w:val="22"/>
          <w:szCs w:val="22"/>
          <w:lang w:val="fr-CA"/>
        </w:rPr>
        <w:t>R</w:t>
      </w:r>
      <w:r w:rsidR="00A212B7" w:rsidRPr="00B26B5B">
        <w:rPr>
          <w:kern w:val="22"/>
          <w:szCs w:val="22"/>
          <w:lang w:val="fr-CA"/>
        </w:rPr>
        <w:t>ecenser et renforcer les centre</w:t>
      </w:r>
      <w:r w:rsidRPr="00B26B5B">
        <w:rPr>
          <w:kern w:val="22"/>
          <w:szCs w:val="22"/>
          <w:lang w:val="fr-CA"/>
        </w:rPr>
        <w:t>s d’excellence dans la région</w:t>
      </w:r>
      <w:r w:rsidR="00160915">
        <w:rPr>
          <w:kern w:val="22"/>
          <w:szCs w:val="22"/>
          <w:lang w:val="fr-CA"/>
        </w:rPr>
        <w:t xml:space="preserve"> </w:t>
      </w:r>
      <w:r w:rsidRPr="00B26B5B">
        <w:rPr>
          <w:kern w:val="22"/>
          <w:szCs w:val="22"/>
          <w:lang w:val="fr-CA"/>
        </w:rPr>
        <w:t>(par exemple</w:t>
      </w:r>
      <w:r w:rsidR="00A212B7" w:rsidRPr="00B26B5B">
        <w:rPr>
          <w:kern w:val="22"/>
          <w:szCs w:val="22"/>
          <w:lang w:val="fr-CA"/>
        </w:rPr>
        <w:t xml:space="preserve"> ceux qui possèdent des laboratoires avancés) afin d’obtenir des références sur l</w:t>
      </w:r>
      <w:r w:rsidR="00CD0FC3">
        <w:rPr>
          <w:kern w:val="22"/>
          <w:szCs w:val="22"/>
          <w:lang w:val="fr-CA"/>
        </w:rPr>
        <w:t>es</w:t>
      </w:r>
      <w:r w:rsidR="00A212B7" w:rsidRPr="00B26B5B">
        <w:rPr>
          <w:kern w:val="22"/>
          <w:szCs w:val="22"/>
          <w:lang w:val="fr-CA"/>
        </w:rPr>
        <w:t xml:space="preserve"> technologies et les pratiques, et développer un réseau de ces centres en Afrique</w:t>
      </w:r>
      <w:r w:rsidR="00B92D18">
        <w:rPr>
          <w:kern w:val="22"/>
          <w:szCs w:val="22"/>
          <w:lang w:val="fr-CA"/>
        </w:rPr>
        <w:t>;</w:t>
      </w:r>
    </w:p>
    <w:p w:rsidR="006D1790" w:rsidRPr="00B26B5B" w:rsidRDefault="00A212B7" w:rsidP="00C33570">
      <w:pPr>
        <w:pStyle w:val="Para1"/>
        <w:numPr>
          <w:ilvl w:val="1"/>
          <w:numId w:val="2"/>
        </w:numPr>
        <w:suppressLineNumbers/>
        <w:suppressAutoHyphens/>
        <w:rPr>
          <w:kern w:val="22"/>
          <w:szCs w:val="22"/>
          <w:lang w:val="fr-CA"/>
        </w:rPr>
      </w:pPr>
      <w:r w:rsidRPr="00B26B5B">
        <w:rPr>
          <w:kern w:val="22"/>
          <w:szCs w:val="22"/>
          <w:lang w:val="fr-CA"/>
        </w:rPr>
        <w:t>Peaufiner et inclure l’Objectif 19 d’Aichi pour la biodiversité au cadre mondial de la biodiversité pour l</w:t>
      </w:r>
      <w:r w:rsidR="00CD0FC3">
        <w:rPr>
          <w:kern w:val="22"/>
          <w:szCs w:val="22"/>
          <w:lang w:val="fr-CA"/>
        </w:rPr>
        <w:t>’</w:t>
      </w:r>
      <w:r w:rsidRPr="00B26B5B">
        <w:rPr>
          <w:kern w:val="22"/>
          <w:szCs w:val="22"/>
          <w:lang w:val="fr-CA"/>
        </w:rPr>
        <w:t>après-2020</w:t>
      </w:r>
      <w:r w:rsidR="00B92D18">
        <w:rPr>
          <w:kern w:val="22"/>
          <w:szCs w:val="22"/>
          <w:lang w:val="fr-CA"/>
        </w:rPr>
        <w:t>;</w:t>
      </w:r>
    </w:p>
    <w:p w:rsidR="00CF3D87" w:rsidRPr="00B26B5B" w:rsidRDefault="00A212B7" w:rsidP="00C33570">
      <w:pPr>
        <w:pStyle w:val="Para1"/>
        <w:numPr>
          <w:ilvl w:val="1"/>
          <w:numId w:val="2"/>
        </w:numPr>
        <w:suppressLineNumbers/>
        <w:suppressAutoHyphens/>
        <w:rPr>
          <w:kern w:val="22"/>
          <w:szCs w:val="22"/>
          <w:lang w:val="fr-CA"/>
        </w:rPr>
      </w:pPr>
      <w:r w:rsidRPr="00B26B5B">
        <w:rPr>
          <w:kern w:val="22"/>
          <w:szCs w:val="22"/>
          <w:lang w:val="fr-CA"/>
        </w:rPr>
        <w:t xml:space="preserve">Développer des partenariats et des programmes d’échange entre les pays facilités par des partenaires techniques et courtiers (tels que des universités, les agences des Nations Unies </w:t>
      </w:r>
      <w:r w:rsidR="00CA2ADF" w:rsidRPr="00B26B5B">
        <w:rPr>
          <w:kern w:val="22"/>
          <w:szCs w:val="22"/>
          <w:lang w:val="fr-CA"/>
        </w:rPr>
        <w:t>et le secteur privé</w:t>
      </w:r>
      <w:r w:rsidRPr="00B26B5B">
        <w:rPr>
          <w:kern w:val="22"/>
          <w:szCs w:val="22"/>
          <w:lang w:val="fr-CA"/>
        </w:rPr>
        <w:t xml:space="preserve">), </w:t>
      </w:r>
      <w:r w:rsidRPr="00B26B5B">
        <w:rPr>
          <w:kern w:val="22"/>
          <w:szCs w:val="22"/>
          <w:lang w:val="fr-CA"/>
        </w:rPr>
        <w:lastRenderedPageBreak/>
        <w:t>notamment</w:t>
      </w:r>
      <w:r w:rsidR="00CA2ADF" w:rsidRPr="00B26B5B">
        <w:rPr>
          <w:kern w:val="22"/>
          <w:szCs w:val="22"/>
          <w:lang w:val="fr-CA"/>
        </w:rPr>
        <w:t xml:space="preserve"> au moyen d’une formation technique, du transfert de connai</w:t>
      </w:r>
      <w:r w:rsidR="00160915">
        <w:rPr>
          <w:kern w:val="22"/>
          <w:szCs w:val="22"/>
          <w:lang w:val="fr-CA"/>
        </w:rPr>
        <w:t xml:space="preserve">ssances locales et </w:t>
      </w:r>
      <w:r w:rsidR="00F810E9">
        <w:rPr>
          <w:kern w:val="22"/>
          <w:szCs w:val="22"/>
          <w:lang w:val="fr-CA"/>
        </w:rPr>
        <w:t>du</w:t>
      </w:r>
      <w:r w:rsidR="00160915">
        <w:rPr>
          <w:kern w:val="22"/>
          <w:szCs w:val="22"/>
          <w:lang w:val="fr-CA"/>
        </w:rPr>
        <w:t xml:space="preserve"> partage d</w:t>
      </w:r>
      <w:r w:rsidR="00CD0FC3">
        <w:rPr>
          <w:kern w:val="22"/>
          <w:szCs w:val="22"/>
          <w:lang w:val="fr-CA"/>
        </w:rPr>
        <w:t>’</w:t>
      </w:r>
      <w:r w:rsidR="00CA2ADF" w:rsidRPr="00B26B5B">
        <w:rPr>
          <w:kern w:val="22"/>
          <w:szCs w:val="22"/>
          <w:lang w:val="fr-CA"/>
        </w:rPr>
        <w:t>équipement et d’expertise entre les institutions et les pays</w:t>
      </w:r>
      <w:r w:rsidR="00E2047C" w:rsidRPr="00B26B5B">
        <w:rPr>
          <w:kern w:val="22"/>
          <w:szCs w:val="22"/>
          <w:lang w:val="fr-CA"/>
        </w:rPr>
        <w:t>.</w:t>
      </w:r>
    </w:p>
    <w:p w:rsidR="00443000" w:rsidRPr="00B26B5B" w:rsidRDefault="008B2929" w:rsidP="00C33570">
      <w:pPr>
        <w:pStyle w:val="Titre3"/>
        <w:suppressLineNumbers/>
        <w:suppressAutoHyphens/>
        <w:rPr>
          <w:kern w:val="22"/>
          <w:szCs w:val="22"/>
          <w:lang w:val="fr-CA"/>
        </w:rPr>
      </w:pPr>
      <w:r w:rsidRPr="00B26B5B">
        <w:rPr>
          <w:kern w:val="22"/>
          <w:szCs w:val="22"/>
        </w:rPr>
        <w:t>7</w:t>
      </w:r>
      <w:r w:rsidR="00443000" w:rsidRPr="00B26B5B">
        <w:rPr>
          <w:kern w:val="22"/>
          <w:szCs w:val="22"/>
        </w:rPr>
        <w:t>.</w:t>
      </w:r>
      <w:r w:rsidR="00443000" w:rsidRPr="00B26B5B">
        <w:rPr>
          <w:kern w:val="22"/>
          <w:szCs w:val="22"/>
        </w:rPr>
        <w:tab/>
      </w:r>
      <w:r w:rsidR="00D27089" w:rsidRPr="00B26B5B">
        <w:rPr>
          <w:kern w:val="22"/>
          <w:szCs w:val="22"/>
          <w:lang w:val="fr-CA"/>
        </w:rPr>
        <w:t>Gestion du savoir</w:t>
      </w:r>
    </w:p>
    <w:p w:rsidR="00602B03" w:rsidRPr="00B26B5B" w:rsidRDefault="00160915" w:rsidP="00C33570">
      <w:pPr>
        <w:pStyle w:val="Para1"/>
        <w:suppressLineNumbers/>
        <w:tabs>
          <w:tab w:val="clear" w:pos="360"/>
        </w:tabs>
        <w:suppressAutoHyphens/>
        <w:rPr>
          <w:kern w:val="22"/>
          <w:szCs w:val="22"/>
          <w:lang w:val="fr-CA"/>
        </w:rPr>
      </w:pPr>
      <w:r>
        <w:rPr>
          <w:kern w:val="22"/>
          <w:szCs w:val="22"/>
          <w:lang w:val="fr-CA"/>
        </w:rPr>
        <w:t>Les</w:t>
      </w:r>
      <w:r w:rsidR="007D1133" w:rsidRPr="00B26B5B">
        <w:rPr>
          <w:kern w:val="22"/>
          <w:szCs w:val="22"/>
          <w:lang w:val="fr-CA"/>
        </w:rPr>
        <w:t xml:space="preserve"> connaissances sont un important atout et la gestion du savoir </w:t>
      </w:r>
      <w:r>
        <w:rPr>
          <w:kern w:val="22"/>
          <w:szCs w:val="22"/>
          <w:lang w:val="fr-CA"/>
        </w:rPr>
        <w:t>est</w:t>
      </w:r>
      <w:r w:rsidR="007D1133" w:rsidRPr="00B26B5B">
        <w:rPr>
          <w:kern w:val="22"/>
          <w:szCs w:val="22"/>
          <w:lang w:val="fr-CA"/>
        </w:rPr>
        <w:t xml:space="preserve"> essentiel</w:t>
      </w:r>
      <w:r>
        <w:rPr>
          <w:kern w:val="22"/>
          <w:szCs w:val="22"/>
          <w:lang w:val="fr-CA"/>
        </w:rPr>
        <w:t>le</w:t>
      </w:r>
      <w:r w:rsidR="007D1133" w:rsidRPr="00B26B5B">
        <w:rPr>
          <w:kern w:val="22"/>
          <w:szCs w:val="22"/>
          <w:lang w:val="fr-CA"/>
        </w:rPr>
        <w:t xml:space="preserve"> à la mise en œuvre du cadre mondial de la biodiversité pour l</w:t>
      </w:r>
      <w:r w:rsidR="00CD0FC3">
        <w:rPr>
          <w:kern w:val="22"/>
          <w:szCs w:val="22"/>
          <w:lang w:val="fr-CA"/>
        </w:rPr>
        <w:t>’</w:t>
      </w:r>
      <w:r w:rsidR="007D1133" w:rsidRPr="00B26B5B">
        <w:rPr>
          <w:kern w:val="22"/>
          <w:szCs w:val="22"/>
          <w:lang w:val="fr-CA"/>
        </w:rPr>
        <w:t xml:space="preserve">après-2020. À cet égard, </w:t>
      </w:r>
      <w:r>
        <w:rPr>
          <w:kern w:val="22"/>
          <w:szCs w:val="22"/>
          <w:lang w:val="fr-CA"/>
        </w:rPr>
        <w:t>il faut</w:t>
      </w:r>
      <w:r w:rsidR="007D1133" w:rsidRPr="00B26B5B">
        <w:rPr>
          <w:kern w:val="22"/>
          <w:szCs w:val="22"/>
          <w:lang w:val="fr-CA"/>
        </w:rPr>
        <w:t xml:space="preserve"> cerner le type de connaissances nécessaire, où les trouver</w:t>
      </w:r>
      <w:r w:rsidR="0036460A" w:rsidRPr="00B26B5B">
        <w:rPr>
          <w:kern w:val="22"/>
          <w:szCs w:val="22"/>
          <w:lang w:val="fr-CA"/>
        </w:rPr>
        <w:t>, qui en aurait besoin et pourquoi, et comment y avoir accès</w:t>
      </w:r>
      <w:r w:rsidR="00602B03" w:rsidRPr="00B26B5B">
        <w:rPr>
          <w:kern w:val="22"/>
          <w:szCs w:val="22"/>
          <w:lang w:val="fr-CA"/>
        </w:rPr>
        <w:t>.</w:t>
      </w:r>
    </w:p>
    <w:p w:rsidR="00B724DA" w:rsidRPr="00B26B5B" w:rsidRDefault="008242B8" w:rsidP="00C33570">
      <w:pPr>
        <w:pStyle w:val="Para1"/>
        <w:suppressLineNumbers/>
        <w:tabs>
          <w:tab w:val="clear" w:pos="360"/>
        </w:tabs>
        <w:suppressAutoHyphens/>
        <w:rPr>
          <w:kern w:val="22"/>
          <w:szCs w:val="22"/>
          <w:lang w:val="fr-CA"/>
        </w:rPr>
      </w:pPr>
      <w:r>
        <w:rPr>
          <w:kern w:val="22"/>
          <w:szCs w:val="22"/>
          <w:lang w:val="fr-CA"/>
        </w:rPr>
        <w:t>Les</w:t>
      </w:r>
      <w:r w:rsidR="0036460A" w:rsidRPr="00B26B5B">
        <w:rPr>
          <w:kern w:val="22"/>
          <w:szCs w:val="22"/>
          <w:lang w:val="fr-CA"/>
        </w:rPr>
        <w:t xml:space="preserve"> données, l’informat</w:t>
      </w:r>
      <w:r>
        <w:rPr>
          <w:kern w:val="22"/>
          <w:szCs w:val="22"/>
          <w:lang w:val="fr-CA"/>
        </w:rPr>
        <w:t xml:space="preserve">ion et les connaissances existent, mais </w:t>
      </w:r>
      <w:r w:rsidR="0036460A" w:rsidRPr="00B26B5B">
        <w:rPr>
          <w:kern w:val="22"/>
          <w:szCs w:val="22"/>
          <w:lang w:val="fr-CA"/>
        </w:rPr>
        <w:t xml:space="preserve">elles </w:t>
      </w:r>
      <w:r>
        <w:rPr>
          <w:kern w:val="22"/>
          <w:szCs w:val="22"/>
          <w:lang w:val="fr-CA"/>
        </w:rPr>
        <w:t>sont</w:t>
      </w:r>
      <w:r w:rsidR="0036460A" w:rsidRPr="00B26B5B">
        <w:rPr>
          <w:kern w:val="22"/>
          <w:szCs w:val="22"/>
          <w:lang w:val="fr-CA"/>
        </w:rPr>
        <w:t xml:space="preserve"> éparpillées dans différentes institutions et </w:t>
      </w:r>
      <w:r>
        <w:rPr>
          <w:kern w:val="22"/>
          <w:szCs w:val="22"/>
          <w:lang w:val="fr-CA"/>
        </w:rPr>
        <w:t xml:space="preserve">elles sont difficiles d’accès </w:t>
      </w:r>
      <w:r w:rsidR="0036460A" w:rsidRPr="00B26B5B">
        <w:rPr>
          <w:kern w:val="22"/>
          <w:szCs w:val="22"/>
          <w:lang w:val="fr-CA"/>
        </w:rPr>
        <w:t xml:space="preserve">dans le format et la langue requis. Par exemple, </w:t>
      </w:r>
      <w:r w:rsidR="00785F80" w:rsidRPr="00B26B5B">
        <w:rPr>
          <w:kern w:val="22"/>
          <w:szCs w:val="22"/>
          <w:lang w:val="fr-CA"/>
        </w:rPr>
        <w:t>plusieurs chercheurs et étudiants ont recue</w:t>
      </w:r>
      <w:r w:rsidR="00636951" w:rsidRPr="00B26B5B">
        <w:rPr>
          <w:kern w:val="22"/>
          <w:szCs w:val="22"/>
          <w:lang w:val="fr-CA"/>
        </w:rPr>
        <w:t>i</w:t>
      </w:r>
      <w:r w:rsidR="00785F80" w:rsidRPr="00B26B5B">
        <w:rPr>
          <w:kern w:val="22"/>
          <w:szCs w:val="22"/>
          <w:lang w:val="fr-CA"/>
        </w:rPr>
        <w:t xml:space="preserve">lli des données et des </w:t>
      </w:r>
      <w:r w:rsidR="00636951" w:rsidRPr="00B26B5B">
        <w:rPr>
          <w:kern w:val="22"/>
          <w:szCs w:val="22"/>
          <w:lang w:val="fr-CA"/>
        </w:rPr>
        <w:t>informations utile</w:t>
      </w:r>
      <w:r w:rsidR="00785F80" w:rsidRPr="00B26B5B">
        <w:rPr>
          <w:kern w:val="22"/>
          <w:szCs w:val="22"/>
          <w:lang w:val="fr-CA"/>
        </w:rPr>
        <w:t>s, mais il n’existait aucun système national efficac</w:t>
      </w:r>
      <w:r w:rsidR="00636951" w:rsidRPr="00B26B5B">
        <w:rPr>
          <w:kern w:val="22"/>
          <w:szCs w:val="22"/>
          <w:lang w:val="fr-CA"/>
        </w:rPr>
        <w:t>e pour mobiliser cette informati</w:t>
      </w:r>
      <w:r w:rsidR="00785F80" w:rsidRPr="00B26B5B">
        <w:rPr>
          <w:kern w:val="22"/>
          <w:szCs w:val="22"/>
          <w:lang w:val="fr-CA"/>
        </w:rPr>
        <w:t>on et la rendre facile d’acc</w:t>
      </w:r>
      <w:r w:rsidR="00EA15D5" w:rsidRPr="00B26B5B">
        <w:rPr>
          <w:kern w:val="22"/>
          <w:szCs w:val="22"/>
          <w:lang w:val="fr-CA"/>
        </w:rPr>
        <w:t>ès pour soutenir les processus de planificati</w:t>
      </w:r>
      <w:r w:rsidR="00785F80" w:rsidRPr="00B26B5B">
        <w:rPr>
          <w:kern w:val="22"/>
          <w:szCs w:val="22"/>
          <w:lang w:val="fr-CA"/>
        </w:rPr>
        <w:t xml:space="preserve">on, </w:t>
      </w:r>
      <w:r w:rsidR="00EA15D5" w:rsidRPr="00B26B5B">
        <w:rPr>
          <w:kern w:val="22"/>
          <w:szCs w:val="22"/>
          <w:lang w:val="fr-CA"/>
        </w:rPr>
        <w:t>d’orient</w:t>
      </w:r>
      <w:r>
        <w:rPr>
          <w:kern w:val="22"/>
          <w:szCs w:val="22"/>
          <w:lang w:val="fr-CA"/>
        </w:rPr>
        <w:t>ation politique et de décision</w:t>
      </w:r>
      <w:r w:rsidR="00034936" w:rsidRPr="00B26B5B">
        <w:rPr>
          <w:kern w:val="22"/>
          <w:szCs w:val="22"/>
          <w:lang w:val="fr-CA"/>
        </w:rPr>
        <w:t>.</w:t>
      </w:r>
      <w:r w:rsidR="00EA15D5" w:rsidRPr="00B26B5B">
        <w:rPr>
          <w:kern w:val="22"/>
          <w:szCs w:val="22"/>
          <w:lang w:val="fr-CA"/>
        </w:rPr>
        <w:t xml:space="preserve"> </w:t>
      </w:r>
      <w:r w:rsidR="00F810E9">
        <w:rPr>
          <w:kern w:val="22"/>
          <w:szCs w:val="22"/>
          <w:lang w:val="fr-CA"/>
        </w:rPr>
        <w:t>De plus</w:t>
      </w:r>
      <w:r w:rsidR="00EA15D5" w:rsidRPr="00B26B5B">
        <w:rPr>
          <w:kern w:val="22"/>
          <w:szCs w:val="22"/>
          <w:lang w:val="fr-CA"/>
        </w:rPr>
        <w:t xml:space="preserve">, les chercheurs ne partagent pas toujours leurs conclusions et ne communiquent pas toujours d’information aux gouvernements </w:t>
      </w:r>
      <w:r>
        <w:rPr>
          <w:kern w:val="22"/>
          <w:szCs w:val="22"/>
          <w:lang w:val="fr-CA"/>
        </w:rPr>
        <w:t>ni</w:t>
      </w:r>
      <w:r w:rsidR="00EA15D5" w:rsidRPr="00B26B5B">
        <w:rPr>
          <w:kern w:val="22"/>
          <w:szCs w:val="22"/>
          <w:lang w:val="fr-CA"/>
        </w:rPr>
        <w:t xml:space="preserve"> aux fournisseurs d’information </w:t>
      </w:r>
      <w:r w:rsidR="00636951" w:rsidRPr="00B26B5B">
        <w:rPr>
          <w:kern w:val="22"/>
          <w:szCs w:val="22"/>
          <w:lang w:val="fr-CA"/>
        </w:rPr>
        <w:t xml:space="preserve">à la fin de leurs recherches. </w:t>
      </w:r>
      <w:r>
        <w:rPr>
          <w:kern w:val="22"/>
          <w:szCs w:val="22"/>
          <w:lang w:val="fr-CA"/>
        </w:rPr>
        <w:t>L</w:t>
      </w:r>
      <w:r w:rsidR="00636951" w:rsidRPr="00B26B5B">
        <w:rPr>
          <w:kern w:val="22"/>
          <w:szCs w:val="22"/>
          <w:lang w:val="fr-CA"/>
        </w:rPr>
        <w:t xml:space="preserve">a culture de partage de données et d’information </w:t>
      </w:r>
      <w:r>
        <w:rPr>
          <w:kern w:val="22"/>
          <w:szCs w:val="22"/>
          <w:lang w:val="fr-CA"/>
        </w:rPr>
        <w:t>est</w:t>
      </w:r>
      <w:r w:rsidR="00636951" w:rsidRPr="00B26B5B">
        <w:rPr>
          <w:kern w:val="22"/>
          <w:szCs w:val="22"/>
          <w:lang w:val="fr-CA"/>
        </w:rPr>
        <w:t xml:space="preserve"> absente dans plusieurs pays, et plusieurs institutions sont réticentes et peu intéressées à partager de l’information entre elles.</w:t>
      </w:r>
    </w:p>
    <w:p w:rsidR="00B724DA" w:rsidRPr="00B26B5B" w:rsidRDefault="003563A1" w:rsidP="00C33570">
      <w:pPr>
        <w:pStyle w:val="Para1"/>
        <w:suppressLineNumbers/>
        <w:tabs>
          <w:tab w:val="clear" w:pos="360"/>
        </w:tabs>
        <w:suppressAutoHyphens/>
        <w:rPr>
          <w:kern w:val="22"/>
          <w:szCs w:val="22"/>
          <w:lang w:val="fr-CA"/>
        </w:rPr>
      </w:pPr>
      <w:r>
        <w:rPr>
          <w:kern w:val="22"/>
          <w:szCs w:val="22"/>
          <w:lang w:val="fr-CA"/>
        </w:rPr>
        <w:t>L</w:t>
      </w:r>
      <w:r w:rsidR="00636951" w:rsidRPr="00B26B5B">
        <w:rPr>
          <w:kern w:val="22"/>
          <w:szCs w:val="22"/>
          <w:lang w:val="fr-CA"/>
        </w:rPr>
        <w:t>e mécanisme de centre d’échange</w:t>
      </w:r>
      <w:r>
        <w:rPr>
          <w:kern w:val="22"/>
          <w:szCs w:val="22"/>
          <w:lang w:val="fr-CA"/>
        </w:rPr>
        <w:t xml:space="preserve"> doit être renforcé</w:t>
      </w:r>
      <w:r w:rsidR="00636951" w:rsidRPr="00B26B5B">
        <w:rPr>
          <w:kern w:val="22"/>
          <w:szCs w:val="22"/>
          <w:lang w:val="fr-CA"/>
        </w:rPr>
        <w:t xml:space="preserve">, notamment </w:t>
      </w:r>
      <w:r>
        <w:rPr>
          <w:kern w:val="22"/>
          <w:szCs w:val="22"/>
          <w:lang w:val="fr-CA"/>
        </w:rPr>
        <w:t>en aidant</w:t>
      </w:r>
      <w:r w:rsidR="00636951" w:rsidRPr="00B26B5B">
        <w:rPr>
          <w:kern w:val="22"/>
          <w:szCs w:val="22"/>
          <w:lang w:val="fr-CA"/>
        </w:rPr>
        <w:t xml:space="preserve"> tous les pays à mettre sur pied ou </w:t>
      </w:r>
      <w:r>
        <w:rPr>
          <w:kern w:val="22"/>
          <w:szCs w:val="22"/>
          <w:lang w:val="fr-CA"/>
        </w:rPr>
        <w:t xml:space="preserve">à </w:t>
      </w:r>
      <w:r w:rsidR="00636951" w:rsidRPr="00B26B5B">
        <w:rPr>
          <w:kern w:val="22"/>
          <w:szCs w:val="22"/>
          <w:lang w:val="fr-CA"/>
        </w:rPr>
        <w:t>améliorer un mécanisme national de centre d’éch</w:t>
      </w:r>
      <w:r w:rsidR="00AF0753" w:rsidRPr="00B26B5B">
        <w:rPr>
          <w:kern w:val="22"/>
          <w:szCs w:val="22"/>
          <w:lang w:val="fr-CA"/>
        </w:rPr>
        <w:t>ange afin de faciliter l’</w:t>
      </w:r>
      <w:r w:rsidR="00636951" w:rsidRPr="00B26B5B">
        <w:rPr>
          <w:kern w:val="22"/>
          <w:szCs w:val="22"/>
          <w:lang w:val="fr-CA"/>
        </w:rPr>
        <w:t xml:space="preserve">échange d’information entre les Parties. </w:t>
      </w:r>
      <w:r>
        <w:rPr>
          <w:kern w:val="22"/>
          <w:szCs w:val="22"/>
          <w:lang w:val="fr-CA"/>
        </w:rPr>
        <w:t>La mise</w:t>
      </w:r>
      <w:r w:rsidR="00636951" w:rsidRPr="00B26B5B">
        <w:rPr>
          <w:kern w:val="22"/>
          <w:szCs w:val="22"/>
          <w:lang w:val="fr-CA"/>
        </w:rPr>
        <w:t xml:space="preserve"> sur pied </w:t>
      </w:r>
      <w:r>
        <w:rPr>
          <w:kern w:val="22"/>
          <w:szCs w:val="22"/>
          <w:lang w:val="fr-CA"/>
        </w:rPr>
        <w:t>d’</w:t>
      </w:r>
      <w:r w:rsidR="00636951" w:rsidRPr="00B26B5B">
        <w:rPr>
          <w:kern w:val="22"/>
          <w:szCs w:val="22"/>
          <w:lang w:val="fr-CA"/>
        </w:rPr>
        <w:t>un centre d’échange national</w:t>
      </w:r>
      <w:r w:rsidR="00AF0753" w:rsidRPr="00B26B5B">
        <w:rPr>
          <w:kern w:val="22"/>
          <w:szCs w:val="22"/>
          <w:lang w:val="fr-CA"/>
        </w:rPr>
        <w:t xml:space="preserve"> a </w:t>
      </w:r>
      <w:r>
        <w:rPr>
          <w:kern w:val="22"/>
          <w:szCs w:val="22"/>
          <w:lang w:val="fr-CA"/>
        </w:rPr>
        <w:t>été un processus de longue haleine</w:t>
      </w:r>
      <w:r w:rsidR="00AF0753" w:rsidRPr="00B26B5B">
        <w:rPr>
          <w:kern w:val="22"/>
          <w:szCs w:val="22"/>
          <w:lang w:val="fr-CA"/>
        </w:rPr>
        <w:t xml:space="preserve"> et plusieurs Parties c</w:t>
      </w:r>
      <w:r w:rsidR="007B6B16" w:rsidRPr="00B26B5B">
        <w:rPr>
          <w:kern w:val="22"/>
          <w:szCs w:val="22"/>
          <w:lang w:val="fr-CA"/>
        </w:rPr>
        <w:t>onnaissen</w:t>
      </w:r>
      <w:r w:rsidR="00AF0753" w:rsidRPr="00B26B5B">
        <w:rPr>
          <w:kern w:val="22"/>
          <w:szCs w:val="22"/>
          <w:lang w:val="fr-CA"/>
        </w:rPr>
        <w:t>t des défis technologiques (dont un accès limité à l’Internet)</w:t>
      </w:r>
      <w:r w:rsidR="007B6B16" w:rsidRPr="00B26B5B">
        <w:rPr>
          <w:kern w:val="22"/>
          <w:szCs w:val="22"/>
          <w:lang w:val="fr-CA"/>
        </w:rPr>
        <w:t xml:space="preserve"> qui rendent difficiles l’accès et l’utilisation efficace d’un centre d’échange national</w:t>
      </w:r>
      <w:r w:rsidR="005942DF" w:rsidRPr="00B26B5B">
        <w:rPr>
          <w:kern w:val="22"/>
          <w:szCs w:val="22"/>
          <w:lang w:val="fr-CA"/>
        </w:rPr>
        <w:t>.</w:t>
      </w:r>
      <w:r w:rsidR="007B6B16" w:rsidRPr="00B26B5B">
        <w:rPr>
          <w:kern w:val="22"/>
          <w:szCs w:val="22"/>
          <w:lang w:val="fr-CA"/>
        </w:rPr>
        <w:t xml:space="preserve"> Certains participants ont indiqué que le mécanisme de centre d’échange </w:t>
      </w:r>
      <w:r>
        <w:rPr>
          <w:kern w:val="22"/>
          <w:szCs w:val="22"/>
          <w:lang w:val="fr-CA"/>
        </w:rPr>
        <w:t>est</w:t>
      </w:r>
      <w:r w:rsidR="007B6B16" w:rsidRPr="00B26B5B">
        <w:rPr>
          <w:kern w:val="22"/>
          <w:szCs w:val="22"/>
          <w:lang w:val="fr-CA"/>
        </w:rPr>
        <w:t xml:space="preserve"> con</w:t>
      </w:r>
      <w:r w:rsidR="00453B9C" w:rsidRPr="00B26B5B">
        <w:rPr>
          <w:kern w:val="22"/>
          <w:szCs w:val="22"/>
          <w:lang w:val="fr-CA"/>
        </w:rPr>
        <w:t>ç</w:t>
      </w:r>
      <w:r w:rsidR="007B6B16" w:rsidRPr="00B26B5B">
        <w:rPr>
          <w:kern w:val="22"/>
          <w:szCs w:val="22"/>
          <w:lang w:val="fr-CA"/>
        </w:rPr>
        <w:t>u pour les sociétés urbaines ayant accès à des ordinateurs et à l’Internet, et ne convient pas aux parties prenantes de régions non urbaines, dont les professionnels sur le terrain, les peuples autochtones et les communautés locales, les agriculteurs et la société rurale. Ils ont ajouté que plusieurs pays ne possèdent pas l’expertise</w:t>
      </w:r>
      <w:r w:rsidR="00453B9C" w:rsidRPr="00B26B5B">
        <w:rPr>
          <w:kern w:val="22"/>
          <w:szCs w:val="22"/>
          <w:lang w:val="fr-CA"/>
        </w:rPr>
        <w:t xml:space="preserve"> et le savoir-faire nécessaires pour obtenir, gérer, partager et utiliser efficacement l’information du mécanisme de centre d’échange. Il en résulte que quelques personnes seulement utilisent les outils développés au titre du mécanisme de centre d’échange aux échelles nationale et infranationale, et l’information offerte par le mécanisme de centre d’échange </w:t>
      </w:r>
      <w:r w:rsidR="00C1150B">
        <w:rPr>
          <w:kern w:val="22"/>
          <w:szCs w:val="22"/>
          <w:lang w:val="fr-CA"/>
        </w:rPr>
        <w:t>est</w:t>
      </w:r>
      <w:r w:rsidR="00453B9C" w:rsidRPr="00B26B5B">
        <w:rPr>
          <w:kern w:val="22"/>
          <w:szCs w:val="22"/>
          <w:lang w:val="fr-CA"/>
        </w:rPr>
        <w:t xml:space="preserve"> sous utilisée.</w:t>
      </w:r>
    </w:p>
    <w:p w:rsidR="00560367" w:rsidRPr="00B26B5B" w:rsidRDefault="00C1150B" w:rsidP="00C33570">
      <w:pPr>
        <w:pStyle w:val="Para1"/>
        <w:suppressLineNumbers/>
        <w:tabs>
          <w:tab w:val="clear" w:pos="360"/>
        </w:tabs>
        <w:suppressAutoHyphens/>
        <w:rPr>
          <w:kern w:val="22"/>
          <w:szCs w:val="22"/>
          <w:lang w:val="fr-CA"/>
        </w:rPr>
      </w:pPr>
      <w:r>
        <w:rPr>
          <w:kern w:val="22"/>
          <w:szCs w:val="22"/>
          <w:lang w:val="fr-CA"/>
        </w:rPr>
        <w:t>La</w:t>
      </w:r>
      <w:r w:rsidR="0045279B" w:rsidRPr="00B26B5B">
        <w:rPr>
          <w:kern w:val="22"/>
          <w:szCs w:val="22"/>
          <w:lang w:val="fr-CA"/>
        </w:rPr>
        <w:t xml:space="preserve"> qualité des données et de l’information partagées gr</w:t>
      </w:r>
      <w:r w:rsidR="0096547E" w:rsidRPr="00B26B5B">
        <w:rPr>
          <w:kern w:val="22"/>
          <w:szCs w:val="22"/>
          <w:lang w:val="fr-CA"/>
        </w:rPr>
        <w:t>âce au mécanisme de centre d</w:t>
      </w:r>
      <w:r w:rsidR="0045279B" w:rsidRPr="00B26B5B">
        <w:rPr>
          <w:kern w:val="22"/>
          <w:szCs w:val="22"/>
          <w:lang w:val="fr-CA"/>
        </w:rPr>
        <w:t>’échange et autres mécanismes</w:t>
      </w:r>
      <w:r>
        <w:rPr>
          <w:kern w:val="22"/>
          <w:szCs w:val="22"/>
          <w:lang w:val="fr-CA"/>
        </w:rPr>
        <w:t xml:space="preserve"> a aussi été abordée.</w:t>
      </w:r>
      <w:r w:rsidR="0045279B" w:rsidRPr="00B26B5B">
        <w:rPr>
          <w:kern w:val="22"/>
          <w:szCs w:val="22"/>
          <w:lang w:val="fr-CA"/>
        </w:rPr>
        <w:t xml:space="preserve"> Plusieurs pays ne possèdent pas de mécanismes pour vérifier la qualité des données produites et </w:t>
      </w:r>
      <w:r>
        <w:rPr>
          <w:kern w:val="22"/>
          <w:szCs w:val="22"/>
          <w:lang w:val="fr-CA"/>
        </w:rPr>
        <w:t>mises à disposition</w:t>
      </w:r>
      <w:r w:rsidR="0045279B" w:rsidRPr="00B26B5B">
        <w:rPr>
          <w:kern w:val="22"/>
          <w:szCs w:val="22"/>
          <w:lang w:val="fr-CA"/>
        </w:rPr>
        <w:t xml:space="preserve">. </w:t>
      </w:r>
      <w:r>
        <w:rPr>
          <w:kern w:val="22"/>
          <w:szCs w:val="22"/>
          <w:lang w:val="fr-CA"/>
        </w:rPr>
        <w:t>De plus, certains</w:t>
      </w:r>
      <w:r w:rsidR="0045279B" w:rsidRPr="00B26B5B">
        <w:rPr>
          <w:kern w:val="22"/>
          <w:szCs w:val="22"/>
          <w:lang w:val="fr-CA"/>
        </w:rPr>
        <w:t xml:space="preserve"> pays et institutions sont aux prises avec une absence de protocoles et de normes approp</w:t>
      </w:r>
      <w:r w:rsidR="0096547E" w:rsidRPr="00B26B5B">
        <w:rPr>
          <w:kern w:val="22"/>
          <w:szCs w:val="22"/>
          <w:lang w:val="fr-CA"/>
        </w:rPr>
        <w:t>riés de partage des données</w:t>
      </w:r>
      <w:r>
        <w:rPr>
          <w:kern w:val="22"/>
          <w:szCs w:val="22"/>
          <w:lang w:val="fr-CA"/>
        </w:rPr>
        <w:t>, ce qui constitue un autre défi</w:t>
      </w:r>
      <w:r w:rsidR="0096547E" w:rsidRPr="00B26B5B">
        <w:rPr>
          <w:kern w:val="22"/>
          <w:szCs w:val="22"/>
          <w:lang w:val="fr-CA"/>
        </w:rPr>
        <w:t>.</w:t>
      </w:r>
    </w:p>
    <w:p w:rsidR="00B679E3" w:rsidRPr="00B26B5B" w:rsidRDefault="0096547E" w:rsidP="00C33570">
      <w:pPr>
        <w:pStyle w:val="Para1"/>
        <w:suppressLineNumbers/>
        <w:tabs>
          <w:tab w:val="clear" w:pos="360"/>
        </w:tabs>
        <w:suppressAutoHyphens/>
        <w:rPr>
          <w:kern w:val="22"/>
          <w:szCs w:val="22"/>
          <w:lang w:val="fr-CA"/>
        </w:rPr>
      </w:pPr>
      <w:r w:rsidRPr="00B26B5B">
        <w:rPr>
          <w:kern w:val="22"/>
          <w:szCs w:val="22"/>
          <w:lang w:val="fr-CA"/>
        </w:rPr>
        <w:t xml:space="preserve">Les participants ont aussi abordé la question des </w:t>
      </w:r>
      <w:proofErr w:type="spellStart"/>
      <w:r w:rsidRPr="00B26B5B">
        <w:rPr>
          <w:kern w:val="22"/>
          <w:szCs w:val="22"/>
          <w:lang w:val="fr-CA"/>
        </w:rPr>
        <w:t>mégadonnées</w:t>
      </w:r>
      <w:proofErr w:type="spellEnd"/>
      <w:r w:rsidRPr="00B26B5B">
        <w:rPr>
          <w:kern w:val="22"/>
          <w:szCs w:val="22"/>
          <w:lang w:val="fr-CA"/>
        </w:rPr>
        <w:t xml:space="preserve">. La nouvelle aire des </w:t>
      </w:r>
      <w:proofErr w:type="spellStart"/>
      <w:r w:rsidRPr="00B26B5B">
        <w:rPr>
          <w:kern w:val="22"/>
          <w:szCs w:val="22"/>
          <w:lang w:val="fr-CA"/>
        </w:rPr>
        <w:t>mégadonnées</w:t>
      </w:r>
      <w:proofErr w:type="spellEnd"/>
      <w:r w:rsidRPr="00B26B5B">
        <w:rPr>
          <w:kern w:val="22"/>
          <w:szCs w:val="22"/>
          <w:lang w:val="fr-CA"/>
        </w:rPr>
        <w:t xml:space="preserve"> est à la fois une occasion et une difficulté pour les Parties et leurs partenaires. Elle est difficile car elle soul</w:t>
      </w:r>
      <w:r w:rsidR="005B4EB0" w:rsidRPr="00B26B5B">
        <w:rPr>
          <w:kern w:val="22"/>
          <w:szCs w:val="22"/>
          <w:lang w:val="fr-CA"/>
        </w:rPr>
        <w:t>è</w:t>
      </w:r>
      <w:r w:rsidRPr="00B26B5B">
        <w:rPr>
          <w:kern w:val="22"/>
          <w:szCs w:val="22"/>
          <w:lang w:val="fr-CA"/>
        </w:rPr>
        <w:t xml:space="preserve">ve des questions </w:t>
      </w:r>
      <w:r w:rsidR="00824838">
        <w:rPr>
          <w:kern w:val="22"/>
          <w:szCs w:val="22"/>
          <w:lang w:val="fr-CA"/>
        </w:rPr>
        <w:t>d’appropriation</w:t>
      </w:r>
      <w:r w:rsidRPr="00B26B5B">
        <w:rPr>
          <w:kern w:val="22"/>
          <w:szCs w:val="22"/>
          <w:lang w:val="fr-CA"/>
        </w:rPr>
        <w:t xml:space="preserve"> </w:t>
      </w:r>
      <w:r w:rsidR="00C3259E">
        <w:rPr>
          <w:kern w:val="22"/>
          <w:szCs w:val="22"/>
          <w:lang w:val="fr-CA"/>
        </w:rPr>
        <w:t xml:space="preserve">et de gestion </w:t>
      </w:r>
      <w:r w:rsidRPr="00B26B5B">
        <w:rPr>
          <w:kern w:val="22"/>
          <w:szCs w:val="22"/>
          <w:lang w:val="fr-CA"/>
        </w:rPr>
        <w:t xml:space="preserve">des </w:t>
      </w:r>
      <w:r w:rsidR="005B4EB0" w:rsidRPr="00B26B5B">
        <w:rPr>
          <w:kern w:val="22"/>
          <w:szCs w:val="22"/>
          <w:lang w:val="fr-CA"/>
        </w:rPr>
        <w:t>d</w:t>
      </w:r>
      <w:r w:rsidRPr="00B26B5B">
        <w:rPr>
          <w:kern w:val="22"/>
          <w:szCs w:val="22"/>
          <w:lang w:val="fr-CA"/>
        </w:rPr>
        <w:t xml:space="preserve">onnées </w:t>
      </w:r>
      <w:r w:rsidR="00C3259E">
        <w:rPr>
          <w:kern w:val="22"/>
          <w:szCs w:val="22"/>
          <w:lang w:val="fr-CA"/>
        </w:rPr>
        <w:t>(</w:t>
      </w:r>
      <w:r w:rsidRPr="00B26B5B">
        <w:rPr>
          <w:kern w:val="22"/>
          <w:szCs w:val="22"/>
          <w:lang w:val="fr-CA"/>
        </w:rPr>
        <w:t>c.-à-d., à qui appartiennent les données, qui les gère et qui utilise le produit final). E</w:t>
      </w:r>
      <w:r w:rsidR="00E83E7B">
        <w:rPr>
          <w:kern w:val="22"/>
          <w:szCs w:val="22"/>
          <w:lang w:val="fr-CA"/>
        </w:rPr>
        <w:t>lle est également une occasion, c</w:t>
      </w:r>
      <w:r w:rsidRPr="00B26B5B">
        <w:rPr>
          <w:kern w:val="22"/>
          <w:szCs w:val="22"/>
          <w:lang w:val="fr-CA"/>
        </w:rPr>
        <w:t xml:space="preserve">ar les Parties peuvent avoir accès à de grandes quantités de données et d’images </w:t>
      </w:r>
      <w:r w:rsidR="005B4EB0" w:rsidRPr="00B26B5B">
        <w:rPr>
          <w:kern w:val="22"/>
          <w:szCs w:val="22"/>
          <w:lang w:val="fr-CA"/>
        </w:rPr>
        <w:t>à la plus grande éche</w:t>
      </w:r>
      <w:r w:rsidRPr="00B26B5B">
        <w:rPr>
          <w:kern w:val="22"/>
          <w:szCs w:val="22"/>
          <w:lang w:val="fr-CA"/>
        </w:rPr>
        <w:t>lle possible.</w:t>
      </w:r>
    </w:p>
    <w:p w:rsidR="00853847" w:rsidRPr="00B26B5B" w:rsidRDefault="00E83E7B" w:rsidP="00C33570">
      <w:pPr>
        <w:pStyle w:val="Para1"/>
        <w:suppressLineNumbers/>
        <w:tabs>
          <w:tab w:val="clear" w:pos="360"/>
        </w:tabs>
        <w:suppressAutoHyphens/>
        <w:rPr>
          <w:kern w:val="22"/>
          <w:szCs w:val="22"/>
          <w:lang w:val="fr-CA"/>
        </w:rPr>
      </w:pPr>
      <w:r>
        <w:rPr>
          <w:kern w:val="22"/>
          <w:szCs w:val="22"/>
          <w:lang w:val="fr-CA"/>
        </w:rPr>
        <w:t>Les</w:t>
      </w:r>
      <w:r w:rsidR="005B4EB0" w:rsidRPr="00B26B5B">
        <w:rPr>
          <w:kern w:val="22"/>
          <w:szCs w:val="22"/>
          <w:lang w:val="fr-CA"/>
        </w:rPr>
        <w:t xml:space="preserve"> données ne sont pas des informations et les informations ne co</w:t>
      </w:r>
      <w:r w:rsidR="00D10BB4" w:rsidRPr="00B26B5B">
        <w:rPr>
          <w:kern w:val="22"/>
          <w:szCs w:val="22"/>
          <w:lang w:val="fr-CA"/>
        </w:rPr>
        <w:t>n</w:t>
      </w:r>
      <w:r w:rsidR="005B4EB0" w:rsidRPr="00B26B5B">
        <w:rPr>
          <w:kern w:val="22"/>
          <w:szCs w:val="22"/>
          <w:lang w:val="fr-CA"/>
        </w:rPr>
        <w:t xml:space="preserve">stituent pas des connaissances. </w:t>
      </w:r>
      <w:r>
        <w:rPr>
          <w:kern w:val="22"/>
          <w:szCs w:val="22"/>
          <w:lang w:val="fr-CA"/>
        </w:rPr>
        <w:t>Les</w:t>
      </w:r>
      <w:r w:rsidR="005B4EB0" w:rsidRPr="00B26B5B">
        <w:rPr>
          <w:kern w:val="22"/>
          <w:szCs w:val="22"/>
          <w:lang w:val="fr-CA"/>
        </w:rPr>
        <w:t xml:space="preserve"> </w:t>
      </w:r>
      <w:r w:rsidR="00D10BB4" w:rsidRPr="00B26B5B">
        <w:rPr>
          <w:kern w:val="22"/>
          <w:szCs w:val="22"/>
          <w:lang w:val="fr-CA"/>
        </w:rPr>
        <w:t>pays</w:t>
      </w:r>
      <w:r w:rsidR="005B4EB0" w:rsidRPr="00B26B5B">
        <w:rPr>
          <w:kern w:val="22"/>
          <w:szCs w:val="22"/>
          <w:lang w:val="fr-CA"/>
        </w:rPr>
        <w:t xml:space="preserve"> </w:t>
      </w:r>
      <w:r>
        <w:rPr>
          <w:kern w:val="22"/>
          <w:szCs w:val="22"/>
          <w:lang w:val="fr-CA"/>
        </w:rPr>
        <w:t xml:space="preserve">doivent donc </w:t>
      </w:r>
      <w:r w:rsidR="005B4EB0" w:rsidRPr="00B26B5B">
        <w:rPr>
          <w:kern w:val="22"/>
          <w:szCs w:val="22"/>
          <w:lang w:val="fr-CA"/>
        </w:rPr>
        <w:t>déplo</w:t>
      </w:r>
      <w:r>
        <w:rPr>
          <w:kern w:val="22"/>
          <w:szCs w:val="22"/>
          <w:lang w:val="fr-CA"/>
        </w:rPr>
        <w:t>yer</w:t>
      </w:r>
      <w:r w:rsidR="005B4EB0" w:rsidRPr="00B26B5B">
        <w:rPr>
          <w:kern w:val="22"/>
          <w:szCs w:val="22"/>
          <w:lang w:val="fr-CA"/>
        </w:rPr>
        <w:t xml:space="preserve"> des efforts pour recueillir, compiler et analyser les données disponibles afin de produire de l’information pertinente que peuvent utiliser les planificateurs et les </w:t>
      </w:r>
      <w:r w:rsidR="00D10BB4" w:rsidRPr="00B26B5B">
        <w:rPr>
          <w:kern w:val="22"/>
          <w:szCs w:val="22"/>
          <w:lang w:val="fr-CA"/>
        </w:rPr>
        <w:t>responsables des orientati</w:t>
      </w:r>
      <w:r w:rsidR="005B4EB0" w:rsidRPr="00B26B5B">
        <w:rPr>
          <w:kern w:val="22"/>
          <w:szCs w:val="22"/>
          <w:lang w:val="fr-CA"/>
        </w:rPr>
        <w:t xml:space="preserve">ons politiques. </w:t>
      </w:r>
      <w:r>
        <w:rPr>
          <w:kern w:val="22"/>
          <w:szCs w:val="22"/>
          <w:lang w:val="fr-CA"/>
        </w:rPr>
        <w:t>Il faut aussi</w:t>
      </w:r>
      <w:r w:rsidR="00D10BB4" w:rsidRPr="00B26B5B">
        <w:rPr>
          <w:kern w:val="22"/>
          <w:szCs w:val="22"/>
          <w:lang w:val="fr-CA"/>
        </w:rPr>
        <w:t xml:space="preserve"> traiter davantage et regro</w:t>
      </w:r>
      <w:r w:rsidR="005B4EB0" w:rsidRPr="00B26B5B">
        <w:rPr>
          <w:kern w:val="22"/>
          <w:szCs w:val="22"/>
          <w:lang w:val="fr-CA"/>
        </w:rPr>
        <w:t>uper l’information en connaiss</w:t>
      </w:r>
      <w:r w:rsidR="00D10BB4" w:rsidRPr="00B26B5B">
        <w:rPr>
          <w:kern w:val="22"/>
          <w:szCs w:val="22"/>
          <w:lang w:val="fr-CA"/>
        </w:rPr>
        <w:t>a</w:t>
      </w:r>
      <w:r w:rsidR="005B4EB0" w:rsidRPr="00B26B5B">
        <w:rPr>
          <w:kern w:val="22"/>
          <w:szCs w:val="22"/>
          <w:lang w:val="fr-CA"/>
        </w:rPr>
        <w:t>nces, par exemple sous forme de bonnes pratiques et d’enseignements tirés, dans une l</w:t>
      </w:r>
      <w:r w:rsidR="00D10BB4" w:rsidRPr="00B26B5B">
        <w:rPr>
          <w:kern w:val="22"/>
          <w:szCs w:val="22"/>
          <w:lang w:val="fr-CA"/>
        </w:rPr>
        <w:t>angue et un format compris par d</w:t>
      </w:r>
      <w:r w:rsidR="005B4EB0" w:rsidRPr="00B26B5B">
        <w:rPr>
          <w:kern w:val="22"/>
          <w:szCs w:val="22"/>
          <w:lang w:val="fr-CA"/>
        </w:rPr>
        <w:t>ifférents utilisateurs, y compris les respon</w:t>
      </w:r>
      <w:r w:rsidR="00D10BB4" w:rsidRPr="00B26B5B">
        <w:rPr>
          <w:kern w:val="22"/>
          <w:szCs w:val="22"/>
          <w:lang w:val="fr-CA"/>
        </w:rPr>
        <w:t>sables de</w:t>
      </w:r>
      <w:r w:rsidR="005B4EB0" w:rsidRPr="00B26B5B">
        <w:rPr>
          <w:kern w:val="22"/>
          <w:szCs w:val="22"/>
          <w:lang w:val="fr-CA"/>
        </w:rPr>
        <w:t>s</w:t>
      </w:r>
      <w:r w:rsidR="00D10BB4" w:rsidRPr="00B26B5B">
        <w:rPr>
          <w:kern w:val="22"/>
          <w:szCs w:val="22"/>
          <w:lang w:val="fr-CA"/>
        </w:rPr>
        <w:t xml:space="preserve"> orientations po</w:t>
      </w:r>
      <w:r w:rsidR="005B4EB0" w:rsidRPr="00B26B5B">
        <w:rPr>
          <w:kern w:val="22"/>
          <w:szCs w:val="22"/>
          <w:lang w:val="fr-CA"/>
        </w:rPr>
        <w:t>litiques</w:t>
      </w:r>
      <w:r w:rsidR="00D10BB4" w:rsidRPr="00B26B5B">
        <w:rPr>
          <w:kern w:val="22"/>
          <w:szCs w:val="22"/>
          <w:lang w:val="fr-CA"/>
        </w:rPr>
        <w:t xml:space="preserve"> et les décideurs, le</w:t>
      </w:r>
      <w:r w:rsidR="005B4EB0" w:rsidRPr="00B26B5B">
        <w:rPr>
          <w:kern w:val="22"/>
          <w:szCs w:val="22"/>
          <w:lang w:val="fr-CA"/>
        </w:rPr>
        <w:t>s</w:t>
      </w:r>
      <w:r w:rsidR="00D10BB4" w:rsidRPr="00B26B5B">
        <w:rPr>
          <w:kern w:val="22"/>
          <w:szCs w:val="22"/>
          <w:lang w:val="fr-CA"/>
        </w:rPr>
        <w:t xml:space="preserve"> professi</w:t>
      </w:r>
      <w:r w:rsidR="005B4EB0" w:rsidRPr="00B26B5B">
        <w:rPr>
          <w:kern w:val="22"/>
          <w:szCs w:val="22"/>
          <w:lang w:val="fr-CA"/>
        </w:rPr>
        <w:t>onnels et le public</w:t>
      </w:r>
      <w:r w:rsidR="009F6466" w:rsidRPr="00B26B5B">
        <w:rPr>
          <w:kern w:val="22"/>
          <w:szCs w:val="22"/>
          <w:lang w:val="fr-CA"/>
        </w:rPr>
        <w:t>.</w:t>
      </w:r>
    </w:p>
    <w:p w:rsidR="005942DF" w:rsidRPr="00B26B5B" w:rsidRDefault="00D10BB4" w:rsidP="00C33570">
      <w:pPr>
        <w:pStyle w:val="Para1"/>
        <w:suppressLineNumbers/>
        <w:tabs>
          <w:tab w:val="clear" w:pos="360"/>
        </w:tabs>
        <w:suppressAutoHyphens/>
        <w:rPr>
          <w:kern w:val="22"/>
          <w:szCs w:val="22"/>
          <w:lang w:val="fr-CA"/>
        </w:rPr>
      </w:pPr>
      <w:r w:rsidRPr="00B26B5B">
        <w:rPr>
          <w:kern w:val="22"/>
          <w:szCs w:val="22"/>
          <w:lang w:val="fr-CA"/>
        </w:rPr>
        <w:t>Des suggestions ont été faites pour lutter contre les difficultés ci-dessus et améliorer la création, l’accès, la gestion, le partage et l’utilisation des connaissances</w:t>
      </w:r>
      <w:r w:rsidR="00E83E7B">
        <w:rPr>
          <w:kern w:val="22"/>
          <w:szCs w:val="22"/>
          <w:lang w:val="fr-CA"/>
        </w:rPr>
        <w:t>,</w:t>
      </w:r>
      <w:r w:rsidRPr="00B26B5B">
        <w:rPr>
          <w:kern w:val="22"/>
          <w:szCs w:val="22"/>
          <w:lang w:val="fr-CA"/>
        </w:rPr>
        <w:t xml:space="preserve"> afin de soutenir le cadre mondial de la biodiversité pour l</w:t>
      </w:r>
      <w:r w:rsidR="00CD0FC3">
        <w:rPr>
          <w:kern w:val="22"/>
          <w:szCs w:val="22"/>
          <w:lang w:val="fr-CA"/>
        </w:rPr>
        <w:t>’</w:t>
      </w:r>
      <w:r w:rsidRPr="00B26B5B">
        <w:rPr>
          <w:kern w:val="22"/>
          <w:szCs w:val="22"/>
          <w:lang w:val="fr-CA"/>
        </w:rPr>
        <w:t>après-2020</w:t>
      </w:r>
      <w:r w:rsidR="00CD0FC3">
        <w:rPr>
          <w:kern w:val="22"/>
          <w:szCs w:val="22"/>
          <w:lang w:val="fr-CA"/>
        </w:rPr>
        <w:t> </w:t>
      </w:r>
      <w:r w:rsidR="005942DF" w:rsidRPr="00B26B5B">
        <w:rPr>
          <w:kern w:val="22"/>
          <w:szCs w:val="22"/>
          <w:lang w:val="fr-CA"/>
        </w:rPr>
        <w:t>:</w:t>
      </w:r>
    </w:p>
    <w:p w:rsidR="00461C35" w:rsidRPr="00B26B5B" w:rsidRDefault="00D10BB4" w:rsidP="00C33570">
      <w:pPr>
        <w:pStyle w:val="Para1"/>
        <w:keepNext/>
        <w:numPr>
          <w:ilvl w:val="0"/>
          <w:numId w:val="0"/>
        </w:numPr>
        <w:suppressLineNumbers/>
        <w:suppressAutoHyphens/>
        <w:rPr>
          <w:i/>
          <w:kern w:val="22"/>
          <w:szCs w:val="22"/>
          <w:lang w:val="fr-CA"/>
        </w:rPr>
      </w:pPr>
      <w:r w:rsidRPr="00B26B5B">
        <w:rPr>
          <w:i/>
          <w:kern w:val="22"/>
          <w:szCs w:val="22"/>
          <w:lang w:val="fr-CA"/>
        </w:rPr>
        <w:lastRenderedPageBreak/>
        <w:t>Suggestions d’ordre général</w:t>
      </w:r>
    </w:p>
    <w:p w:rsidR="003138FE" w:rsidRPr="00B26B5B" w:rsidRDefault="00CA027B" w:rsidP="00C33570">
      <w:pPr>
        <w:pStyle w:val="Para1"/>
        <w:numPr>
          <w:ilvl w:val="1"/>
          <w:numId w:val="2"/>
        </w:numPr>
        <w:suppressLineNumbers/>
        <w:suppressAutoHyphens/>
        <w:rPr>
          <w:kern w:val="22"/>
          <w:szCs w:val="22"/>
          <w:lang w:val="fr-CA"/>
        </w:rPr>
      </w:pPr>
      <w:r w:rsidRPr="00B26B5B">
        <w:rPr>
          <w:kern w:val="22"/>
          <w:szCs w:val="22"/>
          <w:lang w:val="fr-CA"/>
        </w:rPr>
        <w:t xml:space="preserve">Élaborer </w:t>
      </w:r>
      <w:r w:rsidR="00002074" w:rsidRPr="00B26B5B">
        <w:rPr>
          <w:kern w:val="22"/>
          <w:szCs w:val="22"/>
          <w:lang w:val="fr-CA"/>
        </w:rPr>
        <w:t xml:space="preserve">des systèmes nationaux pour découvrir, cartographier et mobiliser l’information existante et la rendre facile d’accès </w:t>
      </w:r>
      <w:r w:rsidR="00E83E7B">
        <w:rPr>
          <w:kern w:val="22"/>
          <w:szCs w:val="22"/>
          <w:lang w:val="fr-CA"/>
        </w:rPr>
        <w:t>afin d’appuyer les</w:t>
      </w:r>
      <w:r w:rsidR="00002074" w:rsidRPr="00B26B5B">
        <w:rPr>
          <w:kern w:val="22"/>
          <w:szCs w:val="22"/>
          <w:lang w:val="fr-CA"/>
        </w:rPr>
        <w:t xml:space="preserve"> processus nationaux de planification, d’orientations politiques et décisionnel</w:t>
      </w:r>
      <w:r w:rsidR="00B92D18">
        <w:rPr>
          <w:kern w:val="22"/>
          <w:szCs w:val="22"/>
          <w:lang w:val="fr-CA"/>
        </w:rPr>
        <w:t>;</w:t>
      </w:r>
    </w:p>
    <w:p w:rsidR="00211E0A" w:rsidRPr="00B26B5B" w:rsidRDefault="00002074" w:rsidP="00C33570">
      <w:pPr>
        <w:pStyle w:val="Para1"/>
        <w:numPr>
          <w:ilvl w:val="1"/>
          <w:numId w:val="2"/>
        </w:numPr>
        <w:suppressLineNumbers/>
        <w:suppressAutoHyphens/>
        <w:rPr>
          <w:kern w:val="22"/>
          <w:szCs w:val="22"/>
          <w:lang w:val="fr-CA"/>
        </w:rPr>
      </w:pPr>
      <w:r w:rsidRPr="00B26B5B">
        <w:rPr>
          <w:kern w:val="22"/>
          <w:szCs w:val="22"/>
          <w:lang w:val="fr-CA"/>
        </w:rPr>
        <w:t xml:space="preserve">Mettre en place des lois, </w:t>
      </w:r>
      <w:r w:rsidR="00E83E7B">
        <w:rPr>
          <w:kern w:val="22"/>
          <w:szCs w:val="22"/>
          <w:lang w:val="fr-CA"/>
        </w:rPr>
        <w:t xml:space="preserve">des </w:t>
      </w:r>
      <w:r w:rsidRPr="00B26B5B">
        <w:rPr>
          <w:kern w:val="22"/>
          <w:szCs w:val="22"/>
          <w:lang w:val="fr-CA"/>
        </w:rPr>
        <w:t xml:space="preserve">cadres administratifs et </w:t>
      </w:r>
      <w:r w:rsidR="00E83E7B">
        <w:rPr>
          <w:kern w:val="22"/>
          <w:szCs w:val="22"/>
          <w:lang w:val="fr-CA"/>
        </w:rPr>
        <w:t xml:space="preserve">des </w:t>
      </w:r>
      <w:r w:rsidRPr="00B26B5B">
        <w:rPr>
          <w:kern w:val="22"/>
          <w:szCs w:val="22"/>
          <w:lang w:val="fr-CA"/>
        </w:rPr>
        <w:t>mesures d’encouragement nationaux afin d’encourager le partage de connaissances</w:t>
      </w:r>
      <w:r w:rsidR="00B92D18">
        <w:rPr>
          <w:kern w:val="22"/>
          <w:szCs w:val="22"/>
          <w:lang w:val="fr-CA"/>
        </w:rPr>
        <w:t>;</w:t>
      </w:r>
    </w:p>
    <w:p w:rsidR="000878C0" w:rsidRPr="00B26B5B" w:rsidRDefault="00002074" w:rsidP="00C33570">
      <w:pPr>
        <w:pStyle w:val="Para1"/>
        <w:numPr>
          <w:ilvl w:val="1"/>
          <w:numId w:val="2"/>
        </w:numPr>
        <w:suppressLineNumbers/>
        <w:suppressAutoHyphens/>
        <w:rPr>
          <w:kern w:val="22"/>
          <w:szCs w:val="22"/>
          <w:lang w:val="fr-CA"/>
        </w:rPr>
      </w:pPr>
      <w:r w:rsidRPr="00B26B5B">
        <w:rPr>
          <w:kern w:val="22"/>
          <w:szCs w:val="22"/>
          <w:lang w:val="fr-CA"/>
        </w:rPr>
        <w:t>Institutionnaliser la gestion des connaissances afin d’</w:t>
      </w:r>
      <w:r w:rsidR="00007359" w:rsidRPr="00B26B5B">
        <w:rPr>
          <w:kern w:val="22"/>
          <w:szCs w:val="22"/>
          <w:lang w:val="fr-CA"/>
        </w:rPr>
        <w:t>e</w:t>
      </w:r>
      <w:r w:rsidR="002B2AA3" w:rsidRPr="00B26B5B">
        <w:rPr>
          <w:kern w:val="22"/>
          <w:szCs w:val="22"/>
          <w:lang w:val="fr-CA"/>
        </w:rPr>
        <w:t>ntretenir une culture bien établ</w:t>
      </w:r>
      <w:r w:rsidR="00007359" w:rsidRPr="00B26B5B">
        <w:rPr>
          <w:kern w:val="22"/>
          <w:szCs w:val="22"/>
          <w:lang w:val="fr-CA"/>
        </w:rPr>
        <w:t>ie de partage de connaissance</w:t>
      </w:r>
      <w:r w:rsidR="002B2AA3" w:rsidRPr="00B26B5B">
        <w:rPr>
          <w:kern w:val="22"/>
          <w:szCs w:val="22"/>
          <w:lang w:val="fr-CA"/>
        </w:rPr>
        <w:t>s, et mettre sur pied des polit</w:t>
      </w:r>
      <w:r w:rsidR="00007359" w:rsidRPr="00B26B5B">
        <w:rPr>
          <w:kern w:val="22"/>
          <w:szCs w:val="22"/>
          <w:lang w:val="fr-CA"/>
        </w:rPr>
        <w:t xml:space="preserve">iques et </w:t>
      </w:r>
      <w:r w:rsidR="002B2AA3" w:rsidRPr="00B26B5B">
        <w:rPr>
          <w:kern w:val="22"/>
          <w:szCs w:val="22"/>
          <w:lang w:val="fr-CA"/>
        </w:rPr>
        <w:t>processus</w:t>
      </w:r>
      <w:r w:rsidR="00007359" w:rsidRPr="00B26B5B">
        <w:rPr>
          <w:kern w:val="22"/>
          <w:szCs w:val="22"/>
          <w:lang w:val="fr-CA"/>
        </w:rPr>
        <w:t xml:space="preserve"> pour assurer la saisie et la rétention de conn</w:t>
      </w:r>
      <w:r w:rsidR="002B2AA3" w:rsidRPr="00B26B5B">
        <w:rPr>
          <w:kern w:val="22"/>
          <w:szCs w:val="22"/>
          <w:lang w:val="fr-CA"/>
        </w:rPr>
        <w:t>aissances lorsque les correspondants nationaux et autres membres du personnel prendront leur retraite ou iront relever de nouveaux défis</w:t>
      </w:r>
      <w:r w:rsidR="00B92D18">
        <w:rPr>
          <w:kern w:val="22"/>
          <w:szCs w:val="22"/>
          <w:lang w:val="fr-CA"/>
        </w:rPr>
        <w:t>;</w:t>
      </w:r>
    </w:p>
    <w:p w:rsidR="00561F27" w:rsidRPr="00B26B5B" w:rsidRDefault="002B2AA3" w:rsidP="00C33570">
      <w:pPr>
        <w:pStyle w:val="Para1"/>
        <w:numPr>
          <w:ilvl w:val="1"/>
          <w:numId w:val="2"/>
        </w:numPr>
        <w:suppressLineNumbers/>
        <w:suppressAutoHyphens/>
        <w:rPr>
          <w:kern w:val="22"/>
          <w:szCs w:val="22"/>
          <w:lang w:val="fr-CA"/>
        </w:rPr>
      </w:pPr>
      <w:r w:rsidRPr="00B26B5B">
        <w:rPr>
          <w:kern w:val="22"/>
          <w:szCs w:val="22"/>
          <w:lang w:val="fr-CA"/>
        </w:rPr>
        <w:t>Dév</w:t>
      </w:r>
      <w:r w:rsidR="00CA73BE">
        <w:rPr>
          <w:kern w:val="22"/>
          <w:szCs w:val="22"/>
          <w:lang w:val="fr-CA"/>
        </w:rPr>
        <w:t>elopper des infrastructures et d</w:t>
      </w:r>
      <w:r w:rsidRPr="00B26B5B">
        <w:rPr>
          <w:kern w:val="22"/>
          <w:szCs w:val="22"/>
          <w:lang w:val="fr-CA"/>
        </w:rPr>
        <w:t>es capacités nationales pour la collecte, la gestion et l’échange de données</w:t>
      </w:r>
      <w:r w:rsidR="00B92D18">
        <w:rPr>
          <w:kern w:val="22"/>
          <w:szCs w:val="22"/>
          <w:lang w:val="fr-CA"/>
        </w:rPr>
        <w:t>;</w:t>
      </w:r>
    </w:p>
    <w:p w:rsidR="009A6DBF" w:rsidRPr="00B26B5B" w:rsidRDefault="002B2AA3" w:rsidP="00C33570">
      <w:pPr>
        <w:pStyle w:val="Para1"/>
        <w:numPr>
          <w:ilvl w:val="1"/>
          <w:numId w:val="2"/>
        </w:numPr>
        <w:suppressLineNumbers/>
        <w:suppressAutoHyphens/>
        <w:rPr>
          <w:kern w:val="22"/>
          <w:szCs w:val="22"/>
          <w:lang w:val="fr-CA"/>
        </w:rPr>
      </w:pPr>
      <w:r w:rsidRPr="00B26B5B">
        <w:rPr>
          <w:kern w:val="22"/>
          <w:szCs w:val="22"/>
          <w:lang w:val="fr-CA"/>
        </w:rPr>
        <w:t>Profiter des plus récentes technologies de l’information pour mettre sur pied des plateformes dédiées, dynamiques et conviviales visant à faciliter l’échange facile et rapide de l’information</w:t>
      </w:r>
      <w:r w:rsidR="00B92D18">
        <w:rPr>
          <w:kern w:val="22"/>
          <w:szCs w:val="22"/>
          <w:lang w:val="fr-CA"/>
        </w:rPr>
        <w:t>;</w:t>
      </w:r>
    </w:p>
    <w:p w:rsidR="009A6DBF" w:rsidRPr="00B26B5B" w:rsidRDefault="002B2AA3" w:rsidP="00C33570">
      <w:pPr>
        <w:pStyle w:val="Para1"/>
        <w:numPr>
          <w:ilvl w:val="1"/>
          <w:numId w:val="2"/>
        </w:numPr>
        <w:suppressLineNumbers/>
        <w:suppressAutoHyphens/>
        <w:rPr>
          <w:kern w:val="22"/>
          <w:szCs w:val="22"/>
          <w:lang w:val="fr-CA"/>
        </w:rPr>
      </w:pPr>
      <w:r w:rsidRPr="00B26B5B">
        <w:rPr>
          <w:kern w:val="22"/>
          <w:szCs w:val="22"/>
          <w:lang w:val="fr-CA"/>
        </w:rPr>
        <w:t xml:space="preserve">Compléter les bases de données mondiales </w:t>
      </w:r>
      <w:r w:rsidR="009C418E" w:rsidRPr="00B26B5B">
        <w:rPr>
          <w:kern w:val="22"/>
          <w:szCs w:val="22"/>
          <w:lang w:val="fr-CA"/>
        </w:rPr>
        <w:t>e</w:t>
      </w:r>
      <w:r w:rsidRPr="00B26B5B">
        <w:rPr>
          <w:kern w:val="22"/>
          <w:szCs w:val="22"/>
          <w:lang w:val="fr-CA"/>
        </w:rPr>
        <w:t>xistantes</w:t>
      </w:r>
      <w:r w:rsidR="009C418E" w:rsidRPr="00B26B5B">
        <w:rPr>
          <w:kern w:val="22"/>
          <w:szCs w:val="22"/>
          <w:lang w:val="fr-CA"/>
        </w:rPr>
        <w:t xml:space="preserve"> au moyen de bases de donnée</w:t>
      </w:r>
      <w:r w:rsidR="00CA73BE">
        <w:rPr>
          <w:kern w:val="22"/>
          <w:szCs w:val="22"/>
          <w:lang w:val="fr-CA"/>
        </w:rPr>
        <w:t>s nationales et régionales</w:t>
      </w:r>
      <w:r w:rsidR="009C418E" w:rsidRPr="00B26B5B">
        <w:rPr>
          <w:kern w:val="22"/>
          <w:szCs w:val="22"/>
          <w:lang w:val="fr-CA"/>
        </w:rPr>
        <w:t xml:space="preserve"> adaptées aux besoins précis des Parties et s’assurer que ces bases de données sont à jour et bien maintenues</w:t>
      </w:r>
      <w:r w:rsidR="00B92D18">
        <w:rPr>
          <w:kern w:val="22"/>
          <w:szCs w:val="22"/>
          <w:lang w:val="fr-CA"/>
        </w:rPr>
        <w:t>;</w:t>
      </w:r>
    </w:p>
    <w:p w:rsidR="00FC4588" w:rsidRPr="00B26B5B" w:rsidRDefault="009C418E" w:rsidP="00C33570">
      <w:pPr>
        <w:pStyle w:val="Para1"/>
        <w:numPr>
          <w:ilvl w:val="1"/>
          <w:numId w:val="2"/>
        </w:numPr>
        <w:suppressLineNumbers/>
        <w:suppressAutoHyphens/>
        <w:rPr>
          <w:kern w:val="22"/>
          <w:szCs w:val="22"/>
          <w:lang w:val="fr-CA"/>
        </w:rPr>
      </w:pPr>
      <w:r w:rsidRPr="00B26B5B">
        <w:rPr>
          <w:kern w:val="22"/>
          <w:szCs w:val="22"/>
          <w:lang w:val="fr-CA"/>
        </w:rPr>
        <w:t xml:space="preserve">Examiner différents outils de partage des connaissances, autres </w:t>
      </w:r>
      <w:r w:rsidR="00CA73BE">
        <w:rPr>
          <w:kern w:val="22"/>
          <w:szCs w:val="22"/>
          <w:lang w:val="fr-CA"/>
        </w:rPr>
        <w:t>que les systèmes en ligne, tel</w:t>
      </w:r>
      <w:r w:rsidRPr="00B26B5B">
        <w:rPr>
          <w:kern w:val="22"/>
          <w:szCs w:val="22"/>
          <w:lang w:val="fr-CA"/>
        </w:rPr>
        <w:t>s que les radios, les écoles d’agriculture ou sur le terrain, et les téléphones mobiles, afin de joindre différents publics à différents niveaux</w:t>
      </w:r>
      <w:r w:rsidR="00211E0A" w:rsidRPr="00B26B5B">
        <w:rPr>
          <w:kern w:val="22"/>
          <w:szCs w:val="22"/>
          <w:lang w:val="fr-CA"/>
        </w:rPr>
        <w:t>.</w:t>
      </w:r>
    </w:p>
    <w:p w:rsidR="009A6DBF" w:rsidRPr="00B26B5B" w:rsidRDefault="009C418E" w:rsidP="00C33570">
      <w:pPr>
        <w:pStyle w:val="Para1"/>
        <w:numPr>
          <w:ilvl w:val="0"/>
          <w:numId w:val="0"/>
        </w:numPr>
        <w:suppressLineNumbers/>
        <w:suppressAutoHyphens/>
        <w:rPr>
          <w:i/>
          <w:kern w:val="22"/>
          <w:szCs w:val="22"/>
          <w:lang w:val="fr-CA"/>
        </w:rPr>
      </w:pPr>
      <w:r w:rsidRPr="00B26B5B">
        <w:rPr>
          <w:i/>
          <w:kern w:val="22"/>
          <w:szCs w:val="22"/>
          <w:lang w:val="fr-CA"/>
        </w:rPr>
        <w:t>Mécanisme de centre d’échange</w:t>
      </w:r>
    </w:p>
    <w:p w:rsidR="009A6DBF" w:rsidRPr="00B26B5B" w:rsidRDefault="009C418E" w:rsidP="00C33570">
      <w:pPr>
        <w:pStyle w:val="Para1"/>
        <w:numPr>
          <w:ilvl w:val="1"/>
          <w:numId w:val="2"/>
        </w:numPr>
        <w:suppressLineNumbers/>
        <w:suppressAutoHyphens/>
        <w:rPr>
          <w:kern w:val="22"/>
          <w:szCs w:val="22"/>
          <w:lang w:val="fr-CA"/>
        </w:rPr>
      </w:pPr>
      <w:r w:rsidRPr="00B26B5B">
        <w:rPr>
          <w:kern w:val="22"/>
          <w:szCs w:val="22"/>
          <w:lang w:val="fr-CA"/>
        </w:rPr>
        <w:t xml:space="preserve">Développer davantage et renforcer le mécanisme de centre d’échange central et le </w:t>
      </w:r>
      <w:r w:rsidR="00A329CE" w:rsidRPr="00B26B5B">
        <w:rPr>
          <w:kern w:val="22"/>
          <w:szCs w:val="22"/>
          <w:lang w:val="fr-CA"/>
        </w:rPr>
        <w:t xml:space="preserve">mécanisme de </w:t>
      </w:r>
      <w:r w:rsidRPr="00B26B5B">
        <w:rPr>
          <w:kern w:val="22"/>
          <w:szCs w:val="22"/>
          <w:lang w:val="fr-CA"/>
        </w:rPr>
        <w:t>centre d’échange</w:t>
      </w:r>
      <w:r w:rsidR="00A329CE" w:rsidRPr="00B26B5B">
        <w:rPr>
          <w:kern w:val="22"/>
          <w:szCs w:val="22"/>
          <w:lang w:val="fr-CA"/>
        </w:rPr>
        <w:t xml:space="preserve"> national</w:t>
      </w:r>
      <w:r w:rsidR="00CA73BE">
        <w:rPr>
          <w:kern w:val="22"/>
          <w:szCs w:val="22"/>
          <w:lang w:val="fr-CA"/>
        </w:rPr>
        <w:t>,</w:t>
      </w:r>
      <w:r w:rsidR="00A329CE" w:rsidRPr="00B26B5B">
        <w:rPr>
          <w:kern w:val="22"/>
          <w:szCs w:val="22"/>
          <w:lang w:val="fr-CA"/>
        </w:rPr>
        <w:t xml:space="preserve"> afin d’améliorer l’échange de données aux niveaux national, régional et mondial</w:t>
      </w:r>
      <w:r w:rsidR="00CA73BE">
        <w:rPr>
          <w:kern w:val="22"/>
          <w:szCs w:val="22"/>
          <w:lang w:val="fr-CA"/>
        </w:rPr>
        <w:t>, et s’assurer qu’elles</w:t>
      </w:r>
      <w:r w:rsidR="00A329CE" w:rsidRPr="00B26B5B">
        <w:rPr>
          <w:kern w:val="22"/>
          <w:szCs w:val="22"/>
          <w:lang w:val="fr-CA"/>
        </w:rPr>
        <w:t xml:space="preserve"> sont toujours à jour et disponible</w:t>
      </w:r>
      <w:r w:rsidR="00CA73BE">
        <w:rPr>
          <w:kern w:val="22"/>
          <w:szCs w:val="22"/>
          <w:lang w:val="fr-CA"/>
        </w:rPr>
        <w:t>s</w:t>
      </w:r>
      <w:r w:rsidR="00A329CE" w:rsidRPr="00B26B5B">
        <w:rPr>
          <w:kern w:val="22"/>
          <w:szCs w:val="22"/>
          <w:lang w:val="fr-CA"/>
        </w:rPr>
        <w:t>, sans temps d’indisponibilité</w:t>
      </w:r>
      <w:r w:rsidR="00B92D18">
        <w:rPr>
          <w:kern w:val="22"/>
          <w:szCs w:val="22"/>
          <w:lang w:val="fr-CA"/>
        </w:rPr>
        <w:t>;</w:t>
      </w:r>
    </w:p>
    <w:p w:rsidR="009A6DBF" w:rsidRPr="00B26B5B" w:rsidRDefault="00A329CE" w:rsidP="00C33570">
      <w:pPr>
        <w:pStyle w:val="Para1"/>
        <w:numPr>
          <w:ilvl w:val="1"/>
          <w:numId w:val="2"/>
        </w:numPr>
        <w:suppressLineNumbers/>
        <w:suppressAutoHyphens/>
        <w:rPr>
          <w:kern w:val="22"/>
          <w:szCs w:val="22"/>
          <w:lang w:val="fr-CA"/>
        </w:rPr>
      </w:pPr>
      <w:r w:rsidRPr="00B26B5B">
        <w:rPr>
          <w:kern w:val="22"/>
          <w:szCs w:val="22"/>
          <w:lang w:val="fr-CA"/>
        </w:rPr>
        <w:t>Mettre su</w:t>
      </w:r>
      <w:r w:rsidR="00C61D40" w:rsidRPr="00B26B5B">
        <w:rPr>
          <w:kern w:val="22"/>
          <w:szCs w:val="22"/>
          <w:lang w:val="fr-CA"/>
        </w:rPr>
        <w:t>r</w:t>
      </w:r>
      <w:r w:rsidRPr="00B26B5B">
        <w:rPr>
          <w:kern w:val="22"/>
          <w:szCs w:val="22"/>
          <w:lang w:val="fr-CA"/>
        </w:rPr>
        <w:t xml:space="preserve"> pied des protocoles et des normes de partage de données afi</w:t>
      </w:r>
      <w:r w:rsidR="00CA73BE">
        <w:rPr>
          <w:kern w:val="22"/>
          <w:szCs w:val="22"/>
          <w:lang w:val="fr-CA"/>
        </w:rPr>
        <w:t xml:space="preserve">n d’assurer leur </w:t>
      </w:r>
      <w:r w:rsidRPr="00B26B5B">
        <w:rPr>
          <w:kern w:val="22"/>
          <w:szCs w:val="22"/>
          <w:lang w:val="fr-CA"/>
        </w:rPr>
        <w:t xml:space="preserve">interopérabilité avec différents systèmes </w:t>
      </w:r>
      <w:r w:rsidR="00C61D40" w:rsidRPr="00B26B5B">
        <w:rPr>
          <w:kern w:val="22"/>
          <w:szCs w:val="22"/>
          <w:lang w:val="fr-CA"/>
        </w:rPr>
        <w:t xml:space="preserve">de gestion des connaissances </w:t>
      </w:r>
      <w:r w:rsidRPr="00B26B5B">
        <w:rPr>
          <w:kern w:val="22"/>
          <w:szCs w:val="22"/>
          <w:lang w:val="fr-CA"/>
        </w:rPr>
        <w:t xml:space="preserve">et bases de données </w:t>
      </w:r>
      <w:r w:rsidR="00C61D40" w:rsidRPr="00B26B5B">
        <w:rPr>
          <w:kern w:val="22"/>
          <w:szCs w:val="22"/>
          <w:lang w:val="fr-CA"/>
        </w:rPr>
        <w:t>régionaux et internationaux</w:t>
      </w:r>
      <w:r w:rsidR="00B92D18">
        <w:rPr>
          <w:kern w:val="22"/>
          <w:szCs w:val="22"/>
          <w:lang w:val="fr-CA"/>
        </w:rPr>
        <w:t>;</w:t>
      </w:r>
    </w:p>
    <w:p w:rsidR="009A6DBF" w:rsidRPr="00B26B5B" w:rsidRDefault="00C61D40" w:rsidP="00C33570">
      <w:pPr>
        <w:pStyle w:val="Para1"/>
        <w:numPr>
          <w:ilvl w:val="1"/>
          <w:numId w:val="2"/>
        </w:numPr>
        <w:suppressLineNumbers/>
        <w:suppressAutoHyphens/>
        <w:rPr>
          <w:kern w:val="22"/>
          <w:szCs w:val="22"/>
          <w:lang w:val="fr-CA"/>
        </w:rPr>
      </w:pPr>
      <w:r w:rsidRPr="00B26B5B">
        <w:rPr>
          <w:kern w:val="22"/>
          <w:szCs w:val="22"/>
          <w:lang w:val="fr-CA"/>
        </w:rPr>
        <w:t>Rendre le mécanisme de centre d’échange plus visible aux différents publics (au-delà des correspondants nationaux) afin de les encourager à le</w:t>
      </w:r>
      <w:r w:rsidR="00FB0493">
        <w:rPr>
          <w:kern w:val="22"/>
          <w:szCs w:val="22"/>
          <w:lang w:val="fr-CA"/>
        </w:rPr>
        <w:t xml:space="preserve"> consulter et à l’</w:t>
      </w:r>
      <w:r w:rsidRPr="00B26B5B">
        <w:rPr>
          <w:kern w:val="22"/>
          <w:szCs w:val="22"/>
          <w:lang w:val="fr-CA"/>
        </w:rPr>
        <w:t>utiliser. Les Parties devraient désigner, former et autoriser un plus grand nombre d’utilisateurs nationaux à contribuer de l’in</w:t>
      </w:r>
      <w:r w:rsidR="00FB0493">
        <w:rPr>
          <w:kern w:val="22"/>
          <w:szCs w:val="22"/>
          <w:lang w:val="fr-CA"/>
        </w:rPr>
        <w:t>formation au mécanisme de centre</w:t>
      </w:r>
      <w:r w:rsidRPr="00B26B5B">
        <w:rPr>
          <w:kern w:val="22"/>
          <w:szCs w:val="22"/>
          <w:lang w:val="fr-CA"/>
        </w:rPr>
        <w:t xml:space="preserve"> d’échange</w:t>
      </w:r>
      <w:r w:rsidR="00B92D18">
        <w:rPr>
          <w:kern w:val="22"/>
          <w:szCs w:val="22"/>
          <w:lang w:val="fr-CA"/>
        </w:rPr>
        <w:t>;</w:t>
      </w:r>
    </w:p>
    <w:p w:rsidR="009A6DBF" w:rsidRPr="00B26B5B" w:rsidRDefault="00C61D40" w:rsidP="00C33570">
      <w:pPr>
        <w:pStyle w:val="Para1"/>
        <w:numPr>
          <w:ilvl w:val="1"/>
          <w:numId w:val="2"/>
        </w:numPr>
        <w:suppressLineNumbers/>
        <w:suppressAutoHyphens/>
        <w:rPr>
          <w:kern w:val="22"/>
          <w:szCs w:val="22"/>
          <w:lang w:val="fr-CA"/>
        </w:rPr>
      </w:pPr>
      <w:r w:rsidRPr="00B26B5B">
        <w:rPr>
          <w:kern w:val="22"/>
          <w:szCs w:val="22"/>
          <w:lang w:val="fr-CA"/>
        </w:rPr>
        <w:t>Identifier des moyens innovateurs d’encourager l’utilisation du mécanisme de centre d’</w:t>
      </w:r>
      <w:r w:rsidR="0052372A" w:rsidRPr="00B26B5B">
        <w:rPr>
          <w:kern w:val="22"/>
          <w:szCs w:val="22"/>
          <w:lang w:val="fr-CA"/>
        </w:rPr>
        <w:t>échang</w:t>
      </w:r>
      <w:r w:rsidRPr="00B26B5B">
        <w:rPr>
          <w:kern w:val="22"/>
          <w:szCs w:val="22"/>
          <w:lang w:val="fr-CA"/>
        </w:rPr>
        <w:t>e, notamment le développement d’</w:t>
      </w:r>
      <w:r w:rsidR="0052372A" w:rsidRPr="00B26B5B">
        <w:rPr>
          <w:kern w:val="22"/>
          <w:szCs w:val="22"/>
          <w:lang w:val="fr-CA"/>
        </w:rPr>
        <w:t>applicati</w:t>
      </w:r>
      <w:r w:rsidRPr="00B26B5B">
        <w:rPr>
          <w:kern w:val="22"/>
          <w:szCs w:val="22"/>
          <w:lang w:val="fr-CA"/>
        </w:rPr>
        <w:t>ons (applis) pour faciliter</w:t>
      </w:r>
      <w:r w:rsidR="0052372A" w:rsidRPr="00B26B5B">
        <w:rPr>
          <w:kern w:val="22"/>
          <w:szCs w:val="22"/>
          <w:lang w:val="fr-CA"/>
        </w:rPr>
        <w:t xml:space="preserve"> l’accès facile et opportun à l’information contenue dans le mécanisme de centre d’échange</w:t>
      </w:r>
      <w:r w:rsidR="00B92D18">
        <w:rPr>
          <w:kern w:val="22"/>
          <w:szCs w:val="22"/>
          <w:lang w:val="fr-CA"/>
        </w:rPr>
        <w:t>;</w:t>
      </w:r>
    </w:p>
    <w:p w:rsidR="009A6DBF" w:rsidRPr="00B26B5B" w:rsidRDefault="0052372A" w:rsidP="00C33570">
      <w:pPr>
        <w:pStyle w:val="Para1"/>
        <w:numPr>
          <w:ilvl w:val="0"/>
          <w:numId w:val="0"/>
        </w:numPr>
        <w:suppressLineNumbers/>
        <w:suppressAutoHyphens/>
        <w:rPr>
          <w:i/>
          <w:kern w:val="22"/>
          <w:szCs w:val="22"/>
          <w:lang w:val="fr-CA"/>
        </w:rPr>
      </w:pPr>
      <w:r w:rsidRPr="00B26B5B">
        <w:rPr>
          <w:i/>
          <w:kern w:val="22"/>
          <w:szCs w:val="22"/>
          <w:lang w:val="fr-CA"/>
        </w:rPr>
        <w:t>Qualité de l’information et des connaissances</w:t>
      </w:r>
    </w:p>
    <w:p w:rsidR="009A6DBF" w:rsidRPr="00B26B5B" w:rsidRDefault="005B5132" w:rsidP="00C33570">
      <w:pPr>
        <w:pStyle w:val="Para1"/>
        <w:numPr>
          <w:ilvl w:val="1"/>
          <w:numId w:val="2"/>
        </w:numPr>
        <w:suppressLineNumbers/>
        <w:suppressAutoHyphens/>
        <w:rPr>
          <w:kern w:val="22"/>
          <w:szCs w:val="22"/>
          <w:lang w:val="fr-CA"/>
        </w:rPr>
      </w:pPr>
      <w:r w:rsidRPr="00B26B5B">
        <w:rPr>
          <w:kern w:val="22"/>
          <w:szCs w:val="22"/>
          <w:lang w:val="fr-CA"/>
        </w:rPr>
        <w:t>Mettre sur pied des mécanismes pour vérifier la qualité des données et de l’information partagées</w:t>
      </w:r>
      <w:r w:rsidR="00B92D18">
        <w:rPr>
          <w:kern w:val="22"/>
          <w:szCs w:val="22"/>
          <w:lang w:val="fr-CA"/>
        </w:rPr>
        <w:t>;</w:t>
      </w:r>
    </w:p>
    <w:p w:rsidR="00443000" w:rsidRPr="00B26B5B" w:rsidRDefault="005B5132" w:rsidP="00C33570">
      <w:pPr>
        <w:pStyle w:val="Para1"/>
        <w:numPr>
          <w:ilvl w:val="0"/>
          <w:numId w:val="0"/>
        </w:numPr>
        <w:suppressLineNumbers/>
        <w:suppressAutoHyphens/>
        <w:rPr>
          <w:kern w:val="22"/>
          <w:szCs w:val="22"/>
          <w:lang w:val="fr-CA"/>
        </w:rPr>
      </w:pPr>
      <w:r w:rsidRPr="00B26B5B">
        <w:rPr>
          <w:i/>
          <w:kern w:val="22"/>
          <w:szCs w:val="22"/>
          <w:lang w:val="fr-CA"/>
        </w:rPr>
        <w:t>Utilisation du savoir</w:t>
      </w:r>
    </w:p>
    <w:p w:rsidR="009A6DBF" w:rsidRPr="00B26B5B" w:rsidRDefault="005B5132" w:rsidP="00C33570">
      <w:pPr>
        <w:pStyle w:val="Para1"/>
        <w:numPr>
          <w:ilvl w:val="1"/>
          <w:numId w:val="2"/>
        </w:numPr>
        <w:suppressLineNumbers/>
        <w:suppressAutoHyphens/>
        <w:rPr>
          <w:kern w:val="22"/>
          <w:szCs w:val="22"/>
          <w:lang w:val="fr-CA"/>
        </w:rPr>
      </w:pPr>
      <w:r w:rsidRPr="00B26B5B">
        <w:rPr>
          <w:kern w:val="22"/>
          <w:szCs w:val="22"/>
          <w:lang w:val="fr-CA"/>
        </w:rPr>
        <w:t>Encourager et soutenir la saisie, la compilation, l’analyse et le par</w:t>
      </w:r>
      <w:r w:rsidR="00FB0493">
        <w:rPr>
          <w:kern w:val="22"/>
          <w:szCs w:val="22"/>
          <w:lang w:val="fr-CA"/>
        </w:rPr>
        <w:t>t</w:t>
      </w:r>
      <w:r w:rsidRPr="00B26B5B">
        <w:rPr>
          <w:kern w:val="22"/>
          <w:szCs w:val="22"/>
          <w:lang w:val="fr-CA"/>
        </w:rPr>
        <w:t>age des meilleures pratiques et des enseignements tirés dans un format facile d’accès et d’utilisation</w:t>
      </w:r>
      <w:r w:rsidR="00B92D18">
        <w:rPr>
          <w:kern w:val="22"/>
          <w:szCs w:val="22"/>
          <w:lang w:val="fr-CA"/>
        </w:rPr>
        <w:t>;</w:t>
      </w:r>
    </w:p>
    <w:p w:rsidR="004015F4" w:rsidRPr="00B26B5B" w:rsidRDefault="005B5132" w:rsidP="00C33570">
      <w:pPr>
        <w:pStyle w:val="Para1"/>
        <w:numPr>
          <w:ilvl w:val="1"/>
          <w:numId w:val="2"/>
        </w:numPr>
        <w:suppressLineNumbers/>
        <w:suppressAutoHyphens/>
        <w:rPr>
          <w:kern w:val="22"/>
          <w:szCs w:val="22"/>
          <w:lang w:val="fr-CA"/>
        </w:rPr>
      </w:pPr>
      <w:r w:rsidRPr="00B26B5B">
        <w:rPr>
          <w:kern w:val="22"/>
          <w:szCs w:val="22"/>
          <w:lang w:val="fr-CA"/>
        </w:rPr>
        <w:t>O</w:t>
      </w:r>
      <w:r w:rsidR="00D44E40" w:rsidRPr="00B26B5B">
        <w:rPr>
          <w:kern w:val="22"/>
          <w:szCs w:val="22"/>
          <w:lang w:val="fr-CA"/>
        </w:rPr>
        <w:t>rganiser, structurer et regrouper les données, l’information, les outils et les connaissances disponibles par thème et par public cible, afin de les rendre plus facile</w:t>
      </w:r>
      <w:r w:rsidR="00CD0FC3">
        <w:rPr>
          <w:kern w:val="22"/>
          <w:szCs w:val="22"/>
          <w:lang w:val="fr-CA"/>
        </w:rPr>
        <w:t>s</w:t>
      </w:r>
      <w:r w:rsidR="00D44E40" w:rsidRPr="00B26B5B">
        <w:rPr>
          <w:kern w:val="22"/>
          <w:szCs w:val="22"/>
          <w:lang w:val="fr-CA"/>
        </w:rPr>
        <w:t xml:space="preserve"> d’accès de manière conviviale et pertinente.</w:t>
      </w:r>
    </w:p>
    <w:p w:rsidR="00443000" w:rsidRPr="00B26B5B" w:rsidRDefault="008B2929" w:rsidP="00C33570">
      <w:pPr>
        <w:pStyle w:val="Titre3"/>
        <w:suppressLineNumbers/>
        <w:suppressAutoHyphens/>
        <w:rPr>
          <w:kern w:val="22"/>
          <w:szCs w:val="22"/>
          <w:lang w:val="fr-CA"/>
        </w:rPr>
      </w:pPr>
      <w:r w:rsidRPr="00B7432B">
        <w:rPr>
          <w:kern w:val="22"/>
          <w:szCs w:val="22"/>
          <w:lang w:val="fr-CA"/>
        </w:rPr>
        <w:lastRenderedPageBreak/>
        <w:t>8</w:t>
      </w:r>
      <w:r w:rsidR="00721968" w:rsidRPr="00B7432B">
        <w:rPr>
          <w:kern w:val="22"/>
          <w:szCs w:val="22"/>
          <w:lang w:val="fr-CA"/>
        </w:rPr>
        <w:t>.</w:t>
      </w:r>
      <w:r w:rsidR="00721968" w:rsidRPr="00B7432B">
        <w:rPr>
          <w:kern w:val="22"/>
          <w:szCs w:val="22"/>
          <w:lang w:val="fr-CA"/>
        </w:rPr>
        <w:tab/>
      </w:r>
      <w:r w:rsidR="00D27089" w:rsidRPr="00B26B5B">
        <w:rPr>
          <w:kern w:val="22"/>
          <w:szCs w:val="22"/>
          <w:lang w:val="fr-CA"/>
        </w:rPr>
        <w:t>Communication</w:t>
      </w:r>
      <w:r w:rsidR="00B7432B">
        <w:rPr>
          <w:kern w:val="22"/>
          <w:szCs w:val="22"/>
          <w:lang w:val="fr-CA"/>
        </w:rPr>
        <w:t>s</w:t>
      </w:r>
      <w:r w:rsidR="00D27089" w:rsidRPr="00B26B5B">
        <w:rPr>
          <w:kern w:val="22"/>
          <w:szCs w:val="22"/>
          <w:lang w:val="fr-CA"/>
        </w:rPr>
        <w:t xml:space="preserve"> et activités de proximité</w:t>
      </w:r>
    </w:p>
    <w:p w:rsidR="00BE6433" w:rsidRPr="00B26B5B" w:rsidRDefault="007E6A52" w:rsidP="00C33570">
      <w:pPr>
        <w:pStyle w:val="Para1"/>
        <w:suppressLineNumbers/>
        <w:tabs>
          <w:tab w:val="clear" w:pos="360"/>
          <w:tab w:val="num" w:pos="720"/>
        </w:tabs>
        <w:suppressAutoHyphens/>
        <w:rPr>
          <w:kern w:val="22"/>
          <w:szCs w:val="22"/>
          <w:lang w:val="fr-CA"/>
        </w:rPr>
      </w:pPr>
      <w:r w:rsidRPr="00B26B5B">
        <w:rPr>
          <w:kern w:val="22"/>
          <w:szCs w:val="22"/>
          <w:lang w:val="fr-CA"/>
        </w:rPr>
        <w:t>Les participants ont discuté de plusieurs questions en lien avec les communications et les activités de proximité, dont la façon dont le cadre mondial de la biodiversité pour l</w:t>
      </w:r>
      <w:r w:rsidR="00CD0FC3">
        <w:rPr>
          <w:kern w:val="22"/>
          <w:szCs w:val="22"/>
          <w:lang w:val="fr-CA"/>
        </w:rPr>
        <w:t>’</w:t>
      </w:r>
      <w:r w:rsidRPr="00B26B5B">
        <w:rPr>
          <w:kern w:val="22"/>
          <w:szCs w:val="22"/>
          <w:lang w:val="fr-CA"/>
        </w:rPr>
        <w:t>après-2020 doit aborder les communication</w:t>
      </w:r>
      <w:r w:rsidR="00C27B92">
        <w:rPr>
          <w:kern w:val="22"/>
          <w:szCs w:val="22"/>
          <w:lang w:val="fr-CA"/>
        </w:rPr>
        <w:t>s</w:t>
      </w:r>
      <w:r w:rsidRPr="00B26B5B">
        <w:rPr>
          <w:kern w:val="22"/>
          <w:szCs w:val="22"/>
          <w:lang w:val="fr-CA"/>
        </w:rPr>
        <w:t xml:space="preserve"> et </w:t>
      </w:r>
      <w:r w:rsidR="00C27B92">
        <w:rPr>
          <w:kern w:val="22"/>
          <w:szCs w:val="22"/>
          <w:lang w:val="fr-CA"/>
        </w:rPr>
        <w:t>la</w:t>
      </w:r>
      <w:r w:rsidRPr="00B26B5B">
        <w:rPr>
          <w:kern w:val="22"/>
          <w:szCs w:val="22"/>
          <w:lang w:val="fr-CA"/>
        </w:rPr>
        <w:t xml:space="preserve"> sensibilisation afin de favoriser le changement transformationnel et réaliser la Vision 2050 de vivre en harmonie avec la nature. Voici un sommaire des principales suggestions </w:t>
      </w:r>
      <w:r w:rsidR="001E0D6E" w:rsidRPr="00B26B5B">
        <w:rPr>
          <w:kern w:val="22"/>
          <w:szCs w:val="22"/>
          <w:lang w:val="fr-CA"/>
        </w:rPr>
        <w:t>:</w:t>
      </w:r>
    </w:p>
    <w:p w:rsidR="00B34CF3" w:rsidRPr="00B26B5B" w:rsidRDefault="007E6A52" w:rsidP="002511BD">
      <w:pPr>
        <w:pStyle w:val="Para1"/>
        <w:numPr>
          <w:ilvl w:val="0"/>
          <w:numId w:val="9"/>
        </w:numPr>
        <w:suppressLineNumbers/>
        <w:suppressAutoHyphens/>
        <w:ind w:left="0" w:firstLine="720"/>
        <w:rPr>
          <w:kern w:val="22"/>
          <w:szCs w:val="22"/>
          <w:lang w:val="fr-CA"/>
        </w:rPr>
      </w:pPr>
      <w:r w:rsidRPr="00B26B5B">
        <w:rPr>
          <w:i/>
          <w:kern w:val="22"/>
          <w:szCs w:val="22"/>
          <w:lang w:val="fr-CA"/>
        </w:rPr>
        <w:t>Éducation et sensibilisation</w:t>
      </w:r>
      <w:r w:rsidR="00CD0FC3">
        <w:rPr>
          <w:i/>
          <w:kern w:val="22"/>
          <w:szCs w:val="22"/>
          <w:lang w:val="fr-CA"/>
        </w:rPr>
        <w:t> </w:t>
      </w:r>
      <w:r w:rsidR="00266E8E" w:rsidRPr="00B26B5B">
        <w:rPr>
          <w:kern w:val="22"/>
          <w:szCs w:val="22"/>
          <w:lang w:val="fr-CA"/>
        </w:rPr>
        <w:t xml:space="preserve">: </w:t>
      </w:r>
      <w:r w:rsidRPr="00B26B5B">
        <w:rPr>
          <w:kern w:val="22"/>
          <w:szCs w:val="22"/>
          <w:lang w:val="fr-CA"/>
        </w:rPr>
        <w:t>I</w:t>
      </w:r>
      <w:r w:rsidR="00CF54E5" w:rsidRPr="00B26B5B">
        <w:rPr>
          <w:kern w:val="22"/>
          <w:szCs w:val="22"/>
          <w:lang w:val="fr-CA"/>
        </w:rPr>
        <w:t>l faut accorder plus d’importance à l’</w:t>
      </w:r>
      <w:r w:rsidR="00A829AD" w:rsidRPr="00B26B5B">
        <w:rPr>
          <w:kern w:val="22"/>
          <w:szCs w:val="22"/>
          <w:lang w:val="fr-CA"/>
        </w:rPr>
        <w:t>éducati</w:t>
      </w:r>
      <w:r w:rsidR="00CF54E5" w:rsidRPr="00B26B5B">
        <w:rPr>
          <w:kern w:val="22"/>
          <w:szCs w:val="22"/>
          <w:lang w:val="fr-CA"/>
        </w:rPr>
        <w:t>on et à la sensib</w:t>
      </w:r>
      <w:r w:rsidR="00A829AD" w:rsidRPr="00B26B5B">
        <w:rPr>
          <w:kern w:val="22"/>
          <w:szCs w:val="22"/>
          <w:lang w:val="fr-CA"/>
        </w:rPr>
        <w:t>i</w:t>
      </w:r>
      <w:r w:rsidR="00CF54E5" w:rsidRPr="00B26B5B">
        <w:rPr>
          <w:kern w:val="22"/>
          <w:szCs w:val="22"/>
          <w:lang w:val="fr-CA"/>
        </w:rPr>
        <w:t>lisation du public. Les objectifs et les publics cibles doivent être définis avant de choisir l’o</w:t>
      </w:r>
      <w:r w:rsidR="00A829AD" w:rsidRPr="00B26B5B">
        <w:rPr>
          <w:kern w:val="22"/>
          <w:szCs w:val="22"/>
          <w:lang w:val="fr-CA"/>
        </w:rPr>
        <w:t>util et la langue de communicati</w:t>
      </w:r>
      <w:r w:rsidR="00CF54E5" w:rsidRPr="00B26B5B">
        <w:rPr>
          <w:kern w:val="22"/>
          <w:szCs w:val="22"/>
          <w:lang w:val="fr-CA"/>
        </w:rPr>
        <w:t>on (terminologie) qui conviennent le mieux. P</w:t>
      </w:r>
      <w:r w:rsidR="00A829AD" w:rsidRPr="00B26B5B">
        <w:rPr>
          <w:kern w:val="22"/>
          <w:szCs w:val="22"/>
          <w:lang w:val="fr-CA"/>
        </w:rPr>
        <w:t>our ce fai</w:t>
      </w:r>
      <w:r w:rsidR="00C27B92">
        <w:rPr>
          <w:kern w:val="22"/>
          <w:szCs w:val="22"/>
          <w:lang w:val="fr-CA"/>
        </w:rPr>
        <w:t xml:space="preserve">re, les </w:t>
      </w:r>
      <w:r w:rsidR="00A829AD" w:rsidRPr="00B26B5B">
        <w:rPr>
          <w:kern w:val="22"/>
          <w:szCs w:val="22"/>
          <w:lang w:val="fr-CA"/>
        </w:rPr>
        <w:t>communication</w:t>
      </w:r>
      <w:r w:rsidR="00C27B92">
        <w:rPr>
          <w:kern w:val="22"/>
          <w:szCs w:val="22"/>
          <w:lang w:val="fr-CA"/>
        </w:rPr>
        <w:t>s</w:t>
      </w:r>
      <w:r w:rsidR="00CF54E5" w:rsidRPr="00B26B5B">
        <w:rPr>
          <w:kern w:val="22"/>
          <w:szCs w:val="22"/>
          <w:lang w:val="fr-CA"/>
        </w:rPr>
        <w:t xml:space="preserve"> doi</w:t>
      </w:r>
      <w:r w:rsidR="00C27B92">
        <w:rPr>
          <w:kern w:val="22"/>
          <w:szCs w:val="22"/>
          <w:lang w:val="fr-CA"/>
        </w:rPr>
        <w:t>ven</w:t>
      </w:r>
      <w:r w:rsidR="00CF54E5" w:rsidRPr="00B26B5B">
        <w:rPr>
          <w:kern w:val="22"/>
          <w:szCs w:val="22"/>
          <w:lang w:val="fr-CA"/>
        </w:rPr>
        <w:t>t être décomposée</w:t>
      </w:r>
      <w:r w:rsidR="00C27B92">
        <w:rPr>
          <w:kern w:val="22"/>
          <w:szCs w:val="22"/>
          <w:lang w:val="fr-CA"/>
        </w:rPr>
        <w:t>s</w:t>
      </w:r>
      <w:r w:rsidR="00CF54E5" w:rsidRPr="00B26B5B">
        <w:rPr>
          <w:kern w:val="22"/>
          <w:szCs w:val="22"/>
          <w:lang w:val="fr-CA"/>
        </w:rPr>
        <w:t xml:space="preserve"> en divers éléments, tels que les commu</w:t>
      </w:r>
      <w:r w:rsidR="00A829AD" w:rsidRPr="00B26B5B">
        <w:rPr>
          <w:kern w:val="22"/>
          <w:szCs w:val="22"/>
          <w:lang w:val="fr-CA"/>
        </w:rPr>
        <w:t>ni</w:t>
      </w:r>
      <w:r w:rsidR="00CF54E5" w:rsidRPr="00B26B5B">
        <w:rPr>
          <w:kern w:val="22"/>
          <w:szCs w:val="22"/>
          <w:lang w:val="fr-CA"/>
        </w:rPr>
        <w:t>cati</w:t>
      </w:r>
      <w:r w:rsidR="00A829AD" w:rsidRPr="00B26B5B">
        <w:rPr>
          <w:kern w:val="22"/>
          <w:szCs w:val="22"/>
          <w:lang w:val="fr-CA"/>
        </w:rPr>
        <w:t>ons politiques par rapport aux communicati</w:t>
      </w:r>
      <w:r w:rsidR="00CF54E5" w:rsidRPr="00B26B5B">
        <w:rPr>
          <w:kern w:val="22"/>
          <w:szCs w:val="22"/>
          <w:lang w:val="fr-CA"/>
        </w:rPr>
        <w:t xml:space="preserve">ons de masse. Il est aussi important que les communications </w:t>
      </w:r>
      <w:r w:rsidR="005503EE">
        <w:rPr>
          <w:kern w:val="22"/>
          <w:szCs w:val="22"/>
          <w:lang w:val="fr-CA"/>
        </w:rPr>
        <w:t>visent</w:t>
      </w:r>
      <w:r w:rsidR="00CF54E5" w:rsidRPr="00B26B5B">
        <w:rPr>
          <w:kern w:val="22"/>
          <w:szCs w:val="22"/>
          <w:lang w:val="fr-CA"/>
        </w:rPr>
        <w:t xml:space="preserve"> également ceux qui sont vus comme des adversaires</w:t>
      </w:r>
      <w:r w:rsidR="00B92D18">
        <w:rPr>
          <w:kern w:val="22"/>
          <w:szCs w:val="22"/>
          <w:lang w:val="fr-CA"/>
        </w:rPr>
        <w:t>;</w:t>
      </w:r>
    </w:p>
    <w:p w:rsidR="00266E8E" w:rsidRPr="00B26B5B" w:rsidRDefault="00A829AD" w:rsidP="002511BD">
      <w:pPr>
        <w:pStyle w:val="Para1"/>
        <w:numPr>
          <w:ilvl w:val="0"/>
          <w:numId w:val="9"/>
        </w:numPr>
        <w:suppressLineNumbers/>
        <w:suppressAutoHyphens/>
        <w:ind w:left="0" w:firstLine="698"/>
        <w:rPr>
          <w:iCs/>
          <w:snapToGrid/>
          <w:kern w:val="22"/>
          <w:szCs w:val="22"/>
          <w:lang w:val="fr-CA"/>
        </w:rPr>
      </w:pPr>
      <w:r w:rsidRPr="00B26B5B">
        <w:rPr>
          <w:i/>
          <w:kern w:val="22"/>
          <w:szCs w:val="22"/>
          <w:lang w:val="fr-CA"/>
        </w:rPr>
        <w:t>Stratégies nationales de communication</w:t>
      </w:r>
      <w:r w:rsidR="00CD0FC3">
        <w:rPr>
          <w:i/>
          <w:kern w:val="22"/>
          <w:szCs w:val="22"/>
          <w:lang w:val="fr-CA"/>
        </w:rPr>
        <w:t> </w:t>
      </w:r>
      <w:r w:rsidR="00266E8E" w:rsidRPr="00B26B5B">
        <w:rPr>
          <w:kern w:val="22"/>
          <w:szCs w:val="22"/>
          <w:lang w:val="fr-CA"/>
        </w:rPr>
        <w:t xml:space="preserve">: </w:t>
      </w:r>
      <w:r w:rsidRPr="00B26B5B">
        <w:rPr>
          <w:kern w:val="22"/>
          <w:szCs w:val="22"/>
          <w:lang w:val="fr-CA"/>
        </w:rPr>
        <w:t xml:space="preserve">Il faut développer des stratégies nationales de communication fondées sur le </w:t>
      </w:r>
      <w:r w:rsidR="005503EE">
        <w:rPr>
          <w:kern w:val="22"/>
          <w:szCs w:val="22"/>
          <w:lang w:val="fr-CA"/>
        </w:rPr>
        <w:t>cadre mondial de la biodiversité pour l</w:t>
      </w:r>
      <w:r w:rsidR="00CD0FC3">
        <w:rPr>
          <w:kern w:val="22"/>
          <w:szCs w:val="22"/>
          <w:lang w:val="fr-CA"/>
        </w:rPr>
        <w:t>’</w:t>
      </w:r>
      <w:r w:rsidR="005503EE">
        <w:rPr>
          <w:kern w:val="22"/>
          <w:szCs w:val="22"/>
          <w:lang w:val="fr-CA"/>
        </w:rPr>
        <w:t>après-2020</w:t>
      </w:r>
      <w:r w:rsidRPr="00B26B5B">
        <w:rPr>
          <w:kern w:val="22"/>
          <w:szCs w:val="22"/>
          <w:lang w:val="fr-CA"/>
        </w:rPr>
        <w:t xml:space="preserve">. Ces stratégies doivent comprendre des messages clairs, accrocheurs et conséquents fondés sur la recherche et la science. Les messages doivent </w:t>
      </w:r>
      <w:r w:rsidR="00B7432B">
        <w:rPr>
          <w:kern w:val="22"/>
          <w:szCs w:val="22"/>
          <w:lang w:val="fr-CA"/>
        </w:rPr>
        <w:t>être conformes</w:t>
      </w:r>
      <w:r w:rsidRPr="00B26B5B">
        <w:rPr>
          <w:kern w:val="22"/>
          <w:szCs w:val="22"/>
          <w:lang w:val="fr-CA"/>
        </w:rPr>
        <w:t xml:space="preserve"> et résonner avec la</w:t>
      </w:r>
      <w:r w:rsidR="00993E32" w:rsidRPr="00B26B5B">
        <w:rPr>
          <w:kern w:val="22"/>
          <w:szCs w:val="22"/>
          <w:lang w:val="fr-CA"/>
        </w:rPr>
        <w:t xml:space="preserve"> réalité des gens et proposer des solutions et des gestes concrets. Tout le monde doit communiquer et participer aux communications</w:t>
      </w:r>
      <w:r w:rsidR="00B92D18">
        <w:rPr>
          <w:kern w:val="22"/>
          <w:szCs w:val="22"/>
          <w:lang w:val="fr-CA"/>
        </w:rPr>
        <w:t>;</w:t>
      </w:r>
    </w:p>
    <w:p w:rsidR="00266E8E" w:rsidRPr="00B26B5B" w:rsidRDefault="00993E32"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t>Campagnes de communication</w:t>
      </w:r>
      <w:r w:rsidR="00CD0FC3">
        <w:rPr>
          <w:i/>
          <w:iCs/>
          <w:snapToGrid/>
          <w:kern w:val="22"/>
          <w:szCs w:val="22"/>
          <w:lang w:val="fr-CA"/>
        </w:rPr>
        <w:t> </w:t>
      </w:r>
      <w:r w:rsidR="00266E8E" w:rsidRPr="00B26B5B">
        <w:rPr>
          <w:iCs/>
          <w:snapToGrid/>
          <w:kern w:val="22"/>
          <w:szCs w:val="22"/>
          <w:lang w:val="fr-CA"/>
        </w:rPr>
        <w:t xml:space="preserve">: </w:t>
      </w:r>
      <w:r w:rsidRPr="00B26B5B">
        <w:rPr>
          <w:iCs/>
          <w:snapToGrid/>
          <w:kern w:val="22"/>
          <w:szCs w:val="22"/>
          <w:lang w:val="fr-CA"/>
        </w:rPr>
        <w:t>Les campagnes et les ressources de communication ne doivent pas être offertes uniquement en ligne. L’internet et les médias sociaux sont d’excellents outils, mais ils excluent les femmes, les jeunes, les communautés rurales et d’autres groupes marginalisés. Il faut utiliser plusieurs méthodes de communication telles que la radio et le mat</w:t>
      </w:r>
      <w:r w:rsidR="006722F7" w:rsidRPr="00B26B5B">
        <w:rPr>
          <w:iCs/>
          <w:snapToGrid/>
          <w:kern w:val="22"/>
          <w:szCs w:val="22"/>
          <w:lang w:val="fr-CA"/>
        </w:rPr>
        <w:t>ériel imprimé, et les organisations</w:t>
      </w:r>
      <w:r w:rsidRPr="00B26B5B">
        <w:rPr>
          <w:iCs/>
          <w:snapToGrid/>
          <w:kern w:val="22"/>
          <w:szCs w:val="22"/>
          <w:lang w:val="fr-CA"/>
        </w:rPr>
        <w:t xml:space="preserve"> c</w:t>
      </w:r>
      <w:r w:rsidR="006722F7" w:rsidRPr="00B26B5B">
        <w:rPr>
          <w:iCs/>
          <w:snapToGrid/>
          <w:kern w:val="22"/>
          <w:szCs w:val="22"/>
          <w:lang w:val="fr-CA"/>
        </w:rPr>
        <w:t>ommunautai</w:t>
      </w:r>
      <w:r w:rsidRPr="00B26B5B">
        <w:rPr>
          <w:iCs/>
          <w:snapToGrid/>
          <w:kern w:val="22"/>
          <w:szCs w:val="22"/>
          <w:lang w:val="fr-CA"/>
        </w:rPr>
        <w:t>res et la société civile</w:t>
      </w:r>
      <w:r w:rsidR="006722F7" w:rsidRPr="00B26B5B">
        <w:rPr>
          <w:iCs/>
          <w:snapToGrid/>
          <w:kern w:val="22"/>
          <w:szCs w:val="22"/>
          <w:lang w:val="fr-CA"/>
        </w:rPr>
        <w:t xml:space="preserve"> doivent participer à la communication des principaux messages aux communautés locales</w:t>
      </w:r>
      <w:r w:rsidR="00B92D18">
        <w:rPr>
          <w:iCs/>
          <w:snapToGrid/>
          <w:kern w:val="22"/>
          <w:szCs w:val="22"/>
          <w:lang w:val="fr-CA"/>
        </w:rPr>
        <w:t>;</w:t>
      </w:r>
    </w:p>
    <w:p w:rsidR="00266E8E" w:rsidRPr="00B26B5B" w:rsidRDefault="0008189A"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t>Engagement formel auprès des mé</w:t>
      </w:r>
      <w:r w:rsidR="006722F7" w:rsidRPr="00B26B5B">
        <w:rPr>
          <w:i/>
          <w:iCs/>
          <w:snapToGrid/>
          <w:kern w:val="22"/>
          <w:szCs w:val="22"/>
          <w:lang w:val="fr-CA"/>
        </w:rPr>
        <w:t>dias</w:t>
      </w:r>
      <w:r w:rsidR="00CD0FC3">
        <w:rPr>
          <w:i/>
          <w:iCs/>
          <w:snapToGrid/>
          <w:kern w:val="22"/>
          <w:szCs w:val="22"/>
          <w:lang w:val="fr-CA"/>
        </w:rPr>
        <w:t> </w:t>
      </w:r>
      <w:r w:rsidR="00266E8E" w:rsidRPr="00B26B5B">
        <w:rPr>
          <w:iCs/>
          <w:snapToGrid/>
          <w:kern w:val="22"/>
          <w:szCs w:val="22"/>
          <w:lang w:val="fr-CA"/>
        </w:rPr>
        <w:t xml:space="preserve">: </w:t>
      </w:r>
      <w:r w:rsidR="006722F7" w:rsidRPr="00B26B5B">
        <w:rPr>
          <w:iCs/>
          <w:snapToGrid/>
          <w:kern w:val="22"/>
          <w:szCs w:val="22"/>
          <w:lang w:val="fr-CA"/>
        </w:rPr>
        <w:t xml:space="preserve">Il n’existe pas d’engagement formel permanent avec les médias. Celui-ci se fait de façon officieuse, dans les coulisses d’événements d’importance. Les journalistes doivent être encouragés </w:t>
      </w:r>
      <w:r w:rsidR="005503EE">
        <w:rPr>
          <w:iCs/>
          <w:snapToGrid/>
          <w:kern w:val="22"/>
          <w:szCs w:val="22"/>
          <w:lang w:val="fr-CA"/>
        </w:rPr>
        <w:t xml:space="preserve">à </w:t>
      </w:r>
      <w:r w:rsidRPr="00B26B5B">
        <w:rPr>
          <w:iCs/>
          <w:snapToGrid/>
          <w:kern w:val="22"/>
          <w:szCs w:val="22"/>
          <w:lang w:val="fr-CA"/>
        </w:rPr>
        <w:t xml:space="preserve">traiter et </w:t>
      </w:r>
      <w:r w:rsidR="005503EE">
        <w:rPr>
          <w:iCs/>
          <w:snapToGrid/>
          <w:kern w:val="22"/>
          <w:szCs w:val="22"/>
          <w:lang w:val="fr-CA"/>
        </w:rPr>
        <w:t>à</w:t>
      </w:r>
      <w:r w:rsidRPr="00B26B5B">
        <w:rPr>
          <w:iCs/>
          <w:snapToGrid/>
          <w:kern w:val="22"/>
          <w:szCs w:val="22"/>
          <w:lang w:val="fr-CA"/>
        </w:rPr>
        <w:t xml:space="preserve"> promouvoir les questions liées à la diversité biologique</w:t>
      </w:r>
      <w:r w:rsidR="005503EE">
        <w:rPr>
          <w:iCs/>
          <w:snapToGrid/>
          <w:kern w:val="22"/>
          <w:szCs w:val="22"/>
          <w:lang w:val="fr-CA"/>
        </w:rPr>
        <w:t xml:space="preserve"> </w:t>
      </w:r>
      <w:r w:rsidR="005503EE" w:rsidRPr="00B26B5B">
        <w:rPr>
          <w:iCs/>
          <w:snapToGrid/>
          <w:kern w:val="22"/>
          <w:szCs w:val="22"/>
          <w:lang w:val="fr-CA"/>
        </w:rPr>
        <w:t xml:space="preserve">et </w:t>
      </w:r>
      <w:r w:rsidR="005503EE">
        <w:rPr>
          <w:iCs/>
          <w:snapToGrid/>
          <w:kern w:val="22"/>
          <w:szCs w:val="22"/>
          <w:lang w:val="fr-CA"/>
        </w:rPr>
        <w:t xml:space="preserve">être </w:t>
      </w:r>
      <w:r w:rsidR="005503EE" w:rsidRPr="00B26B5B">
        <w:rPr>
          <w:iCs/>
          <w:snapToGrid/>
          <w:kern w:val="22"/>
          <w:szCs w:val="22"/>
          <w:lang w:val="fr-CA"/>
        </w:rPr>
        <w:t xml:space="preserve">formés </w:t>
      </w:r>
      <w:r w:rsidR="005503EE">
        <w:rPr>
          <w:iCs/>
          <w:snapToGrid/>
          <w:kern w:val="22"/>
          <w:szCs w:val="22"/>
          <w:lang w:val="fr-CA"/>
        </w:rPr>
        <w:t>à cet égard</w:t>
      </w:r>
      <w:r w:rsidRPr="00B26B5B">
        <w:rPr>
          <w:iCs/>
          <w:snapToGrid/>
          <w:kern w:val="22"/>
          <w:szCs w:val="22"/>
          <w:lang w:val="fr-CA"/>
        </w:rPr>
        <w:t>. Il a été suggéré d’offrir un prix de reconnaissance aux journalistes couvrant la diversité biologique, comme mesure d’encouragement</w:t>
      </w:r>
      <w:r w:rsidR="00B92D18">
        <w:rPr>
          <w:iCs/>
          <w:snapToGrid/>
          <w:kern w:val="22"/>
          <w:szCs w:val="22"/>
          <w:lang w:val="fr-CA"/>
        </w:rPr>
        <w:t>;</w:t>
      </w:r>
    </w:p>
    <w:p w:rsidR="00266E8E" w:rsidRPr="00B26B5B" w:rsidRDefault="00981A20"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t>Correspondants nationaux spécialisé</w:t>
      </w:r>
      <w:r w:rsidR="005503EE">
        <w:rPr>
          <w:i/>
          <w:iCs/>
          <w:snapToGrid/>
          <w:kern w:val="22"/>
          <w:szCs w:val="22"/>
          <w:lang w:val="fr-CA"/>
        </w:rPr>
        <w:t>s</w:t>
      </w:r>
      <w:r w:rsidRPr="00B26B5B">
        <w:rPr>
          <w:i/>
          <w:iCs/>
          <w:snapToGrid/>
          <w:kern w:val="22"/>
          <w:szCs w:val="22"/>
          <w:lang w:val="fr-CA"/>
        </w:rPr>
        <w:t xml:space="preserve"> en communications</w:t>
      </w:r>
      <w:r w:rsidR="00CD0FC3">
        <w:rPr>
          <w:i/>
          <w:iCs/>
          <w:snapToGrid/>
          <w:kern w:val="22"/>
          <w:szCs w:val="22"/>
          <w:lang w:val="fr-CA"/>
        </w:rPr>
        <w:t> </w:t>
      </w:r>
      <w:r w:rsidR="00266E8E" w:rsidRPr="00B26B5B">
        <w:rPr>
          <w:iCs/>
          <w:snapToGrid/>
          <w:kern w:val="22"/>
          <w:szCs w:val="22"/>
          <w:lang w:val="fr-CA"/>
        </w:rPr>
        <w:t xml:space="preserve">: </w:t>
      </w:r>
      <w:r w:rsidRPr="00B26B5B">
        <w:rPr>
          <w:iCs/>
          <w:snapToGrid/>
          <w:kern w:val="22"/>
          <w:szCs w:val="22"/>
          <w:lang w:val="fr-CA"/>
        </w:rPr>
        <w:t xml:space="preserve">Des correspondants nationaux spécialisés en communication et un mécanisme de centre d’échange dédié aux communications doivent </w:t>
      </w:r>
      <w:r w:rsidR="00640386" w:rsidRPr="00B26B5B">
        <w:rPr>
          <w:iCs/>
          <w:snapToGrid/>
          <w:kern w:val="22"/>
          <w:szCs w:val="22"/>
          <w:lang w:val="fr-CA"/>
        </w:rPr>
        <w:t>être créés afin de réduire le manque de communication entre les correspondants nationaux de la CDB et les experts en communications</w:t>
      </w:r>
      <w:r w:rsidR="00B92D18">
        <w:rPr>
          <w:iCs/>
          <w:snapToGrid/>
          <w:kern w:val="22"/>
          <w:szCs w:val="22"/>
          <w:lang w:val="fr-CA"/>
        </w:rPr>
        <w:t>;</w:t>
      </w:r>
    </w:p>
    <w:p w:rsidR="00820239" w:rsidRPr="00B26B5B" w:rsidRDefault="00640386"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t>Exploitation de la culture</w:t>
      </w:r>
      <w:r w:rsidR="00CD0FC3">
        <w:rPr>
          <w:i/>
          <w:iCs/>
          <w:snapToGrid/>
          <w:kern w:val="22"/>
          <w:szCs w:val="22"/>
          <w:lang w:val="fr-CA"/>
        </w:rPr>
        <w:t> </w:t>
      </w:r>
      <w:r w:rsidR="00820239" w:rsidRPr="00B26B5B">
        <w:rPr>
          <w:iCs/>
          <w:snapToGrid/>
          <w:kern w:val="22"/>
          <w:szCs w:val="22"/>
          <w:lang w:val="fr-CA"/>
        </w:rPr>
        <w:t xml:space="preserve">: </w:t>
      </w:r>
      <w:r w:rsidRPr="00B26B5B">
        <w:rPr>
          <w:iCs/>
          <w:snapToGrid/>
          <w:kern w:val="22"/>
          <w:szCs w:val="22"/>
          <w:lang w:val="fr-CA"/>
        </w:rPr>
        <w:t>Les communications doivent puiser dans l</w:t>
      </w:r>
      <w:r w:rsidR="0085691C">
        <w:rPr>
          <w:iCs/>
          <w:snapToGrid/>
          <w:kern w:val="22"/>
          <w:szCs w:val="22"/>
          <w:lang w:val="fr-CA"/>
        </w:rPr>
        <w:t>a</w:t>
      </w:r>
      <w:r w:rsidRPr="00B26B5B">
        <w:rPr>
          <w:iCs/>
          <w:snapToGrid/>
          <w:kern w:val="22"/>
          <w:szCs w:val="22"/>
          <w:lang w:val="fr-CA"/>
        </w:rPr>
        <w:t xml:space="preserve"> culture et les traditions afin de faire ressortir le message. Par exemple, </w:t>
      </w:r>
      <w:r w:rsidR="0085691C">
        <w:rPr>
          <w:iCs/>
          <w:snapToGrid/>
          <w:kern w:val="22"/>
          <w:szCs w:val="22"/>
          <w:lang w:val="fr-CA"/>
        </w:rPr>
        <w:t>de nombreuses</w:t>
      </w:r>
      <w:r w:rsidRPr="00B26B5B">
        <w:rPr>
          <w:iCs/>
          <w:snapToGrid/>
          <w:kern w:val="22"/>
          <w:szCs w:val="22"/>
          <w:lang w:val="fr-CA"/>
        </w:rPr>
        <w:t xml:space="preserve"> cultures africaines </w:t>
      </w:r>
      <w:r w:rsidR="0085691C">
        <w:rPr>
          <w:iCs/>
          <w:snapToGrid/>
          <w:kern w:val="22"/>
          <w:szCs w:val="22"/>
          <w:lang w:val="fr-CA"/>
        </w:rPr>
        <w:t>possèdent</w:t>
      </w:r>
      <w:r w:rsidRPr="00B26B5B">
        <w:rPr>
          <w:iCs/>
          <w:snapToGrid/>
          <w:kern w:val="22"/>
          <w:szCs w:val="22"/>
          <w:lang w:val="fr-CA"/>
        </w:rPr>
        <w:t xml:space="preserve"> des totems ou des proverbes vénérés, dont plusieurs </w:t>
      </w:r>
      <w:r w:rsidR="0085691C">
        <w:rPr>
          <w:iCs/>
          <w:snapToGrid/>
          <w:kern w:val="22"/>
          <w:szCs w:val="22"/>
          <w:lang w:val="fr-CA"/>
        </w:rPr>
        <w:t>ont</w:t>
      </w:r>
      <w:r w:rsidRPr="00B26B5B">
        <w:rPr>
          <w:iCs/>
          <w:snapToGrid/>
          <w:kern w:val="22"/>
          <w:szCs w:val="22"/>
          <w:lang w:val="fr-CA"/>
        </w:rPr>
        <w:t xml:space="preserve"> un lien direct avec la diversité biologique. Les dirigeants culturels et religieux ont beaucoup d’influence et peuvent </w:t>
      </w:r>
      <w:r w:rsidR="00EA32A6">
        <w:rPr>
          <w:iCs/>
          <w:snapToGrid/>
          <w:kern w:val="22"/>
          <w:szCs w:val="22"/>
          <w:lang w:val="fr-CA"/>
        </w:rPr>
        <w:t>jouer le rôle</w:t>
      </w:r>
      <w:r w:rsidRPr="00B26B5B">
        <w:rPr>
          <w:iCs/>
          <w:snapToGrid/>
          <w:kern w:val="22"/>
          <w:szCs w:val="22"/>
          <w:lang w:val="fr-CA"/>
        </w:rPr>
        <w:t xml:space="preserve"> de champions de la diversité biologique</w:t>
      </w:r>
      <w:r w:rsidR="00B92D18">
        <w:rPr>
          <w:iCs/>
          <w:snapToGrid/>
          <w:kern w:val="22"/>
          <w:szCs w:val="22"/>
          <w:lang w:val="fr-CA"/>
        </w:rPr>
        <w:t>;</w:t>
      </w:r>
    </w:p>
    <w:p w:rsidR="00820239" w:rsidRPr="00B26B5B" w:rsidRDefault="00640386"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t>Communications dans le contexte africain</w:t>
      </w:r>
      <w:r w:rsidR="00CD0FC3">
        <w:rPr>
          <w:i/>
          <w:iCs/>
          <w:snapToGrid/>
          <w:kern w:val="22"/>
          <w:szCs w:val="22"/>
          <w:lang w:val="fr-CA"/>
        </w:rPr>
        <w:t> </w:t>
      </w:r>
      <w:r w:rsidR="00C84D4A" w:rsidRPr="00B26B5B">
        <w:rPr>
          <w:i/>
          <w:iCs/>
          <w:snapToGrid/>
          <w:kern w:val="22"/>
          <w:szCs w:val="22"/>
          <w:lang w:val="fr-CA"/>
        </w:rPr>
        <w:t>:</w:t>
      </w:r>
      <w:r w:rsidR="00C84D4A" w:rsidRPr="00B26B5B">
        <w:rPr>
          <w:kern w:val="22"/>
          <w:szCs w:val="22"/>
          <w:lang w:val="fr-CA"/>
        </w:rPr>
        <w:t xml:space="preserve"> </w:t>
      </w:r>
      <w:r w:rsidR="006C39A3" w:rsidRPr="00B26B5B">
        <w:rPr>
          <w:kern w:val="22"/>
          <w:szCs w:val="22"/>
          <w:lang w:val="fr-CA"/>
        </w:rPr>
        <w:t>La conservation de la nature et d</w:t>
      </w:r>
      <w:r w:rsidR="0085691C">
        <w:rPr>
          <w:kern w:val="22"/>
          <w:szCs w:val="22"/>
          <w:lang w:val="fr-CA"/>
        </w:rPr>
        <w:t>e la diversité biologique doi</w:t>
      </w:r>
      <w:r w:rsidR="006C39A3" w:rsidRPr="00B26B5B">
        <w:rPr>
          <w:kern w:val="22"/>
          <w:szCs w:val="22"/>
          <w:lang w:val="fr-CA"/>
        </w:rPr>
        <w:t xml:space="preserve">t être pertinente dans un contexte africain. Les communications peuvent montrer aux pays africains comment utiliser la diversité biologique pour relever les défis auxquels ils font face. Le récit </w:t>
      </w:r>
      <w:r w:rsidR="004108C3" w:rsidRPr="00B26B5B">
        <w:rPr>
          <w:kern w:val="22"/>
          <w:szCs w:val="22"/>
          <w:lang w:val="fr-CA"/>
        </w:rPr>
        <w:t xml:space="preserve">doit faire vibrer les Africains et il faut </w:t>
      </w:r>
      <w:r w:rsidR="0085691C">
        <w:rPr>
          <w:kern w:val="22"/>
          <w:szCs w:val="22"/>
          <w:lang w:val="fr-CA"/>
        </w:rPr>
        <w:t>éliminer</w:t>
      </w:r>
      <w:r w:rsidR="004108C3" w:rsidRPr="00B26B5B">
        <w:rPr>
          <w:kern w:val="22"/>
          <w:szCs w:val="22"/>
          <w:lang w:val="fr-CA"/>
        </w:rPr>
        <w:t xml:space="preserve"> la perception que les messages de conservation sont imposés par des organes extérieurs</w:t>
      </w:r>
      <w:r w:rsidR="00B92D18">
        <w:rPr>
          <w:kern w:val="22"/>
          <w:szCs w:val="22"/>
          <w:lang w:val="fr-CA"/>
        </w:rPr>
        <w:t>;</w:t>
      </w:r>
    </w:p>
    <w:p w:rsidR="00186F6C" w:rsidRPr="00B26B5B" w:rsidRDefault="004108C3"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t>Communications pour changer les comportements</w:t>
      </w:r>
      <w:r w:rsidR="00CD0FC3">
        <w:rPr>
          <w:i/>
          <w:iCs/>
          <w:snapToGrid/>
          <w:kern w:val="22"/>
          <w:szCs w:val="22"/>
          <w:lang w:val="fr-CA"/>
        </w:rPr>
        <w:t> </w:t>
      </w:r>
      <w:r w:rsidR="00186F6C" w:rsidRPr="00B26B5B">
        <w:rPr>
          <w:i/>
          <w:iCs/>
          <w:snapToGrid/>
          <w:kern w:val="22"/>
          <w:szCs w:val="22"/>
          <w:lang w:val="fr-CA"/>
        </w:rPr>
        <w:t>:</w:t>
      </w:r>
      <w:r w:rsidR="00186F6C" w:rsidRPr="00B26B5B">
        <w:rPr>
          <w:iCs/>
          <w:snapToGrid/>
          <w:kern w:val="22"/>
          <w:szCs w:val="22"/>
          <w:lang w:val="fr-CA"/>
        </w:rPr>
        <w:t xml:space="preserve"> </w:t>
      </w:r>
      <w:r w:rsidR="0085691C">
        <w:rPr>
          <w:iCs/>
          <w:snapToGrid/>
          <w:kern w:val="22"/>
          <w:szCs w:val="22"/>
          <w:lang w:val="fr-CA"/>
        </w:rPr>
        <w:t>Il faut examiner l</w:t>
      </w:r>
      <w:r w:rsidR="000E579F" w:rsidRPr="00B26B5B">
        <w:rPr>
          <w:iCs/>
          <w:snapToGrid/>
          <w:kern w:val="22"/>
          <w:szCs w:val="22"/>
          <w:lang w:val="fr-CA"/>
        </w:rPr>
        <w:t>a possibilité d’utiliser des stratégies de communication pour modifier les comportements et communiquer un sentiment d’urgence d’agir</w:t>
      </w:r>
      <w:r w:rsidR="0085691C">
        <w:rPr>
          <w:iCs/>
          <w:snapToGrid/>
          <w:kern w:val="22"/>
          <w:szCs w:val="22"/>
          <w:lang w:val="fr-CA"/>
        </w:rPr>
        <w:t xml:space="preserve"> face à la diversité biologique</w:t>
      </w:r>
      <w:r w:rsidR="000E579F" w:rsidRPr="00B26B5B">
        <w:rPr>
          <w:iCs/>
          <w:snapToGrid/>
          <w:kern w:val="22"/>
          <w:szCs w:val="22"/>
          <w:lang w:val="fr-CA"/>
        </w:rPr>
        <w:t>. Les messages doivent souligner l’impulsion donnée à la quinzième réunion de la Conférence des Parties et le besoin de créer un environnement habilitant avant la prochaine réunion de la Conférence des Parties</w:t>
      </w:r>
      <w:r w:rsidR="00B92D18">
        <w:rPr>
          <w:iCs/>
          <w:snapToGrid/>
          <w:kern w:val="22"/>
          <w:szCs w:val="22"/>
          <w:lang w:val="fr-CA"/>
        </w:rPr>
        <w:t>;</w:t>
      </w:r>
    </w:p>
    <w:p w:rsidR="0009036D" w:rsidRPr="00B26B5B" w:rsidRDefault="000E579F" w:rsidP="002511BD">
      <w:pPr>
        <w:pStyle w:val="Para1"/>
        <w:numPr>
          <w:ilvl w:val="0"/>
          <w:numId w:val="9"/>
        </w:numPr>
        <w:suppressLineNumbers/>
        <w:suppressAutoHyphens/>
        <w:ind w:left="0" w:firstLine="698"/>
        <w:rPr>
          <w:iCs/>
          <w:snapToGrid/>
          <w:kern w:val="22"/>
          <w:szCs w:val="22"/>
          <w:lang w:val="fr-CA"/>
        </w:rPr>
      </w:pPr>
      <w:r w:rsidRPr="00B26B5B">
        <w:rPr>
          <w:i/>
          <w:iCs/>
          <w:snapToGrid/>
          <w:kern w:val="22"/>
          <w:szCs w:val="22"/>
          <w:lang w:val="fr-CA"/>
        </w:rPr>
        <w:lastRenderedPageBreak/>
        <w:t>Évaluation</w:t>
      </w:r>
      <w:r w:rsidR="00CD0FC3">
        <w:rPr>
          <w:i/>
          <w:iCs/>
          <w:snapToGrid/>
          <w:kern w:val="22"/>
          <w:szCs w:val="22"/>
          <w:lang w:val="fr-CA"/>
        </w:rPr>
        <w:t> </w:t>
      </w:r>
      <w:r w:rsidR="0009036D" w:rsidRPr="00B26B5B">
        <w:rPr>
          <w:iCs/>
          <w:snapToGrid/>
          <w:kern w:val="22"/>
          <w:szCs w:val="22"/>
          <w:lang w:val="fr-CA"/>
        </w:rPr>
        <w:t xml:space="preserve">: </w:t>
      </w:r>
      <w:r w:rsidRPr="00B26B5B">
        <w:rPr>
          <w:iCs/>
          <w:snapToGrid/>
          <w:kern w:val="22"/>
          <w:szCs w:val="22"/>
          <w:lang w:val="fr-CA"/>
        </w:rPr>
        <w:t>Des méthodes et/ou des outils convenables s</w:t>
      </w:r>
      <w:r w:rsidR="00EA32A6">
        <w:rPr>
          <w:iCs/>
          <w:snapToGrid/>
          <w:kern w:val="22"/>
          <w:szCs w:val="22"/>
          <w:lang w:val="fr-CA"/>
        </w:rPr>
        <w:t>er</w:t>
      </w:r>
      <w:r w:rsidRPr="00B26B5B">
        <w:rPr>
          <w:iCs/>
          <w:snapToGrid/>
          <w:kern w:val="22"/>
          <w:szCs w:val="22"/>
          <w:lang w:val="fr-CA"/>
        </w:rPr>
        <w:t xml:space="preserve">ont nécessaires afin de déterminer si les campagnes de communication </w:t>
      </w:r>
      <w:r w:rsidR="0085691C">
        <w:rPr>
          <w:iCs/>
          <w:snapToGrid/>
          <w:kern w:val="22"/>
          <w:szCs w:val="22"/>
          <w:lang w:val="fr-CA"/>
        </w:rPr>
        <w:t>donnent</w:t>
      </w:r>
      <w:r w:rsidRPr="00B26B5B">
        <w:rPr>
          <w:iCs/>
          <w:snapToGrid/>
          <w:kern w:val="22"/>
          <w:szCs w:val="22"/>
          <w:lang w:val="fr-CA"/>
        </w:rPr>
        <w:t xml:space="preserve"> les résultats escomptés. </w:t>
      </w:r>
      <w:r w:rsidR="004011BC" w:rsidRPr="00B26B5B">
        <w:rPr>
          <w:iCs/>
          <w:snapToGrid/>
          <w:kern w:val="22"/>
          <w:szCs w:val="22"/>
          <w:lang w:val="fr-CA"/>
        </w:rPr>
        <w:t>Cela permettra de tirer des leçons et de réaliser des analyses pour développer les succès et apprendre des expériences passé</w:t>
      </w:r>
      <w:r w:rsidR="00CD0FC3">
        <w:rPr>
          <w:iCs/>
          <w:snapToGrid/>
          <w:kern w:val="22"/>
          <w:szCs w:val="22"/>
          <w:lang w:val="fr-CA"/>
        </w:rPr>
        <w:t>e</w:t>
      </w:r>
      <w:r w:rsidR="004011BC" w:rsidRPr="00B26B5B">
        <w:rPr>
          <w:iCs/>
          <w:snapToGrid/>
          <w:kern w:val="22"/>
          <w:szCs w:val="22"/>
          <w:lang w:val="fr-CA"/>
        </w:rPr>
        <w:t>s</w:t>
      </w:r>
      <w:r w:rsidR="0009036D" w:rsidRPr="00B26B5B">
        <w:rPr>
          <w:iCs/>
          <w:snapToGrid/>
          <w:kern w:val="22"/>
          <w:szCs w:val="22"/>
          <w:lang w:val="fr-CA"/>
        </w:rPr>
        <w:t>.</w:t>
      </w:r>
    </w:p>
    <w:p w:rsidR="00443000" w:rsidRPr="00B26B5B" w:rsidRDefault="008B2929" w:rsidP="00C33570">
      <w:pPr>
        <w:pStyle w:val="Titre3"/>
        <w:suppressLineNumbers/>
        <w:suppressAutoHyphens/>
        <w:rPr>
          <w:kern w:val="22"/>
          <w:szCs w:val="22"/>
          <w:lang w:val="fr-CA"/>
        </w:rPr>
      </w:pPr>
      <w:r w:rsidRPr="00B26B5B">
        <w:rPr>
          <w:kern w:val="22"/>
          <w:szCs w:val="22"/>
          <w:lang w:val="fr-CA"/>
        </w:rPr>
        <w:t>9</w:t>
      </w:r>
      <w:r w:rsidR="008B22DB" w:rsidRPr="00B26B5B">
        <w:rPr>
          <w:kern w:val="22"/>
          <w:szCs w:val="22"/>
          <w:lang w:val="fr-CA"/>
        </w:rPr>
        <w:t>.</w:t>
      </w:r>
      <w:r w:rsidR="008B22DB" w:rsidRPr="00B26B5B">
        <w:rPr>
          <w:kern w:val="22"/>
          <w:szCs w:val="22"/>
          <w:lang w:val="fr-CA"/>
        </w:rPr>
        <w:tab/>
      </w:r>
      <w:r w:rsidR="00D27089" w:rsidRPr="00B26B5B">
        <w:rPr>
          <w:kern w:val="22"/>
          <w:szCs w:val="22"/>
          <w:lang w:val="fr-CA"/>
        </w:rPr>
        <w:t>Intégration des diverses perspectives</w:t>
      </w:r>
    </w:p>
    <w:p w:rsidR="00C653F0" w:rsidRPr="00B26B5B" w:rsidRDefault="004011BC" w:rsidP="00C33570">
      <w:pPr>
        <w:pStyle w:val="Para1"/>
        <w:suppressLineNumbers/>
        <w:tabs>
          <w:tab w:val="clear" w:pos="360"/>
        </w:tabs>
        <w:suppressAutoHyphens/>
        <w:rPr>
          <w:kern w:val="22"/>
          <w:szCs w:val="22"/>
          <w:lang w:val="fr-CA"/>
        </w:rPr>
      </w:pPr>
      <w:r w:rsidRPr="00B26B5B">
        <w:rPr>
          <w:kern w:val="22"/>
          <w:szCs w:val="22"/>
          <w:lang w:val="fr-CA"/>
        </w:rPr>
        <w:t xml:space="preserve">Le besoin de tenir compte des diverses perspectives et des contributions des parties prenantes, dont les peuples autochtones et les communautés locales, les femmes, les jeunes, la communauté universitaire et de recherche, et le secteur privé, </w:t>
      </w:r>
      <w:r w:rsidR="002F795A">
        <w:rPr>
          <w:kern w:val="22"/>
          <w:szCs w:val="22"/>
          <w:lang w:val="fr-CA"/>
        </w:rPr>
        <w:t>à</w:t>
      </w:r>
      <w:r w:rsidRPr="00B26B5B">
        <w:rPr>
          <w:kern w:val="22"/>
          <w:szCs w:val="22"/>
          <w:lang w:val="fr-CA"/>
        </w:rPr>
        <w:t xml:space="preserve"> la préparation et la mise en œuvre éventuelle du cadre mondial de la biodiversité pour l</w:t>
      </w:r>
      <w:r w:rsidR="00CD0FC3">
        <w:rPr>
          <w:kern w:val="22"/>
          <w:szCs w:val="22"/>
          <w:lang w:val="fr-CA"/>
        </w:rPr>
        <w:t>’</w:t>
      </w:r>
      <w:r w:rsidRPr="00B26B5B">
        <w:rPr>
          <w:kern w:val="22"/>
          <w:szCs w:val="22"/>
          <w:lang w:val="fr-CA"/>
        </w:rPr>
        <w:t>après-2020 a été reconnu. Tous les participants ont convenu que le développement du cadre mondial de la biodiversité pour l</w:t>
      </w:r>
      <w:r w:rsidR="00CD0FC3">
        <w:rPr>
          <w:kern w:val="22"/>
          <w:szCs w:val="22"/>
          <w:lang w:val="fr-CA"/>
        </w:rPr>
        <w:t>’</w:t>
      </w:r>
      <w:r w:rsidRPr="00B26B5B">
        <w:rPr>
          <w:kern w:val="22"/>
          <w:szCs w:val="22"/>
          <w:lang w:val="fr-CA"/>
        </w:rPr>
        <w:t>après-2020 doit se faire de manière intégrée</w:t>
      </w:r>
      <w:r w:rsidR="0061354B">
        <w:rPr>
          <w:kern w:val="22"/>
          <w:szCs w:val="22"/>
          <w:lang w:val="fr-CA"/>
        </w:rPr>
        <w:t>,</w:t>
      </w:r>
      <w:r w:rsidR="002F795A">
        <w:rPr>
          <w:kern w:val="22"/>
          <w:szCs w:val="22"/>
          <w:lang w:val="fr-CA"/>
        </w:rPr>
        <w:t xml:space="preserve"> en fonction des points de vue, d</w:t>
      </w:r>
      <w:r w:rsidRPr="00B26B5B">
        <w:rPr>
          <w:kern w:val="22"/>
          <w:szCs w:val="22"/>
          <w:lang w:val="fr-CA"/>
        </w:rPr>
        <w:t>es perspectives, des intérêts et des préoccupations des différentes parties prenantes</w:t>
      </w:r>
      <w:r w:rsidR="009B0ADE" w:rsidRPr="00B26B5B">
        <w:rPr>
          <w:kern w:val="22"/>
          <w:szCs w:val="22"/>
          <w:lang w:val="fr-CA"/>
        </w:rPr>
        <w:t>.</w:t>
      </w:r>
    </w:p>
    <w:p w:rsidR="00C653F0" w:rsidRPr="00B26B5B" w:rsidRDefault="00EC1DFC" w:rsidP="00C33570">
      <w:pPr>
        <w:pStyle w:val="Para1"/>
        <w:suppressLineNumbers/>
        <w:tabs>
          <w:tab w:val="clear" w:pos="360"/>
          <w:tab w:val="num" w:pos="720"/>
        </w:tabs>
        <w:suppressAutoHyphens/>
        <w:rPr>
          <w:kern w:val="22"/>
          <w:szCs w:val="22"/>
          <w:lang w:val="fr-CA"/>
        </w:rPr>
      </w:pPr>
      <w:r w:rsidRPr="00B26B5B">
        <w:rPr>
          <w:kern w:val="22"/>
          <w:szCs w:val="22"/>
          <w:lang w:val="fr-CA"/>
        </w:rPr>
        <w:t xml:space="preserve">Les peuples autochtones et les communautés locales sont les meilleurs gardiens de la diversité </w:t>
      </w:r>
      <w:r w:rsidR="002F795A">
        <w:rPr>
          <w:kern w:val="22"/>
          <w:szCs w:val="22"/>
          <w:lang w:val="fr-CA"/>
        </w:rPr>
        <w:t xml:space="preserve">biologique </w:t>
      </w:r>
      <w:r w:rsidRPr="00B26B5B">
        <w:rPr>
          <w:kern w:val="22"/>
          <w:szCs w:val="22"/>
          <w:lang w:val="fr-CA"/>
        </w:rPr>
        <w:t>et des services écosystémiques</w:t>
      </w:r>
      <w:r w:rsidR="002F795A">
        <w:rPr>
          <w:kern w:val="22"/>
          <w:szCs w:val="22"/>
          <w:lang w:val="fr-CA"/>
        </w:rPr>
        <w:t>,</w:t>
      </w:r>
      <w:r w:rsidRPr="00B26B5B">
        <w:rPr>
          <w:kern w:val="22"/>
          <w:szCs w:val="22"/>
          <w:lang w:val="fr-CA"/>
        </w:rPr>
        <w:t xml:space="preserve"> car leur vie est intimement liée à la nature et la nature </w:t>
      </w:r>
      <w:r w:rsidR="002F795A">
        <w:rPr>
          <w:kern w:val="22"/>
          <w:szCs w:val="22"/>
          <w:lang w:val="fr-CA"/>
        </w:rPr>
        <w:t>est intégrée à</w:t>
      </w:r>
      <w:r w:rsidRPr="00B26B5B">
        <w:rPr>
          <w:kern w:val="22"/>
          <w:szCs w:val="22"/>
          <w:lang w:val="fr-CA"/>
        </w:rPr>
        <w:t xml:space="preserve"> leurs connaissances traditionnelles, leurs lois coutumières et leurs pratiques. </w:t>
      </w:r>
      <w:r w:rsidR="002F795A">
        <w:rPr>
          <w:kern w:val="22"/>
          <w:szCs w:val="22"/>
          <w:lang w:val="fr-CA"/>
        </w:rPr>
        <w:t>De plus, les</w:t>
      </w:r>
      <w:r w:rsidRPr="00B26B5B">
        <w:rPr>
          <w:kern w:val="22"/>
          <w:szCs w:val="22"/>
          <w:lang w:val="fr-CA"/>
        </w:rPr>
        <w:t xml:space="preserve"> femmes travaillent souvent de près avec la n</w:t>
      </w:r>
      <w:r w:rsidR="002F795A">
        <w:rPr>
          <w:kern w:val="22"/>
          <w:szCs w:val="22"/>
          <w:lang w:val="fr-CA"/>
        </w:rPr>
        <w:t>ature et influencent</w:t>
      </w:r>
      <w:r w:rsidRPr="00B26B5B">
        <w:rPr>
          <w:kern w:val="22"/>
          <w:szCs w:val="22"/>
          <w:lang w:val="fr-CA"/>
        </w:rPr>
        <w:t xml:space="preserve"> les actions des jeunes</w:t>
      </w:r>
      <w:r w:rsidR="00C653F0" w:rsidRPr="00B26B5B">
        <w:rPr>
          <w:kern w:val="22"/>
          <w:szCs w:val="22"/>
          <w:lang w:val="fr-CA"/>
        </w:rPr>
        <w:t>.</w:t>
      </w:r>
    </w:p>
    <w:p w:rsidR="00C653F0" w:rsidRPr="00B26B5B" w:rsidRDefault="00EC1DFC" w:rsidP="00C33570">
      <w:pPr>
        <w:pStyle w:val="Para1"/>
        <w:suppressLineNumbers/>
        <w:tabs>
          <w:tab w:val="clear" w:pos="360"/>
          <w:tab w:val="num" w:pos="720"/>
        </w:tabs>
        <w:suppressAutoHyphens/>
        <w:rPr>
          <w:kern w:val="22"/>
          <w:szCs w:val="22"/>
          <w:lang w:val="fr-CA"/>
        </w:rPr>
      </w:pPr>
      <w:r w:rsidRPr="00B26B5B">
        <w:rPr>
          <w:kern w:val="22"/>
          <w:szCs w:val="22"/>
          <w:lang w:val="fr-CA"/>
        </w:rPr>
        <w:t>Le rôle du secteur des affaires a aussi été mis en évidenc</w:t>
      </w:r>
      <w:r w:rsidR="006E09B6" w:rsidRPr="00B26B5B">
        <w:rPr>
          <w:kern w:val="22"/>
          <w:szCs w:val="22"/>
          <w:lang w:val="fr-CA"/>
        </w:rPr>
        <w:t>e</w:t>
      </w:r>
      <w:r w:rsidRPr="00B26B5B">
        <w:rPr>
          <w:kern w:val="22"/>
          <w:szCs w:val="22"/>
          <w:lang w:val="fr-CA"/>
        </w:rPr>
        <w:t>. Ce groupe de parties prenantes a une influence importante et</w:t>
      </w:r>
      <w:r w:rsidR="006E09B6" w:rsidRPr="00B26B5B">
        <w:rPr>
          <w:kern w:val="22"/>
          <w:szCs w:val="22"/>
          <w:lang w:val="fr-CA"/>
        </w:rPr>
        <w:t xml:space="preserve"> pourra</w:t>
      </w:r>
      <w:r w:rsidRPr="00B26B5B">
        <w:rPr>
          <w:kern w:val="22"/>
          <w:szCs w:val="22"/>
          <w:lang w:val="fr-CA"/>
        </w:rPr>
        <w:t>it aider à promouvoir les politiques</w:t>
      </w:r>
      <w:r w:rsidR="006E09B6" w:rsidRPr="00B26B5B">
        <w:rPr>
          <w:kern w:val="22"/>
          <w:szCs w:val="22"/>
          <w:lang w:val="fr-CA"/>
        </w:rPr>
        <w:t>,</w:t>
      </w:r>
      <w:r w:rsidRPr="00B26B5B">
        <w:rPr>
          <w:kern w:val="22"/>
          <w:szCs w:val="22"/>
          <w:lang w:val="fr-CA"/>
        </w:rPr>
        <w:t xml:space="preserve"> pratiques et technologies </w:t>
      </w:r>
      <w:r w:rsidR="006E09B6" w:rsidRPr="00B26B5B">
        <w:rPr>
          <w:kern w:val="22"/>
          <w:szCs w:val="22"/>
          <w:lang w:val="fr-CA"/>
        </w:rPr>
        <w:t>durables qui pourraient contribuer à assurer l’utilisation durable de la diversité biologique</w:t>
      </w:r>
      <w:r w:rsidR="00C653F0" w:rsidRPr="00B26B5B">
        <w:rPr>
          <w:kern w:val="22"/>
          <w:szCs w:val="22"/>
          <w:lang w:val="fr-CA"/>
        </w:rPr>
        <w:t>.</w:t>
      </w:r>
    </w:p>
    <w:p w:rsidR="00652C30" w:rsidRPr="00B26B5B" w:rsidRDefault="006E09B6" w:rsidP="00C33570">
      <w:pPr>
        <w:pStyle w:val="Para1"/>
        <w:suppressLineNumbers/>
        <w:tabs>
          <w:tab w:val="clear" w:pos="360"/>
          <w:tab w:val="num" w:pos="720"/>
        </w:tabs>
        <w:suppressAutoHyphens/>
        <w:rPr>
          <w:kern w:val="22"/>
          <w:szCs w:val="22"/>
          <w:lang w:val="fr-CA"/>
        </w:rPr>
      </w:pPr>
      <w:r w:rsidRPr="00B26B5B">
        <w:rPr>
          <w:kern w:val="22"/>
          <w:szCs w:val="22"/>
          <w:lang w:val="fr-CA"/>
        </w:rPr>
        <w:t>Les participants ont proposé les gestes suivants pour faciliter la partic</w:t>
      </w:r>
      <w:r w:rsidR="002F795A">
        <w:rPr>
          <w:kern w:val="22"/>
          <w:szCs w:val="22"/>
          <w:lang w:val="fr-CA"/>
        </w:rPr>
        <w:t xml:space="preserve">ipation des parties prenantes </w:t>
      </w:r>
      <w:r w:rsidRPr="00B26B5B">
        <w:rPr>
          <w:kern w:val="22"/>
          <w:szCs w:val="22"/>
          <w:lang w:val="fr-CA"/>
        </w:rPr>
        <w:t>au développement et à la mise en œuvre du cadre, tout en précisant que différents groupes de parties prenantes doivent être impliqués dès le début et de façon permanente, même si cette participation exige des ressources considérables</w:t>
      </w:r>
      <w:r w:rsidR="00CD0FC3">
        <w:rPr>
          <w:kern w:val="22"/>
          <w:szCs w:val="22"/>
          <w:lang w:val="fr-CA"/>
        </w:rPr>
        <w:t> </w:t>
      </w:r>
      <w:r w:rsidR="00B6536D" w:rsidRPr="00B26B5B">
        <w:rPr>
          <w:kern w:val="22"/>
          <w:szCs w:val="22"/>
          <w:lang w:val="fr-CA"/>
        </w:rPr>
        <w:t>:</w:t>
      </w:r>
    </w:p>
    <w:p w:rsidR="00B6536D" w:rsidRPr="00B26B5B" w:rsidRDefault="006E09B6" w:rsidP="006E09B6">
      <w:pPr>
        <w:pStyle w:val="Para1"/>
        <w:numPr>
          <w:ilvl w:val="1"/>
          <w:numId w:val="2"/>
        </w:numPr>
        <w:suppressLineNumbers/>
        <w:tabs>
          <w:tab w:val="num" w:pos="720"/>
        </w:tabs>
        <w:suppressAutoHyphens/>
        <w:rPr>
          <w:kern w:val="22"/>
          <w:szCs w:val="22"/>
          <w:lang w:val="fr-CA"/>
        </w:rPr>
      </w:pPr>
      <w:r w:rsidRPr="00B26B5B">
        <w:rPr>
          <w:i/>
          <w:kern w:val="22"/>
          <w:szCs w:val="22"/>
          <w:lang w:val="fr-CA"/>
        </w:rPr>
        <w:t>Cartographie des parties prenantes</w:t>
      </w:r>
      <w:r w:rsidR="00CD0FC3">
        <w:rPr>
          <w:i/>
          <w:kern w:val="22"/>
          <w:szCs w:val="22"/>
          <w:lang w:val="fr-CA"/>
        </w:rPr>
        <w:t> </w:t>
      </w:r>
      <w:r w:rsidR="00B6536D" w:rsidRPr="00B26B5B">
        <w:rPr>
          <w:kern w:val="22"/>
          <w:szCs w:val="22"/>
          <w:lang w:val="fr-CA"/>
        </w:rPr>
        <w:t xml:space="preserve">: </w:t>
      </w:r>
      <w:r w:rsidRPr="00B26B5B">
        <w:rPr>
          <w:kern w:val="22"/>
          <w:szCs w:val="22"/>
          <w:lang w:val="fr-CA"/>
        </w:rPr>
        <w:t>Recenser les group</w:t>
      </w:r>
      <w:r w:rsidR="002F795A">
        <w:rPr>
          <w:kern w:val="22"/>
          <w:szCs w:val="22"/>
          <w:lang w:val="fr-CA"/>
        </w:rPr>
        <w:t>e</w:t>
      </w:r>
      <w:r w:rsidRPr="00B26B5B">
        <w:rPr>
          <w:kern w:val="22"/>
          <w:szCs w:val="22"/>
          <w:lang w:val="fr-CA"/>
        </w:rPr>
        <w:t>s de parties prenantes dans différents</w:t>
      </w:r>
      <w:r w:rsidR="00C14D13" w:rsidRPr="00B26B5B">
        <w:rPr>
          <w:kern w:val="22"/>
          <w:szCs w:val="22"/>
          <w:lang w:val="fr-CA"/>
        </w:rPr>
        <w:t xml:space="preserve"> </w:t>
      </w:r>
      <w:r w:rsidRPr="00B26B5B">
        <w:rPr>
          <w:kern w:val="22"/>
          <w:szCs w:val="22"/>
          <w:lang w:val="fr-CA"/>
        </w:rPr>
        <w:t>secteurs sociaux, établir leurs besoins et définir et reconnaître leur rôle dans la conservation et l’utilisation durable de la diversité biologique</w:t>
      </w:r>
      <w:r w:rsidR="00B92D18">
        <w:rPr>
          <w:kern w:val="22"/>
          <w:szCs w:val="22"/>
          <w:lang w:val="fr-CA"/>
        </w:rPr>
        <w:t>;</w:t>
      </w:r>
    </w:p>
    <w:p w:rsidR="00B6536D" w:rsidRPr="00B26B5B" w:rsidRDefault="00C14D13" w:rsidP="00C14D13">
      <w:pPr>
        <w:pStyle w:val="Para1"/>
        <w:numPr>
          <w:ilvl w:val="1"/>
          <w:numId w:val="2"/>
        </w:numPr>
        <w:suppressLineNumbers/>
        <w:tabs>
          <w:tab w:val="num" w:pos="720"/>
        </w:tabs>
        <w:suppressAutoHyphens/>
        <w:rPr>
          <w:kern w:val="22"/>
          <w:szCs w:val="22"/>
          <w:lang w:val="fr-CA"/>
        </w:rPr>
      </w:pPr>
      <w:r w:rsidRPr="00B26B5B">
        <w:rPr>
          <w:i/>
          <w:kern w:val="22"/>
          <w:szCs w:val="22"/>
          <w:lang w:val="fr-CA"/>
        </w:rPr>
        <w:t>Plateformes de consultation</w:t>
      </w:r>
      <w:r w:rsidR="00CD0FC3">
        <w:rPr>
          <w:i/>
          <w:kern w:val="22"/>
          <w:szCs w:val="22"/>
          <w:lang w:val="fr-CA"/>
        </w:rPr>
        <w:t> </w:t>
      </w:r>
      <w:r w:rsidR="00B6536D" w:rsidRPr="00B26B5B">
        <w:rPr>
          <w:kern w:val="22"/>
          <w:szCs w:val="22"/>
          <w:lang w:val="fr-CA"/>
        </w:rPr>
        <w:t xml:space="preserve">: </w:t>
      </w:r>
      <w:r w:rsidRPr="00B26B5B">
        <w:rPr>
          <w:kern w:val="22"/>
          <w:szCs w:val="22"/>
          <w:lang w:val="fr-CA"/>
        </w:rPr>
        <w:t>Élaborer des outils (tels que des plateformes virtuelles ou des réseaux de collaboration) offrant des espaces dédiés permettant aux diverses parties prenantes d’interagir et de partager des expériences et des opinions au sein de leur groupe ou avec d’autres groupes</w:t>
      </w:r>
      <w:r w:rsidR="00B92D18">
        <w:rPr>
          <w:kern w:val="22"/>
          <w:szCs w:val="22"/>
          <w:lang w:val="fr-CA"/>
        </w:rPr>
        <w:t>;</w:t>
      </w:r>
    </w:p>
    <w:p w:rsidR="007502FD" w:rsidRPr="00B26B5B" w:rsidRDefault="00C14D13" w:rsidP="00C33570">
      <w:pPr>
        <w:pStyle w:val="Para1"/>
        <w:numPr>
          <w:ilvl w:val="1"/>
          <w:numId w:val="2"/>
        </w:numPr>
        <w:suppressLineNumbers/>
        <w:tabs>
          <w:tab w:val="num" w:pos="720"/>
        </w:tabs>
        <w:suppressAutoHyphens/>
        <w:rPr>
          <w:kern w:val="22"/>
          <w:szCs w:val="22"/>
          <w:lang w:val="fr-CA"/>
        </w:rPr>
      </w:pPr>
      <w:r w:rsidRPr="00B26B5B">
        <w:rPr>
          <w:i/>
          <w:kern w:val="22"/>
          <w:szCs w:val="22"/>
          <w:lang w:val="fr-CA"/>
        </w:rPr>
        <w:t>Échanges intercommunautaires</w:t>
      </w:r>
      <w:r w:rsidR="00CD0FC3">
        <w:rPr>
          <w:i/>
          <w:kern w:val="22"/>
          <w:szCs w:val="22"/>
          <w:lang w:val="fr-CA"/>
        </w:rPr>
        <w:t> </w:t>
      </w:r>
      <w:r w:rsidR="00B6536D" w:rsidRPr="00B26B5B">
        <w:rPr>
          <w:kern w:val="22"/>
          <w:szCs w:val="22"/>
          <w:lang w:val="fr-CA"/>
        </w:rPr>
        <w:t xml:space="preserve">: </w:t>
      </w:r>
      <w:r w:rsidRPr="00B26B5B">
        <w:rPr>
          <w:kern w:val="22"/>
          <w:szCs w:val="22"/>
          <w:lang w:val="fr-CA"/>
        </w:rPr>
        <w:t xml:space="preserve">Encourager et </w:t>
      </w:r>
      <w:r w:rsidR="000B7FC1" w:rsidRPr="00B26B5B">
        <w:rPr>
          <w:kern w:val="22"/>
          <w:szCs w:val="22"/>
          <w:lang w:val="fr-CA"/>
        </w:rPr>
        <w:t xml:space="preserve">faciliter les efforts des </w:t>
      </w:r>
      <w:r w:rsidR="00A447E7">
        <w:rPr>
          <w:kern w:val="22"/>
          <w:szCs w:val="22"/>
          <w:lang w:val="fr-CA"/>
        </w:rPr>
        <w:t>peuples</w:t>
      </w:r>
      <w:r w:rsidR="000B7FC1" w:rsidRPr="00B26B5B">
        <w:rPr>
          <w:kern w:val="22"/>
          <w:szCs w:val="22"/>
          <w:lang w:val="fr-CA"/>
        </w:rPr>
        <w:t xml:space="preserve"> autochto</w:t>
      </w:r>
      <w:r w:rsidR="00DA3AA4" w:rsidRPr="00B26B5B">
        <w:rPr>
          <w:kern w:val="22"/>
          <w:szCs w:val="22"/>
          <w:lang w:val="fr-CA"/>
        </w:rPr>
        <w:t>nes et des communaut</w:t>
      </w:r>
      <w:r w:rsidR="000B7FC1" w:rsidRPr="00B26B5B">
        <w:rPr>
          <w:kern w:val="22"/>
          <w:szCs w:val="22"/>
          <w:lang w:val="fr-CA"/>
        </w:rPr>
        <w:t>és locales, et des group</w:t>
      </w:r>
      <w:r w:rsidR="00DA3AA4" w:rsidRPr="00B26B5B">
        <w:rPr>
          <w:kern w:val="22"/>
          <w:szCs w:val="22"/>
          <w:lang w:val="fr-CA"/>
        </w:rPr>
        <w:t>e</w:t>
      </w:r>
      <w:r w:rsidR="000B7FC1" w:rsidRPr="00B26B5B">
        <w:rPr>
          <w:kern w:val="22"/>
          <w:szCs w:val="22"/>
          <w:lang w:val="fr-CA"/>
        </w:rPr>
        <w:t>s communautaires, pour partager des</w:t>
      </w:r>
      <w:r w:rsidR="00DA3AA4" w:rsidRPr="00B26B5B">
        <w:rPr>
          <w:kern w:val="22"/>
          <w:szCs w:val="22"/>
          <w:lang w:val="fr-CA"/>
        </w:rPr>
        <w:t xml:space="preserve"> expériences</w:t>
      </w:r>
      <w:r w:rsidR="000B7FC1" w:rsidRPr="00B26B5B">
        <w:rPr>
          <w:kern w:val="22"/>
          <w:szCs w:val="22"/>
          <w:lang w:val="fr-CA"/>
        </w:rPr>
        <w:t>, des points de vue et des perspectives par le biais de</w:t>
      </w:r>
      <w:r w:rsidR="00A447E7">
        <w:rPr>
          <w:kern w:val="22"/>
          <w:szCs w:val="22"/>
          <w:lang w:val="fr-CA"/>
        </w:rPr>
        <w:t>s</w:t>
      </w:r>
      <w:r w:rsidR="000B7FC1" w:rsidRPr="00B26B5B">
        <w:rPr>
          <w:kern w:val="22"/>
          <w:szCs w:val="22"/>
          <w:lang w:val="fr-CA"/>
        </w:rPr>
        <w:t xml:space="preserve"> mécanismes </w:t>
      </w:r>
      <w:r w:rsidR="00DA3AA4" w:rsidRPr="00B26B5B">
        <w:rPr>
          <w:kern w:val="22"/>
          <w:szCs w:val="22"/>
          <w:lang w:val="fr-CA"/>
        </w:rPr>
        <w:t>traditionnels</w:t>
      </w:r>
      <w:r w:rsidR="000B7FC1" w:rsidRPr="00B26B5B">
        <w:rPr>
          <w:kern w:val="22"/>
          <w:szCs w:val="22"/>
          <w:lang w:val="fr-CA"/>
        </w:rPr>
        <w:t xml:space="preserve"> existants et les communiquer</w:t>
      </w:r>
      <w:r w:rsidR="00A51CD5">
        <w:rPr>
          <w:kern w:val="22"/>
          <w:szCs w:val="22"/>
          <w:lang w:val="fr-CA"/>
        </w:rPr>
        <w:t>,</w:t>
      </w:r>
      <w:r w:rsidR="000B7FC1" w:rsidRPr="00B26B5B">
        <w:rPr>
          <w:kern w:val="22"/>
          <w:szCs w:val="22"/>
          <w:lang w:val="fr-CA"/>
        </w:rPr>
        <w:t xml:space="preserve"> au moyen de processus plus </w:t>
      </w:r>
      <w:r w:rsidR="00A447E7">
        <w:rPr>
          <w:kern w:val="22"/>
          <w:szCs w:val="22"/>
          <w:lang w:val="fr-CA"/>
        </w:rPr>
        <w:t>vastes</w:t>
      </w:r>
      <w:r w:rsidR="000B7FC1" w:rsidRPr="00B26B5B">
        <w:rPr>
          <w:kern w:val="22"/>
          <w:szCs w:val="22"/>
          <w:lang w:val="fr-CA"/>
        </w:rPr>
        <w:t xml:space="preserve"> </w:t>
      </w:r>
      <w:r w:rsidR="00DA3AA4" w:rsidRPr="00B26B5B">
        <w:rPr>
          <w:kern w:val="22"/>
          <w:szCs w:val="22"/>
          <w:lang w:val="fr-CA"/>
        </w:rPr>
        <w:t>tel</w:t>
      </w:r>
      <w:r w:rsidR="000B7FC1" w:rsidRPr="00B26B5B">
        <w:rPr>
          <w:kern w:val="22"/>
          <w:szCs w:val="22"/>
          <w:lang w:val="fr-CA"/>
        </w:rPr>
        <w:t xml:space="preserve">s que les consultations nationales, le Groupe de travail </w:t>
      </w:r>
      <w:r w:rsidR="00DA3AA4" w:rsidRPr="00B26B5B">
        <w:rPr>
          <w:kern w:val="22"/>
          <w:szCs w:val="22"/>
          <w:lang w:val="fr-CA"/>
        </w:rPr>
        <w:t>à composition non limitée sur le cadre mondial de la biodiversité pour l</w:t>
      </w:r>
      <w:r w:rsidR="00CD0FC3">
        <w:rPr>
          <w:kern w:val="22"/>
          <w:szCs w:val="22"/>
          <w:lang w:val="fr-CA"/>
        </w:rPr>
        <w:t>’</w:t>
      </w:r>
      <w:r w:rsidR="00DA3AA4" w:rsidRPr="00B26B5B">
        <w:rPr>
          <w:kern w:val="22"/>
          <w:szCs w:val="22"/>
          <w:lang w:val="fr-CA"/>
        </w:rPr>
        <w:t>après-2020 et l’Organe subsidiaire chargé de l’application</w:t>
      </w:r>
      <w:r w:rsidR="00B92D18">
        <w:rPr>
          <w:kern w:val="22"/>
          <w:szCs w:val="22"/>
          <w:lang w:val="fr-CA"/>
        </w:rPr>
        <w:t>;</w:t>
      </w:r>
    </w:p>
    <w:p w:rsidR="00C653F0" w:rsidRPr="00B26B5B" w:rsidRDefault="00DA3AA4" w:rsidP="00C33570">
      <w:pPr>
        <w:pStyle w:val="Para1"/>
        <w:numPr>
          <w:ilvl w:val="1"/>
          <w:numId w:val="2"/>
        </w:numPr>
        <w:suppressLineNumbers/>
        <w:tabs>
          <w:tab w:val="num" w:pos="720"/>
        </w:tabs>
        <w:suppressAutoHyphens/>
        <w:rPr>
          <w:kern w:val="22"/>
          <w:szCs w:val="22"/>
          <w:lang w:val="fr-CA"/>
        </w:rPr>
      </w:pPr>
      <w:r w:rsidRPr="00B26B5B">
        <w:rPr>
          <w:i/>
          <w:kern w:val="22"/>
          <w:szCs w:val="22"/>
          <w:lang w:val="fr-CA"/>
        </w:rPr>
        <w:t>Sensibilisation</w:t>
      </w:r>
      <w:r w:rsidR="00CD0FC3">
        <w:rPr>
          <w:i/>
          <w:kern w:val="22"/>
          <w:szCs w:val="22"/>
          <w:lang w:val="fr-CA"/>
        </w:rPr>
        <w:t> </w:t>
      </w:r>
      <w:r w:rsidR="007502FD" w:rsidRPr="00B26B5B">
        <w:rPr>
          <w:kern w:val="22"/>
          <w:szCs w:val="22"/>
          <w:lang w:val="fr-CA"/>
        </w:rPr>
        <w:t xml:space="preserve">: </w:t>
      </w:r>
      <w:r w:rsidRPr="00B26B5B">
        <w:rPr>
          <w:kern w:val="22"/>
          <w:szCs w:val="22"/>
          <w:lang w:val="fr-CA"/>
        </w:rPr>
        <w:t>Organiser des activités de partage des connaissances et de sensibilisation afin d’améliorer la part</w:t>
      </w:r>
      <w:r w:rsidR="00A447E7">
        <w:rPr>
          <w:kern w:val="22"/>
          <w:szCs w:val="22"/>
          <w:lang w:val="fr-CA"/>
        </w:rPr>
        <w:t>icipation des parties prenantes, car l</w:t>
      </w:r>
      <w:r w:rsidRPr="00B26B5B">
        <w:rPr>
          <w:kern w:val="22"/>
          <w:szCs w:val="22"/>
          <w:lang w:val="fr-CA"/>
        </w:rPr>
        <w:t xml:space="preserve">es parties prenantes pourraient ne pas </w:t>
      </w:r>
      <w:r w:rsidR="007E466A" w:rsidRPr="00B26B5B">
        <w:rPr>
          <w:kern w:val="22"/>
          <w:szCs w:val="22"/>
          <w:lang w:val="fr-CA"/>
        </w:rPr>
        <w:t>participer avec enthousiasme si elles ne connaissent pas leurs droits ou si elles ne comprennent pas les enjeux ni les mesures à prendre dans le contexte du cadre mondial de la biodiversité pour l</w:t>
      </w:r>
      <w:r w:rsidR="00CD0FC3">
        <w:rPr>
          <w:kern w:val="22"/>
          <w:szCs w:val="22"/>
          <w:lang w:val="fr-CA"/>
        </w:rPr>
        <w:t>’</w:t>
      </w:r>
      <w:r w:rsidR="007E466A" w:rsidRPr="00B26B5B">
        <w:rPr>
          <w:kern w:val="22"/>
          <w:szCs w:val="22"/>
          <w:lang w:val="fr-CA"/>
        </w:rPr>
        <w:t>après-2020</w:t>
      </w:r>
      <w:r w:rsidR="00B92D18">
        <w:rPr>
          <w:kern w:val="22"/>
          <w:szCs w:val="22"/>
          <w:lang w:val="fr-CA"/>
        </w:rPr>
        <w:t>;</w:t>
      </w:r>
    </w:p>
    <w:p w:rsidR="0031423B" w:rsidRPr="00B26B5B" w:rsidRDefault="00A447E7" w:rsidP="00C33570">
      <w:pPr>
        <w:pStyle w:val="Para1"/>
        <w:numPr>
          <w:ilvl w:val="1"/>
          <w:numId w:val="2"/>
        </w:numPr>
        <w:suppressLineNumbers/>
        <w:tabs>
          <w:tab w:val="num" w:pos="720"/>
        </w:tabs>
        <w:suppressAutoHyphens/>
        <w:rPr>
          <w:kern w:val="22"/>
          <w:szCs w:val="22"/>
          <w:lang w:val="fr-CA"/>
        </w:rPr>
      </w:pPr>
      <w:r>
        <w:rPr>
          <w:i/>
          <w:kern w:val="22"/>
          <w:szCs w:val="22"/>
          <w:lang w:val="fr-CA"/>
        </w:rPr>
        <w:t>Mise</w:t>
      </w:r>
      <w:r w:rsidR="007E466A" w:rsidRPr="00B26B5B">
        <w:rPr>
          <w:i/>
          <w:kern w:val="22"/>
          <w:szCs w:val="22"/>
          <w:lang w:val="fr-CA"/>
        </w:rPr>
        <w:t xml:space="preserve"> en évidence</w:t>
      </w:r>
      <w:r>
        <w:rPr>
          <w:i/>
          <w:kern w:val="22"/>
          <w:szCs w:val="22"/>
          <w:lang w:val="fr-CA"/>
        </w:rPr>
        <w:t xml:space="preserve"> de</w:t>
      </w:r>
      <w:r w:rsidR="007E466A" w:rsidRPr="00B26B5B">
        <w:rPr>
          <w:i/>
          <w:kern w:val="22"/>
          <w:szCs w:val="22"/>
          <w:lang w:val="fr-CA"/>
        </w:rPr>
        <w:t xml:space="preserve"> la valeur de la diversité biologique</w:t>
      </w:r>
      <w:r w:rsidR="00CD0FC3">
        <w:rPr>
          <w:i/>
          <w:kern w:val="22"/>
          <w:szCs w:val="22"/>
          <w:lang w:val="fr-CA"/>
        </w:rPr>
        <w:t> </w:t>
      </w:r>
      <w:r w:rsidR="0031423B" w:rsidRPr="00B26B5B">
        <w:rPr>
          <w:kern w:val="22"/>
          <w:szCs w:val="22"/>
          <w:lang w:val="fr-CA"/>
        </w:rPr>
        <w:t xml:space="preserve">: </w:t>
      </w:r>
      <w:r w:rsidR="007E466A" w:rsidRPr="00B26B5B">
        <w:rPr>
          <w:kern w:val="22"/>
          <w:szCs w:val="22"/>
          <w:lang w:val="fr-CA"/>
        </w:rPr>
        <w:t xml:space="preserve">L’engagement des parties prenantes </w:t>
      </w:r>
      <w:r w:rsidR="00DD1F4B">
        <w:rPr>
          <w:kern w:val="22"/>
          <w:szCs w:val="22"/>
          <w:lang w:val="fr-CA"/>
        </w:rPr>
        <w:t>envers</w:t>
      </w:r>
      <w:r w:rsidR="007E466A" w:rsidRPr="00B26B5B">
        <w:rPr>
          <w:kern w:val="22"/>
          <w:szCs w:val="22"/>
          <w:lang w:val="fr-CA"/>
        </w:rPr>
        <w:t xml:space="preserve"> la diversité biologique doit être clairement lié à la valeur de la diversité biologique et sa contribution à la subsistance dans le contexte </w:t>
      </w:r>
      <w:r w:rsidR="00A51CD5">
        <w:rPr>
          <w:kern w:val="22"/>
          <w:szCs w:val="22"/>
          <w:lang w:val="fr-CA"/>
        </w:rPr>
        <w:t>des différentes</w:t>
      </w:r>
      <w:r w:rsidR="007E466A" w:rsidRPr="00B26B5B">
        <w:rPr>
          <w:kern w:val="22"/>
          <w:szCs w:val="22"/>
          <w:lang w:val="fr-CA"/>
        </w:rPr>
        <w:t xml:space="preserve"> </w:t>
      </w:r>
      <w:r w:rsidR="000A70D4" w:rsidRPr="00B26B5B">
        <w:rPr>
          <w:kern w:val="22"/>
          <w:szCs w:val="22"/>
          <w:lang w:val="fr-CA"/>
        </w:rPr>
        <w:t>partie</w:t>
      </w:r>
      <w:r w:rsidR="00A51CD5">
        <w:rPr>
          <w:kern w:val="22"/>
          <w:szCs w:val="22"/>
          <w:lang w:val="fr-CA"/>
        </w:rPr>
        <w:t>s</w:t>
      </w:r>
      <w:r w:rsidR="007E466A" w:rsidRPr="00B26B5B">
        <w:rPr>
          <w:kern w:val="22"/>
          <w:szCs w:val="22"/>
          <w:lang w:val="fr-CA"/>
        </w:rPr>
        <w:t xml:space="preserve"> prenante</w:t>
      </w:r>
      <w:r w:rsidR="00A51CD5">
        <w:rPr>
          <w:kern w:val="22"/>
          <w:szCs w:val="22"/>
          <w:lang w:val="fr-CA"/>
        </w:rPr>
        <w:t>s</w:t>
      </w:r>
      <w:r w:rsidR="007E466A" w:rsidRPr="00B26B5B">
        <w:rPr>
          <w:kern w:val="22"/>
          <w:szCs w:val="22"/>
          <w:lang w:val="fr-CA"/>
        </w:rPr>
        <w:t xml:space="preserve">. </w:t>
      </w:r>
      <w:r w:rsidR="000A70D4" w:rsidRPr="00B26B5B">
        <w:rPr>
          <w:kern w:val="22"/>
          <w:szCs w:val="22"/>
          <w:lang w:val="fr-CA"/>
        </w:rPr>
        <w:t>Par exemple, la gestion conjointe des aires protégées et du partage des avantages dans certains pays africains permet aux communautés de reconnaître clairement les avantages de la protection des actifs naturels grâce à des activités de développement socioéconomiques soutenu</w:t>
      </w:r>
      <w:r w:rsidR="00DD1F4B">
        <w:rPr>
          <w:kern w:val="22"/>
          <w:szCs w:val="22"/>
          <w:lang w:val="fr-CA"/>
        </w:rPr>
        <w:t>e</w:t>
      </w:r>
      <w:r w:rsidR="000A70D4" w:rsidRPr="00B26B5B">
        <w:rPr>
          <w:kern w:val="22"/>
          <w:szCs w:val="22"/>
          <w:lang w:val="fr-CA"/>
        </w:rPr>
        <w:t xml:space="preserve">s </w:t>
      </w:r>
      <w:r w:rsidR="00A51CD5">
        <w:rPr>
          <w:kern w:val="22"/>
          <w:szCs w:val="22"/>
          <w:lang w:val="fr-CA"/>
        </w:rPr>
        <w:t>par les</w:t>
      </w:r>
      <w:r w:rsidR="000A70D4" w:rsidRPr="00B26B5B">
        <w:rPr>
          <w:kern w:val="22"/>
          <w:szCs w:val="22"/>
          <w:lang w:val="fr-CA"/>
        </w:rPr>
        <w:t xml:space="preserve"> revenus des parcs.</w:t>
      </w:r>
    </w:p>
    <w:p w:rsidR="00AD2BBA" w:rsidRPr="00B26B5B" w:rsidRDefault="000A70D4" w:rsidP="00C33570">
      <w:pPr>
        <w:pStyle w:val="Para1"/>
        <w:suppressLineNumbers/>
        <w:tabs>
          <w:tab w:val="clear" w:pos="360"/>
          <w:tab w:val="num" w:pos="720"/>
        </w:tabs>
        <w:suppressAutoHyphens/>
        <w:rPr>
          <w:kern w:val="22"/>
          <w:szCs w:val="22"/>
          <w:lang w:val="fr-CA"/>
        </w:rPr>
      </w:pPr>
      <w:r w:rsidRPr="00B26B5B">
        <w:rPr>
          <w:kern w:val="22"/>
          <w:szCs w:val="22"/>
          <w:lang w:val="fr-CA"/>
        </w:rPr>
        <w:t xml:space="preserve">En dernier lieu, les participants ont </w:t>
      </w:r>
      <w:r w:rsidR="002B09FC" w:rsidRPr="00B26B5B">
        <w:rPr>
          <w:kern w:val="22"/>
          <w:szCs w:val="22"/>
          <w:lang w:val="fr-CA"/>
        </w:rPr>
        <w:t xml:space="preserve">indiqué que le Protocole de Nagoya sur l’accès et le partage des avantages, et les travaux en lien avec l’article 8j) sont de bons exemples de moyens de recueillir et de prendre en compte les perspectives des </w:t>
      </w:r>
      <w:r w:rsidR="00DD1F4B">
        <w:rPr>
          <w:kern w:val="22"/>
          <w:szCs w:val="22"/>
          <w:lang w:val="fr-CA"/>
        </w:rPr>
        <w:t>peuples</w:t>
      </w:r>
      <w:r w:rsidR="002B09FC" w:rsidRPr="00B26B5B">
        <w:rPr>
          <w:kern w:val="22"/>
          <w:szCs w:val="22"/>
          <w:lang w:val="fr-CA"/>
        </w:rPr>
        <w:t xml:space="preserve"> autochtones et des communautés locales. Le Protocole établit clairement les règles et les procédures pour obtenir le consentement préalable donné en connaissance de ca</w:t>
      </w:r>
      <w:r w:rsidR="00F713C9" w:rsidRPr="00B26B5B">
        <w:rPr>
          <w:kern w:val="22"/>
          <w:szCs w:val="22"/>
          <w:lang w:val="fr-CA"/>
        </w:rPr>
        <w:t>u</w:t>
      </w:r>
      <w:r w:rsidR="002B09FC" w:rsidRPr="00B26B5B">
        <w:rPr>
          <w:kern w:val="22"/>
          <w:szCs w:val="22"/>
          <w:lang w:val="fr-CA"/>
        </w:rPr>
        <w:t xml:space="preserve">se </w:t>
      </w:r>
      <w:r w:rsidR="00F713C9" w:rsidRPr="00B26B5B">
        <w:rPr>
          <w:kern w:val="22"/>
          <w:szCs w:val="22"/>
          <w:lang w:val="fr-CA"/>
        </w:rPr>
        <w:t xml:space="preserve">ou l’approbation </w:t>
      </w:r>
      <w:r w:rsidR="002B09FC" w:rsidRPr="00B26B5B">
        <w:rPr>
          <w:kern w:val="22"/>
          <w:szCs w:val="22"/>
          <w:lang w:val="fr-CA"/>
        </w:rPr>
        <w:t xml:space="preserve">et la participation </w:t>
      </w:r>
      <w:r w:rsidR="00F713C9" w:rsidRPr="00B26B5B">
        <w:rPr>
          <w:kern w:val="22"/>
          <w:szCs w:val="22"/>
          <w:lang w:val="fr-CA"/>
        </w:rPr>
        <w:t xml:space="preserve">des peuples autochtones et des communautés locales à l’accès et </w:t>
      </w:r>
      <w:r w:rsidR="00F713C9" w:rsidRPr="00B26B5B">
        <w:rPr>
          <w:kern w:val="22"/>
          <w:szCs w:val="22"/>
          <w:lang w:val="fr-CA"/>
        </w:rPr>
        <w:lastRenderedPageBreak/>
        <w:t>au partage des avantages découlant des ressources génétiques et des connaissances traditionnelles associées aux ressources génétiques, et offre une orientation garantissant que tou</w:t>
      </w:r>
      <w:r w:rsidR="00DD1F4B">
        <w:rPr>
          <w:kern w:val="22"/>
          <w:szCs w:val="22"/>
          <w:lang w:val="fr-CA"/>
        </w:rPr>
        <w:t>te</w:t>
      </w:r>
      <w:r w:rsidR="00F713C9" w:rsidRPr="00B26B5B">
        <w:rPr>
          <w:kern w:val="22"/>
          <w:szCs w:val="22"/>
          <w:lang w:val="fr-CA"/>
        </w:rPr>
        <w:t>s les parties prenantes participant au processus travaillent ensemble efficacement</w:t>
      </w:r>
      <w:r w:rsidR="00AD2BBA" w:rsidRPr="00B26B5B">
        <w:rPr>
          <w:kern w:val="22"/>
          <w:szCs w:val="22"/>
          <w:lang w:val="fr-CA"/>
        </w:rPr>
        <w:t>.</w:t>
      </w:r>
    </w:p>
    <w:p w:rsidR="00443000" w:rsidRPr="00B26B5B" w:rsidRDefault="00443000" w:rsidP="00C33570">
      <w:pPr>
        <w:pStyle w:val="Titre3"/>
        <w:suppressLineNumbers/>
        <w:suppressAutoHyphens/>
        <w:rPr>
          <w:kern w:val="22"/>
          <w:szCs w:val="22"/>
          <w:lang w:val="fr-CA"/>
        </w:rPr>
      </w:pPr>
      <w:r w:rsidRPr="00B26B5B">
        <w:rPr>
          <w:kern w:val="22"/>
          <w:szCs w:val="22"/>
          <w:lang w:val="fr-CA"/>
        </w:rPr>
        <w:t>1</w:t>
      </w:r>
      <w:r w:rsidR="008B2929" w:rsidRPr="00B26B5B">
        <w:rPr>
          <w:kern w:val="22"/>
          <w:szCs w:val="22"/>
          <w:lang w:val="fr-CA"/>
        </w:rPr>
        <w:t>0</w:t>
      </w:r>
      <w:r w:rsidRPr="00B26B5B">
        <w:rPr>
          <w:kern w:val="22"/>
          <w:szCs w:val="22"/>
          <w:lang w:val="fr-CA"/>
        </w:rPr>
        <w:t>.</w:t>
      </w:r>
      <w:r w:rsidRPr="00B26B5B">
        <w:rPr>
          <w:kern w:val="22"/>
          <w:szCs w:val="22"/>
          <w:lang w:val="fr-CA"/>
        </w:rPr>
        <w:tab/>
      </w:r>
      <w:r w:rsidR="00DA21F5" w:rsidRPr="00B26B5B">
        <w:rPr>
          <w:kern w:val="22"/>
          <w:szCs w:val="22"/>
          <w:lang w:val="fr-CA"/>
        </w:rPr>
        <w:t>Questions liées à l’é</w:t>
      </w:r>
      <w:r w:rsidR="00D27089" w:rsidRPr="00B26B5B">
        <w:rPr>
          <w:kern w:val="22"/>
          <w:szCs w:val="22"/>
          <w:lang w:val="fr-CA"/>
        </w:rPr>
        <w:t>galité des sexes</w:t>
      </w:r>
    </w:p>
    <w:p w:rsidR="00B37CDA" w:rsidRPr="00B26B5B" w:rsidRDefault="00DA21F5" w:rsidP="00C33570">
      <w:pPr>
        <w:pStyle w:val="Para1"/>
        <w:suppressLineNumbers/>
        <w:tabs>
          <w:tab w:val="clear" w:pos="360"/>
          <w:tab w:val="left" w:pos="720"/>
          <w:tab w:val="num" w:pos="810"/>
        </w:tabs>
        <w:suppressAutoHyphens/>
        <w:rPr>
          <w:kern w:val="22"/>
          <w:szCs w:val="22"/>
          <w:lang w:val="fr-CA"/>
        </w:rPr>
      </w:pPr>
      <w:r w:rsidRPr="00B26B5B">
        <w:rPr>
          <w:kern w:val="22"/>
          <w:szCs w:val="22"/>
          <w:lang w:val="fr-CA"/>
        </w:rPr>
        <w:t>Les participants ont souligné la nécessité d’intégrer les questions liées à l’égalité des sexes en tant que question intersectorielle dans le cadre mondial de la biodiversité pour l</w:t>
      </w:r>
      <w:r w:rsidR="00CD0FC3">
        <w:rPr>
          <w:kern w:val="22"/>
          <w:szCs w:val="22"/>
          <w:lang w:val="fr-CA"/>
        </w:rPr>
        <w:t>’</w:t>
      </w:r>
      <w:r w:rsidRPr="00B26B5B">
        <w:rPr>
          <w:kern w:val="22"/>
          <w:szCs w:val="22"/>
          <w:lang w:val="fr-CA"/>
        </w:rPr>
        <w:t xml:space="preserve">après-2020 et d’encourager l’égalité des sexes dans la mise en œuvre du cadre. </w:t>
      </w:r>
      <w:r w:rsidR="00DD1F4B">
        <w:rPr>
          <w:kern w:val="22"/>
          <w:szCs w:val="22"/>
          <w:lang w:val="fr-CA"/>
        </w:rPr>
        <w:t>L</w:t>
      </w:r>
      <w:r w:rsidR="00D340EE" w:rsidRPr="00B26B5B">
        <w:rPr>
          <w:kern w:val="22"/>
          <w:szCs w:val="22"/>
          <w:lang w:val="fr-CA"/>
        </w:rPr>
        <w:t>’égalité des sexes n’a pas été bien incorporée dans le Plan stratégique pour la diversité biologique 2011-2020</w:t>
      </w:r>
      <w:r w:rsidR="00675EF8">
        <w:rPr>
          <w:kern w:val="22"/>
          <w:szCs w:val="22"/>
          <w:lang w:val="fr-CA"/>
        </w:rPr>
        <w:t xml:space="preserve">. Elle </w:t>
      </w:r>
      <w:r w:rsidR="00D340EE" w:rsidRPr="00B26B5B">
        <w:rPr>
          <w:kern w:val="22"/>
          <w:szCs w:val="22"/>
          <w:lang w:val="fr-CA"/>
        </w:rPr>
        <w:t>n’est abordée que dans le chapitre sur les mécanismes de soutien et non intégré</w:t>
      </w:r>
      <w:r w:rsidR="00675EF8">
        <w:rPr>
          <w:kern w:val="22"/>
          <w:szCs w:val="22"/>
          <w:lang w:val="fr-CA"/>
        </w:rPr>
        <w:t>e</w:t>
      </w:r>
      <w:r w:rsidR="00D340EE" w:rsidRPr="00B26B5B">
        <w:rPr>
          <w:kern w:val="22"/>
          <w:szCs w:val="22"/>
          <w:lang w:val="fr-CA"/>
        </w:rPr>
        <w:t xml:space="preserve"> à chacun des objectifs. De plus, le Plan d’action pour l’égalité des sexes de la CDB n’a pas bien été publicisé ni communiqué aux divers groupes.</w:t>
      </w:r>
    </w:p>
    <w:p w:rsidR="00B37CDA" w:rsidRPr="00B26B5B" w:rsidRDefault="00675EF8" w:rsidP="00C33570">
      <w:pPr>
        <w:pStyle w:val="Para1"/>
        <w:suppressLineNumbers/>
        <w:tabs>
          <w:tab w:val="clear" w:pos="360"/>
          <w:tab w:val="left" w:pos="720"/>
          <w:tab w:val="num" w:pos="810"/>
        </w:tabs>
        <w:suppressAutoHyphens/>
        <w:rPr>
          <w:kern w:val="22"/>
          <w:szCs w:val="22"/>
          <w:lang w:val="fr-CA"/>
        </w:rPr>
      </w:pPr>
      <w:r>
        <w:rPr>
          <w:kern w:val="22"/>
          <w:szCs w:val="22"/>
          <w:lang w:val="fr-CA"/>
        </w:rPr>
        <w:t>L</w:t>
      </w:r>
      <w:r w:rsidR="00DF3581" w:rsidRPr="00B26B5B">
        <w:rPr>
          <w:kern w:val="22"/>
          <w:szCs w:val="22"/>
          <w:lang w:val="fr-CA"/>
        </w:rPr>
        <w:t xml:space="preserve">’expression égalité des sexes ne fait référence qu’aux femmes et non à l’éventail complet des enjeux associés aux attentes, aux rôles et aux responsabilités socialement réparties entre les hommes et les femmes dans la gestion de la diversité biologique </w:t>
      </w:r>
      <w:r w:rsidR="00320518" w:rsidRPr="00B26B5B">
        <w:rPr>
          <w:kern w:val="22"/>
          <w:szCs w:val="22"/>
          <w:lang w:val="fr-CA"/>
        </w:rPr>
        <w:t xml:space="preserve">ni </w:t>
      </w:r>
      <w:r>
        <w:rPr>
          <w:kern w:val="22"/>
          <w:szCs w:val="22"/>
          <w:lang w:val="fr-CA"/>
        </w:rPr>
        <w:t>aux</w:t>
      </w:r>
      <w:r w:rsidR="00DF3581" w:rsidRPr="00B26B5B">
        <w:rPr>
          <w:kern w:val="22"/>
          <w:szCs w:val="22"/>
          <w:lang w:val="fr-CA"/>
        </w:rPr>
        <w:t xml:space="preserve"> autres enjeux tels que les inégalités liées au sexe</w:t>
      </w:r>
      <w:r>
        <w:rPr>
          <w:kern w:val="22"/>
          <w:szCs w:val="22"/>
          <w:lang w:val="fr-CA"/>
        </w:rPr>
        <w:t xml:space="preserve"> dans le contexte du </w:t>
      </w:r>
      <w:r w:rsidR="00DF3581" w:rsidRPr="00B26B5B">
        <w:rPr>
          <w:kern w:val="22"/>
          <w:szCs w:val="22"/>
          <w:lang w:val="fr-CA"/>
        </w:rPr>
        <w:t>droit aux ressources, l’accès aux connaissances et aux occasions, et l’intégration dans les processus pertinents.</w:t>
      </w:r>
      <w:r w:rsidR="00320518" w:rsidRPr="00B26B5B">
        <w:rPr>
          <w:kern w:val="22"/>
          <w:szCs w:val="22"/>
          <w:lang w:val="fr-CA"/>
        </w:rPr>
        <w:t xml:space="preserve"> </w:t>
      </w:r>
      <w:r>
        <w:rPr>
          <w:kern w:val="22"/>
          <w:szCs w:val="22"/>
          <w:lang w:val="fr-CA"/>
        </w:rPr>
        <w:t>Des</w:t>
      </w:r>
      <w:r w:rsidR="00320518" w:rsidRPr="00B26B5B">
        <w:rPr>
          <w:kern w:val="22"/>
          <w:szCs w:val="22"/>
          <w:lang w:val="fr-CA"/>
        </w:rPr>
        <w:t xml:space="preserve"> efforts supplémentaires sont </w:t>
      </w:r>
      <w:r>
        <w:rPr>
          <w:kern w:val="22"/>
          <w:szCs w:val="22"/>
          <w:lang w:val="fr-CA"/>
        </w:rPr>
        <w:t xml:space="preserve">donc </w:t>
      </w:r>
      <w:r w:rsidR="00320518" w:rsidRPr="00B26B5B">
        <w:rPr>
          <w:kern w:val="22"/>
          <w:szCs w:val="22"/>
          <w:lang w:val="fr-CA"/>
        </w:rPr>
        <w:t>nécessaires afin d’élever le niveau de sensibilisation à l’égalité des sexes et à la sensibilité au genre. Il faut toute</w:t>
      </w:r>
      <w:r w:rsidR="00CD0FC3">
        <w:rPr>
          <w:kern w:val="22"/>
          <w:szCs w:val="22"/>
          <w:lang w:val="fr-CA"/>
        </w:rPr>
        <w:t xml:space="preserve">fois </w:t>
      </w:r>
      <w:r w:rsidR="00320518" w:rsidRPr="00B26B5B">
        <w:rPr>
          <w:kern w:val="22"/>
          <w:szCs w:val="22"/>
          <w:lang w:val="fr-CA"/>
        </w:rPr>
        <w:t>être conscient des différents systèmes et des capacités des pays lors des échanges sur la mise en œuvre de politiques sensi</w:t>
      </w:r>
      <w:r w:rsidR="00B6428E" w:rsidRPr="00B26B5B">
        <w:rPr>
          <w:kern w:val="22"/>
          <w:szCs w:val="22"/>
          <w:lang w:val="fr-CA"/>
        </w:rPr>
        <w:t>b</w:t>
      </w:r>
      <w:r w:rsidR="00320518" w:rsidRPr="00B26B5B">
        <w:rPr>
          <w:kern w:val="22"/>
          <w:szCs w:val="22"/>
          <w:lang w:val="fr-CA"/>
        </w:rPr>
        <w:t>les au genre</w:t>
      </w:r>
      <w:r w:rsidR="00B37CDA" w:rsidRPr="00B26B5B">
        <w:rPr>
          <w:kern w:val="22"/>
          <w:szCs w:val="22"/>
          <w:lang w:val="fr-CA"/>
        </w:rPr>
        <w:t>.</w:t>
      </w:r>
    </w:p>
    <w:p w:rsidR="00443000" w:rsidRPr="00B26B5B" w:rsidRDefault="00675EF8" w:rsidP="00C33570">
      <w:pPr>
        <w:pStyle w:val="Para1"/>
        <w:suppressLineNumbers/>
        <w:tabs>
          <w:tab w:val="clear" w:pos="360"/>
          <w:tab w:val="num" w:pos="720"/>
        </w:tabs>
        <w:suppressAutoHyphens/>
        <w:rPr>
          <w:kern w:val="22"/>
          <w:szCs w:val="22"/>
          <w:lang w:val="fr-CA"/>
        </w:rPr>
      </w:pPr>
      <w:r>
        <w:rPr>
          <w:kern w:val="22"/>
          <w:szCs w:val="22"/>
          <w:lang w:val="fr-CA"/>
        </w:rPr>
        <w:t>U</w:t>
      </w:r>
      <w:r w:rsidR="00B6428E" w:rsidRPr="00B26B5B">
        <w:rPr>
          <w:kern w:val="22"/>
          <w:szCs w:val="22"/>
          <w:lang w:val="fr-CA"/>
        </w:rPr>
        <w:t xml:space="preserve">ne coordination efficace entre les ministères gouvernementaux </w:t>
      </w:r>
      <w:r w:rsidR="0059410E">
        <w:rPr>
          <w:kern w:val="22"/>
          <w:szCs w:val="22"/>
          <w:lang w:val="fr-CA"/>
        </w:rPr>
        <w:t xml:space="preserve">est nécessaire </w:t>
      </w:r>
      <w:r w:rsidR="00B6428E" w:rsidRPr="00B26B5B">
        <w:rPr>
          <w:kern w:val="22"/>
          <w:szCs w:val="22"/>
          <w:lang w:val="fr-CA"/>
        </w:rPr>
        <w:t xml:space="preserve">dans le développement et la mise en œuvre de plans d’action sur l’égalité des sexes. </w:t>
      </w:r>
      <w:r w:rsidR="0059410E">
        <w:rPr>
          <w:kern w:val="22"/>
          <w:szCs w:val="22"/>
          <w:lang w:val="fr-CA"/>
        </w:rPr>
        <w:t xml:space="preserve">Des </w:t>
      </w:r>
      <w:r w:rsidR="00B6428E" w:rsidRPr="00B26B5B">
        <w:rPr>
          <w:kern w:val="22"/>
          <w:szCs w:val="22"/>
          <w:lang w:val="fr-CA"/>
        </w:rPr>
        <w:t xml:space="preserve">données de référence sur l’égalité des sexes </w:t>
      </w:r>
      <w:r w:rsidR="0059410E">
        <w:rPr>
          <w:kern w:val="22"/>
          <w:szCs w:val="22"/>
          <w:lang w:val="fr-CA"/>
        </w:rPr>
        <w:t>doivent être</w:t>
      </w:r>
      <w:r w:rsidR="0059410E" w:rsidRPr="00B26B5B">
        <w:rPr>
          <w:kern w:val="22"/>
          <w:szCs w:val="22"/>
          <w:lang w:val="fr-CA"/>
        </w:rPr>
        <w:t xml:space="preserve"> recueillies </w:t>
      </w:r>
      <w:r w:rsidR="00B6428E" w:rsidRPr="00B26B5B">
        <w:rPr>
          <w:kern w:val="22"/>
          <w:szCs w:val="22"/>
          <w:lang w:val="fr-CA"/>
        </w:rPr>
        <w:t>dans le contexte de la gestion de la diversité biologique</w:t>
      </w:r>
      <w:r w:rsidR="00266E8E" w:rsidRPr="00B26B5B">
        <w:rPr>
          <w:kern w:val="22"/>
          <w:szCs w:val="22"/>
          <w:lang w:val="fr-CA"/>
        </w:rPr>
        <w:t>.</w:t>
      </w:r>
    </w:p>
    <w:p w:rsidR="00443000" w:rsidRPr="00B26B5B" w:rsidRDefault="00443000" w:rsidP="00C33570">
      <w:pPr>
        <w:pStyle w:val="Titre3"/>
        <w:suppressLineNumbers/>
        <w:suppressAutoHyphens/>
        <w:rPr>
          <w:kern w:val="22"/>
          <w:szCs w:val="22"/>
          <w:lang w:val="fr-CA"/>
        </w:rPr>
      </w:pPr>
      <w:r w:rsidRPr="00B26B5B">
        <w:rPr>
          <w:kern w:val="22"/>
          <w:szCs w:val="22"/>
          <w:lang w:val="fr-CA"/>
        </w:rPr>
        <w:t>1</w:t>
      </w:r>
      <w:r w:rsidR="008B2929" w:rsidRPr="00B26B5B">
        <w:rPr>
          <w:kern w:val="22"/>
          <w:szCs w:val="22"/>
          <w:lang w:val="fr-CA"/>
        </w:rPr>
        <w:t>1</w:t>
      </w:r>
      <w:r w:rsidR="008B22DB" w:rsidRPr="00B26B5B">
        <w:rPr>
          <w:kern w:val="22"/>
          <w:szCs w:val="22"/>
          <w:lang w:val="fr-CA"/>
        </w:rPr>
        <w:t>.</w:t>
      </w:r>
      <w:r w:rsidR="008B22DB" w:rsidRPr="00B26B5B">
        <w:rPr>
          <w:kern w:val="22"/>
          <w:szCs w:val="22"/>
          <w:lang w:val="fr-CA"/>
        </w:rPr>
        <w:tab/>
      </w:r>
      <w:r w:rsidR="00D27089" w:rsidRPr="00B26B5B">
        <w:rPr>
          <w:kern w:val="22"/>
          <w:szCs w:val="22"/>
          <w:lang w:val="fr-CA"/>
        </w:rPr>
        <w:t>Mise en œuvre à l’échelle nationale, et stratégie et plans d’action nationaux pour la biodiversité</w:t>
      </w:r>
    </w:p>
    <w:p w:rsidR="003B2E0D" w:rsidRPr="00B26B5B" w:rsidRDefault="00B6428E" w:rsidP="00C33570">
      <w:pPr>
        <w:pStyle w:val="Para1"/>
        <w:suppressLineNumbers/>
        <w:tabs>
          <w:tab w:val="clear" w:pos="360"/>
        </w:tabs>
        <w:suppressAutoHyphens/>
        <w:rPr>
          <w:kern w:val="22"/>
          <w:szCs w:val="22"/>
          <w:lang w:val="fr-CA"/>
        </w:rPr>
      </w:pPr>
      <w:r w:rsidRPr="00B26B5B">
        <w:rPr>
          <w:kern w:val="22"/>
          <w:szCs w:val="22"/>
          <w:lang w:val="fr-CA"/>
        </w:rPr>
        <w:t>Les participants ont débattu de l’influence que pourrait avoir le cadre de l’après-2020 sur l’élaboration</w:t>
      </w:r>
      <w:r w:rsidR="00716782" w:rsidRPr="00B26B5B">
        <w:rPr>
          <w:kern w:val="22"/>
          <w:szCs w:val="22"/>
          <w:lang w:val="fr-CA"/>
        </w:rPr>
        <w:t xml:space="preserve"> et</w:t>
      </w:r>
      <w:r w:rsidRPr="00B26B5B">
        <w:rPr>
          <w:kern w:val="22"/>
          <w:szCs w:val="22"/>
          <w:lang w:val="fr-CA"/>
        </w:rPr>
        <w:t xml:space="preserve"> la mise en œuvre des </w:t>
      </w:r>
      <w:r w:rsidR="00C837FE">
        <w:rPr>
          <w:kern w:val="22"/>
          <w:szCs w:val="22"/>
          <w:lang w:val="fr-CA"/>
        </w:rPr>
        <w:t>SPANB</w:t>
      </w:r>
      <w:r w:rsidR="00716782" w:rsidRPr="00B26B5B">
        <w:rPr>
          <w:kern w:val="22"/>
          <w:szCs w:val="22"/>
          <w:lang w:val="fr-CA"/>
        </w:rPr>
        <w:t xml:space="preserve">, </w:t>
      </w:r>
      <w:r w:rsidRPr="00B26B5B">
        <w:rPr>
          <w:kern w:val="22"/>
          <w:szCs w:val="22"/>
          <w:lang w:val="fr-CA"/>
        </w:rPr>
        <w:t xml:space="preserve">des exigences pour </w:t>
      </w:r>
      <w:r w:rsidR="0059410E">
        <w:rPr>
          <w:kern w:val="22"/>
          <w:szCs w:val="22"/>
          <w:lang w:val="fr-CA"/>
        </w:rPr>
        <w:t>aligner</w:t>
      </w:r>
      <w:r w:rsidR="00716782" w:rsidRPr="00B26B5B">
        <w:rPr>
          <w:kern w:val="22"/>
          <w:szCs w:val="22"/>
          <w:lang w:val="fr-CA"/>
        </w:rPr>
        <w:t xml:space="preserve"> les </w:t>
      </w:r>
      <w:r w:rsidR="00C837FE">
        <w:rPr>
          <w:kern w:val="22"/>
          <w:szCs w:val="22"/>
          <w:lang w:val="fr-CA"/>
        </w:rPr>
        <w:t>SPANB</w:t>
      </w:r>
      <w:r w:rsidR="00716782" w:rsidRPr="00B26B5B">
        <w:rPr>
          <w:kern w:val="22"/>
          <w:szCs w:val="22"/>
          <w:lang w:val="fr-CA"/>
        </w:rPr>
        <w:t xml:space="preserve"> et le cadre de l’après-2020 et des éléments à inclure dans le cadre afin d’accroître l’efficacité et la mise en œuvre des </w:t>
      </w:r>
      <w:r w:rsidR="00C837FE">
        <w:rPr>
          <w:kern w:val="22"/>
          <w:szCs w:val="22"/>
          <w:lang w:val="fr-CA"/>
        </w:rPr>
        <w:t>SPANB</w:t>
      </w:r>
      <w:r w:rsidR="00583864" w:rsidRPr="00B26B5B">
        <w:rPr>
          <w:kern w:val="22"/>
          <w:szCs w:val="22"/>
          <w:lang w:val="fr-CA"/>
        </w:rPr>
        <w:t>.</w:t>
      </w:r>
    </w:p>
    <w:p w:rsidR="00D14792" w:rsidRPr="00B26B5B" w:rsidRDefault="0059410E" w:rsidP="00C33570">
      <w:pPr>
        <w:pStyle w:val="Para1"/>
        <w:suppressLineNumbers/>
        <w:tabs>
          <w:tab w:val="clear" w:pos="360"/>
        </w:tabs>
        <w:suppressAutoHyphens/>
        <w:rPr>
          <w:kern w:val="22"/>
          <w:szCs w:val="22"/>
          <w:lang w:val="fr-CA"/>
        </w:rPr>
      </w:pPr>
      <w:r>
        <w:rPr>
          <w:kern w:val="22"/>
          <w:szCs w:val="22"/>
          <w:lang w:val="fr-CA"/>
        </w:rPr>
        <w:t>L</w:t>
      </w:r>
      <w:r w:rsidRPr="00B26B5B">
        <w:rPr>
          <w:kern w:val="22"/>
          <w:szCs w:val="22"/>
          <w:lang w:val="fr-CA"/>
        </w:rPr>
        <w:t xml:space="preserve">e </w:t>
      </w:r>
      <w:r>
        <w:rPr>
          <w:kern w:val="22"/>
          <w:szCs w:val="22"/>
          <w:lang w:val="fr-CA"/>
        </w:rPr>
        <w:t xml:space="preserve">SPANB, en </w:t>
      </w:r>
      <w:r w:rsidR="00716782" w:rsidRPr="00B26B5B">
        <w:rPr>
          <w:kern w:val="22"/>
          <w:szCs w:val="22"/>
          <w:lang w:val="fr-CA"/>
        </w:rPr>
        <w:t xml:space="preserve">tant que mécanisme principal de la mise en œuvre de la Convention à l’échelle nationale, </w:t>
      </w:r>
      <w:r>
        <w:rPr>
          <w:kern w:val="22"/>
          <w:szCs w:val="22"/>
          <w:lang w:val="fr-CA"/>
        </w:rPr>
        <w:t>est</w:t>
      </w:r>
      <w:r w:rsidR="00716782" w:rsidRPr="00B26B5B">
        <w:rPr>
          <w:kern w:val="22"/>
          <w:szCs w:val="22"/>
          <w:lang w:val="fr-CA"/>
        </w:rPr>
        <w:t xml:space="preserve"> essentiel à la mise en œuvre du cadre mondial de la biodiversité pour l</w:t>
      </w:r>
      <w:r w:rsidR="00CD0FC3">
        <w:rPr>
          <w:kern w:val="22"/>
          <w:szCs w:val="22"/>
          <w:lang w:val="fr-CA"/>
        </w:rPr>
        <w:t>’</w:t>
      </w:r>
      <w:r w:rsidR="00716782" w:rsidRPr="00B26B5B">
        <w:rPr>
          <w:kern w:val="22"/>
          <w:szCs w:val="22"/>
          <w:lang w:val="fr-CA"/>
        </w:rPr>
        <w:t>après-2020</w:t>
      </w:r>
      <w:r w:rsidR="00E15EF6" w:rsidRPr="00B26B5B">
        <w:rPr>
          <w:kern w:val="22"/>
          <w:szCs w:val="22"/>
          <w:lang w:val="fr-CA"/>
        </w:rPr>
        <w:t>.</w:t>
      </w:r>
      <w:r w:rsidR="00716782" w:rsidRPr="00B26B5B">
        <w:rPr>
          <w:kern w:val="22"/>
          <w:szCs w:val="22"/>
          <w:lang w:val="fr-CA"/>
        </w:rPr>
        <w:t xml:space="preserve"> </w:t>
      </w:r>
      <w:r>
        <w:rPr>
          <w:kern w:val="22"/>
          <w:szCs w:val="22"/>
          <w:lang w:val="fr-CA"/>
        </w:rPr>
        <w:t>Il est donc important</w:t>
      </w:r>
      <w:r w:rsidR="00716782" w:rsidRPr="00B26B5B">
        <w:rPr>
          <w:kern w:val="22"/>
          <w:szCs w:val="22"/>
          <w:lang w:val="fr-CA"/>
        </w:rPr>
        <w:t xml:space="preserve"> de poursuivre la mise en œuvre </w:t>
      </w:r>
      <w:r w:rsidR="00290691" w:rsidRPr="00B26B5B">
        <w:rPr>
          <w:kern w:val="22"/>
          <w:szCs w:val="22"/>
          <w:lang w:val="fr-CA"/>
        </w:rPr>
        <w:t>des</w:t>
      </w:r>
      <w:r w:rsidR="00716782" w:rsidRPr="00B26B5B">
        <w:rPr>
          <w:kern w:val="22"/>
          <w:szCs w:val="22"/>
          <w:lang w:val="fr-CA"/>
        </w:rPr>
        <w:t xml:space="preserve"> </w:t>
      </w:r>
      <w:r w:rsidR="00C837FE">
        <w:rPr>
          <w:kern w:val="22"/>
          <w:szCs w:val="22"/>
          <w:lang w:val="fr-CA"/>
        </w:rPr>
        <w:t>SPANB</w:t>
      </w:r>
      <w:r w:rsidR="00716782" w:rsidRPr="00B26B5B">
        <w:rPr>
          <w:kern w:val="22"/>
          <w:szCs w:val="22"/>
          <w:lang w:val="fr-CA"/>
        </w:rPr>
        <w:t xml:space="preserve"> actualisé</w:t>
      </w:r>
      <w:r w:rsidR="00290691" w:rsidRPr="00B26B5B">
        <w:rPr>
          <w:kern w:val="22"/>
          <w:szCs w:val="22"/>
          <w:lang w:val="fr-CA"/>
        </w:rPr>
        <w:t>s</w:t>
      </w:r>
      <w:r w:rsidR="00716782" w:rsidRPr="00B26B5B">
        <w:rPr>
          <w:kern w:val="22"/>
          <w:szCs w:val="22"/>
          <w:lang w:val="fr-CA"/>
        </w:rPr>
        <w:t xml:space="preserve"> adopté</w:t>
      </w:r>
      <w:r w:rsidR="00290691" w:rsidRPr="00B26B5B">
        <w:rPr>
          <w:kern w:val="22"/>
          <w:szCs w:val="22"/>
          <w:lang w:val="fr-CA"/>
        </w:rPr>
        <w:t>s</w:t>
      </w:r>
      <w:r w:rsidR="00716782" w:rsidRPr="00B26B5B">
        <w:rPr>
          <w:kern w:val="22"/>
          <w:szCs w:val="22"/>
          <w:lang w:val="fr-CA"/>
        </w:rPr>
        <w:t xml:space="preserve"> par les Parties au cours des dernières années</w:t>
      </w:r>
      <w:r w:rsidR="00290691" w:rsidRPr="00B26B5B">
        <w:rPr>
          <w:kern w:val="22"/>
          <w:szCs w:val="22"/>
          <w:lang w:val="fr-CA"/>
        </w:rPr>
        <w:t>, car la plupart des priorités, des cibles et des difficultés qui y sont recensé</w:t>
      </w:r>
      <w:r w:rsidR="00CD0FC3">
        <w:rPr>
          <w:kern w:val="22"/>
          <w:szCs w:val="22"/>
          <w:lang w:val="fr-CA"/>
        </w:rPr>
        <w:t>e</w:t>
      </w:r>
      <w:r w:rsidR="00290691" w:rsidRPr="00B26B5B">
        <w:rPr>
          <w:kern w:val="22"/>
          <w:szCs w:val="22"/>
          <w:lang w:val="fr-CA"/>
        </w:rPr>
        <w:t>s demeurent valides.</w:t>
      </w:r>
    </w:p>
    <w:p w:rsidR="00D14792" w:rsidRPr="00B26B5B" w:rsidRDefault="00290691" w:rsidP="00C33570">
      <w:pPr>
        <w:pStyle w:val="Para1"/>
        <w:suppressLineNumbers/>
        <w:tabs>
          <w:tab w:val="clear" w:pos="360"/>
        </w:tabs>
        <w:suppressAutoHyphens/>
        <w:rPr>
          <w:kern w:val="22"/>
          <w:szCs w:val="22"/>
          <w:lang w:val="fr-CA"/>
        </w:rPr>
      </w:pPr>
      <w:r w:rsidRPr="00B26B5B">
        <w:rPr>
          <w:kern w:val="22"/>
          <w:szCs w:val="22"/>
          <w:lang w:val="fr-CA"/>
        </w:rPr>
        <w:t>Les suggestions suivantes ont été faites afin de faciliter et d’améliorer la mise en œuvre dans les pays</w:t>
      </w:r>
      <w:r w:rsidR="00CD0FC3">
        <w:rPr>
          <w:kern w:val="22"/>
          <w:szCs w:val="22"/>
          <w:lang w:val="fr-CA"/>
        </w:rPr>
        <w:t> </w:t>
      </w:r>
      <w:r w:rsidR="00D14792" w:rsidRPr="00B26B5B">
        <w:rPr>
          <w:kern w:val="22"/>
          <w:szCs w:val="22"/>
          <w:lang w:val="fr-CA"/>
        </w:rPr>
        <w:t>:</w:t>
      </w:r>
    </w:p>
    <w:p w:rsidR="00D14792" w:rsidRPr="00B26B5B" w:rsidRDefault="0059410E" w:rsidP="00C33570">
      <w:pPr>
        <w:pStyle w:val="Para1"/>
        <w:numPr>
          <w:ilvl w:val="1"/>
          <w:numId w:val="2"/>
        </w:numPr>
        <w:suppressLineNumbers/>
        <w:suppressAutoHyphens/>
        <w:rPr>
          <w:kern w:val="22"/>
          <w:szCs w:val="22"/>
          <w:lang w:val="fr-CA"/>
        </w:rPr>
      </w:pPr>
      <w:r>
        <w:rPr>
          <w:kern w:val="22"/>
          <w:szCs w:val="22"/>
          <w:lang w:val="fr-CA"/>
        </w:rPr>
        <w:t>Le cadre de l’apr</w:t>
      </w:r>
      <w:r w:rsidR="00FF10FA" w:rsidRPr="00B26B5B">
        <w:rPr>
          <w:kern w:val="22"/>
          <w:szCs w:val="22"/>
          <w:lang w:val="fr-CA"/>
        </w:rPr>
        <w:t xml:space="preserve">ès-2020 doit préconiser une approche adaptative en vertu de laquelle les Parties réviseraient et aligneraient leur </w:t>
      </w:r>
      <w:r w:rsidR="00C837FE">
        <w:rPr>
          <w:kern w:val="22"/>
          <w:szCs w:val="22"/>
          <w:lang w:val="fr-CA"/>
        </w:rPr>
        <w:t>SPANB</w:t>
      </w:r>
      <w:r w:rsidR="00FF10FA" w:rsidRPr="00B26B5B">
        <w:rPr>
          <w:kern w:val="22"/>
          <w:szCs w:val="22"/>
          <w:lang w:val="fr-CA"/>
        </w:rPr>
        <w:t xml:space="preserve"> sur les nouvelles questions émergentes liées à la diversité biologique recensées dans le cadre de l’après-2020</w:t>
      </w:r>
      <w:r w:rsidR="00B92D18">
        <w:rPr>
          <w:kern w:val="22"/>
          <w:szCs w:val="22"/>
          <w:lang w:val="fr-CA"/>
        </w:rPr>
        <w:t>;</w:t>
      </w:r>
    </w:p>
    <w:p w:rsidR="00D14792" w:rsidRPr="00B26B5B" w:rsidRDefault="00FF10FA" w:rsidP="00C33570">
      <w:pPr>
        <w:pStyle w:val="Para1"/>
        <w:numPr>
          <w:ilvl w:val="1"/>
          <w:numId w:val="2"/>
        </w:numPr>
        <w:suppressLineNumbers/>
        <w:suppressAutoHyphens/>
        <w:rPr>
          <w:kern w:val="22"/>
          <w:szCs w:val="22"/>
          <w:lang w:val="fr-CA"/>
        </w:rPr>
      </w:pPr>
      <w:r w:rsidRPr="00B26B5B">
        <w:rPr>
          <w:kern w:val="22"/>
          <w:szCs w:val="22"/>
          <w:lang w:val="fr-CA"/>
        </w:rPr>
        <w:t>Le cadre de l’</w:t>
      </w:r>
      <w:r w:rsidR="008D0F6F" w:rsidRPr="00B26B5B">
        <w:rPr>
          <w:kern w:val="22"/>
          <w:szCs w:val="22"/>
          <w:lang w:val="fr-CA"/>
        </w:rPr>
        <w:t>apr</w:t>
      </w:r>
      <w:r w:rsidRPr="00B26B5B">
        <w:rPr>
          <w:kern w:val="22"/>
          <w:szCs w:val="22"/>
          <w:lang w:val="fr-CA"/>
        </w:rPr>
        <w:t xml:space="preserve">ès-2020 doit mettre en évidence le volet de partage des avantages </w:t>
      </w:r>
      <w:r w:rsidR="008D0F6F" w:rsidRPr="00B26B5B">
        <w:rPr>
          <w:kern w:val="22"/>
          <w:szCs w:val="22"/>
          <w:lang w:val="fr-CA"/>
        </w:rPr>
        <w:t>en tant que mesure d’encouragement pour la conservation et l’utilisation durable de la diversité biologique</w:t>
      </w:r>
      <w:r w:rsidR="00DC38DC">
        <w:rPr>
          <w:kern w:val="22"/>
          <w:szCs w:val="22"/>
          <w:lang w:val="fr-CA"/>
        </w:rPr>
        <w:t>. À cet égard, le cadre de l’apr</w:t>
      </w:r>
      <w:r w:rsidR="008D0F6F" w:rsidRPr="00B26B5B">
        <w:rPr>
          <w:kern w:val="22"/>
          <w:szCs w:val="22"/>
          <w:lang w:val="fr-CA"/>
        </w:rPr>
        <w:t xml:space="preserve">ès-2020 </w:t>
      </w:r>
      <w:r w:rsidR="00DC38DC">
        <w:rPr>
          <w:kern w:val="22"/>
          <w:szCs w:val="22"/>
          <w:lang w:val="fr-CA"/>
        </w:rPr>
        <w:t>doit</w:t>
      </w:r>
      <w:r w:rsidR="008D0F6F" w:rsidRPr="00B26B5B">
        <w:rPr>
          <w:kern w:val="22"/>
          <w:szCs w:val="22"/>
          <w:lang w:val="fr-CA"/>
        </w:rPr>
        <w:t xml:space="preserve"> cibler davantage et plus fortement l’accès et le partage des avantages, et les </w:t>
      </w:r>
      <w:r w:rsidR="00C837FE">
        <w:rPr>
          <w:kern w:val="22"/>
          <w:szCs w:val="22"/>
          <w:lang w:val="fr-CA"/>
        </w:rPr>
        <w:t>SPANB</w:t>
      </w:r>
      <w:r w:rsidR="008D0F6F" w:rsidRPr="00B26B5B">
        <w:rPr>
          <w:kern w:val="22"/>
          <w:szCs w:val="22"/>
          <w:lang w:val="fr-CA"/>
        </w:rPr>
        <w:t xml:space="preserve"> </w:t>
      </w:r>
      <w:r w:rsidR="00DC38DC">
        <w:rPr>
          <w:kern w:val="22"/>
          <w:szCs w:val="22"/>
          <w:lang w:val="fr-CA"/>
        </w:rPr>
        <w:t>doivent</w:t>
      </w:r>
      <w:r w:rsidR="008D0F6F" w:rsidRPr="00B26B5B">
        <w:rPr>
          <w:kern w:val="22"/>
          <w:szCs w:val="22"/>
          <w:lang w:val="fr-CA"/>
        </w:rPr>
        <w:t xml:space="preserve"> être adaptés en conséquence afin de faciliter la réalisation de cet objectif </w:t>
      </w:r>
      <w:r w:rsidR="00DC38DC">
        <w:rPr>
          <w:kern w:val="22"/>
          <w:szCs w:val="22"/>
          <w:lang w:val="fr-CA"/>
        </w:rPr>
        <w:t>dans les</w:t>
      </w:r>
      <w:r w:rsidR="008D0F6F" w:rsidRPr="00B26B5B">
        <w:rPr>
          <w:kern w:val="22"/>
          <w:szCs w:val="22"/>
          <w:lang w:val="fr-CA"/>
        </w:rPr>
        <w:t xml:space="preserve"> pays</w:t>
      </w:r>
      <w:r w:rsidR="00B92D18">
        <w:rPr>
          <w:kern w:val="22"/>
          <w:szCs w:val="22"/>
          <w:lang w:val="fr-CA"/>
        </w:rPr>
        <w:t>;</w:t>
      </w:r>
    </w:p>
    <w:p w:rsidR="00D14792" w:rsidRPr="00B26B5B" w:rsidRDefault="008D0F6F" w:rsidP="00C33570">
      <w:pPr>
        <w:pStyle w:val="Para1"/>
        <w:numPr>
          <w:ilvl w:val="1"/>
          <w:numId w:val="2"/>
        </w:numPr>
        <w:suppressLineNumbers/>
        <w:suppressAutoHyphens/>
        <w:rPr>
          <w:kern w:val="22"/>
          <w:szCs w:val="22"/>
          <w:lang w:val="fr-CA"/>
        </w:rPr>
      </w:pPr>
      <w:r w:rsidRPr="00B26B5B">
        <w:rPr>
          <w:kern w:val="22"/>
          <w:szCs w:val="22"/>
          <w:lang w:val="fr-CA"/>
        </w:rPr>
        <w:t xml:space="preserve">Les </w:t>
      </w:r>
      <w:r w:rsidR="00046932" w:rsidRPr="00B26B5B">
        <w:rPr>
          <w:kern w:val="22"/>
          <w:szCs w:val="22"/>
          <w:lang w:val="fr-CA"/>
        </w:rPr>
        <w:t>plans, programmes et échéa</w:t>
      </w:r>
      <w:r w:rsidRPr="00B26B5B">
        <w:rPr>
          <w:kern w:val="22"/>
          <w:szCs w:val="22"/>
          <w:lang w:val="fr-CA"/>
        </w:rPr>
        <w:t>nciers de la mise en œuvre du cadre mondial de la biodiversité pour l</w:t>
      </w:r>
      <w:r w:rsidR="00CD0FC3">
        <w:rPr>
          <w:kern w:val="22"/>
          <w:szCs w:val="22"/>
          <w:lang w:val="fr-CA"/>
        </w:rPr>
        <w:t>’</w:t>
      </w:r>
      <w:r w:rsidRPr="00B26B5B">
        <w:rPr>
          <w:kern w:val="22"/>
          <w:szCs w:val="22"/>
          <w:lang w:val="fr-CA"/>
        </w:rPr>
        <w:t xml:space="preserve">après-2020 </w:t>
      </w:r>
      <w:r w:rsidR="00DC38DC">
        <w:rPr>
          <w:kern w:val="22"/>
          <w:szCs w:val="22"/>
          <w:lang w:val="fr-CA"/>
        </w:rPr>
        <w:t>dans les</w:t>
      </w:r>
      <w:r w:rsidRPr="00B26B5B">
        <w:rPr>
          <w:kern w:val="22"/>
          <w:szCs w:val="22"/>
          <w:lang w:val="fr-CA"/>
        </w:rPr>
        <w:t xml:space="preserve"> pays </w:t>
      </w:r>
      <w:r w:rsidR="00DC38DC">
        <w:rPr>
          <w:kern w:val="22"/>
          <w:szCs w:val="22"/>
          <w:lang w:val="fr-CA"/>
        </w:rPr>
        <w:t>doivent</w:t>
      </w:r>
      <w:r w:rsidRPr="00B26B5B">
        <w:rPr>
          <w:kern w:val="22"/>
          <w:szCs w:val="22"/>
          <w:lang w:val="fr-CA"/>
        </w:rPr>
        <w:t xml:space="preserve"> </w:t>
      </w:r>
      <w:r w:rsidR="00046932" w:rsidRPr="00B26B5B">
        <w:rPr>
          <w:kern w:val="22"/>
          <w:szCs w:val="22"/>
          <w:lang w:val="fr-CA"/>
        </w:rPr>
        <w:t>êtr</w:t>
      </w:r>
      <w:r w:rsidRPr="00B26B5B">
        <w:rPr>
          <w:kern w:val="22"/>
          <w:szCs w:val="22"/>
          <w:lang w:val="fr-CA"/>
        </w:rPr>
        <w:t>e harmonisés à ceux de la mise en œuvre des Objectifs de développement durable</w:t>
      </w:r>
      <w:r w:rsidR="00B92D18">
        <w:rPr>
          <w:kern w:val="22"/>
          <w:szCs w:val="22"/>
          <w:lang w:val="fr-CA"/>
        </w:rPr>
        <w:t>;</w:t>
      </w:r>
    </w:p>
    <w:p w:rsidR="00E96027" w:rsidRPr="00B26B5B" w:rsidRDefault="00046932" w:rsidP="00C33570">
      <w:pPr>
        <w:pStyle w:val="Para1"/>
        <w:numPr>
          <w:ilvl w:val="1"/>
          <w:numId w:val="2"/>
        </w:numPr>
        <w:suppressLineNumbers/>
        <w:suppressAutoHyphens/>
        <w:rPr>
          <w:kern w:val="22"/>
          <w:szCs w:val="22"/>
          <w:lang w:val="fr-CA"/>
        </w:rPr>
      </w:pPr>
      <w:r w:rsidRPr="00B26B5B">
        <w:rPr>
          <w:kern w:val="22"/>
          <w:szCs w:val="22"/>
          <w:lang w:val="fr-CA"/>
        </w:rPr>
        <w:t xml:space="preserve">Les mécanismes habilitants doivent être établis ou renforcés de manière à faciliter la mise en œuvre des </w:t>
      </w:r>
      <w:r w:rsidR="00C837FE">
        <w:rPr>
          <w:kern w:val="22"/>
          <w:szCs w:val="22"/>
          <w:lang w:val="fr-CA"/>
        </w:rPr>
        <w:t>SPANB</w:t>
      </w:r>
      <w:r w:rsidRPr="00B26B5B">
        <w:rPr>
          <w:kern w:val="22"/>
          <w:szCs w:val="22"/>
          <w:lang w:val="fr-CA"/>
        </w:rPr>
        <w:t xml:space="preserve"> et permettre aux Parties d’atteindre leurs objectifs nationaux. Par exemple, le cadre de l’après-2020 devrait comprendre une proposition pour la création d’un fonds dédié à la diversité biologique </w:t>
      </w:r>
      <w:r w:rsidR="00DC38DC">
        <w:rPr>
          <w:kern w:val="22"/>
          <w:szCs w:val="22"/>
          <w:lang w:val="fr-CA"/>
        </w:rPr>
        <w:t>dans lequel</w:t>
      </w:r>
      <w:r w:rsidRPr="00B26B5B">
        <w:rPr>
          <w:kern w:val="22"/>
          <w:szCs w:val="22"/>
          <w:lang w:val="fr-CA"/>
        </w:rPr>
        <w:t xml:space="preserve"> les pays, les organisations et les fondations verseraient une quote-part ou une contribution volontaire en guise de complément aux mécanismes de financement existants tels que le Fonds pour l’environnement mondial et le Fonds vert pour le climat</w:t>
      </w:r>
      <w:r w:rsidR="00B92D18">
        <w:rPr>
          <w:kern w:val="22"/>
          <w:szCs w:val="22"/>
          <w:lang w:val="fr-CA"/>
        </w:rPr>
        <w:t>;</w:t>
      </w:r>
    </w:p>
    <w:p w:rsidR="00D23596" w:rsidRPr="00B26B5B" w:rsidRDefault="00046932" w:rsidP="00C33570">
      <w:pPr>
        <w:pStyle w:val="Para1"/>
        <w:numPr>
          <w:ilvl w:val="1"/>
          <w:numId w:val="2"/>
        </w:numPr>
        <w:suppressLineNumbers/>
        <w:suppressAutoHyphens/>
        <w:rPr>
          <w:kern w:val="22"/>
          <w:szCs w:val="22"/>
          <w:lang w:val="fr-CA"/>
        </w:rPr>
      </w:pPr>
      <w:r w:rsidRPr="00B26B5B">
        <w:rPr>
          <w:kern w:val="22"/>
          <w:szCs w:val="22"/>
          <w:lang w:val="fr-CA"/>
        </w:rPr>
        <w:lastRenderedPageBreak/>
        <w:t xml:space="preserve">Les partenariats mondiaux et les projets de collaboration </w:t>
      </w:r>
      <w:r w:rsidR="00092C34" w:rsidRPr="00B26B5B">
        <w:rPr>
          <w:kern w:val="22"/>
          <w:szCs w:val="22"/>
          <w:lang w:val="fr-CA"/>
        </w:rPr>
        <w:t>transfrontalière</w:t>
      </w:r>
      <w:r w:rsidRPr="00B26B5B">
        <w:rPr>
          <w:kern w:val="22"/>
          <w:szCs w:val="22"/>
          <w:lang w:val="fr-CA"/>
        </w:rPr>
        <w:t xml:space="preserve"> sur les questions liées</w:t>
      </w:r>
      <w:r w:rsidR="00092C34" w:rsidRPr="00B26B5B">
        <w:rPr>
          <w:kern w:val="22"/>
          <w:szCs w:val="22"/>
          <w:lang w:val="fr-CA"/>
        </w:rPr>
        <w:t xml:space="preserve"> aux frontières dans le contexte de la conservation de la diversité biologique et du développement durable </w:t>
      </w:r>
      <w:r w:rsidR="00DC38DC">
        <w:rPr>
          <w:kern w:val="22"/>
          <w:szCs w:val="22"/>
          <w:lang w:val="fr-CA"/>
        </w:rPr>
        <w:t>doivent</w:t>
      </w:r>
      <w:r w:rsidR="00092C34" w:rsidRPr="00B26B5B">
        <w:rPr>
          <w:kern w:val="22"/>
          <w:szCs w:val="22"/>
          <w:lang w:val="fr-CA"/>
        </w:rPr>
        <w:t xml:space="preserve"> être élargis afin de soutenir et </w:t>
      </w:r>
      <w:r w:rsidR="00DC38DC">
        <w:rPr>
          <w:kern w:val="22"/>
          <w:szCs w:val="22"/>
          <w:lang w:val="fr-CA"/>
        </w:rPr>
        <w:t>d’offrir</w:t>
      </w:r>
      <w:r w:rsidR="00092C34" w:rsidRPr="00B26B5B">
        <w:rPr>
          <w:kern w:val="22"/>
          <w:szCs w:val="22"/>
          <w:lang w:val="fr-CA"/>
        </w:rPr>
        <w:t xml:space="preserve"> un complément aux programmes de mise en œuvre nationaux</w:t>
      </w:r>
      <w:r w:rsidR="00D23596" w:rsidRPr="00B26B5B">
        <w:rPr>
          <w:kern w:val="22"/>
          <w:szCs w:val="22"/>
          <w:lang w:val="fr-CA"/>
        </w:rPr>
        <w:t>.</w:t>
      </w:r>
    </w:p>
    <w:p w:rsidR="008B2929" w:rsidRPr="00B26B5B" w:rsidRDefault="008B2929" w:rsidP="00C33570">
      <w:pPr>
        <w:pStyle w:val="Titre3"/>
        <w:suppressLineNumbers/>
        <w:suppressAutoHyphens/>
        <w:rPr>
          <w:kern w:val="22"/>
          <w:szCs w:val="22"/>
          <w:lang w:val="fr-CA"/>
        </w:rPr>
      </w:pPr>
      <w:r w:rsidRPr="00B26B5B">
        <w:rPr>
          <w:kern w:val="22"/>
          <w:szCs w:val="22"/>
          <w:lang w:val="fr-CA"/>
        </w:rPr>
        <w:t>12.</w:t>
      </w:r>
      <w:r w:rsidRPr="00B26B5B">
        <w:rPr>
          <w:kern w:val="22"/>
          <w:szCs w:val="22"/>
          <w:lang w:val="fr-CA"/>
        </w:rPr>
        <w:tab/>
      </w:r>
      <w:r w:rsidR="00D27089" w:rsidRPr="00B26B5B">
        <w:rPr>
          <w:kern w:val="22"/>
          <w:szCs w:val="22"/>
          <w:lang w:val="fr-CA"/>
        </w:rPr>
        <w:t>Engagements volontaires</w:t>
      </w:r>
    </w:p>
    <w:p w:rsidR="00906185" w:rsidRPr="00B26B5B" w:rsidRDefault="00092C34" w:rsidP="00C33570">
      <w:pPr>
        <w:pStyle w:val="Para1"/>
        <w:suppressLineNumbers/>
        <w:tabs>
          <w:tab w:val="clear" w:pos="360"/>
        </w:tabs>
        <w:suppressAutoHyphens/>
        <w:rPr>
          <w:kern w:val="22"/>
          <w:szCs w:val="22"/>
          <w:lang w:val="fr-CA"/>
        </w:rPr>
      </w:pPr>
      <w:r w:rsidRPr="00B26B5B">
        <w:rPr>
          <w:kern w:val="22"/>
          <w:szCs w:val="22"/>
          <w:lang w:val="fr-CA"/>
        </w:rPr>
        <w:t>Les participants ont échangé des points de vue sur les formes possibles que pourraient prendre les engagements volontaires des Parties et des acteurs n’étant pas des États</w:t>
      </w:r>
      <w:r w:rsidR="000F370E">
        <w:rPr>
          <w:kern w:val="22"/>
          <w:szCs w:val="22"/>
          <w:lang w:val="fr-CA"/>
        </w:rPr>
        <w:t xml:space="preserve"> envers la diversité biologique</w:t>
      </w:r>
      <w:r w:rsidRPr="00B26B5B">
        <w:rPr>
          <w:kern w:val="22"/>
          <w:szCs w:val="22"/>
          <w:lang w:val="fr-CA"/>
        </w:rPr>
        <w:t xml:space="preserve">, dont les organisations de la société civile et les entreprises, </w:t>
      </w:r>
      <w:r w:rsidR="000F370E">
        <w:rPr>
          <w:kern w:val="22"/>
          <w:szCs w:val="22"/>
          <w:lang w:val="fr-CA"/>
        </w:rPr>
        <w:t>et la façon d</w:t>
      </w:r>
      <w:r w:rsidR="002F769D" w:rsidRPr="00B26B5B">
        <w:rPr>
          <w:kern w:val="22"/>
          <w:szCs w:val="22"/>
          <w:lang w:val="fr-CA"/>
        </w:rPr>
        <w:t>ont les contributions volontaires pourraient être reflétées dans le cadre mondial de la biodiversité pour l</w:t>
      </w:r>
      <w:r w:rsidR="00CD0FC3">
        <w:rPr>
          <w:kern w:val="22"/>
          <w:szCs w:val="22"/>
          <w:lang w:val="fr-CA"/>
        </w:rPr>
        <w:t>’</w:t>
      </w:r>
      <w:r w:rsidR="002F769D" w:rsidRPr="00B26B5B">
        <w:rPr>
          <w:kern w:val="22"/>
          <w:szCs w:val="22"/>
          <w:lang w:val="fr-CA"/>
        </w:rPr>
        <w:t>après-2020</w:t>
      </w:r>
      <w:r w:rsidR="008B2929" w:rsidRPr="00B26B5B">
        <w:rPr>
          <w:kern w:val="22"/>
          <w:szCs w:val="22"/>
          <w:lang w:val="fr-CA"/>
        </w:rPr>
        <w:t>.</w:t>
      </w:r>
    </w:p>
    <w:p w:rsidR="00360D78" w:rsidRPr="00B26B5B" w:rsidRDefault="002F769D" w:rsidP="00C33570">
      <w:pPr>
        <w:pStyle w:val="Para1"/>
        <w:suppressLineNumbers/>
        <w:tabs>
          <w:tab w:val="clear" w:pos="360"/>
        </w:tabs>
        <w:suppressAutoHyphens/>
        <w:rPr>
          <w:kern w:val="22"/>
          <w:szCs w:val="22"/>
          <w:lang w:val="fr-CA"/>
        </w:rPr>
      </w:pPr>
      <w:r w:rsidRPr="00B26B5B">
        <w:rPr>
          <w:kern w:val="22"/>
          <w:szCs w:val="22"/>
          <w:lang w:val="fr-CA"/>
        </w:rPr>
        <w:t>Il y a eu consensus sur la nécessité de tirer des enseignements de</w:t>
      </w:r>
      <w:r w:rsidR="000F370E">
        <w:rPr>
          <w:kern w:val="22"/>
          <w:szCs w:val="22"/>
          <w:lang w:val="fr-CA"/>
        </w:rPr>
        <w:t>s contributions déterminées et d</w:t>
      </w:r>
      <w:r w:rsidRPr="00B26B5B">
        <w:rPr>
          <w:kern w:val="22"/>
          <w:szCs w:val="22"/>
          <w:lang w:val="fr-CA"/>
        </w:rPr>
        <w:t>es contributions volontaires des pays au titre de la Convention-cadre des Nations Unies sur les changements climatiques</w:t>
      </w:r>
      <w:r w:rsidR="00422163" w:rsidRPr="00B26B5B">
        <w:rPr>
          <w:kern w:val="22"/>
          <w:szCs w:val="22"/>
          <w:lang w:val="fr-CA"/>
        </w:rPr>
        <w:t xml:space="preserve"> (</w:t>
      </w:r>
      <w:proofErr w:type="spellStart"/>
      <w:r w:rsidR="00422163" w:rsidRPr="00B26B5B">
        <w:rPr>
          <w:kern w:val="22"/>
          <w:szCs w:val="22"/>
          <w:lang w:val="fr-CA"/>
        </w:rPr>
        <w:t>CCNUCC</w:t>
      </w:r>
      <w:proofErr w:type="spellEnd"/>
      <w:r w:rsidR="00422163" w:rsidRPr="00B26B5B">
        <w:rPr>
          <w:kern w:val="22"/>
          <w:szCs w:val="22"/>
          <w:lang w:val="fr-CA"/>
        </w:rPr>
        <w:t>)</w:t>
      </w:r>
      <w:r w:rsidRPr="00B26B5B">
        <w:rPr>
          <w:kern w:val="22"/>
          <w:szCs w:val="22"/>
          <w:lang w:val="fr-CA"/>
        </w:rPr>
        <w:t>, afin d’évaluer le succès qu’elles ont connu et développer ces expériences et succès.</w:t>
      </w:r>
    </w:p>
    <w:p w:rsidR="0024297D" w:rsidRPr="00B26B5B" w:rsidRDefault="002F769D" w:rsidP="00C33570">
      <w:pPr>
        <w:pStyle w:val="Para1"/>
        <w:suppressLineNumbers/>
        <w:tabs>
          <w:tab w:val="clear" w:pos="360"/>
        </w:tabs>
        <w:suppressAutoHyphens/>
        <w:rPr>
          <w:kern w:val="22"/>
          <w:szCs w:val="22"/>
          <w:lang w:val="fr-CA"/>
        </w:rPr>
      </w:pPr>
      <w:r w:rsidRPr="00B26B5B">
        <w:rPr>
          <w:kern w:val="22"/>
          <w:szCs w:val="22"/>
          <w:lang w:val="fr-CA"/>
        </w:rPr>
        <w:t xml:space="preserve">Il a également été suggéré que le Secrétariat demande et </w:t>
      </w:r>
      <w:r w:rsidR="002F33F1" w:rsidRPr="00B26B5B">
        <w:rPr>
          <w:kern w:val="22"/>
          <w:szCs w:val="22"/>
          <w:lang w:val="fr-CA"/>
        </w:rPr>
        <w:t>lance un appel aux Parties de s’engager à verser une contribution nationale déterminée pour la diversité biologique et aux gouvernements et acteurs n’étant pas des États de verser une contribution volontaire pour la diversité biologique. Ces engagements pourraient augmenter graduellement au fil du temps selon le niveau d’ambition</w:t>
      </w:r>
      <w:r w:rsidR="00634774" w:rsidRPr="00B26B5B">
        <w:rPr>
          <w:kern w:val="22"/>
          <w:szCs w:val="22"/>
          <w:lang w:val="fr-CA"/>
        </w:rPr>
        <w:t>.</w:t>
      </w:r>
    </w:p>
    <w:p w:rsidR="00094354" w:rsidRPr="00B26B5B" w:rsidRDefault="002F33F1" w:rsidP="00C33570">
      <w:pPr>
        <w:pStyle w:val="Para1"/>
        <w:suppressLineNumbers/>
        <w:tabs>
          <w:tab w:val="clear" w:pos="360"/>
        </w:tabs>
        <w:suppressAutoHyphens/>
        <w:rPr>
          <w:kern w:val="22"/>
          <w:szCs w:val="22"/>
          <w:lang w:val="fr-CA"/>
        </w:rPr>
      </w:pPr>
      <w:r w:rsidRPr="00B26B5B">
        <w:rPr>
          <w:kern w:val="22"/>
          <w:szCs w:val="22"/>
          <w:lang w:val="fr-CA"/>
        </w:rPr>
        <w:t>Les participants ont aussi suggéré que le cadre mondial de la biodiversité pour l</w:t>
      </w:r>
      <w:r w:rsidR="00CD0FC3">
        <w:rPr>
          <w:kern w:val="22"/>
          <w:szCs w:val="22"/>
          <w:lang w:val="fr-CA"/>
        </w:rPr>
        <w:t>’</w:t>
      </w:r>
      <w:r w:rsidRPr="00B26B5B">
        <w:rPr>
          <w:kern w:val="22"/>
          <w:szCs w:val="22"/>
          <w:lang w:val="fr-CA"/>
        </w:rPr>
        <w:t>après-2020 comprenne un mécanisme de supervision</w:t>
      </w:r>
      <w:r w:rsidR="000F370E">
        <w:rPr>
          <w:kern w:val="22"/>
          <w:szCs w:val="22"/>
          <w:lang w:val="fr-CA"/>
        </w:rPr>
        <w:t>,</w:t>
      </w:r>
      <w:r w:rsidRPr="00B26B5B">
        <w:rPr>
          <w:kern w:val="22"/>
          <w:szCs w:val="22"/>
          <w:lang w:val="fr-CA"/>
        </w:rPr>
        <w:t xml:space="preserve"> examen et suivi </w:t>
      </w:r>
      <w:r w:rsidR="000F370E">
        <w:rPr>
          <w:kern w:val="22"/>
          <w:szCs w:val="22"/>
          <w:lang w:val="fr-CA"/>
        </w:rPr>
        <w:t>périodiques</w:t>
      </w:r>
      <w:r w:rsidR="00422163" w:rsidRPr="00B26B5B">
        <w:rPr>
          <w:kern w:val="22"/>
          <w:szCs w:val="22"/>
          <w:lang w:val="fr-CA"/>
        </w:rPr>
        <w:t xml:space="preserve"> </w:t>
      </w:r>
      <w:r w:rsidRPr="00B26B5B">
        <w:rPr>
          <w:kern w:val="22"/>
          <w:szCs w:val="22"/>
          <w:lang w:val="fr-CA"/>
        </w:rPr>
        <w:t xml:space="preserve">des progrès accomplis </w:t>
      </w:r>
      <w:r w:rsidR="00422163" w:rsidRPr="00B26B5B">
        <w:rPr>
          <w:kern w:val="22"/>
          <w:szCs w:val="22"/>
          <w:lang w:val="fr-CA"/>
        </w:rPr>
        <w:t xml:space="preserve">et présente des recommandations d’améliorations. Ce mécanisme </w:t>
      </w:r>
      <w:r w:rsidR="00457A39">
        <w:rPr>
          <w:kern w:val="22"/>
          <w:szCs w:val="22"/>
          <w:lang w:val="fr-CA"/>
        </w:rPr>
        <w:t>pourrait être</w:t>
      </w:r>
      <w:r w:rsidR="00422163" w:rsidRPr="00B26B5B">
        <w:rPr>
          <w:kern w:val="22"/>
          <w:szCs w:val="22"/>
          <w:lang w:val="fr-CA"/>
        </w:rPr>
        <w:t xml:space="preserve"> étroitement lié et harmonisé aux contributions nationales déterminées pour la diversité biologique au titre de la </w:t>
      </w:r>
      <w:proofErr w:type="spellStart"/>
      <w:r w:rsidR="00422163" w:rsidRPr="00B26B5B">
        <w:rPr>
          <w:kern w:val="22"/>
          <w:szCs w:val="22"/>
          <w:lang w:val="fr-CA"/>
        </w:rPr>
        <w:t>CCNUCC</w:t>
      </w:r>
      <w:proofErr w:type="spellEnd"/>
      <w:r w:rsidR="00422163" w:rsidRPr="00B26B5B">
        <w:rPr>
          <w:kern w:val="22"/>
          <w:szCs w:val="22"/>
          <w:lang w:val="fr-CA"/>
        </w:rPr>
        <w:t xml:space="preserve"> afin d’éviter le dédoublement des efforts. Les Secrétariats de la CDB, de la </w:t>
      </w:r>
      <w:proofErr w:type="spellStart"/>
      <w:r w:rsidR="00422163" w:rsidRPr="00B26B5B">
        <w:rPr>
          <w:kern w:val="22"/>
          <w:szCs w:val="22"/>
          <w:lang w:val="fr-CA"/>
        </w:rPr>
        <w:t>CCNUCC</w:t>
      </w:r>
      <w:proofErr w:type="spellEnd"/>
      <w:r w:rsidR="00422163" w:rsidRPr="00B26B5B">
        <w:rPr>
          <w:kern w:val="22"/>
          <w:szCs w:val="22"/>
          <w:lang w:val="fr-CA"/>
        </w:rPr>
        <w:t xml:space="preserve"> et de la Convention de</w:t>
      </w:r>
      <w:r w:rsidR="00457A39">
        <w:rPr>
          <w:kern w:val="22"/>
          <w:szCs w:val="22"/>
          <w:lang w:val="fr-CA"/>
        </w:rPr>
        <w:t>s Nations Unies sur la lutte</w:t>
      </w:r>
      <w:r w:rsidR="00422163" w:rsidRPr="00B26B5B">
        <w:rPr>
          <w:kern w:val="22"/>
          <w:szCs w:val="22"/>
          <w:lang w:val="fr-CA"/>
        </w:rPr>
        <w:t xml:space="preserve"> contre la désertification pourraient unir leurs efforts en lien avec le suivi des engagements communs et préparer des rapports conjoints pour les différents organes de gouvernance</w:t>
      </w:r>
      <w:r w:rsidR="00CE2F21" w:rsidRPr="00B26B5B">
        <w:rPr>
          <w:kern w:val="22"/>
          <w:szCs w:val="22"/>
          <w:lang w:val="fr-CA"/>
        </w:rPr>
        <w:t>.</w:t>
      </w:r>
    </w:p>
    <w:p w:rsidR="005A6B4A" w:rsidRPr="00B26B5B" w:rsidRDefault="008B22DB" w:rsidP="00C33570">
      <w:pPr>
        <w:pStyle w:val="Titre3"/>
        <w:suppressLineNumbers/>
        <w:suppressAutoHyphens/>
        <w:rPr>
          <w:kern w:val="22"/>
          <w:szCs w:val="22"/>
          <w:lang w:val="fr-CA"/>
        </w:rPr>
      </w:pPr>
      <w:r w:rsidRPr="00B26B5B">
        <w:rPr>
          <w:kern w:val="22"/>
          <w:szCs w:val="22"/>
          <w:lang w:val="fr-CA"/>
        </w:rPr>
        <w:t>1</w:t>
      </w:r>
      <w:r w:rsidR="00CF3D87" w:rsidRPr="00B26B5B">
        <w:rPr>
          <w:kern w:val="22"/>
          <w:szCs w:val="22"/>
          <w:lang w:val="fr-CA"/>
        </w:rPr>
        <w:t>3</w:t>
      </w:r>
      <w:r w:rsidRPr="00B26B5B">
        <w:rPr>
          <w:kern w:val="22"/>
          <w:szCs w:val="22"/>
          <w:lang w:val="fr-CA"/>
        </w:rPr>
        <w:t>.</w:t>
      </w:r>
      <w:r w:rsidRPr="00B26B5B">
        <w:rPr>
          <w:kern w:val="22"/>
          <w:szCs w:val="22"/>
          <w:lang w:val="fr-CA"/>
        </w:rPr>
        <w:tab/>
      </w:r>
      <w:r w:rsidR="00D27089" w:rsidRPr="00B26B5B">
        <w:rPr>
          <w:kern w:val="22"/>
          <w:szCs w:val="22"/>
          <w:lang w:val="fr-CA"/>
        </w:rPr>
        <w:t>Mécanismes d’examen</w:t>
      </w:r>
    </w:p>
    <w:p w:rsidR="004139F1" w:rsidRPr="00B26B5B" w:rsidRDefault="00D55A5D" w:rsidP="00C33570">
      <w:pPr>
        <w:pStyle w:val="Para1"/>
        <w:suppressLineNumbers/>
        <w:tabs>
          <w:tab w:val="clear" w:pos="360"/>
        </w:tabs>
        <w:suppressAutoHyphens/>
        <w:rPr>
          <w:kern w:val="22"/>
          <w:szCs w:val="22"/>
          <w:lang w:val="fr-CA"/>
        </w:rPr>
      </w:pPr>
      <w:r w:rsidRPr="00B26B5B">
        <w:rPr>
          <w:kern w:val="22"/>
          <w:szCs w:val="22"/>
          <w:lang w:val="fr-CA"/>
        </w:rPr>
        <w:t>Les participants ont brièvement abordé la question des mécani</w:t>
      </w:r>
      <w:r w:rsidR="00457A39">
        <w:rPr>
          <w:kern w:val="22"/>
          <w:szCs w:val="22"/>
          <w:lang w:val="fr-CA"/>
        </w:rPr>
        <w:t>smes nécessaires pour soutenir l</w:t>
      </w:r>
      <w:r w:rsidRPr="00B26B5B">
        <w:rPr>
          <w:kern w:val="22"/>
          <w:szCs w:val="22"/>
          <w:lang w:val="fr-CA"/>
        </w:rPr>
        <w:t>’examen de l’application du cadre mondial de la biodiversité pour l</w:t>
      </w:r>
      <w:r w:rsidR="00CD0FC3">
        <w:rPr>
          <w:kern w:val="22"/>
          <w:szCs w:val="22"/>
          <w:lang w:val="fr-CA"/>
        </w:rPr>
        <w:t>’</w:t>
      </w:r>
      <w:r w:rsidRPr="00B26B5B">
        <w:rPr>
          <w:kern w:val="22"/>
          <w:szCs w:val="22"/>
          <w:lang w:val="fr-CA"/>
        </w:rPr>
        <w:t>après-2020 et l’intégration de ces mécanismes dans le cadre. Ils ont indiqué que les rapports nationaux exigés au titre de la Convention et</w:t>
      </w:r>
      <w:r w:rsidR="00457A39">
        <w:rPr>
          <w:kern w:val="22"/>
          <w:szCs w:val="22"/>
          <w:lang w:val="fr-CA"/>
        </w:rPr>
        <w:t xml:space="preserve"> de ses deux Protocoles seront</w:t>
      </w:r>
      <w:r w:rsidRPr="00B26B5B">
        <w:rPr>
          <w:kern w:val="22"/>
          <w:szCs w:val="22"/>
          <w:lang w:val="fr-CA"/>
        </w:rPr>
        <w:t xml:space="preserve"> au cœur de tout mécanisme d’examen, et ont donc insisté sur le besoin de garantir que l’</w:t>
      </w:r>
      <w:r w:rsidR="005D4EDD" w:rsidRPr="00B26B5B">
        <w:rPr>
          <w:kern w:val="22"/>
          <w:szCs w:val="22"/>
          <w:lang w:val="fr-CA"/>
        </w:rPr>
        <w:t>obligati</w:t>
      </w:r>
      <w:r w:rsidRPr="00B26B5B">
        <w:rPr>
          <w:kern w:val="22"/>
          <w:szCs w:val="22"/>
          <w:lang w:val="fr-CA"/>
        </w:rPr>
        <w:t>on pour les pays de soumettre des rapport</w:t>
      </w:r>
      <w:r w:rsidR="00457A39">
        <w:rPr>
          <w:kern w:val="22"/>
          <w:szCs w:val="22"/>
          <w:lang w:val="fr-CA"/>
        </w:rPr>
        <w:t>s</w:t>
      </w:r>
      <w:r w:rsidRPr="00B26B5B">
        <w:rPr>
          <w:kern w:val="22"/>
          <w:szCs w:val="22"/>
          <w:lang w:val="fr-CA"/>
        </w:rPr>
        <w:t xml:space="preserve"> serait respecté</w:t>
      </w:r>
      <w:r w:rsidR="00457A39">
        <w:rPr>
          <w:kern w:val="22"/>
          <w:szCs w:val="22"/>
          <w:lang w:val="fr-CA"/>
        </w:rPr>
        <w:t>e</w:t>
      </w:r>
      <w:r w:rsidR="004139F1" w:rsidRPr="00B26B5B">
        <w:rPr>
          <w:kern w:val="22"/>
          <w:szCs w:val="22"/>
          <w:lang w:val="fr-CA"/>
        </w:rPr>
        <w:t>.</w:t>
      </w:r>
    </w:p>
    <w:p w:rsidR="006D10B1" w:rsidRPr="00B26B5B" w:rsidRDefault="001629AC" w:rsidP="00C33570">
      <w:pPr>
        <w:pStyle w:val="Para1"/>
        <w:suppressLineNumbers/>
        <w:tabs>
          <w:tab w:val="clear" w:pos="360"/>
        </w:tabs>
        <w:suppressAutoHyphens/>
        <w:rPr>
          <w:kern w:val="22"/>
          <w:szCs w:val="22"/>
          <w:lang w:val="fr-CA"/>
        </w:rPr>
      </w:pPr>
      <w:r>
        <w:rPr>
          <w:kern w:val="22"/>
          <w:szCs w:val="22"/>
          <w:lang w:val="fr-CA"/>
        </w:rPr>
        <w:t>Une</w:t>
      </w:r>
      <w:r w:rsidR="005D4EDD" w:rsidRPr="00B26B5B">
        <w:rPr>
          <w:kern w:val="22"/>
          <w:szCs w:val="22"/>
          <w:lang w:val="fr-CA"/>
        </w:rPr>
        <w:t xml:space="preserve"> synergie pour</w:t>
      </w:r>
      <w:r w:rsidR="00D55A5D" w:rsidRPr="00B26B5B">
        <w:rPr>
          <w:kern w:val="22"/>
          <w:szCs w:val="22"/>
          <w:lang w:val="fr-CA"/>
        </w:rPr>
        <w:t xml:space="preserve"> l’établiss</w:t>
      </w:r>
      <w:r w:rsidR="005D4EDD" w:rsidRPr="00B26B5B">
        <w:rPr>
          <w:kern w:val="22"/>
          <w:szCs w:val="22"/>
          <w:lang w:val="fr-CA"/>
        </w:rPr>
        <w:t>e</w:t>
      </w:r>
      <w:r w:rsidR="00D55A5D" w:rsidRPr="00B26B5B">
        <w:rPr>
          <w:kern w:val="22"/>
          <w:szCs w:val="22"/>
          <w:lang w:val="fr-CA"/>
        </w:rPr>
        <w:t>ment des rap</w:t>
      </w:r>
      <w:r w:rsidR="005D4EDD" w:rsidRPr="00B26B5B">
        <w:rPr>
          <w:kern w:val="22"/>
          <w:szCs w:val="22"/>
          <w:lang w:val="fr-CA"/>
        </w:rPr>
        <w:t>p</w:t>
      </w:r>
      <w:r w:rsidR="00D55A5D" w:rsidRPr="00B26B5B">
        <w:rPr>
          <w:kern w:val="22"/>
          <w:szCs w:val="22"/>
          <w:lang w:val="fr-CA"/>
        </w:rPr>
        <w:t>orts nationaux</w:t>
      </w:r>
      <w:r w:rsidR="005D4EDD" w:rsidRPr="00B26B5B">
        <w:rPr>
          <w:kern w:val="22"/>
          <w:szCs w:val="22"/>
          <w:lang w:val="fr-CA"/>
        </w:rPr>
        <w:t xml:space="preserve"> entre toutes les conventions liées </w:t>
      </w:r>
      <w:r w:rsidR="00457A39">
        <w:rPr>
          <w:kern w:val="22"/>
          <w:szCs w:val="22"/>
          <w:lang w:val="fr-CA"/>
        </w:rPr>
        <w:t>à la diversité biologique, les C</w:t>
      </w:r>
      <w:r w:rsidR="005D4EDD" w:rsidRPr="00B26B5B">
        <w:rPr>
          <w:kern w:val="22"/>
          <w:szCs w:val="22"/>
          <w:lang w:val="fr-CA"/>
        </w:rPr>
        <w:t>onventions de Rio et le processus de suivi du Programme de développement durable à l’horizon 2030</w:t>
      </w:r>
      <w:r>
        <w:rPr>
          <w:kern w:val="22"/>
          <w:szCs w:val="22"/>
          <w:lang w:val="fr-CA"/>
        </w:rPr>
        <w:t xml:space="preserve"> doit être facilitée et créée</w:t>
      </w:r>
      <w:r w:rsidR="005D4EDD" w:rsidRPr="00B26B5B">
        <w:rPr>
          <w:kern w:val="22"/>
          <w:szCs w:val="22"/>
          <w:lang w:val="fr-CA"/>
        </w:rPr>
        <w:t>, afin de réduire le fardeau d’établissement de rapports des Parties</w:t>
      </w:r>
      <w:r w:rsidR="006D10B1" w:rsidRPr="00B26B5B">
        <w:rPr>
          <w:kern w:val="22"/>
          <w:szCs w:val="22"/>
          <w:lang w:val="fr-CA"/>
        </w:rPr>
        <w:t>.</w:t>
      </w:r>
      <w:r w:rsidR="00691FBA" w:rsidRPr="00B26B5B">
        <w:rPr>
          <w:rStyle w:val="Appelnotedebasdep"/>
          <w:kern w:val="22"/>
          <w:szCs w:val="22"/>
          <w:lang w:val="fr-CA"/>
        </w:rPr>
        <w:footnoteReference w:id="5"/>
      </w:r>
    </w:p>
    <w:p w:rsidR="00443000" w:rsidRPr="00B26B5B" w:rsidRDefault="001629AC" w:rsidP="00C33570">
      <w:pPr>
        <w:pStyle w:val="Para1"/>
        <w:suppressLineNumbers/>
        <w:tabs>
          <w:tab w:val="clear" w:pos="360"/>
        </w:tabs>
        <w:suppressAutoHyphens/>
        <w:rPr>
          <w:kern w:val="22"/>
          <w:szCs w:val="22"/>
          <w:lang w:val="fr-CA"/>
        </w:rPr>
      </w:pPr>
      <w:r>
        <w:rPr>
          <w:kern w:val="22"/>
          <w:szCs w:val="22"/>
          <w:lang w:val="fr-CA"/>
        </w:rPr>
        <w:t>Les</w:t>
      </w:r>
      <w:r w:rsidR="005D4EDD" w:rsidRPr="00B26B5B">
        <w:rPr>
          <w:kern w:val="22"/>
          <w:szCs w:val="22"/>
          <w:lang w:val="fr-CA"/>
        </w:rPr>
        <w:t xml:space="preserve"> indicateurs </w:t>
      </w:r>
      <w:r>
        <w:rPr>
          <w:kern w:val="22"/>
          <w:szCs w:val="22"/>
          <w:lang w:val="fr-CA"/>
        </w:rPr>
        <w:t xml:space="preserve">doivent être intégrés </w:t>
      </w:r>
      <w:r w:rsidR="005D4EDD" w:rsidRPr="00B26B5B">
        <w:rPr>
          <w:kern w:val="22"/>
          <w:szCs w:val="22"/>
          <w:lang w:val="fr-CA"/>
        </w:rPr>
        <w:t>au cadre de l’</w:t>
      </w:r>
      <w:r w:rsidR="00534B03" w:rsidRPr="00B26B5B">
        <w:rPr>
          <w:kern w:val="22"/>
          <w:szCs w:val="22"/>
          <w:lang w:val="fr-CA"/>
        </w:rPr>
        <w:t>aprè</w:t>
      </w:r>
      <w:r>
        <w:rPr>
          <w:kern w:val="22"/>
          <w:szCs w:val="22"/>
          <w:lang w:val="fr-CA"/>
        </w:rPr>
        <w:t>s-2020,</w:t>
      </w:r>
      <w:r w:rsidR="005D4EDD" w:rsidRPr="00B26B5B">
        <w:rPr>
          <w:kern w:val="22"/>
          <w:szCs w:val="22"/>
          <w:lang w:val="fr-CA"/>
        </w:rPr>
        <w:t xml:space="preserve"> clairs et mesurables. </w:t>
      </w:r>
      <w:r>
        <w:rPr>
          <w:kern w:val="22"/>
          <w:szCs w:val="22"/>
          <w:lang w:val="fr-CA"/>
        </w:rPr>
        <w:t xml:space="preserve">Il faut également </w:t>
      </w:r>
      <w:r w:rsidR="005D4EDD" w:rsidRPr="00B26B5B">
        <w:rPr>
          <w:kern w:val="22"/>
          <w:szCs w:val="22"/>
          <w:lang w:val="fr-CA"/>
        </w:rPr>
        <w:t xml:space="preserve">éviter les erreurs du passé, où </w:t>
      </w:r>
      <w:r>
        <w:rPr>
          <w:kern w:val="22"/>
          <w:szCs w:val="22"/>
          <w:lang w:val="fr-CA"/>
        </w:rPr>
        <w:t>les indicateurs ont été convenu</w:t>
      </w:r>
      <w:r w:rsidR="005D4EDD" w:rsidRPr="00B26B5B">
        <w:rPr>
          <w:kern w:val="22"/>
          <w:szCs w:val="22"/>
          <w:lang w:val="fr-CA"/>
        </w:rPr>
        <w:t>s près de cinq ans après l’adoption du plan stratégique</w:t>
      </w:r>
      <w:r w:rsidR="006D10B1" w:rsidRPr="00B26B5B">
        <w:rPr>
          <w:kern w:val="22"/>
          <w:szCs w:val="22"/>
          <w:lang w:val="fr-CA"/>
        </w:rPr>
        <w:t>.</w:t>
      </w:r>
    </w:p>
    <w:p w:rsidR="005A6B4A" w:rsidRPr="00B26B5B" w:rsidRDefault="00443000" w:rsidP="00C33570">
      <w:pPr>
        <w:pStyle w:val="Titre3"/>
        <w:suppressLineNumbers/>
        <w:suppressAutoHyphens/>
        <w:rPr>
          <w:kern w:val="22"/>
          <w:szCs w:val="22"/>
          <w:lang w:val="fr-CA"/>
        </w:rPr>
      </w:pPr>
      <w:r w:rsidRPr="00B26B5B">
        <w:rPr>
          <w:kern w:val="22"/>
          <w:szCs w:val="22"/>
        </w:rPr>
        <w:t>1</w:t>
      </w:r>
      <w:r w:rsidR="00CF3D87" w:rsidRPr="00B26B5B">
        <w:rPr>
          <w:kern w:val="22"/>
          <w:szCs w:val="22"/>
        </w:rPr>
        <w:t>4</w:t>
      </w:r>
      <w:r w:rsidRPr="00B26B5B">
        <w:rPr>
          <w:kern w:val="22"/>
          <w:szCs w:val="22"/>
        </w:rPr>
        <w:t>.</w:t>
      </w:r>
      <w:r w:rsidRPr="00B26B5B">
        <w:rPr>
          <w:kern w:val="22"/>
          <w:szCs w:val="22"/>
        </w:rPr>
        <w:tab/>
      </w:r>
      <w:r w:rsidR="00D27089" w:rsidRPr="00B26B5B">
        <w:rPr>
          <w:kern w:val="22"/>
          <w:szCs w:val="22"/>
          <w:lang w:val="fr-CA"/>
        </w:rPr>
        <w:t>Mécanismes de responsabilité</w:t>
      </w:r>
    </w:p>
    <w:p w:rsidR="005A6B4A" w:rsidRPr="00B26B5B" w:rsidRDefault="00C96940" w:rsidP="00C33570">
      <w:pPr>
        <w:pStyle w:val="Para1"/>
        <w:suppressLineNumbers/>
        <w:tabs>
          <w:tab w:val="clear" w:pos="360"/>
          <w:tab w:val="num" w:pos="720"/>
        </w:tabs>
        <w:suppressAutoHyphens/>
        <w:rPr>
          <w:kern w:val="22"/>
          <w:szCs w:val="22"/>
          <w:lang w:val="fr-CA"/>
        </w:rPr>
      </w:pPr>
      <w:r w:rsidRPr="00B26B5B">
        <w:rPr>
          <w:kern w:val="22"/>
          <w:szCs w:val="22"/>
          <w:lang w:val="fr-CA"/>
        </w:rPr>
        <w:t>Les participants ont généralement reconnu la nécessité d’inclure des mécanismes</w:t>
      </w:r>
      <w:r w:rsidR="00F5277F">
        <w:rPr>
          <w:kern w:val="22"/>
          <w:szCs w:val="22"/>
          <w:lang w:val="fr-CA"/>
        </w:rPr>
        <w:t xml:space="preserve"> de responsabilité dans le cadre mondial de la biodiversité pour l</w:t>
      </w:r>
      <w:r w:rsidR="00CD0FC3">
        <w:rPr>
          <w:kern w:val="22"/>
          <w:szCs w:val="22"/>
          <w:lang w:val="fr-CA"/>
        </w:rPr>
        <w:t>’</w:t>
      </w:r>
      <w:r w:rsidR="00F5277F">
        <w:rPr>
          <w:kern w:val="22"/>
          <w:szCs w:val="22"/>
          <w:lang w:val="fr-CA"/>
        </w:rPr>
        <w:t>après-2020, a</w:t>
      </w:r>
      <w:r w:rsidRPr="00B26B5B">
        <w:rPr>
          <w:kern w:val="22"/>
          <w:szCs w:val="22"/>
          <w:lang w:val="fr-CA"/>
        </w:rPr>
        <w:t xml:space="preserve">fin que les pays soient </w:t>
      </w:r>
      <w:r w:rsidR="00AC2B39" w:rsidRPr="00B26B5B">
        <w:rPr>
          <w:kern w:val="22"/>
          <w:szCs w:val="22"/>
          <w:lang w:val="fr-CA"/>
        </w:rPr>
        <w:t xml:space="preserve">tenus davantage </w:t>
      </w:r>
      <w:r w:rsidR="00AC2B39" w:rsidRPr="00B26B5B">
        <w:rPr>
          <w:kern w:val="22"/>
          <w:szCs w:val="22"/>
          <w:lang w:val="fr-CA"/>
        </w:rPr>
        <w:lastRenderedPageBreak/>
        <w:t>r</w:t>
      </w:r>
      <w:r w:rsidR="00F5277F">
        <w:rPr>
          <w:kern w:val="22"/>
          <w:szCs w:val="22"/>
          <w:lang w:val="fr-CA"/>
        </w:rPr>
        <w:t>esponsables de la mise en œuvre</w:t>
      </w:r>
      <w:r w:rsidRPr="00B26B5B">
        <w:rPr>
          <w:kern w:val="22"/>
          <w:szCs w:val="22"/>
          <w:lang w:val="fr-CA"/>
        </w:rPr>
        <w:t xml:space="preserve"> de la Convention et d</w:t>
      </w:r>
      <w:r w:rsidR="00AC2B39" w:rsidRPr="00B26B5B">
        <w:rPr>
          <w:kern w:val="22"/>
          <w:szCs w:val="22"/>
          <w:lang w:val="fr-CA"/>
        </w:rPr>
        <w:t>e ses Protocoles. Ils ont</w:t>
      </w:r>
      <w:r w:rsidRPr="00B26B5B">
        <w:rPr>
          <w:kern w:val="22"/>
          <w:szCs w:val="22"/>
          <w:lang w:val="fr-CA"/>
        </w:rPr>
        <w:t xml:space="preserve"> toutefois </w:t>
      </w:r>
      <w:r w:rsidR="00F5277F">
        <w:rPr>
          <w:kern w:val="22"/>
          <w:szCs w:val="22"/>
          <w:lang w:val="fr-CA"/>
        </w:rPr>
        <w:t>incité à</w:t>
      </w:r>
      <w:r w:rsidR="00AC2B39" w:rsidRPr="00B26B5B">
        <w:rPr>
          <w:kern w:val="22"/>
          <w:szCs w:val="22"/>
          <w:lang w:val="fr-CA"/>
        </w:rPr>
        <w:t xml:space="preserve"> la prudence lors de l’introduction de nouveaux concepts et notions tels que les nouveaux «</w:t>
      </w:r>
      <w:r w:rsidR="00CD0FC3">
        <w:rPr>
          <w:kern w:val="22"/>
          <w:szCs w:val="22"/>
          <w:lang w:val="fr-CA"/>
        </w:rPr>
        <w:t> </w:t>
      </w:r>
      <w:r w:rsidR="00AC2B39" w:rsidRPr="00B26B5B">
        <w:rPr>
          <w:kern w:val="22"/>
          <w:szCs w:val="22"/>
          <w:lang w:val="fr-CA"/>
        </w:rPr>
        <w:t>mécanismes de respon</w:t>
      </w:r>
      <w:r w:rsidR="00F5277F">
        <w:rPr>
          <w:kern w:val="22"/>
          <w:szCs w:val="22"/>
          <w:lang w:val="fr-CA"/>
        </w:rPr>
        <w:t>sabilité des pays » qui n’on</w:t>
      </w:r>
      <w:r w:rsidR="00AC2B39" w:rsidRPr="00B26B5B">
        <w:rPr>
          <w:kern w:val="22"/>
          <w:szCs w:val="22"/>
          <w:lang w:val="fr-CA"/>
        </w:rPr>
        <w:t>t pas encore fait leurs preuves</w:t>
      </w:r>
      <w:r w:rsidR="005A6B4A" w:rsidRPr="00B26B5B">
        <w:rPr>
          <w:kern w:val="22"/>
          <w:szCs w:val="22"/>
          <w:lang w:val="fr-CA"/>
        </w:rPr>
        <w:t>.</w:t>
      </w:r>
    </w:p>
    <w:p w:rsidR="009F6ABF" w:rsidRPr="00B26B5B" w:rsidRDefault="00DB5581" w:rsidP="00C33570">
      <w:pPr>
        <w:pStyle w:val="Para1"/>
        <w:suppressLineNumbers/>
        <w:tabs>
          <w:tab w:val="clear" w:pos="360"/>
          <w:tab w:val="num" w:pos="720"/>
        </w:tabs>
        <w:suppressAutoHyphens/>
        <w:rPr>
          <w:kern w:val="22"/>
          <w:szCs w:val="22"/>
          <w:lang w:val="fr-CA"/>
        </w:rPr>
      </w:pPr>
      <w:r w:rsidRPr="00B26B5B">
        <w:rPr>
          <w:kern w:val="22"/>
          <w:szCs w:val="22"/>
          <w:lang w:val="fr-CA"/>
        </w:rPr>
        <w:t xml:space="preserve">Il y a eu consensus concernant la nécessité d’examiner </w:t>
      </w:r>
      <w:r w:rsidR="00F5277F">
        <w:rPr>
          <w:kern w:val="22"/>
          <w:szCs w:val="22"/>
          <w:lang w:val="fr-CA"/>
        </w:rPr>
        <w:t xml:space="preserve">conjointement </w:t>
      </w:r>
      <w:r w:rsidRPr="00B26B5B">
        <w:rPr>
          <w:kern w:val="22"/>
          <w:szCs w:val="22"/>
          <w:lang w:val="fr-CA"/>
        </w:rPr>
        <w:t xml:space="preserve">la </w:t>
      </w:r>
      <w:r w:rsidR="00F5277F">
        <w:rPr>
          <w:kern w:val="22"/>
          <w:szCs w:val="22"/>
          <w:lang w:val="fr-CA"/>
        </w:rPr>
        <w:t>conformité et la responsabilité</w:t>
      </w:r>
      <w:r w:rsidRPr="00B26B5B">
        <w:rPr>
          <w:kern w:val="22"/>
          <w:szCs w:val="22"/>
          <w:lang w:val="fr-CA"/>
        </w:rPr>
        <w:t>. À cet égard, le cadre mondial de la biodiversité pour l</w:t>
      </w:r>
      <w:r w:rsidR="00CD0FC3">
        <w:rPr>
          <w:kern w:val="22"/>
          <w:szCs w:val="22"/>
          <w:lang w:val="fr-CA"/>
        </w:rPr>
        <w:t>’</w:t>
      </w:r>
      <w:r w:rsidRPr="00B26B5B">
        <w:rPr>
          <w:kern w:val="22"/>
          <w:szCs w:val="22"/>
          <w:lang w:val="fr-CA"/>
        </w:rPr>
        <w:t xml:space="preserve">après-2020 </w:t>
      </w:r>
      <w:r w:rsidR="00F5277F">
        <w:rPr>
          <w:kern w:val="22"/>
          <w:szCs w:val="22"/>
          <w:lang w:val="fr-CA"/>
        </w:rPr>
        <w:t xml:space="preserve">doit </w:t>
      </w:r>
      <w:r w:rsidRPr="00B26B5B">
        <w:rPr>
          <w:kern w:val="22"/>
          <w:szCs w:val="22"/>
          <w:lang w:val="fr-CA"/>
        </w:rPr>
        <w:t>encourage</w:t>
      </w:r>
      <w:r w:rsidR="00F5277F">
        <w:rPr>
          <w:kern w:val="22"/>
          <w:szCs w:val="22"/>
          <w:lang w:val="fr-CA"/>
        </w:rPr>
        <w:t>r</w:t>
      </w:r>
      <w:r w:rsidRPr="00B26B5B">
        <w:rPr>
          <w:kern w:val="22"/>
          <w:szCs w:val="22"/>
          <w:lang w:val="fr-CA"/>
        </w:rPr>
        <w:t xml:space="preserve"> les mécanismes à imposer aux pays l’obligation de soumettre des rapports et de mettre en œuvre les </w:t>
      </w:r>
      <w:r w:rsidR="00C837FE">
        <w:rPr>
          <w:kern w:val="22"/>
          <w:szCs w:val="22"/>
          <w:lang w:val="fr-CA"/>
        </w:rPr>
        <w:t>SPANB</w:t>
      </w:r>
      <w:r w:rsidRPr="00B26B5B">
        <w:rPr>
          <w:kern w:val="22"/>
          <w:szCs w:val="22"/>
          <w:lang w:val="fr-CA"/>
        </w:rPr>
        <w:t xml:space="preserve">. </w:t>
      </w:r>
      <w:r w:rsidR="00F5277F">
        <w:rPr>
          <w:kern w:val="22"/>
          <w:szCs w:val="22"/>
          <w:lang w:val="fr-CA"/>
        </w:rPr>
        <w:t>De plus, un</w:t>
      </w:r>
      <w:r w:rsidRPr="00B26B5B">
        <w:rPr>
          <w:kern w:val="22"/>
          <w:szCs w:val="22"/>
          <w:lang w:val="fr-CA"/>
        </w:rPr>
        <w:t xml:space="preserve"> système de comptabilité ou de carte</w:t>
      </w:r>
      <w:r w:rsidR="00F5277F">
        <w:rPr>
          <w:kern w:val="22"/>
          <w:szCs w:val="22"/>
          <w:lang w:val="fr-CA"/>
        </w:rPr>
        <w:t>s</w:t>
      </w:r>
      <w:r w:rsidRPr="00B26B5B">
        <w:rPr>
          <w:kern w:val="22"/>
          <w:szCs w:val="22"/>
          <w:lang w:val="fr-CA"/>
        </w:rPr>
        <w:t xml:space="preserve"> de pointage </w:t>
      </w:r>
      <w:r w:rsidR="00F5277F">
        <w:rPr>
          <w:kern w:val="22"/>
          <w:szCs w:val="22"/>
          <w:lang w:val="fr-CA"/>
        </w:rPr>
        <w:t>doit être</w:t>
      </w:r>
      <w:r w:rsidRPr="00B26B5B">
        <w:rPr>
          <w:kern w:val="22"/>
          <w:szCs w:val="22"/>
          <w:lang w:val="fr-CA"/>
        </w:rPr>
        <w:t xml:space="preserve"> mis en </w:t>
      </w:r>
      <w:r w:rsidR="00F5277F">
        <w:rPr>
          <w:kern w:val="22"/>
          <w:szCs w:val="22"/>
          <w:lang w:val="fr-CA"/>
        </w:rPr>
        <w:t>place</w:t>
      </w:r>
      <w:r w:rsidRPr="00B26B5B">
        <w:rPr>
          <w:kern w:val="22"/>
          <w:szCs w:val="22"/>
          <w:lang w:val="fr-CA"/>
        </w:rPr>
        <w:t xml:space="preserve"> afin d’encourager la mise en œuvre des </w:t>
      </w:r>
      <w:r w:rsidR="00C837FE">
        <w:rPr>
          <w:kern w:val="22"/>
          <w:szCs w:val="22"/>
          <w:lang w:val="fr-CA"/>
        </w:rPr>
        <w:t>SPANB</w:t>
      </w:r>
      <w:r w:rsidR="005A6B4A" w:rsidRPr="00B26B5B">
        <w:rPr>
          <w:kern w:val="22"/>
          <w:szCs w:val="22"/>
          <w:lang w:val="fr-CA"/>
        </w:rPr>
        <w:t>.</w:t>
      </w:r>
    </w:p>
    <w:p w:rsidR="00E830BD" w:rsidRPr="00B26B5B" w:rsidRDefault="00424DDD" w:rsidP="00C33570">
      <w:pPr>
        <w:pStyle w:val="Para1"/>
        <w:suppressLineNumbers/>
        <w:tabs>
          <w:tab w:val="clear" w:pos="360"/>
          <w:tab w:val="num" w:pos="720"/>
        </w:tabs>
        <w:suppressAutoHyphens/>
        <w:rPr>
          <w:kern w:val="22"/>
          <w:szCs w:val="22"/>
          <w:lang w:val="fr-CA"/>
        </w:rPr>
      </w:pPr>
      <w:r>
        <w:rPr>
          <w:kern w:val="22"/>
          <w:szCs w:val="22"/>
          <w:lang w:val="fr-CA"/>
        </w:rPr>
        <w:t>Le</w:t>
      </w:r>
      <w:r w:rsidR="00DB5581" w:rsidRPr="00B26B5B">
        <w:rPr>
          <w:kern w:val="22"/>
          <w:szCs w:val="22"/>
          <w:lang w:val="fr-CA"/>
        </w:rPr>
        <w:t xml:space="preserve"> cadre de l’apr</w:t>
      </w:r>
      <w:r w:rsidR="00117106" w:rsidRPr="00B26B5B">
        <w:rPr>
          <w:kern w:val="22"/>
          <w:szCs w:val="22"/>
          <w:lang w:val="fr-CA"/>
        </w:rPr>
        <w:t xml:space="preserve">ès 2020 </w:t>
      </w:r>
      <w:r>
        <w:rPr>
          <w:kern w:val="22"/>
          <w:szCs w:val="22"/>
          <w:lang w:val="fr-CA"/>
        </w:rPr>
        <w:t xml:space="preserve">doit </w:t>
      </w:r>
      <w:r w:rsidR="00117106" w:rsidRPr="00B26B5B">
        <w:rPr>
          <w:kern w:val="22"/>
          <w:szCs w:val="22"/>
          <w:lang w:val="fr-CA"/>
        </w:rPr>
        <w:t>encourage</w:t>
      </w:r>
      <w:r>
        <w:rPr>
          <w:kern w:val="22"/>
          <w:szCs w:val="22"/>
          <w:lang w:val="fr-CA"/>
        </w:rPr>
        <w:t>r</w:t>
      </w:r>
      <w:r w:rsidR="00117106" w:rsidRPr="00B26B5B">
        <w:rPr>
          <w:kern w:val="22"/>
          <w:szCs w:val="22"/>
          <w:lang w:val="fr-CA"/>
        </w:rPr>
        <w:t xml:space="preserve"> les soumissions sur la mise en œuvre des </w:t>
      </w:r>
      <w:r w:rsidR="00C837FE">
        <w:rPr>
          <w:kern w:val="22"/>
          <w:szCs w:val="22"/>
          <w:lang w:val="fr-CA"/>
        </w:rPr>
        <w:t>SPANB</w:t>
      </w:r>
      <w:r w:rsidR="00117106" w:rsidRPr="00B26B5B">
        <w:rPr>
          <w:kern w:val="22"/>
          <w:szCs w:val="22"/>
          <w:lang w:val="fr-CA"/>
        </w:rPr>
        <w:t xml:space="preserve"> de la part d’acteurs n’étant pas des États</w:t>
      </w:r>
      <w:r w:rsidR="00E830BD" w:rsidRPr="00B26B5B">
        <w:rPr>
          <w:kern w:val="22"/>
          <w:szCs w:val="22"/>
          <w:lang w:val="fr-CA"/>
        </w:rPr>
        <w:t>.</w:t>
      </w:r>
      <w:r w:rsidR="00117106" w:rsidRPr="00B26B5B">
        <w:rPr>
          <w:kern w:val="22"/>
          <w:szCs w:val="22"/>
          <w:lang w:val="fr-CA"/>
        </w:rPr>
        <w:t xml:space="preserve"> </w:t>
      </w:r>
      <w:r>
        <w:rPr>
          <w:kern w:val="22"/>
          <w:szCs w:val="22"/>
          <w:lang w:val="fr-CA"/>
        </w:rPr>
        <w:t>Les</w:t>
      </w:r>
      <w:r w:rsidR="00117106" w:rsidRPr="00B26B5B">
        <w:rPr>
          <w:kern w:val="22"/>
          <w:szCs w:val="22"/>
          <w:lang w:val="fr-CA"/>
        </w:rPr>
        <w:t xml:space="preserve"> Parties </w:t>
      </w:r>
      <w:r>
        <w:rPr>
          <w:kern w:val="22"/>
          <w:szCs w:val="22"/>
          <w:lang w:val="fr-CA"/>
        </w:rPr>
        <w:t xml:space="preserve">devraient </w:t>
      </w:r>
      <w:r w:rsidR="00E75EAF">
        <w:rPr>
          <w:kern w:val="22"/>
          <w:szCs w:val="22"/>
          <w:lang w:val="fr-CA"/>
        </w:rPr>
        <w:t>habiliter</w:t>
      </w:r>
      <w:r w:rsidR="00117106" w:rsidRPr="00B26B5B">
        <w:rPr>
          <w:kern w:val="22"/>
          <w:szCs w:val="22"/>
          <w:lang w:val="fr-CA"/>
        </w:rPr>
        <w:t xml:space="preserve"> des organisations régionales et infrarégionales </w:t>
      </w:r>
      <w:r w:rsidR="00E75EAF">
        <w:rPr>
          <w:kern w:val="22"/>
          <w:szCs w:val="22"/>
          <w:lang w:val="fr-CA"/>
        </w:rPr>
        <w:t>à prendre</w:t>
      </w:r>
      <w:r>
        <w:rPr>
          <w:kern w:val="22"/>
          <w:szCs w:val="22"/>
          <w:lang w:val="fr-CA"/>
        </w:rPr>
        <w:t xml:space="preserve"> en charge</w:t>
      </w:r>
      <w:r w:rsidR="00117106" w:rsidRPr="00B26B5B">
        <w:rPr>
          <w:kern w:val="22"/>
          <w:szCs w:val="22"/>
          <w:lang w:val="fr-CA"/>
        </w:rPr>
        <w:t xml:space="preserve"> la responsabilisation en tant que mesure pour accroître la responsabilité.</w:t>
      </w:r>
    </w:p>
    <w:p w:rsidR="005A6B4A" w:rsidRPr="00B26B5B" w:rsidRDefault="00E75EAF" w:rsidP="00C33570">
      <w:pPr>
        <w:pStyle w:val="Para1"/>
        <w:suppressLineNumbers/>
        <w:tabs>
          <w:tab w:val="clear" w:pos="360"/>
          <w:tab w:val="num" w:pos="720"/>
        </w:tabs>
        <w:suppressAutoHyphens/>
        <w:rPr>
          <w:kern w:val="22"/>
          <w:szCs w:val="22"/>
          <w:lang w:val="fr-CA"/>
        </w:rPr>
      </w:pPr>
      <w:r>
        <w:rPr>
          <w:kern w:val="22"/>
          <w:szCs w:val="22"/>
          <w:lang w:val="fr-CA"/>
        </w:rPr>
        <w:t>De plus, l</w:t>
      </w:r>
      <w:r w:rsidR="00117106" w:rsidRPr="00B26B5B">
        <w:rPr>
          <w:kern w:val="22"/>
          <w:szCs w:val="22"/>
          <w:lang w:val="fr-CA"/>
        </w:rPr>
        <w:t xml:space="preserve">’intégration de la diversité biologique dans les politiques nationales </w:t>
      </w:r>
      <w:r>
        <w:rPr>
          <w:kern w:val="22"/>
          <w:szCs w:val="22"/>
          <w:lang w:val="fr-CA"/>
        </w:rPr>
        <w:t xml:space="preserve">doit se poursuivre, </w:t>
      </w:r>
      <w:r w:rsidR="00117106" w:rsidRPr="00B26B5B">
        <w:rPr>
          <w:kern w:val="22"/>
          <w:szCs w:val="22"/>
          <w:lang w:val="fr-CA"/>
        </w:rPr>
        <w:t>afin d’accroître la responsabilité de tous les secteurs concernés</w:t>
      </w:r>
      <w:r w:rsidR="005A6B4A" w:rsidRPr="00B26B5B">
        <w:rPr>
          <w:kern w:val="22"/>
          <w:szCs w:val="22"/>
          <w:lang w:val="fr-CA"/>
        </w:rPr>
        <w:t>.</w:t>
      </w:r>
    </w:p>
    <w:p w:rsidR="00581EBF" w:rsidRPr="00B26B5B" w:rsidRDefault="00581EBF" w:rsidP="00C33570">
      <w:pPr>
        <w:pStyle w:val="Titre3"/>
        <w:suppressLineNumbers/>
        <w:suppressAutoHyphens/>
        <w:rPr>
          <w:kern w:val="22"/>
          <w:szCs w:val="22"/>
          <w:lang w:val="fr-CA"/>
        </w:rPr>
      </w:pPr>
      <w:r w:rsidRPr="00B26B5B">
        <w:rPr>
          <w:kern w:val="22"/>
          <w:szCs w:val="22"/>
          <w:lang w:val="fr-CA"/>
        </w:rPr>
        <w:t>1</w:t>
      </w:r>
      <w:r w:rsidR="00CF3D87" w:rsidRPr="00B26B5B">
        <w:rPr>
          <w:kern w:val="22"/>
          <w:szCs w:val="22"/>
          <w:lang w:val="fr-CA"/>
        </w:rPr>
        <w:t>5</w:t>
      </w:r>
      <w:r w:rsidRPr="00B26B5B">
        <w:rPr>
          <w:kern w:val="22"/>
          <w:szCs w:val="22"/>
          <w:lang w:val="fr-CA"/>
        </w:rPr>
        <w:t>.</w:t>
      </w:r>
      <w:r w:rsidRPr="00B26B5B">
        <w:rPr>
          <w:kern w:val="22"/>
          <w:szCs w:val="22"/>
          <w:lang w:val="fr-CA"/>
        </w:rPr>
        <w:tab/>
      </w:r>
      <w:r w:rsidR="00D27089" w:rsidRPr="00B26B5B">
        <w:rPr>
          <w:kern w:val="22"/>
          <w:szCs w:val="22"/>
          <w:lang w:val="fr-CA"/>
        </w:rPr>
        <w:t>Autres questions et suggestions</w:t>
      </w:r>
    </w:p>
    <w:p w:rsidR="00581EBF" w:rsidRPr="00B26B5B" w:rsidRDefault="00117106" w:rsidP="00C33570">
      <w:pPr>
        <w:pStyle w:val="Para1"/>
        <w:suppressLineNumbers/>
        <w:tabs>
          <w:tab w:val="clear" w:pos="360"/>
          <w:tab w:val="num" w:pos="720"/>
        </w:tabs>
        <w:suppressAutoHyphens/>
        <w:rPr>
          <w:kern w:val="22"/>
          <w:szCs w:val="22"/>
          <w:lang w:val="fr-CA"/>
        </w:rPr>
      </w:pPr>
      <w:r w:rsidRPr="00B26B5B">
        <w:rPr>
          <w:i/>
          <w:kern w:val="22"/>
          <w:szCs w:val="22"/>
          <w:lang w:val="fr-CA"/>
        </w:rPr>
        <w:t>Coopération régionale</w:t>
      </w:r>
      <w:r w:rsidR="00CD0FC3">
        <w:rPr>
          <w:i/>
          <w:kern w:val="22"/>
          <w:szCs w:val="22"/>
          <w:lang w:val="fr-CA"/>
        </w:rPr>
        <w:t> </w:t>
      </w:r>
      <w:r w:rsidR="00581EBF" w:rsidRPr="00B26B5B">
        <w:rPr>
          <w:kern w:val="22"/>
          <w:szCs w:val="22"/>
          <w:lang w:val="fr-CA"/>
        </w:rPr>
        <w:t>:</w:t>
      </w:r>
      <w:r w:rsidR="002E2E41" w:rsidRPr="00B26B5B">
        <w:rPr>
          <w:kern w:val="22"/>
          <w:szCs w:val="22"/>
          <w:lang w:val="fr-CA"/>
        </w:rPr>
        <w:t xml:space="preserve"> </w:t>
      </w:r>
      <w:r w:rsidR="00E75EAF">
        <w:rPr>
          <w:kern w:val="22"/>
          <w:szCs w:val="22"/>
          <w:lang w:val="fr-CA"/>
        </w:rPr>
        <w:t>L</w:t>
      </w:r>
      <w:r w:rsidR="00D44D18" w:rsidRPr="00B26B5B">
        <w:rPr>
          <w:kern w:val="22"/>
          <w:szCs w:val="22"/>
          <w:lang w:val="fr-CA"/>
        </w:rPr>
        <w:t>a coopération régionale</w:t>
      </w:r>
      <w:r w:rsidR="00E75EAF">
        <w:rPr>
          <w:kern w:val="22"/>
          <w:szCs w:val="22"/>
          <w:lang w:val="fr-CA"/>
        </w:rPr>
        <w:t xml:space="preserve"> doit être renforcée</w:t>
      </w:r>
      <w:r w:rsidR="00D44D18" w:rsidRPr="00B26B5B">
        <w:rPr>
          <w:kern w:val="22"/>
          <w:szCs w:val="22"/>
          <w:lang w:val="fr-CA"/>
        </w:rPr>
        <w:t xml:space="preserve">, car la diversité biologique ne connaît pas de frontière. </w:t>
      </w:r>
      <w:r w:rsidR="00E75EAF">
        <w:rPr>
          <w:kern w:val="22"/>
          <w:szCs w:val="22"/>
          <w:lang w:val="fr-CA"/>
        </w:rPr>
        <w:t>I</w:t>
      </w:r>
      <w:r w:rsidR="00D44D18" w:rsidRPr="00B26B5B">
        <w:rPr>
          <w:kern w:val="22"/>
          <w:szCs w:val="22"/>
          <w:lang w:val="fr-CA"/>
        </w:rPr>
        <w:t>l existe déjà plusieurs progra</w:t>
      </w:r>
      <w:r w:rsidR="00E75EAF">
        <w:rPr>
          <w:kern w:val="22"/>
          <w:szCs w:val="22"/>
          <w:lang w:val="fr-CA"/>
        </w:rPr>
        <w:t>mmes régionaux pouvant être util</w:t>
      </w:r>
      <w:r w:rsidR="00D44D18" w:rsidRPr="00B26B5B">
        <w:rPr>
          <w:kern w:val="22"/>
          <w:szCs w:val="22"/>
          <w:lang w:val="fr-CA"/>
        </w:rPr>
        <w:t>isés pour soutenir la conservation et l’utilisation durable de la diversité biologique. Les plateformes régionales, telles que la Conférence ministérielle africaine sur l’environnement (</w:t>
      </w:r>
      <w:proofErr w:type="spellStart"/>
      <w:r w:rsidR="00D44D18" w:rsidRPr="00B26B5B">
        <w:rPr>
          <w:kern w:val="22"/>
          <w:szCs w:val="22"/>
          <w:lang w:val="fr-CA"/>
        </w:rPr>
        <w:t>CMAE</w:t>
      </w:r>
      <w:proofErr w:type="spellEnd"/>
      <w:r w:rsidR="00D44D18" w:rsidRPr="00B26B5B">
        <w:rPr>
          <w:kern w:val="22"/>
          <w:szCs w:val="22"/>
          <w:lang w:val="fr-CA"/>
        </w:rPr>
        <w:t>)</w:t>
      </w:r>
      <w:r w:rsidR="00F8174E">
        <w:rPr>
          <w:kern w:val="22"/>
          <w:szCs w:val="22"/>
          <w:lang w:val="fr-CA"/>
        </w:rPr>
        <w:t>,</w:t>
      </w:r>
      <w:r w:rsidR="00D44D18" w:rsidRPr="00B26B5B">
        <w:rPr>
          <w:kern w:val="22"/>
          <w:szCs w:val="22"/>
          <w:lang w:val="fr-CA"/>
        </w:rPr>
        <w:t xml:space="preserve"> offrent elles aussi des possibilités de coordonner et d’aligner les cadres d’orientation politique et de partager des réseaux et des enseignements, </w:t>
      </w:r>
      <w:r w:rsidR="00DA58FB" w:rsidRPr="00B26B5B">
        <w:rPr>
          <w:kern w:val="22"/>
          <w:szCs w:val="22"/>
          <w:lang w:val="fr-CA"/>
        </w:rPr>
        <w:t xml:space="preserve">de </w:t>
      </w:r>
      <w:r w:rsidR="00D44D18" w:rsidRPr="00B26B5B">
        <w:rPr>
          <w:kern w:val="22"/>
          <w:szCs w:val="22"/>
          <w:lang w:val="fr-CA"/>
        </w:rPr>
        <w:t>mobiliser</w:t>
      </w:r>
      <w:r w:rsidR="00DA58FB" w:rsidRPr="00B26B5B">
        <w:rPr>
          <w:kern w:val="22"/>
          <w:szCs w:val="22"/>
          <w:lang w:val="fr-CA"/>
        </w:rPr>
        <w:t xml:space="preserve"> et de maximiser le recours à l’expertise dans la région, et de développer des réseaux de soutien régionaux et des listes d’experts de la diversité biologique. </w:t>
      </w:r>
      <w:r w:rsidR="00E75EAF">
        <w:rPr>
          <w:kern w:val="22"/>
          <w:szCs w:val="22"/>
          <w:lang w:val="fr-CA"/>
        </w:rPr>
        <w:t>Il faut également</w:t>
      </w:r>
      <w:r w:rsidR="00DA58FB" w:rsidRPr="00B26B5B">
        <w:rPr>
          <w:kern w:val="22"/>
          <w:szCs w:val="22"/>
          <w:lang w:val="fr-CA"/>
        </w:rPr>
        <w:t xml:space="preserve"> désigner des centre</w:t>
      </w:r>
      <w:r w:rsidR="00FD70A2">
        <w:rPr>
          <w:kern w:val="22"/>
          <w:szCs w:val="22"/>
          <w:lang w:val="fr-CA"/>
        </w:rPr>
        <w:t>s</w:t>
      </w:r>
      <w:r w:rsidR="00DA58FB" w:rsidRPr="00B26B5B">
        <w:rPr>
          <w:kern w:val="22"/>
          <w:szCs w:val="22"/>
          <w:lang w:val="fr-CA"/>
        </w:rPr>
        <w:t xml:space="preserve"> d’excellence régionaux et des partenaires stratégiques qui pourraient devenir des « champions » de la coopération régionale</w:t>
      </w:r>
      <w:r w:rsidR="002E2E41" w:rsidRPr="00B26B5B">
        <w:rPr>
          <w:kern w:val="22"/>
          <w:szCs w:val="22"/>
          <w:lang w:val="fr-CA"/>
        </w:rPr>
        <w:t>.</w:t>
      </w:r>
    </w:p>
    <w:p w:rsidR="00E32777" w:rsidRPr="00B26B5B" w:rsidRDefault="00DA58FB" w:rsidP="00C33570">
      <w:pPr>
        <w:pStyle w:val="Para1"/>
        <w:suppressLineNumbers/>
        <w:tabs>
          <w:tab w:val="clear" w:pos="360"/>
        </w:tabs>
        <w:suppressAutoHyphens/>
        <w:rPr>
          <w:kern w:val="22"/>
          <w:szCs w:val="22"/>
          <w:lang w:val="fr-CA"/>
        </w:rPr>
      </w:pPr>
      <w:r w:rsidRPr="00B26B5B">
        <w:rPr>
          <w:i/>
          <w:kern w:val="22"/>
          <w:szCs w:val="22"/>
          <w:lang w:val="fr-CA"/>
        </w:rPr>
        <w:t>Intégration des droits de la personne</w:t>
      </w:r>
      <w:r w:rsidR="00CD0FC3">
        <w:rPr>
          <w:i/>
          <w:kern w:val="22"/>
          <w:szCs w:val="22"/>
          <w:lang w:val="fr-CA"/>
        </w:rPr>
        <w:t> </w:t>
      </w:r>
      <w:r w:rsidR="00E32777" w:rsidRPr="00B26B5B">
        <w:rPr>
          <w:kern w:val="22"/>
          <w:szCs w:val="22"/>
          <w:lang w:val="fr-CA"/>
        </w:rPr>
        <w:t xml:space="preserve">: </w:t>
      </w:r>
      <w:r w:rsidRPr="00B26B5B">
        <w:rPr>
          <w:kern w:val="22"/>
          <w:szCs w:val="22"/>
          <w:lang w:val="fr-CA"/>
        </w:rPr>
        <w:t xml:space="preserve">Les participants ont mis en évidence la nécessité de présenter « le droit à un environnement sain » en tant qu’élément principal de </w:t>
      </w:r>
      <w:r w:rsidR="00FD70A2">
        <w:rPr>
          <w:kern w:val="22"/>
          <w:szCs w:val="22"/>
          <w:lang w:val="fr-CA"/>
        </w:rPr>
        <w:t>l’application</w:t>
      </w:r>
      <w:r w:rsidRPr="00B26B5B">
        <w:rPr>
          <w:kern w:val="22"/>
          <w:szCs w:val="22"/>
          <w:lang w:val="fr-CA"/>
        </w:rPr>
        <w:t xml:space="preserve"> du cadre de l’après-2020. </w:t>
      </w:r>
      <w:r w:rsidR="00865AD2" w:rsidRPr="00B26B5B">
        <w:rPr>
          <w:kern w:val="22"/>
          <w:szCs w:val="22"/>
          <w:lang w:val="fr-CA"/>
        </w:rPr>
        <w:t xml:space="preserve">Ceci aiderait à la réalisation des multiples bienfaits pour la société et la diversité biologique. Les conventions et les structures des droits de la personne sont déjà en place, et leur existence pourrait servir à militer pour le droit </w:t>
      </w:r>
      <w:r w:rsidR="00FD70A2">
        <w:rPr>
          <w:kern w:val="22"/>
          <w:szCs w:val="22"/>
          <w:lang w:val="fr-CA"/>
        </w:rPr>
        <w:t>des personnes à un environnement sain</w:t>
      </w:r>
      <w:r w:rsidR="00E32777" w:rsidRPr="00B26B5B">
        <w:rPr>
          <w:kern w:val="22"/>
          <w:szCs w:val="22"/>
          <w:lang w:val="fr-CA"/>
        </w:rPr>
        <w:t>.</w:t>
      </w:r>
    </w:p>
    <w:p w:rsidR="002E2E41" w:rsidRPr="00B26B5B" w:rsidRDefault="00865AD2" w:rsidP="00C33570">
      <w:pPr>
        <w:pStyle w:val="Para1"/>
        <w:suppressLineNumbers/>
        <w:tabs>
          <w:tab w:val="clear" w:pos="360"/>
          <w:tab w:val="num" w:pos="720"/>
        </w:tabs>
        <w:suppressAutoHyphens/>
        <w:rPr>
          <w:kern w:val="22"/>
          <w:szCs w:val="22"/>
          <w:lang w:val="fr-CA"/>
        </w:rPr>
      </w:pPr>
      <w:r w:rsidRPr="00B26B5B">
        <w:rPr>
          <w:i/>
          <w:kern w:val="22"/>
          <w:szCs w:val="22"/>
          <w:lang w:val="fr-CA"/>
        </w:rPr>
        <w:t>Défenseurs de la protection des droits de la personne</w:t>
      </w:r>
      <w:r w:rsidR="00CD0FC3">
        <w:rPr>
          <w:i/>
          <w:kern w:val="22"/>
          <w:szCs w:val="22"/>
          <w:lang w:val="fr-CA"/>
        </w:rPr>
        <w:t> </w:t>
      </w:r>
      <w:r w:rsidR="00581EBF" w:rsidRPr="00B26B5B">
        <w:rPr>
          <w:kern w:val="22"/>
          <w:szCs w:val="22"/>
          <w:lang w:val="fr-CA"/>
        </w:rPr>
        <w:t xml:space="preserve">: </w:t>
      </w:r>
      <w:r w:rsidR="00FD70A2">
        <w:rPr>
          <w:kern w:val="22"/>
          <w:szCs w:val="22"/>
          <w:lang w:val="fr-CA"/>
        </w:rPr>
        <w:t>L</w:t>
      </w:r>
      <w:r w:rsidRPr="00B26B5B">
        <w:rPr>
          <w:kern w:val="22"/>
          <w:szCs w:val="22"/>
          <w:lang w:val="fr-CA"/>
        </w:rPr>
        <w:t xml:space="preserve">’environnement </w:t>
      </w:r>
      <w:r w:rsidR="00FD70A2">
        <w:rPr>
          <w:kern w:val="22"/>
          <w:szCs w:val="22"/>
          <w:lang w:val="fr-CA"/>
        </w:rPr>
        <w:t>est</w:t>
      </w:r>
      <w:r w:rsidRPr="00B26B5B">
        <w:rPr>
          <w:kern w:val="22"/>
          <w:szCs w:val="22"/>
          <w:lang w:val="fr-CA"/>
        </w:rPr>
        <w:t xml:space="preserve"> devenu la nouvelle ligne frontale</w:t>
      </w:r>
      <w:r w:rsidR="00A22291" w:rsidRPr="00B26B5B">
        <w:rPr>
          <w:kern w:val="22"/>
          <w:szCs w:val="22"/>
          <w:lang w:val="fr-CA"/>
        </w:rPr>
        <w:t xml:space="preserve"> des défenseurs des droits de la personne. </w:t>
      </w:r>
      <w:r w:rsidR="00FD70A2">
        <w:rPr>
          <w:kern w:val="22"/>
          <w:szCs w:val="22"/>
          <w:lang w:val="fr-CA"/>
        </w:rPr>
        <w:t>I</w:t>
      </w:r>
      <w:r w:rsidR="00456BDF">
        <w:rPr>
          <w:kern w:val="22"/>
          <w:szCs w:val="22"/>
          <w:lang w:val="fr-CA"/>
        </w:rPr>
        <w:t>l</w:t>
      </w:r>
      <w:r w:rsidR="00FD70A2">
        <w:rPr>
          <w:kern w:val="22"/>
          <w:szCs w:val="22"/>
          <w:lang w:val="fr-CA"/>
        </w:rPr>
        <w:t xml:space="preserve"> est urgent</w:t>
      </w:r>
      <w:r w:rsidR="00A22291" w:rsidRPr="00B26B5B">
        <w:rPr>
          <w:kern w:val="22"/>
          <w:szCs w:val="22"/>
          <w:lang w:val="fr-CA"/>
        </w:rPr>
        <w:t xml:space="preserve"> protéger et de soutenir les défenseurs des droits de la personne en matière d’environnement et </w:t>
      </w:r>
      <w:r w:rsidR="00456BDF">
        <w:rPr>
          <w:kern w:val="22"/>
          <w:szCs w:val="22"/>
          <w:lang w:val="fr-CA"/>
        </w:rPr>
        <w:t xml:space="preserve">le cadre de l’après-2020 devrait comprendre </w:t>
      </w:r>
      <w:r w:rsidR="00A22291" w:rsidRPr="00B26B5B">
        <w:rPr>
          <w:kern w:val="22"/>
          <w:szCs w:val="22"/>
          <w:lang w:val="fr-CA"/>
        </w:rPr>
        <w:t>un mécanisme de soutien des défenseurs des droits de la personne en matière d’environnement</w:t>
      </w:r>
      <w:r w:rsidR="002E2E41" w:rsidRPr="00B26B5B">
        <w:rPr>
          <w:kern w:val="22"/>
          <w:szCs w:val="22"/>
          <w:lang w:val="fr-CA"/>
        </w:rPr>
        <w:t>.</w:t>
      </w:r>
    </w:p>
    <w:p w:rsidR="00C43060" w:rsidRPr="00B26B5B" w:rsidRDefault="00A22291" w:rsidP="00C33570">
      <w:pPr>
        <w:pStyle w:val="Titre1"/>
        <w:numPr>
          <w:ilvl w:val="0"/>
          <w:numId w:val="5"/>
        </w:numPr>
        <w:suppressLineNumbers/>
        <w:tabs>
          <w:tab w:val="clear" w:pos="720"/>
        </w:tabs>
        <w:suppressAutoHyphens/>
        <w:spacing w:before="120"/>
        <w:ind w:left="924" w:hanging="567"/>
        <w:rPr>
          <w:kern w:val="22"/>
          <w:szCs w:val="22"/>
          <w:lang w:val="fr-CA"/>
        </w:rPr>
      </w:pPr>
      <w:r w:rsidRPr="00B26B5B">
        <w:rPr>
          <w:kern w:val="22"/>
          <w:szCs w:val="22"/>
          <w:lang w:val="fr-CA"/>
        </w:rPr>
        <w:t>DÉROULEMENT DE LA CONSULTATION</w:t>
      </w:r>
    </w:p>
    <w:p w:rsidR="00531771" w:rsidRPr="00B26B5B" w:rsidRDefault="00A22291" w:rsidP="00C33570">
      <w:pPr>
        <w:pStyle w:val="Para1"/>
        <w:numPr>
          <w:ilvl w:val="0"/>
          <w:numId w:val="0"/>
        </w:numPr>
        <w:suppressLineNumbers/>
        <w:suppressAutoHyphens/>
        <w:ind w:left="357"/>
        <w:jc w:val="center"/>
        <w:rPr>
          <w:b/>
          <w:kern w:val="22"/>
          <w:szCs w:val="22"/>
          <w:lang w:val="fr-CA"/>
        </w:rPr>
      </w:pPr>
      <w:r w:rsidRPr="00B26B5B">
        <w:rPr>
          <w:b/>
          <w:kern w:val="22"/>
          <w:szCs w:val="22"/>
          <w:lang w:val="fr-CA"/>
        </w:rPr>
        <w:t>Point</w:t>
      </w:r>
      <w:r w:rsidR="004E6A72" w:rsidRPr="00B26B5B">
        <w:rPr>
          <w:b/>
          <w:kern w:val="22"/>
          <w:szCs w:val="22"/>
          <w:lang w:val="fr-CA"/>
        </w:rPr>
        <w:t xml:space="preserve"> 1. </w:t>
      </w:r>
      <w:r w:rsidRPr="00B26B5B">
        <w:rPr>
          <w:b/>
          <w:kern w:val="22"/>
          <w:szCs w:val="22"/>
          <w:lang w:val="fr-CA"/>
        </w:rPr>
        <w:t>Ouverture de la consultation et questions d’</w:t>
      </w:r>
      <w:r w:rsidR="008102FA" w:rsidRPr="00B26B5B">
        <w:rPr>
          <w:b/>
          <w:kern w:val="22"/>
          <w:szCs w:val="22"/>
          <w:lang w:val="fr-CA"/>
        </w:rPr>
        <w:t>organ</w:t>
      </w:r>
      <w:r w:rsidRPr="00B26B5B">
        <w:rPr>
          <w:b/>
          <w:kern w:val="22"/>
          <w:szCs w:val="22"/>
          <w:lang w:val="fr-CA"/>
        </w:rPr>
        <w:t>isation</w:t>
      </w:r>
    </w:p>
    <w:p w:rsidR="000C35A3" w:rsidRPr="00B26B5B" w:rsidRDefault="008102FA" w:rsidP="00C33570">
      <w:pPr>
        <w:pStyle w:val="Para1"/>
        <w:suppressLineNumbers/>
        <w:tabs>
          <w:tab w:val="clear" w:pos="360"/>
        </w:tabs>
        <w:suppressAutoHyphens/>
        <w:rPr>
          <w:kern w:val="22"/>
          <w:szCs w:val="22"/>
          <w:lang w:val="fr-CA"/>
        </w:rPr>
      </w:pPr>
      <w:r w:rsidRPr="00B26B5B">
        <w:rPr>
          <w:kern w:val="22"/>
          <w:szCs w:val="22"/>
          <w:lang w:val="fr-CA"/>
        </w:rPr>
        <w:t>La consultation a été ouverte le 2 avril</w:t>
      </w:r>
      <w:r w:rsidR="00F74CD2" w:rsidRPr="00B26B5B">
        <w:rPr>
          <w:kern w:val="22"/>
          <w:szCs w:val="22"/>
          <w:lang w:val="fr-CA"/>
        </w:rPr>
        <w:t xml:space="preserve"> </w:t>
      </w:r>
      <w:r w:rsidR="00CB1C69" w:rsidRPr="00B26B5B">
        <w:rPr>
          <w:kern w:val="22"/>
          <w:szCs w:val="22"/>
          <w:lang w:val="fr-CA"/>
        </w:rPr>
        <w:t xml:space="preserve">2019 </w:t>
      </w:r>
      <w:r w:rsidRPr="00B26B5B">
        <w:rPr>
          <w:kern w:val="22"/>
          <w:szCs w:val="22"/>
          <w:lang w:val="fr-CA"/>
        </w:rPr>
        <w:t>par</w:t>
      </w:r>
      <w:r w:rsidR="00CB1C69" w:rsidRPr="00B26B5B">
        <w:rPr>
          <w:kern w:val="22"/>
          <w:szCs w:val="22"/>
          <w:lang w:val="fr-CA"/>
        </w:rPr>
        <w:t xml:space="preserve"> </w:t>
      </w:r>
      <w:r w:rsidR="00DD0326" w:rsidRPr="00B26B5B">
        <w:rPr>
          <w:kern w:val="22"/>
          <w:szCs w:val="22"/>
          <w:lang w:val="fr-CA"/>
        </w:rPr>
        <w:t>M.</w:t>
      </w:r>
      <w:r w:rsidR="00F74CD2" w:rsidRPr="00B26B5B">
        <w:rPr>
          <w:kern w:val="22"/>
          <w:szCs w:val="22"/>
          <w:lang w:val="fr-CA"/>
        </w:rPr>
        <w:t xml:space="preserve"> Jolly </w:t>
      </w:r>
      <w:proofErr w:type="spellStart"/>
      <w:r w:rsidR="00F74CD2" w:rsidRPr="00B26B5B">
        <w:rPr>
          <w:kern w:val="22"/>
          <w:szCs w:val="22"/>
          <w:lang w:val="fr-CA"/>
        </w:rPr>
        <w:t>Wasambo</w:t>
      </w:r>
      <w:proofErr w:type="spellEnd"/>
      <w:r w:rsidR="00F74CD2" w:rsidRPr="00B26B5B">
        <w:rPr>
          <w:kern w:val="22"/>
          <w:szCs w:val="22"/>
          <w:lang w:val="fr-CA"/>
        </w:rPr>
        <w:t xml:space="preserve">, </w:t>
      </w:r>
      <w:r w:rsidRPr="00B26B5B">
        <w:rPr>
          <w:kern w:val="22"/>
          <w:szCs w:val="22"/>
          <w:lang w:val="fr-CA"/>
        </w:rPr>
        <w:t>au nom de</w:t>
      </w:r>
      <w:r w:rsidR="00F74CD2" w:rsidRPr="00B26B5B">
        <w:rPr>
          <w:kern w:val="22"/>
          <w:szCs w:val="22"/>
          <w:lang w:val="fr-CA"/>
        </w:rPr>
        <w:t xml:space="preserve"> </w:t>
      </w:r>
      <w:r w:rsidR="000C35A3" w:rsidRPr="00B26B5B">
        <w:rPr>
          <w:kern w:val="22"/>
          <w:szCs w:val="22"/>
          <w:lang w:val="fr-CA"/>
        </w:rPr>
        <w:t xml:space="preserve">M. Moussa </w:t>
      </w:r>
      <w:proofErr w:type="spellStart"/>
      <w:r w:rsidR="000C35A3" w:rsidRPr="00B26B5B">
        <w:rPr>
          <w:kern w:val="22"/>
          <w:szCs w:val="22"/>
          <w:lang w:val="fr-CA"/>
        </w:rPr>
        <w:t>Mahamat</w:t>
      </w:r>
      <w:proofErr w:type="spellEnd"/>
      <w:r w:rsidR="000C35A3" w:rsidRPr="00B26B5B">
        <w:rPr>
          <w:kern w:val="22"/>
          <w:szCs w:val="22"/>
          <w:lang w:val="fr-CA"/>
        </w:rPr>
        <w:t xml:space="preserve"> </w:t>
      </w:r>
      <w:proofErr w:type="spellStart"/>
      <w:r w:rsidR="000C35A3" w:rsidRPr="00B26B5B">
        <w:rPr>
          <w:kern w:val="22"/>
          <w:szCs w:val="22"/>
          <w:lang w:val="fr-CA"/>
        </w:rPr>
        <w:t>Faki</w:t>
      </w:r>
      <w:proofErr w:type="spellEnd"/>
      <w:r w:rsidR="000C35A3" w:rsidRPr="00B26B5B">
        <w:rPr>
          <w:kern w:val="22"/>
          <w:szCs w:val="22"/>
          <w:lang w:val="fr-CA"/>
        </w:rPr>
        <w:t xml:space="preserve">, </w:t>
      </w:r>
      <w:r w:rsidRPr="00B26B5B">
        <w:rPr>
          <w:kern w:val="22"/>
          <w:szCs w:val="22"/>
          <w:lang w:val="fr-CA"/>
        </w:rPr>
        <w:t>président de la Commission de l’Union africaine</w:t>
      </w:r>
      <w:r w:rsidR="00CB1C69" w:rsidRPr="00B26B5B">
        <w:rPr>
          <w:kern w:val="22"/>
          <w:szCs w:val="22"/>
          <w:lang w:val="fr-CA"/>
        </w:rPr>
        <w:t xml:space="preserve">. </w:t>
      </w:r>
      <w:r w:rsidRPr="00B26B5B">
        <w:rPr>
          <w:kern w:val="22"/>
          <w:szCs w:val="22"/>
          <w:lang w:val="fr-CA"/>
        </w:rPr>
        <w:t>Il a accueilli les participants à Addis-Abeba, le siège de la Commission de l’Union africaine. Il a souligné l’importance de la première consultation dans la région sur le processus de préparation du nouveau cadre mondial qui déterminerait les prochaines étapes dans la réalisation de la vision de vivre en harmonie avec la natu</w:t>
      </w:r>
      <w:r w:rsidR="00456BDF">
        <w:rPr>
          <w:kern w:val="22"/>
          <w:szCs w:val="22"/>
          <w:lang w:val="fr-CA"/>
        </w:rPr>
        <w:t>re, et a réitéré le soutien de l</w:t>
      </w:r>
      <w:r w:rsidRPr="00B26B5B">
        <w:rPr>
          <w:kern w:val="22"/>
          <w:szCs w:val="22"/>
          <w:lang w:val="fr-CA"/>
        </w:rPr>
        <w:t>a Commission au processus</w:t>
      </w:r>
      <w:r w:rsidR="008A4C23" w:rsidRPr="00B26B5B">
        <w:rPr>
          <w:kern w:val="22"/>
          <w:szCs w:val="22"/>
          <w:lang w:val="fr-CA"/>
        </w:rPr>
        <w:t>.</w:t>
      </w:r>
      <w:r w:rsidRPr="00B26B5B">
        <w:rPr>
          <w:kern w:val="22"/>
          <w:szCs w:val="22"/>
          <w:lang w:val="fr-CA"/>
        </w:rPr>
        <w:t xml:space="preserve"> </w:t>
      </w:r>
      <w:r w:rsidR="00F41099" w:rsidRPr="00B26B5B">
        <w:rPr>
          <w:kern w:val="22"/>
          <w:szCs w:val="22"/>
          <w:lang w:val="fr-CA"/>
        </w:rPr>
        <w:t xml:space="preserve">Il a aussi rappelé le Sommet sur la biodiversité en Afrique et la quatorzième réunion de la Conférence des Parties, qui </w:t>
      </w:r>
      <w:r w:rsidR="00C93112">
        <w:rPr>
          <w:kern w:val="22"/>
          <w:szCs w:val="22"/>
          <w:lang w:val="fr-CA"/>
        </w:rPr>
        <w:t>se sont</w:t>
      </w:r>
      <w:r w:rsidR="00F41099" w:rsidRPr="00B26B5B">
        <w:rPr>
          <w:kern w:val="22"/>
          <w:szCs w:val="22"/>
          <w:lang w:val="fr-CA"/>
        </w:rPr>
        <w:t xml:space="preserve"> déroulé</w:t>
      </w:r>
      <w:r w:rsidR="00C93112">
        <w:rPr>
          <w:kern w:val="22"/>
          <w:szCs w:val="22"/>
          <w:lang w:val="fr-CA"/>
        </w:rPr>
        <w:t>s</w:t>
      </w:r>
      <w:r w:rsidR="00F41099" w:rsidRPr="00B26B5B">
        <w:rPr>
          <w:kern w:val="22"/>
          <w:szCs w:val="22"/>
          <w:lang w:val="fr-CA"/>
        </w:rPr>
        <w:t xml:space="preserve"> à </w:t>
      </w:r>
      <w:proofErr w:type="spellStart"/>
      <w:r w:rsidR="00F41099" w:rsidRPr="00B26B5B">
        <w:rPr>
          <w:kern w:val="22"/>
          <w:szCs w:val="22"/>
          <w:lang w:val="fr-CA"/>
        </w:rPr>
        <w:t>Charm</w:t>
      </w:r>
      <w:proofErr w:type="spellEnd"/>
      <w:r w:rsidR="00F41099" w:rsidRPr="00B26B5B">
        <w:rPr>
          <w:kern w:val="22"/>
          <w:szCs w:val="22"/>
          <w:lang w:val="fr-CA"/>
        </w:rPr>
        <w:t xml:space="preserve"> el-Cheikh, en Égypte, en novembre 2018. Il a ajouté que la Commission avait </w:t>
      </w:r>
      <w:r w:rsidR="00456BDF">
        <w:rPr>
          <w:kern w:val="22"/>
          <w:szCs w:val="22"/>
          <w:lang w:val="fr-CA"/>
        </w:rPr>
        <w:t xml:space="preserve">eu </w:t>
      </w:r>
      <w:r w:rsidR="00F41099" w:rsidRPr="00B26B5B">
        <w:rPr>
          <w:kern w:val="22"/>
          <w:szCs w:val="22"/>
          <w:lang w:val="fr-CA"/>
        </w:rPr>
        <w:t>l’honneur de collaborer avec le gouvernement de l’Égypte, le Secrétariat de la Convention et le Programme des Nations Unies pour l’environnement à l’organisation du Sommet.</w:t>
      </w:r>
    </w:p>
    <w:p w:rsidR="007F7AC9" w:rsidRPr="00B26B5B" w:rsidRDefault="007F7AC9" w:rsidP="001F75BB">
      <w:pPr>
        <w:pStyle w:val="Para1"/>
        <w:suppressLineNumbers/>
        <w:tabs>
          <w:tab w:val="clear" w:pos="360"/>
        </w:tabs>
        <w:suppressAutoHyphens/>
        <w:rPr>
          <w:kern w:val="22"/>
          <w:szCs w:val="22"/>
          <w:lang w:val="fr-CA"/>
        </w:rPr>
      </w:pPr>
      <w:r w:rsidRPr="00B26B5B">
        <w:rPr>
          <w:kern w:val="22"/>
          <w:szCs w:val="22"/>
          <w:lang w:val="fr-CA"/>
        </w:rPr>
        <w:t>M</w:t>
      </w:r>
      <w:r w:rsidR="00F41099" w:rsidRPr="00B26B5B">
        <w:rPr>
          <w:kern w:val="22"/>
          <w:szCs w:val="22"/>
          <w:lang w:val="fr-CA"/>
        </w:rPr>
        <w:t>me</w:t>
      </w:r>
      <w:r w:rsidR="00456BDF">
        <w:rPr>
          <w:kern w:val="22"/>
          <w:szCs w:val="22"/>
          <w:lang w:val="fr-CA"/>
        </w:rPr>
        <w:t xml:space="preserve"> </w:t>
      </w:r>
      <w:proofErr w:type="spellStart"/>
      <w:r w:rsidR="00456BDF">
        <w:rPr>
          <w:kern w:val="22"/>
          <w:szCs w:val="22"/>
          <w:lang w:val="fr-CA"/>
        </w:rPr>
        <w:t>Jyoti</w:t>
      </w:r>
      <w:proofErr w:type="spellEnd"/>
      <w:r w:rsidR="00456BDF">
        <w:rPr>
          <w:kern w:val="22"/>
          <w:szCs w:val="22"/>
          <w:lang w:val="fr-CA"/>
        </w:rPr>
        <w:t xml:space="preserve"> Mathur-</w:t>
      </w:r>
      <w:proofErr w:type="spellStart"/>
      <w:r w:rsidR="00456BDF">
        <w:rPr>
          <w:kern w:val="22"/>
          <w:szCs w:val="22"/>
          <w:lang w:val="fr-CA"/>
        </w:rPr>
        <w:t>Filipp</w:t>
      </w:r>
      <w:proofErr w:type="spellEnd"/>
      <w:r w:rsidR="00456BDF">
        <w:rPr>
          <w:kern w:val="22"/>
          <w:szCs w:val="22"/>
          <w:lang w:val="fr-CA"/>
        </w:rPr>
        <w:t>, d</w:t>
      </w:r>
      <w:r w:rsidRPr="00B26B5B">
        <w:rPr>
          <w:kern w:val="22"/>
          <w:szCs w:val="22"/>
          <w:lang w:val="fr-CA"/>
        </w:rPr>
        <w:t>ir</w:t>
      </w:r>
      <w:r w:rsidR="00D030FB" w:rsidRPr="00B26B5B">
        <w:rPr>
          <w:kern w:val="22"/>
          <w:szCs w:val="22"/>
          <w:lang w:val="fr-CA"/>
        </w:rPr>
        <w:t>ectrice de la division du soutien à la mise en œuvre, a présenté l’allocution d’ouverture au nom de Mme</w:t>
      </w:r>
      <w:r w:rsidR="00197A03" w:rsidRPr="00B26B5B">
        <w:rPr>
          <w:kern w:val="22"/>
          <w:szCs w:val="22"/>
          <w:lang w:val="fr-CA"/>
        </w:rPr>
        <w:t xml:space="preserve"> </w:t>
      </w:r>
      <w:proofErr w:type="spellStart"/>
      <w:r w:rsidR="00197A03" w:rsidRPr="00B26B5B">
        <w:rPr>
          <w:kern w:val="22"/>
          <w:szCs w:val="22"/>
          <w:lang w:val="fr-CA"/>
        </w:rPr>
        <w:t>Cristiana</w:t>
      </w:r>
      <w:proofErr w:type="spellEnd"/>
      <w:r w:rsidR="00197A03" w:rsidRPr="00B26B5B">
        <w:rPr>
          <w:kern w:val="22"/>
          <w:szCs w:val="22"/>
          <w:lang w:val="fr-CA"/>
        </w:rPr>
        <w:t xml:space="preserve"> </w:t>
      </w:r>
      <w:proofErr w:type="spellStart"/>
      <w:r w:rsidR="00197A03" w:rsidRPr="00B26B5B">
        <w:rPr>
          <w:kern w:val="22"/>
          <w:szCs w:val="22"/>
          <w:lang w:val="fr-CA"/>
        </w:rPr>
        <w:t>Paşca</w:t>
      </w:r>
      <w:proofErr w:type="spellEnd"/>
      <w:r w:rsidR="00197A03" w:rsidRPr="00B26B5B">
        <w:rPr>
          <w:kern w:val="22"/>
          <w:szCs w:val="22"/>
          <w:lang w:val="fr-CA"/>
        </w:rPr>
        <w:t xml:space="preserve"> Palmer, </w:t>
      </w:r>
      <w:r w:rsidR="00D030FB" w:rsidRPr="00B26B5B">
        <w:rPr>
          <w:kern w:val="22"/>
          <w:szCs w:val="22"/>
          <w:lang w:val="fr-CA"/>
        </w:rPr>
        <w:t xml:space="preserve">Secrétaire exécutive de la Convention sur la diversité biologique. </w:t>
      </w:r>
      <w:r w:rsidR="00136B38" w:rsidRPr="00B26B5B">
        <w:rPr>
          <w:kern w:val="22"/>
          <w:szCs w:val="22"/>
          <w:lang w:val="fr-CA"/>
        </w:rPr>
        <w:t xml:space="preserve">Elle a indiqué que la quatorzième réunion de la Conférence des Parties à la Convention sur la diversité biologique avait été le point de départ officiel du processus préparatoire du cadre </w:t>
      </w:r>
      <w:r w:rsidR="00136B38" w:rsidRPr="00B26B5B">
        <w:rPr>
          <w:kern w:val="22"/>
          <w:szCs w:val="22"/>
          <w:lang w:val="fr-CA"/>
        </w:rPr>
        <w:lastRenderedPageBreak/>
        <w:t>mondial de la biodiversité pour l</w:t>
      </w:r>
      <w:r w:rsidR="00CD0FC3">
        <w:rPr>
          <w:kern w:val="22"/>
          <w:szCs w:val="22"/>
          <w:lang w:val="fr-CA"/>
        </w:rPr>
        <w:t>’</w:t>
      </w:r>
      <w:r w:rsidR="00136B38" w:rsidRPr="00B26B5B">
        <w:rPr>
          <w:kern w:val="22"/>
          <w:szCs w:val="22"/>
          <w:lang w:val="fr-CA"/>
        </w:rPr>
        <w:t>après-2020, qui comprendrait plusieurs consultations régionales et thématiques. La consultation en Afrique était la troisième consultation, après celles de l’Asie Pacifique, tenue à Nagoya, au Japon, et de l’Europe de l’Ouest et autres groupes, tenu</w:t>
      </w:r>
      <w:r w:rsidR="007C5D73">
        <w:rPr>
          <w:kern w:val="22"/>
          <w:szCs w:val="22"/>
          <w:lang w:val="fr-CA"/>
        </w:rPr>
        <w:t>e</w:t>
      </w:r>
      <w:r w:rsidR="00136B38" w:rsidRPr="00B26B5B">
        <w:rPr>
          <w:kern w:val="22"/>
          <w:szCs w:val="22"/>
          <w:lang w:val="fr-CA"/>
        </w:rPr>
        <w:t xml:space="preserve"> à Bonn. Elle a encouragé les participants à participer activement aux échanges pendant la réunion et à tout le processus</w:t>
      </w:r>
      <w:r w:rsidR="00E33D9A" w:rsidRPr="00B26B5B">
        <w:rPr>
          <w:kern w:val="22"/>
          <w:szCs w:val="22"/>
          <w:lang w:val="fr-CA"/>
        </w:rPr>
        <w:t xml:space="preserve">, en précisant que leurs idées, leur expertise et leur expérience pratique façonneraient le cadre. Elle a aussi invité les participants à avoir des </w:t>
      </w:r>
      <w:r w:rsidR="001F75BB" w:rsidRPr="00B26B5B">
        <w:rPr>
          <w:kern w:val="22"/>
          <w:szCs w:val="22"/>
          <w:lang w:val="fr-CA"/>
        </w:rPr>
        <w:t>idées</w:t>
      </w:r>
      <w:r w:rsidR="00E33D9A" w:rsidRPr="00B26B5B">
        <w:rPr>
          <w:kern w:val="22"/>
          <w:szCs w:val="22"/>
          <w:lang w:val="fr-CA"/>
        </w:rPr>
        <w:t xml:space="preserve"> créatives et ambitieuses, mais pragmatiques, afin de définir la voie de transformation qui permettrait à l’humanité de réaliser la vision de vivre en harmonie avec la nature d’ici à 2050. Elle a remercié la Commission de l’</w:t>
      </w:r>
      <w:r w:rsidR="001F75BB" w:rsidRPr="00B26B5B">
        <w:rPr>
          <w:kern w:val="22"/>
          <w:szCs w:val="22"/>
          <w:lang w:val="fr-CA"/>
        </w:rPr>
        <w:t>Union africaine et l’Agence de développement de l’Union Africaine-</w:t>
      </w:r>
      <w:proofErr w:type="spellStart"/>
      <w:r w:rsidR="001F75BB" w:rsidRPr="00B26B5B">
        <w:rPr>
          <w:kern w:val="22"/>
          <w:szCs w:val="22"/>
          <w:lang w:val="fr-CA"/>
        </w:rPr>
        <w:t>NEPAD</w:t>
      </w:r>
      <w:proofErr w:type="spellEnd"/>
      <w:r w:rsidR="001F75BB" w:rsidRPr="00B26B5B">
        <w:rPr>
          <w:kern w:val="22"/>
          <w:szCs w:val="22"/>
          <w:lang w:val="fr-CA"/>
        </w:rPr>
        <w:t xml:space="preserve"> d’avoir </w:t>
      </w:r>
      <w:proofErr w:type="spellStart"/>
      <w:r w:rsidR="001F75BB" w:rsidRPr="00B26B5B">
        <w:rPr>
          <w:kern w:val="22"/>
          <w:szCs w:val="22"/>
          <w:lang w:val="fr-CA"/>
        </w:rPr>
        <w:t>coorganisé</w:t>
      </w:r>
      <w:proofErr w:type="spellEnd"/>
      <w:r w:rsidR="001F75BB" w:rsidRPr="00B26B5B">
        <w:rPr>
          <w:kern w:val="22"/>
          <w:szCs w:val="22"/>
          <w:lang w:val="fr-CA"/>
        </w:rPr>
        <w:t xml:space="preserve"> la consultation, et le gouvernement du Royaume Uni, le Nouveau partenariat pour le développement de l’Afrique (</w:t>
      </w:r>
      <w:proofErr w:type="spellStart"/>
      <w:r w:rsidR="001F75BB" w:rsidRPr="00B26B5B">
        <w:rPr>
          <w:kern w:val="22"/>
          <w:szCs w:val="22"/>
          <w:lang w:val="fr-CA"/>
        </w:rPr>
        <w:t>NEPAD</w:t>
      </w:r>
      <w:proofErr w:type="spellEnd"/>
      <w:r w:rsidR="001F75BB" w:rsidRPr="00B26B5B">
        <w:rPr>
          <w:kern w:val="22"/>
          <w:szCs w:val="22"/>
          <w:lang w:val="fr-CA"/>
        </w:rPr>
        <w:t xml:space="preserve">) et le groupe stratégique </w:t>
      </w:r>
      <w:proofErr w:type="spellStart"/>
      <w:r w:rsidR="001F75BB" w:rsidRPr="00B26B5B">
        <w:rPr>
          <w:kern w:val="22"/>
          <w:szCs w:val="22"/>
          <w:lang w:val="fr-CA"/>
        </w:rPr>
        <w:t>SABI</w:t>
      </w:r>
      <w:proofErr w:type="spellEnd"/>
      <w:r w:rsidR="001F75BB" w:rsidRPr="00B26B5B">
        <w:rPr>
          <w:kern w:val="22"/>
          <w:szCs w:val="22"/>
          <w:lang w:val="fr-CA"/>
        </w:rPr>
        <w:t xml:space="preserve"> pour leur soutien financier.</w:t>
      </w:r>
    </w:p>
    <w:p w:rsidR="00BB1C3A" w:rsidRPr="00B26B5B" w:rsidRDefault="00DD0326" w:rsidP="00C33570">
      <w:pPr>
        <w:pStyle w:val="Para1"/>
        <w:suppressLineNumbers/>
        <w:tabs>
          <w:tab w:val="clear" w:pos="360"/>
        </w:tabs>
        <w:suppressAutoHyphens/>
        <w:rPr>
          <w:kern w:val="22"/>
          <w:szCs w:val="22"/>
          <w:lang w:val="fr-CA"/>
        </w:rPr>
      </w:pPr>
      <w:r w:rsidRPr="00B26B5B">
        <w:rPr>
          <w:kern w:val="22"/>
          <w:szCs w:val="22"/>
          <w:lang w:val="fr-CA"/>
        </w:rPr>
        <w:t>M</w:t>
      </w:r>
      <w:r w:rsidR="00CB2A7C" w:rsidRPr="00B26B5B">
        <w:rPr>
          <w:kern w:val="22"/>
          <w:szCs w:val="22"/>
          <w:lang w:val="fr-CA"/>
        </w:rPr>
        <w:t xml:space="preserve">. </w:t>
      </w:r>
      <w:proofErr w:type="spellStart"/>
      <w:r w:rsidR="00CB2A7C" w:rsidRPr="00B26B5B">
        <w:rPr>
          <w:kern w:val="22"/>
          <w:szCs w:val="22"/>
          <w:lang w:val="fr-CA"/>
        </w:rPr>
        <w:t>Hamdallah</w:t>
      </w:r>
      <w:proofErr w:type="spellEnd"/>
      <w:r w:rsidR="00CB2A7C" w:rsidRPr="00B26B5B">
        <w:rPr>
          <w:kern w:val="22"/>
          <w:szCs w:val="22"/>
          <w:lang w:val="fr-CA"/>
        </w:rPr>
        <w:t xml:space="preserve"> </w:t>
      </w:r>
      <w:proofErr w:type="spellStart"/>
      <w:r w:rsidR="00CB2A7C" w:rsidRPr="00B26B5B">
        <w:rPr>
          <w:kern w:val="22"/>
          <w:szCs w:val="22"/>
          <w:lang w:val="fr-CA"/>
        </w:rPr>
        <w:t>Zedan</w:t>
      </w:r>
      <w:proofErr w:type="spellEnd"/>
      <w:r w:rsidR="00CB2A7C" w:rsidRPr="00B26B5B">
        <w:rPr>
          <w:kern w:val="22"/>
          <w:szCs w:val="22"/>
          <w:lang w:val="fr-CA"/>
        </w:rPr>
        <w:t xml:space="preserve"> (</w:t>
      </w:r>
      <w:r w:rsidR="001F75BB" w:rsidRPr="00B26B5B">
        <w:rPr>
          <w:kern w:val="22"/>
          <w:szCs w:val="22"/>
          <w:lang w:val="fr-CA"/>
        </w:rPr>
        <w:t>Égypte</w:t>
      </w:r>
      <w:r w:rsidR="00CB2A7C" w:rsidRPr="00B26B5B">
        <w:rPr>
          <w:kern w:val="22"/>
          <w:szCs w:val="22"/>
          <w:lang w:val="fr-CA"/>
        </w:rPr>
        <w:t xml:space="preserve">), </w:t>
      </w:r>
      <w:r w:rsidR="001F75BB" w:rsidRPr="00B26B5B">
        <w:rPr>
          <w:kern w:val="22"/>
          <w:szCs w:val="22"/>
          <w:lang w:val="fr-CA"/>
        </w:rPr>
        <w:t>dans son allocation présentée au nom de Mme</w:t>
      </w:r>
      <w:r w:rsidR="00E7282D" w:rsidRPr="00B26B5B">
        <w:rPr>
          <w:kern w:val="22"/>
          <w:szCs w:val="22"/>
          <w:lang w:val="fr-CA"/>
        </w:rPr>
        <w:t xml:space="preserve"> </w:t>
      </w:r>
      <w:r w:rsidR="00253254" w:rsidRPr="00B26B5B">
        <w:rPr>
          <w:kern w:val="22"/>
          <w:szCs w:val="22"/>
          <w:lang w:val="fr-CA"/>
        </w:rPr>
        <w:t xml:space="preserve">Yasmine Fouad, </w:t>
      </w:r>
      <w:r w:rsidR="008266F7" w:rsidRPr="00B26B5B">
        <w:rPr>
          <w:kern w:val="22"/>
          <w:szCs w:val="22"/>
          <w:lang w:val="fr-CA"/>
        </w:rPr>
        <w:t>ministre de l’Environnement de l’Égypte et présidente de la quatorzième réunion de la Conférence des Parties, a accueilli les participants à la consultation. Il a exprimé le plaisir de l’Égypte d’avoir accueilli avec succès la derni</w:t>
      </w:r>
      <w:r w:rsidR="0058678C" w:rsidRPr="00B26B5B">
        <w:rPr>
          <w:kern w:val="22"/>
          <w:szCs w:val="22"/>
          <w:lang w:val="fr-CA"/>
        </w:rPr>
        <w:t>ère</w:t>
      </w:r>
      <w:r w:rsidR="008266F7" w:rsidRPr="00B26B5B">
        <w:rPr>
          <w:kern w:val="22"/>
          <w:szCs w:val="22"/>
          <w:lang w:val="fr-CA"/>
        </w:rPr>
        <w:t xml:space="preserve"> Conférence des Nations Unies sur la diversité biologique et son segment de haut niveau, ainsi que le Sommet sur la diversité biologique en Afrique à </w:t>
      </w:r>
      <w:proofErr w:type="spellStart"/>
      <w:r w:rsidR="008266F7" w:rsidRPr="00B26B5B">
        <w:rPr>
          <w:kern w:val="22"/>
          <w:szCs w:val="22"/>
          <w:lang w:val="fr-CA"/>
        </w:rPr>
        <w:t>Charm</w:t>
      </w:r>
      <w:proofErr w:type="spellEnd"/>
      <w:r w:rsidR="008266F7" w:rsidRPr="00B26B5B">
        <w:rPr>
          <w:kern w:val="22"/>
          <w:szCs w:val="22"/>
          <w:lang w:val="fr-CA"/>
        </w:rPr>
        <w:t xml:space="preserve"> et-Cheikh en novembre 2018. Il a ajouté que le Somme</w:t>
      </w:r>
      <w:r w:rsidR="0058678C" w:rsidRPr="00B26B5B">
        <w:rPr>
          <w:kern w:val="22"/>
          <w:szCs w:val="22"/>
          <w:lang w:val="fr-CA"/>
        </w:rPr>
        <w:t>t</w:t>
      </w:r>
      <w:r w:rsidR="008266F7" w:rsidRPr="00B26B5B">
        <w:rPr>
          <w:kern w:val="22"/>
          <w:szCs w:val="22"/>
          <w:lang w:val="fr-CA"/>
        </w:rPr>
        <w:t xml:space="preserve"> sur la diversité biologique en Afrique avait adopté</w:t>
      </w:r>
      <w:r w:rsidR="00F13B55" w:rsidRPr="00B26B5B">
        <w:rPr>
          <w:kern w:val="22"/>
          <w:szCs w:val="22"/>
          <w:lang w:val="fr-CA"/>
        </w:rPr>
        <w:t xml:space="preserve"> une Déclaration ministérielle afric</w:t>
      </w:r>
      <w:r w:rsidR="00BC57D6">
        <w:rPr>
          <w:kern w:val="22"/>
          <w:szCs w:val="22"/>
          <w:lang w:val="fr-CA"/>
        </w:rPr>
        <w:t>aine sur la biodiversité qui</w:t>
      </w:r>
      <w:r w:rsidR="00F13B55" w:rsidRPr="00B26B5B">
        <w:rPr>
          <w:kern w:val="22"/>
          <w:szCs w:val="22"/>
          <w:lang w:val="fr-CA"/>
        </w:rPr>
        <w:t xml:space="preserve"> comprena</w:t>
      </w:r>
      <w:r w:rsidR="00BC57D6">
        <w:rPr>
          <w:kern w:val="22"/>
          <w:szCs w:val="22"/>
          <w:lang w:val="fr-CA"/>
        </w:rPr>
        <w:t>it</w:t>
      </w:r>
      <w:r w:rsidR="00F13B55" w:rsidRPr="00B26B5B">
        <w:rPr>
          <w:kern w:val="22"/>
          <w:szCs w:val="22"/>
          <w:lang w:val="fr-CA"/>
        </w:rPr>
        <w:t xml:space="preserve"> le Programme d’action panafricain sur la restauration des écosystèmes pour une résilience accrue et les Pr</w:t>
      </w:r>
      <w:r w:rsidR="0058678C" w:rsidRPr="00B26B5B">
        <w:rPr>
          <w:kern w:val="22"/>
          <w:szCs w:val="22"/>
          <w:lang w:val="fr-CA"/>
        </w:rPr>
        <w:t>i</w:t>
      </w:r>
      <w:r w:rsidR="00F13B55" w:rsidRPr="00B26B5B">
        <w:rPr>
          <w:kern w:val="22"/>
          <w:szCs w:val="22"/>
          <w:lang w:val="fr-CA"/>
        </w:rPr>
        <w:t xml:space="preserve">orités de l’Afrique en matière de </w:t>
      </w:r>
      <w:r w:rsidR="0058678C" w:rsidRPr="00B26B5B">
        <w:rPr>
          <w:kern w:val="22"/>
          <w:szCs w:val="22"/>
          <w:lang w:val="fr-CA"/>
        </w:rPr>
        <w:t>biodiversité</w:t>
      </w:r>
      <w:r w:rsidR="00BC57D6">
        <w:rPr>
          <w:kern w:val="22"/>
          <w:szCs w:val="22"/>
          <w:lang w:val="fr-CA"/>
        </w:rPr>
        <w:t>,</w:t>
      </w:r>
      <w:r w:rsidR="0058678C" w:rsidRPr="00B26B5B">
        <w:rPr>
          <w:kern w:val="22"/>
          <w:szCs w:val="22"/>
          <w:lang w:val="fr-CA"/>
        </w:rPr>
        <w:t xml:space="preserve"> en précisant que ceux-ci témoignent du fort engagement politique de l’Afrique à l’égard de la biodiversité et sa volonté de profiter d’un cadre mondial de la biodiversité pour l</w:t>
      </w:r>
      <w:r w:rsidR="00CD0FC3">
        <w:rPr>
          <w:kern w:val="22"/>
          <w:szCs w:val="22"/>
          <w:lang w:val="fr-CA"/>
        </w:rPr>
        <w:t>’</w:t>
      </w:r>
      <w:r w:rsidR="0058678C" w:rsidRPr="00B26B5B">
        <w:rPr>
          <w:kern w:val="22"/>
          <w:szCs w:val="22"/>
          <w:lang w:val="fr-CA"/>
        </w:rPr>
        <w:t>après-2020 efficace pour défendre les intérêts et les aspirations de l’Afrique.</w:t>
      </w:r>
    </w:p>
    <w:p w:rsidR="00CB2A7C" w:rsidRPr="00B26B5B" w:rsidRDefault="0058678C" w:rsidP="00C33570">
      <w:pPr>
        <w:pStyle w:val="Para1"/>
        <w:suppressLineNumbers/>
        <w:tabs>
          <w:tab w:val="clear" w:pos="360"/>
        </w:tabs>
        <w:suppressAutoHyphens/>
        <w:rPr>
          <w:kern w:val="22"/>
          <w:szCs w:val="22"/>
          <w:lang w:val="fr-CA"/>
        </w:rPr>
      </w:pPr>
      <w:r w:rsidRPr="00B26B5B">
        <w:rPr>
          <w:kern w:val="22"/>
          <w:szCs w:val="22"/>
          <w:lang w:val="fr-CA"/>
        </w:rPr>
        <w:t>M</w:t>
      </w:r>
      <w:r w:rsidR="00BB1C3A" w:rsidRPr="00B26B5B">
        <w:rPr>
          <w:kern w:val="22"/>
          <w:szCs w:val="22"/>
          <w:lang w:val="fr-CA"/>
        </w:rPr>
        <w:t xml:space="preserve">. </w:t>
      </w:r>
      <w:proofErr w:type="spellStart"/>
      <w:r w:rsidR="00BB1C3A" w:rsidRPr="00B26B5B">
        <w:rPr>
          <w:kern w:val="22"/>
          <w:szCs w:val="22"/>
          <w:lang w:val="fr-CA"/>
        </w:rPr>
        <w:t>Kwame</w:t>
      </w:r>
      <w:proofErr w:type="spellEnd"/>
      <w:r w:rsidR="00BB1C3A" w:rsidRPr="00B26B5B">
        <w:rPr>
          <w:kern w:val="22"/>
          <w:szCs w:val="22"/>
          <w:lang w:val="fr-CA"/>
        </w:rPr>
        <w:t xml:space="preserve"> </w:t>
      </w:r>
      <w:proofErr w:type="spellStart"/>
      <w:r w:rsidR="00BB1C3A" w:rsidRPr="00B26B5B">
        <w:rPr>
          <w:kern w:val="22"/>
          <w:szCs w:val="22"/>
          <w:lang w:val="fr-CA"/>
        </w:rPr>
        <w:t>Ababio</w:t>
      </w:r>
      <w:proofErr w:type="spellEnd"/>
      <w:r w:rsidR="00BB1C3A" w:rsidRPr="00B26B5B">
        <w:rPr>
          <w:kern w:val="22"/>
          <w:szCs w:val="22"/>
          <w:lang w:val="fr-CA"/>
        </w:rPr>
        <w:t xml:space="preserve">, </w:t>
      </w:r>
      <w:r w:rsidRPr="00B26B5B">
        <w:rPr>
          <w:kern w:val="22"/>
          <w:szCs w:val="22"/>
          <w:lang w:val="fr-CA"/>
        </w:rPr>
        <w:t>Administ</w:t>
      </w:r>
      <w:r w:rsidR="00BC57D6">
        <w:rPr>
          <w:kern w:val="22"/>
          <w:szCs w:val="22"/>
          <w:lang w:val="fr-CA"/>
        </w:rPr>
        <w:t>rateur principal du programme, s</w:t>
      </w:r>
      <w:r w:rsidRPr="00B26B5B">
        <w:rPr>
          <w:kern w:val="22"/>
          <w:szCs w:val="22"/>
          <w:lang w:val="fr-CA"/>
        </w:rPr>
        <w:t>’exprimant au nom du Chef de l’agence de développement de l’Afrique/</w:t>
      </w:r>
      <w:proofErr w:type="spellStart"/>
      <w:r w:rsidRPr="00B26B5B">
        <w:rPr>
          <w:kern w:val="22"/>
          <w:szCs w:val="22"/>
          <w:lang w:val="fr-CA"/>
        </w:rPr>
        <w:t>NEPAD</w:t>
      </w:r>
      <w:proofErr w:type="spellEnd"/>
      <w:r w:rsidRPr="00B26B5B">
        <w:rPr>
          <w:kern w:val="22"/>
          <w:szCs w:val="22"/>
          <w:lang w:val="fr-CA"/>
        </w:rPr>
        <w:t xml:space="preserve">, a </w:t>
      </w:r>
      <w:r w:rsidR="00A76954" w:rsidRPr="00B26B5B">
        <w:rPr>
          <w:kern w:val="22"/>
          <w:szCs w:val="22"/>
          <w:lang w:val="fr-CA"/>
        </w:rPr>
        <w:t>dit</w:t>
      </w:r>
      <w:r w:rsidRPr="00B26B5B">
        <w:rPr>
          <w:kern w:val="22"/>
          <w:szCs w:val="22"/>
          <w:lang w:val="fr-CA"/>
        </w:rPr>
        <w:t xml:space="preserve"> que </w:t>
      </w:r>
      <w:r w:rsidR="00A76954" w:rsidRPr="00B26B5B">
        <w:rPr>
          <w:kern w:val="22"/>
          <w:szCs w:val="22"/>
          <w:lang w:val="fr-CA"/>
        </w:rPr>
        <w:t>l’</w:t>
      </w:r>
      <w:proofErr w:type="spellStart"/>
      <w:r w:rsidR="00A76954" w:rsidRPr="00B26B5B">
        <w:rPr>
          <w:kern w:val="22"/>
          <w:szCs w:val="22"/>
          <w:lang w:val="fr-CA"/>
        </w:rPr>
        <w:t>AUDA-NEPAD</w:t>
      </w:r>
      <w:proofErr w:type="spellEnd"/>
      <w:r w:rsidR="00A76954" w:rsidRPr="00B26B5B">
        <w:rPr>
          <w:kern w:val="22"/>
          <w:szCs w:val="22"/>
          <w:lang w:val="fr-CA"/>
        </w:rPr>
        <w:t xml:space="preserve"> était ravie d’avoir </w:t>
      </w:r>
      <w:proofErr w:type="spellStart"/>
      <w:r w:rsidR="00A76954" w:rsidRPr="00B26B5B">
        <w:rPr>
          <w:kern w:val="22"/>
          <w:szCs w:val="22"/>
          <w:lang w:val="fr-CA"/>
        </w:rPr>
        <w:t>coorganisé</w:t>
      </w:r>
      <w:proofErr w:type="spellEnd"/>
      <w:r w:rsidR="00A76954" w:rsidRPr="00B26B5B">
        <w:rPr>
          <w:kern w:val="22"/>
          <w:szCs w:val="22"/>
          <w:lang w:val="fr-CA"/>
        </w:rPr>
        <w:t xml:space="preserve"> la consultation. Il a précisé que la consultation aiderait la région à </w:t>
      </w:r>
      <w:r w:rsidR="005179E1">
        <w:rPr>
          <w:kern w:val="22"/>
          <w:szCs w:val="22"/>
          <w:lang w:val="fr-CA"/>
        </w:rPr>
        <w:t>développer</w:t>
      </w:r>
      <w:r w:rsidR="00A76954" w:rsidRPr="00B26B5B">
        <w:rPr>
          <w:kern w:val="22"/>
          <w:szCs w:val="22"/>
          <w:lang w:val="fr-CA"/>
        </w:rPr>
        <w:t xml:space="preserve"> une </w:t>
      </w:r>
      <w:r w:rsidR="002A4CDA" w:rsidRPr="00B26B5B">
        <w:rPr>
          <w:kern w:val="22"/>
          <w:szCs w:val="22"/>
          <w:lang w:val="fr-CA"/>
        </w:rPr>
        <w:t>compré</w:t>
      </w:r>
      <w:r w:rsidR="00A76954" w:rsidRPr="00B26B5B">
        <w:rPr>
          <w:kern w:val="22"/>
          <w:szCs w:val="22"/>
          <w:lang w:val="fr-CA"/>
        </w:rPr>
        <w:t>hension commune et une voix unie avant l’importante quinzième réunion de la Confé</w:t>
      </w:r>
      <w:r w:rsidR="002A4CDA" w:rsidRPr="00B26B5B">
        <w:rPr>
          <w:kern w:val="22"/>
          <w:szCs w:val="22"/>
          <w:lang w:val="fr-CA"/>
        </w:rPr>
        <w:t>rence des Part</w:t>
      </w:r>
      <w:r w:rsidR="00A76954" w:rsidRPr="00B26B5B">
        <w:rPr>
          <w:kern w:val="22"/>
          <w:szCs w:val="22"/>
          <w:lang w:val="fr-CA"/>
        </w:rPr>
        <w:t>ies, à laquelle un cadre mondial p</w:t>
      </w:r>
      <w:r w:rsidR="002A4CDA" w:rsidRPr="00B26B5B">
        <w:rPr>
          <w:kern w:val="22"/>
          <w:szCs w:val="22"/>
          <w:lang w:val="fr-CA"/>
        </w:rPr>
        <w:t>o</w:t>
      </w:r>
      <w:r w:rsidR="00A76954" w:rsidRPr="00B26B5B">
        <w:rPr>
          <w:kern w:val="22"/>
          <w:szCs w:val="22"/>
          <w:lang w:val="fr-CA"/>
        </w:rPr>
        <w:t>ur la</w:t>
      </w:r>
      <w:r w:rsidR="002A4CDA" w:rsidRPr="00B26B5B">
        <w:rPr>
          <w:kern w:val="22"/>
          <w:szCs w:val="22"/>
          <w:lang w:val="fr-CA"/>
        </w:rPr>
        <w:t xml:space="preserve"> diversité biologique serait ad</w:t>
      </w:r>
      <w:r w:rsidR="00A76954" w:rsidRPr="00B26B5B">
        <w:rPr>
          <w:kern w:val="22"/>
          <w:szCs w:val="22"/>
          <w:lang w:val="fr-CA"/>
        </w:rPr>
        <w:t xml:space="preserve">opté. Il a </w:t>
      </w:r>
      <w:r w:rsidR="002A4CDA" w:rsidRPr="00B26B5B">
        <w:rPr>
          <w:kern w:val="22"/>
          <w:szCs w:val="22"/>
          <w:lang w:val="fr-CA"/>
        </w:rPr>
        <w:t>dit</w:t>
      </w:r>
      <w:r w:rsidR="00A76954" w:rsidRPr="00B26B5B">
        <w:rPr>
          <w:kern w:val="22"/>
          <w:szCs w:val="22"/>
          <w:lang w:val="fr-CA"/>
        </w:rPr>
        <w:t xml:space="preserve"> que la C</w:t>
      </w:r>
      <w:r w:rsidR="002A4CDA" w:rsidRPr="00B26B5B">
        <w:rPr>
          <w:kern w:val="22"/>
          <w:szCs w:val="22"/>
          <w:lang w:val="fr-CA"/>
        </w:rPr>
        <w:t>o</w:t>
      </w:r>
      <w:r w:rsidR="00A76954" w:rsidRPr="00B26B5B">
        <w:rPr>
          <w:kern w:val="22"/>
          <w:szCs w:val="22"/>
          <w:lang w:val="fr-CA"/>
        </w:rPr>
        <w:t xml:space="preserve">nférence </w:t>
      </w:r>
      <w:r w:rsidR="002A4CDA" w:rsidRPr="00B26B5B">
        <w:rPr>
          <w:kern w:val="22"/>
          <w:szCs w:val="22"/>
          <w:lang w:val="fr-CA"/>
        </w:rPr>
        <w:t>des che</w:t>
      </w:r>
      <w:r w:rsidR="00A76954" w:rsidRPr="00B26B5B">
        <w:rPr>
          <w:kern w:val="22"/>
          <w:szCs w:val="22"/>
          <w:lang w:val="fr-CA"/>
        </w:rPr>
        <w:t>fs d’</w:t>
      </w:r>
      <w:r w:rsidR="002A4CDA" w:rsidRPr="00B26B5B">
        <w:rPr>
          <w:kern w:val="22"/>
          <w:szCs w:val="22"/>
          <w:lang w:val="fr-CA"/>
        </w:rPr>
        <w:t>É</w:t>
      </w:r>
      <w:r w:rsidR="00A76954" w:rsidRPr="00B26B5B">
        <w:rPr>
          <w:kern w:val="22"/>
          <w:szCs w:val="22"/>
          <w:lang w:val="fr-CA"/>
        </w:rPr>
        <w:t>tat</w:t>
      </w:r>
      <w:r w:rsidR="002A4CDA" w:rsidRPr="00B26B5B">
        <w:rPr>
          <w:kern w:val="22"/>
          <w:szCs w:val="22"/>
          <w:lang w:val="fr-CA"/>
        </w:rPr>
        <w:t xml:space="preserve"> et de gouvernemen</w:t>
      </w:r>
      <w:r w:rsidR="00A76954" w:rsidRPr="00B26B5B">
        <w:rPr>
          <w:kern w:val="22"/>
          <w:szCs w:val="22"/>
          <w:lang w:val="fr-CA"/>
        </w:rPr>
        <w:t>t de l’Union africaine et la Conférence ministérielle africaine sur l’environnement (</w:t>
      </w:r>
      <w:proofErr w:type="spellStart"/>
      <w:r w:rsidR="00A76954" w:rsidRPr="00B26B5B">
        <w:rPr>
          <w:kern w:val="22"/>
          <w:szCs w:val="22"/>
          <w:lang w:val="fr-CA"/>
        </w:rPr>
        <w:t>CMAE</w:t>
      </w:r>
      <w:proofErr w:type="spellEnd"/>
      <w:r w:rsidR="00A76954" w:rsidRPr="00B26B5B">
        <w:rPr>
          <w:kern w:val="22"/>
          <w:szCs w:val="22"/>
          <w:lang w:val="fr-CA"/>
        </w:rPr>
        <w:t xml:space="preserve">) </w:t>
      </w:r>
      <w:r w:rsidR="008B64DD" w:rsidRPr="00B26B5B">
        <w:rPr>
          <w:kern w:val="22"/>
          <w:szCs w:val="22"/>
          <w:lang w:val="fr-CA"/>
        </w:rPr>
        <w:t>avaient réitéré dans de nombreuses décisions que la diversité biologique en Afrique constituait l’actif le plus précieux du conti</w:t>
      </w:r>
      <w:r w:rsidR="002A4CDA" w:rsidRPr="00B26B5B">
        <w:rPr>
          <w:kern w:val="22"/>
          <w:szCs w:val="22"/>
          <w:lang w:val="fr-CA"/>
        </w:rPr>
        <w:t>nent et qu’elle</w:t>
      </w:r>
      <w:r w:rsidR="00D56735">
        <w:rPr>
          <w:kern w:val="22"/>
          <w:szCs w:val="22"/>
          <w:lang w:val="fr-CA"/>
        </w:rPr>
        <w:t>s</w:t>
      </w:r>
      <w:r w:rsidR="002A4CDA" w:rsidRPr="00B26B5B">
        <w:rPr>
          <w:kern w:val="22"/>
          <w:szCs w:val="22"/>
          <w:lang w:val="fr-CA"/>
        </w:rPr>
        <w:t xml:space="preserve"> soutenai</w:t>
      </w:r>
      <w:r w:rsidR="00D56735">
        <w:rPr>
          <w:kern w:val="22"/>
          <w:szCs w:val="22"/>
          <w:lang w:val="fr-CA"/>
        </w:rPr>
        <w:t>en</w:t>
      </w:r>
      <w:r w:rsidR="002A4CDA" w:rsidRPr="00B26B5B">
        <w:rPr>
          <w:kern w:val="22"/>
          <w:szCs w:val="22"/>
          <w:lang w:val="fr-CA"/>
        </w:rPr>
        <w:t xml:space="preserve">t </w:t>
      </w:r>
      <w:r w:rsidR="008B64DD" w:rsidRPr="00B26B5B">
        <w:rPr>
          <w:kern w:val="22"/>
          <w:szCs w:val="22"/>
          <w:lang w:val="fr-CA"/>
        </w:rPr>
        <w:t>les aspirations d</w:t>
      </w:r>
      <w:r w:rsidR="002A4CDA" w:rsidRPr="00B26B5B">
        <w:rPr>
          <w:kern w:val="22"/>
          <w:szCs w:val="22"/>
          <w:lang w:val="fr-CA"/>
        </w:rPr>
        <w:t>’un peuple</w:t>
      </w:r>
      <w:r w:rsidR="008B64DD" w:rsidRPr="00B26B5B">
        <w:rPr>
          <w:kern w:val="22"/>
          <w:szCs w:val="22"/>
          <w:lang w:val="fr-CA"/>
        </w:rPr>
        <w:t xml:space="preserve"> en matière de développement. Voil</w:t>
      </w:r>
      <w:r w:rsidR="002A4CDA" w:rsidRPr="00B26B5B">
        <w:rPr>
          <w:kern w:val="22"/>
          <w:szCs w:val="22"/>
          <w:lang w:val="fr-CA"/>
        </w:rPr>
        <w:t>à pourquoi plu</w:t>
      </w:r>
      <w:r w:rsidR="008B64DD" w:rsidRPr="00B26B5B">
        <w:rPr>
          <w:kern w:val="22"/>
          <w:szCs w:val="22"/>
          <w:lang w:val="fr-CA"/>
        </w:rPr>
        <w:t xml:space="preserve">sieurs programmes et cadres </w:t>
      </w:r>
      <w:r w:rsidR="002A4CDA" w:rsidRPr="00B26B5B">
        <w:rPr>
          <w:kern w:val="22"/>
          <w:szCs w:val="22"/>
          <w:lang w:val="fr-CA"/>
        </w:rPr>
        <w:t>te</w:t>
      </w:r>
      <w:r w:rsidR="008B64DD" w:rsidRPr="00B26B5B">
        <w:rPr>
          <w:kern w:val="22"/>
          <w:szCs w:val="22"/>
          <w:lang w:val="fr-CA"/>
        </w:rPr>
        <w:t>ls que le Plan d’action pour l’env</w:t>
      </w:r>
      <w:r w:rsidR="002A4CDA" w:rsidRPr="00B26B5B">
        <w:rPr>
          <w:kern w:val="22"/>
          <w:szCs w:val="22"/>
          <w:lang w:val="fr-CA"/>
        </w:rPr>
        <w:t>ironnement et les Conventions d’</w:t>
      </w:r>
      <w:r w:rsidR="008B64DD" w:rsidRPr="00B26B5B">
        <w:rPr>
          <w:kern w:val="22"/>
          <w:szCs w:val="22"/>
          <w:lang w:val="fr-CA"/>
        </w:rPr>
        <w:t xml:space="preserve">Alger et de Maputo ont été </w:t>
      </w:r>
      <w:r w:rsidR="002A4CDA" w:rsidRPr="00B26B5B">
        <w:rPr>
          <w:kern w:val="22"/>
          <w:szCs w:val="22"/>
          <w:lang w:val="fr-CA"/>
        </w:rPr>
        <w:t>adoptés</w:t>
      </w:r>
      <w:r w:rsidR="008B64DD" w:rsidRPr="00B26B5B">
        <w:rPr>
          <w:kern w:val="22"/>
          <w:szCs w:val="22"/>
          <w:lang w:val="fr-CA"/>
        </w:rPr>
        <w:t xml:space="preserve"> </w:t>
      </w:r>
      <w:r w:rsidR="002A4CDA" w:rsidRPr="00B26B5B">
        <w:rPr>
          <w:kern w:val="22"/>
          <w:szCs w:val="22"/>
          <w:lang w:val="fr-CA"/>
        </w:rPr>
        <w:t>aux éche</w:t>
      </w:r>
      <w:r w:rsidR="008B64DD" w:rsidRPr="00B26B5B">
        <w:rPr>
          <w:kern w:val="22"/>
          <w:szCs w:val="22"/>
          <w:lang w:val="fr-CA"/>
        </w:rPr>
        <w:t>lles continentale et régionale, afin d’assurer la bonne gestion de la diversité biologique. Il a ajouté que le Sommet sur la diversité biologique en Afrique, présenté en Égy</w:t>
      </w:r>
      <w:r w:rsidR="002A4CDA" w:rsidRPr="00B26B5B">
        <w:rPr>
          <w:kern w:val="22"/>
          <w:szCs w:val="22"/>
          <w:lang w:val="fr-CA"/>
        </w:rPr>
        <w:t xml:space="preserve">pte, en novembre </w:t>
      </w:r>
      <w:r w:rsidR="008709F6" w:rsidRPr="00B26B5B">
        <w:rPr>
          <w:kern w:val="22"/>
          <w:szCs w:val="22"/>
          <w:lang w:val="fr-CA"/>
        </w:rPr>
        <w:t>2</w:t>
      </w:r>
      <w:r w:rsidR="002A4CDA" w:rsidRPr="00B26B5B">
        <w:rPr>
          <w:kern w:val="22"/>
          <w:szCs w:val="22"/>
          <w:lang w:val="fr-CA"/>
        </w:rPr>
        <w:t xml:space="preserve">018, a adopté les Priorités de </w:t>
      </w:r>
      <w:r w:rsidR="008709F6" w:rsidRPr="00B26B5B">
        <w:rPr>
          <w:kern w:val="22"/>
          <w:szCs w:val="22"/>
          <w:lang w:val="fr-CA"/>
        </w:rPr>
        <w:t>l’Afrique</w:t>
      </w:r>
      <w:r w:rsidR="002A4CDA" w:rsidRPr="00B26B5B">
        <w:rPr>
          <w:kern w:val="22"/>
          <w:szCs w:val="22"/>
          <w:lang w:val="fr-CA"/>
        </w:rPr>
        <w:t xml:space="preserve"> en matièr</w:t>
      </w:r>
      <w:r w:rsidR="008709F6" w:rsidRPr="00B26B5B">
        <w:rPr>
          <w:kern w:val="22"/>
          <w:szCs w:val="22"/>
          <w:lang w:val="fr-CA"/>
        </w:rPr>
        <w:t>e</w:t>
      </w:r>
      <w:r w:rsidR="002A4CDA" w:rsidRPr="00B26B5B">
        <w:rPr>
          <w:kern w:val="22"/>
          <w:szCs w:val="22"/>
          <w:lang w:val="fr-CA"/>
        </w:rPr>
        <w:t xml:space="preserve"> de diversité biologique</w:t>
      </w:r>
      <w:r w:rsidR="00A76954" w:rsidRPr="00B26B5B">
        <w:rPr>
          <w:kern w:val="22"/>
          <w:szCs w:val="22"/>
          <w:lang w:val="fr-CA"/>
        </w:rPr>
        <w:t xml:space="preserve"> </w:t>
      </w:r>
      <w:r w:rsidR="005D619A" w:rsidRPr="00B26B5B">
        <w:rPr>
          <w:rStyle w:val="Appelnotedebasdep"/>
          <w:kern w:val="22"/>
          <w:szCs w:val="22"/>
          <w:lang w:val="fr-CA"/>
        </w:rPr>
        <w:footnoteReference w:id="6"/>
      </w:r>
      <w:r w:rsidR="00A6123A" w:rsidRPr="00B26B5B">
        <w:rPr>
          <w:kern w:val="22"/>
          <w:szCs w:val="22"/>
          <w:lang w:val="fr-CA"/>
        </w:rPr>
        <w:t xml:space="preserve"> </w:t>
      </w:r>
      <w:r w:rsidR="002A4CDA" w:rsidRPr="00B26B5B">
        <w:rPr>
          <w:kern w:val="22"/>
          <w:szCs w:val="22"/>
          <w:lang w:val="fr-CA"/>
        </w:rPr>
        <w:t>et que l’atelier de consultation sur les résultats du Sommet qui a suivi, à Nairobi, le 9 et 10 mars 2019, avait élaboré davantage ces priorités</w:t>
      </w:r>
      <w:r w:rsidR="005D619A" w:rsidRPr="00B26B5B">
        <w:rPr>
          <w:kern w:val="22"/>
          <w:szCs w:val="22"/>
          <w:lang w:val="fr-CA"/>
        </w:rPr>
        <w:t>.</w:t>
      </w:r>
      <w:r w:rsidR="005D619A" w:rsidRPr="00B26B5B">
        <w:rPr>
          <w:rStyle w:val="Appelnotedebasdep"/>
          <w:kern w:val="22"/>
          <w:szCs w:val="22"/>
          <w:lang w:val="fr-CA"/>
        </w:rPr>
        <w:footnoteReference w:id="7"/>
      </w:r>
    </w:p>
    <w:p w:rsidR="00130B05" w:rsidRPr="00B26B5B" w:rsidRDefault="008709F6" w:rsidP="00C33570">
      <w:pPr>
        <w:pStyle w:val="Para1"/>
        <w:numPr>
          <w:ilvl w:val="0"/>
          <w:numId w:val="0"/>
        </w:numPr>
        <w:suppressLineNumbers/>
        <w:suppressAutoHyphens/>
        <w:ind w:left="360"/>
        <w:jc w:val="center"/>
        <w:rPr>
          <w:b/>
          <w:kern w:val="22"/>
          <w:szCs w:val="22"/>
          <w:lang w:val="fr-CA"/>
        </w:rPr>
      </w:pPr>
      <w:r w:rsidRPr="00B26B5B">
        <w:rPr>
          <w:b/>
          <w:kern w:val="22"/>
          <w:szCs w:val="22"/>
          <w:lang w:val="fr-CA"/>
        </w:rPr>
        <w:t>Point</w:t>
      </w:r>
      <w:r w:rsidR="00F74CD2" w:rsidRPr="00B26B5B">
        <w:rPr>
          <w:b/>
          <w:kern w:val="22"/>
          <w:szCs w:val="22"/>
          <w:lang w:val="fr-CA"/>
        </w:rPr>
        <w:t xml:space="preserve"> 2. </w:t>
      </w:r>
      <w:r w:rsidR="00284246" w:rsidRPr="00B26B5B">
        <w:rPr>
          <w:b/>
          <w:kern w:val="22"/>
          <w:szCs w:val="22"/>
          <w:lang w:val="fr-CA"/>
        </w:rPr>
        <w:t xml:space="preserve">Introduction </w:t>
      </w:r>
      <w:r w:rsidRPr="00B26B5B">
        <w:rPr>
          <w:b/>
          <w:kern w:val="22"/>
          <w:szCs w:val="22"/>
          <w:lang w:val="fr-CA"/>
        </w:rPr>
        <w:t xml:space="preserve">et </w:t>
      </w:r>
      <w:r w:rsidR="0016316A" w:rsidRPr="00B26B5B">
        <w:rPr>
          <w:b/>
          <w:kern w:val="22"/>
          <w:szCs w:val="22"/>
          <w:lang w:val="fr-CA"/>
        </w:rPr>
        <w:t>objet de</w:t>
      </w:r>
      <w:r w:rsidRPr="00B26B5B">
        <w:rPr>
          <w:b/>
          <w:kern w:val="22"/>
          <w:szCs w:val="22"/>
          <w:lang w:val="fr-CA"/>
        </w:rPr>
        <w:t xml:space="preserve"> la consultation</w:t>
      </w:r>
    </w:p>
    <w:p w:rsidR="00130B05" w:rsidRPr="00B26B5B" w:rsidRDefault="008709F6" w:rsidP="00C33570">
      <w:pPr>
        <w:pStyle w:val="Para1"/>
        <w:suppressLineNumbers/>
        <w:tabs>
          <w:tab w:val="clear" w:pos="360"/>
        </w:tabs>
        <w:suppressAutoHyphens/>
        <w:rPr>
          <w:kern w:val="22"/>
          <w:szCs w:val="22"/>
          <w:lang w:val="fr-CA"/>
        </w:rPr>
      </w:pPr>
      <w:r w:rsidRPr="00B26B5B">
        <w:rPr>
          <w:kern w:val="22"/>
          <w:szCs w:val="22"/>
          <w:lang w:val="fr-CA"/>
        </w:rPr>
        <w:t>Les coprésidents du Groupe de travail à composition non limitée sur le cadre mondial de la biodiversité pour l</w:t>
      </w:r>
      <w:r w:rsidR="00CD0FC3">
        <w:rPr>
          <w:kern w:val="22"/>
          <w:szCs w:val="22"/>
          <w:lang w:val="fr-CA"/>
        </w:rPr>
        <w:t>’</w:t>
      </w:r>
      <w:r w:rsidRPr="00B26B5B">
        <w:rPr>
          <w:kern w:val="22"/>
          <w:szCs w:val="22"/>
          <w:lang w:val="fr-CA"/>
        </w:rPr>
        <w:t xml:space="preserve">après-2020, M. Francis </w:t>
      </w:r>
      <w:proofErr w:type="spellStart"/>
      <w:r w:rsidRPr="00B26B5B">
        <w:rPr>
          <w:kern w:val="22"/>
          <w:szCs w:val="22"/>
          <w:lang w:val="fr-CA"/>
        </w:rPr>
        <w:t>Ogwal</w:t>
      </w:r>
      <w:proofErr w:type="spellEnd"/>
      <w:r w:rsidRPr="00B26B5B">
        <w:rPr>
          <w:kern w:val="22"/>
          <w:szCs w:val="22"/>
          <w:lang w:val="fr-CA"/>
        </w:rPr>
        <w:t xml:space="preserve"> (Ou</w:t>
      </w:r>
      <w:r w:rsidR="00130B05" w:rsidRPr="00B26B5B">
        <w:rPr>
          <w:kern w:val="22"/>
          <w:szCs w:val="22"/>
          <w:lang w:val="fr-CA"/>
        </w:rPr>
        <w:t xml:space="preserve">ganda) </w:t>
      </w:r>
      <w:r w:rsidRPr="00B26B5B">
        <w:rPr>
          <w:kern w:val="22"/>
          <w:szCs w:val="22"/>
          <w:lang w:val="fr-CA"/>
        </w:rPr>
        <w:t>et M</w:t>
      </w:r>
      <w:r w:rsidR="00130B05" w:rsidRPr="00B26B5B">
        <w:rPr>
          <w:kern w:val="22"/>
          <w:szCs w:val="22"/>
          <w:lang w:val="fr-CA"/>
        </w:rPr>
        <w:t xml:space="preserve">. Basile van Havre (Canada), </w:t>
      </w:r>
      <w:r w:rsidRPr="00B26B5B">
        <w:rPr>
          <w:kern w:val="22"/>
          <w:szCs w:val="22"/>
          <w:lang w:val="fr-CA"/>
        </w:rPr>
        <w:t>ont présenté un aperçu du processus de préparation du cadre mondial de la biodiversité pour l</w:t>
      </w:r>
      <w:r w:rsidR="00CD0FC3">
        <w:rPr>
          <w:kern w:val="22"/>
          <w:szCs w:val="22"/>
          <w:lang w:val="fr-CA"/>
        </w:rPr>
        <w:t>’</w:t>
      </w:r>
      <w:r w:rsidRPr="00B26B5B">
        <w:rPr>
          <w:kern w:val="22"/>
          <w:szCs w:val="22"/>
          <w:lang w:val="fr-CA"/>
        </w:rPr>
        <w:t>après-2020, en mettant en évidence les principaux éléments de la décision</w:t>
      </w:r>
      <w:r w:rsidR="00130B05" w:rsidRPr="00B26B5B">
        <w:rPr>
          <w:kern w:val="22"/>
          <w:szCs w:val="22"/>
          <w:lang w:val="fr-CA"/>
        </w:rPr>
        <w:t xml:space="preserve"> </w:t>
      </w:r>
      <w:hyperlink r:id="rId13" w:history="1">
        <w:r w:rsidR="00130B05" w:rsidRPr="00B26B5B">
          <w:rPr>
            <w:rStyle w:val="Lienhypertexte"/>
            <w:kern w:val="22"/>
            <w:sz w:val="22"/>
            <w:szCs w:val="22"/>
            <w:lang w:val="fr-CA"/>
          </w:rPr>
          <w:t>14/34</w:t>
        </w:r>
      </w:hyperlink>
      <w:r w:rsidR="00155B12" w:rsidRPr="00B26B5B">
        <w:rPr>
          <w:kern w:val="22"/>
          <w:szCs w:val="22"/>
          <w:lang w:val="fr-CA"/>
        </w:rPr>
        <w:t xml:space="preserve">. </w:t>
      </w:r>
      <w:r w:rsidR="000D0F9E" w:rsidRPr="00B26B5B">
        <w:rPr>
          <w:kern w:val="22"/>
          <w:szCs w:val="22"/>
          <w:lang w:val="fr-CA"/>
        </w:rPr>
        <w:t xml:space="preserve">Ils ont décrit le contexte du processus, </w:t>
      </w:r>
      <w:r w:rsidR="00DC6C65">
        <w:rPr>
          <w:kern w:val="22"/>
          <w:szCs w:val="22"/>
          <w:lang w:val="fr-CA"/>
        </w:rPr>
        <w:t>notamment</w:t>
      </w:r>
      <w:r w:rsidR="000D0F9E" w:rsidRPr="00B26B5B">
        <w:rPr>
          <w:kern w:val="22"/>
          <w:szCs w:val="22"/>
          <w:lang w:val="fr-CA"/>
        </w:rPr>
        <w:t xml:space="preserve"> les décisions pertinentes de la Conférence des Parties et de la Conférence des Parties siégeant en tant que réunion des Parties aux Protocoles, et donné les grandes lignes de l’organisation des travaux proposée pour le processus, dont les dates de réunion importantes et les rôles et respons</w:t>
      </w:r>
      <w:r w:rsidR="00DC6C65">
        <w:rPr>
          <w:kern w:val="22"/>
          <w:szCs w:val="22"/>
          <w:lang w:val="fr-CA"/>
        </w:rPr>
        <w:t>abilités des organes pertinents</w:t>
      </w:r>
      <w:r w:rsidR="000D0F9E" w:rsidRPr="00B26B5B">
        <w:rPr>
          <w:kern w:val="22"/>
          <w:szCs w:val="22"/>
          <w:lang w:val="fr-CA"/>
        </w:rPr>
        <w:t> : le Bureau, les coprésidents, le Secrétariat, les Parties, l’Organe subsidiaire chargé de fournir des avis scientifiques,</w:t>
      </w:r>
      <w:r w:rsidR="00DC6C65">
        <w:rPr>
          <w:kern w:val="22"/>
          <w:szCs w:val="22"/>
          <w:lang w:val="fr-CA"/>
        </w:rPr>
        <w:t xml:space="preserve"> techniques et technologiques, l’O</w:t>
      </w:r>
      <w:r w:rsidR="000D0F9E" w:rsidRPr="00B26B5B">
        <w:rPr>
          <w:kern w:val="22"/>
          <w:szCs w:val="22"/>
          <w:lang w:val="fr-CA"/>
        </w:rPr>
        <w:t xml:space="preserve">rgane subsidiaire chargé de l’application et le groupe de haut niveau. Ils ont précisé que le processus comprendrait trois étapes : a) </w:t>
      </w:r>
      <w:r w:rsidR="007217A2" w:rsidRPr="00B26B5B">
        <w:rPr>
          <w:kern w:val="22"/>
          <w:szCs w:val="22"/>
          <w:lang w:val="fr-CA"/>
        </w:rPr>
        <w:t xml:space="preserve">recueillir les points de vue des régions dans le cadre de consultations, b) entreprendre les consultations thématiques et c) réunir ces deux éléments </w:t>
      </w:r>
      <w:r w:rsidR="007217A2" w:rsidRPr="00B26B5B">
        <w:rPr>
          <w:kern w:val="22"/>
          <w:szCs w:val="22"/>
          <w:lang w:val="fr-CA"/>
        </w:rPr>
        <w:lastRenderedPageBreak/>
        <w:t>aux fins d’examen par le Groupe de travail à composition non limitée. Ils ont précisé que le proc</w:t>
      </w:r>
      <w:r w:rsidR="00DC6C65">
        <w:rPr>
          <w:kern w:val="22"/>
          <w:szCs w:val="22"/>
          <w:lang w:val="fr-CA"/>
        </w:rPr>
        <w:t>essus sera un succès s’il crée</w:t>
      </w:r>
      <w:r w:rsidR="007217A2" w:rsidRPr="00B26B5B">
        <w:rPr>
          <w:kern w:val="22"/>
          <w:szCs w:val="22"/>
          <w:lang w:val="fr-CA"/>
        </w:rPr>
        <w:t xml:space="preserve"> </w:t>
      </w:r>
      <w:r w:rsidR="00DC6C65">
        <w:rPr>
          <w:kern w:val="22"/>
          <w:szCs w:val="22"/>
          <w:lang w:val="fr-CA"/>
        </w:rPr>
        <w:t>de la bonne volonté, facilite</w:t>
      </w:r>
      <w:r w:rsidR="007217A2" w:rsidRPr="00B26B5B">
        <w:rPr>
          <w:kern w:val="22"/>
          <w:szCs w:val="22"/>
          <w:lang w:val="fr-CA"/>
        </w:rPr>
        <w:t xml:space="preserve"> la prise de décisions à la quinzième réunion de la Conférence des Parties, </w:t>
      </w:r>
      <w:r w:rsidR="00DC6C65">
        <w:rPr>
          <w:kern w:val="22"/>
          <w:szCs w:val="22"/>
          <w:lang w:val="fr-CA"/>
        </w:rPr>
        <w:t>reçoit</w:t>
      </w:r>
      <w:r w:rsidR="007217A2" w:rsidRPr="00B26B5B">
        <w:rPr>
          <w:kern w:val="22"/>
          <w:szCs w:val="22"/>
          <w:lang w:val="fr-CA"/>
        </w:rPr>
        <w:t xml:space="preserve"> le soutien des Parties et des parties prenantes, et </w:t>
      </w:r>
      <w:r w:rsidR="00DC6C65">
        <w:rPr>
          <w:kern w:val="22"/>
          <w:szCs w:val="22"/>
          <w:lang w:val="fr-CA"/>
        </w:rPr>
        <w:t>répond</w:t>
      </w:r>
      <w:r w:rsidR="007217A2" w:rsidRPr="00B26B5B">
        <w:rPr>
          <w:kern w:val="22"/>
          <w:szCs w:val="22"/>
          <w:lang w:val="fr-CA"/>
        </w:rPr>
        <w:t xml:space="preserve"> à l</w:t>
      </w:r>
      <w:r w:rsidR="007578D0">
        <w:rPr>
          <w:kern w:val="22"/>
          <w:szCs w:val="22"/>
          <w:lang w:val="fr-CA"/>
        </w:rPr>
        <w:t>eurs attentes, et aboutit</w:t>
      </w:r>
      <w:r w:rsidR="00595432" w:rsidRPr="00B26B5B">
        <w:rPr>
          <w:kern w:val="22"/>
          <w:szCs w:val="22"/>
          <w:lang w:val="fr-CA"/>
        </w:rPr>
        <w:t xml:space="preserve"> à un cadre mondial que s’approprier</w:t>
      </w:r>
      <w:r w:rsidR="00DC6C65">
        <w:rPr>
          <w:kern w:val="22"/>
          <w:szCs w:val="22"/>
          <w:lang w:val="fr-CA"/>
        </w:rPr>
        <w:t xml:space="preserve">ont les Parties, ce qui facilitera </w:t>
      </w:r>
      <w:r w:rsidR="00595432" w:rsidRPr="00B26B5B">
        <w:rPr>
          <w:kern w:val="22"/>
          <w:szCs w:val="22"/>
          <w:lang w:val="fr-CA"/>
        </w:rPr>
        <w:t>sa mise en œuvre opportune. En conclusion, ils ont précisé que la consultation régionale n’avait pas pour but d’en arriver à des conclusions consensuelles, mais de recenser les enjeux et de commencer à échanger des points de vue</w:t>
      </w:r>
      <w:r w:rsidR="00130B05" w:rsidRPr="00B26B5B">
        <w:rPr>
          <w:kern w:val="22"/>
          <w:szCs w:val="22"/>
          <w:lang w:val="fr-CA"/>
        </w:rPr>
        <w:t>.</w:t>
      </w:r>
      <w:r w:rsidR="00130B05" w:rsidRPr="00B26B5B">
        <w:rPr>
          <w:rStyle w:val="Appelnotedebasdep"/>
          <w:kern w:val="22"/>
          <w:szCs w:val="22"/>
          <w:lang w:val="fr-CA"/>
        </w:rPr>
        <w:footnoteReference w:id="8"/>
      </w:r>
    </w:p>
    <w:p w:rsidR="00F74CD2" w:rsidRPr="00B26B5B" w:rsidRDefault="0016316A" w:rsidP="00C33570">
      <w:pPr>
        <w:pStyle w:val="Para1"/>
        <w:numPr>
          <w:ilvl w:val="0"/>
          <w:numId w:val="0"/>
        </w:numPr>
        <w:suppressLineNumbers/>
        <w:suppressAutoHyphens/>
        <w:ind w:left="360"/>
        <w:jc w:val="center"/>
        <w:rPr>
          <w:b/>
          <w:kern w:val="22"/>
          <w:szCs w:val="22"/>
          <w:lang w:val="fr-CA"/>
        </w:rPr>
      </w:pPr>
      <w:r w:rsidRPr="00B26B5B">
        <w:rPr>
          <w:b/>
          <w:kern w:val="22"/>
          <w:szCs w:val="22"/>
          <w:lang w:val="fr-CA"/>
        </w:rPr>
        <w:t>Point</w:t>
      </w:r>
      <w:r w:rsidR="00F74CD2" w:rsidRPr="00B26B5B">
        <w:rPr>
          <w:b/>
          <w:kern w:val="22"/>
          <w:szCs w:val="22"/>
          <w:lang w:val="fr-CA"/>
        </w:rPr>
        <w:t xml:space="preserve"> 3. </w:t>
      </w:r>
      <w:r w:rsidRPr="00B26B5B">
        <w:rPr>
          <w:b/>
          <w:snapToGrid/>
          <w:kern w:val="22"/>
          <w:lang w:val="fr-CA"/>
        </w:rPr>
        <w:t>Organisation des travaux et élection des coprésidents et du rapporteur</w:t>
      </w:r>
    </w:p>
    <w:p w:rsidR="0099729C" w:rsidRPr="00B26B5B" w:rsidRDefault="00642E88" w:rsidP="00C33570">
      <w:pPr>
        <w:pStyle w:val="Para1"/>
        <w:suppressLineNumbers/>
        <w:tabs>
          <w:tab w:val="clear" w:pos="360"/>
        </w:tabs>
        <w:suppressAutoHyphens/>
        <w:rPr>
          <w:kern w:val="22"/>
          <w:szCs w:val="22"/>
          <w:lang w:val="fr-CA"/>
        </w:rPr>
      </w:pPr>
      <w:r w:rsidRPr="00B26B5B">
        <w:rPr>
          <w:kern w:val="22"/>
          <w:szCs w:val="22"/>
          <w:lang w:val="fr-CA"/>
        </w:rPr>
        <w:t xml:space="preserve">Après la présentation des coprésidents, </w:t>
      </w:r>
      <w:r w:rsidR="00A24A85" w:rsidRPr="00B26B5B">
        <w:rPr>
          <w:kern w:val="22"/>
          <w:szCs w:val="22"/>
          <w:lang w:val="fr-CA"/>
        </w:rPr>
        <w:t xml:space="preserve">M. </w:t>
      </w:r>
      <w:r w:rsidR="009462AF" w:rsidRPr="00B26B5B">
        <w:rPr>
          <w:kern w:val="22"/>
          <w:szCs w:val="22"/>
          <w:lang w:val="fr-CA"/>
        </w:rPr>
        <w:t>Erie Tamale</w:t>
      </w:r>
      <w:r w:rsidRPr="00B26B5B">
        <w:rPr>
          <w:kern w:val="22"/>
          <w:szCs w:val="22"/>
          <w:lang w:val="fr-CA"/>
        </w:rPr>
        <w:t xml:space="preserve"> (CDB</w:t>
      </w:r>
      <w:r w:rsidR="00A24A85" w:rsidRPr="00B26B5B">
        <w:rPr>
          <w:kern w:val="22"/>
          <w:szCs w:val="22"/>
          <w:lang w:val="fr-CA"/>
        </w:rPr>
        <w:t xml:space="preserve">) </w:t>
      </w:r>
      <w:r w:rsidRPr="00B26B5B">
        <w:rPr>
          <w:kern w:val="22"/>
          <w:szCs w:val="22"/>
          <w:lang w:val="fr-CA"/>
        </w:rPr>
        <w:t>a présenté l’ordre du jour de la réunion et l’organisation des travaux</w:t>
      </w:r>
      <w:r w:rsidRPr="00B26B5B">
        <w:rPr>
          <w:rStyle w:val="Appelnotedebasdep"/>
          <w:kern w:val="22"/>
          <w:szCs w:val="22"/>
        </w:rPr>
        <w:footnoteReference w:id="9"/>
      </w:r>
      <w:r w:rsidRPr="00B26B5B">
        <w:rPr>
          <w:kern w:val="22"/>
          <w:szCs w:val="22"/>
          <w:lang w:val="fr-CA"/>
        </w:rPr>
        <w:t xml:space="preserve"> proposée, et a invité les participants à élire les présidents de la réunion</w:t>
      </w:r>
      <w:r w:rsidR="00A24A85" w:rsidRPr="00B26B5B">
        <w:rPr>
          <w:kern w:val="22"/>
          <w:szCs w:val="22"/>
          <w:lang w:val="fr-CA"/>
        </w:rPr>
        <w:t>.</w:t>
      </w:r>
    </w:p>
    <w:p w:rsidR="009462AF" w:rsidRPr="00B26B5B" w:rsidRDefault="00642E88" w:rsidP="00C33570">
      <w:pPr>
        <w:pStyle w:val="Para1"/>
        <w:suppressLineNumbers/>
        <w:tabs>
          <w:tab w:val="clear" w:pos="360"/>
        </w:tabs>
        <w:suppressAutoHyphens/>
        <w:rPr>
          <w:kern w:val="22"/>
          <w:szCs w:val="22"/>
          <w:lang w:val="fr-CA"/>
        </w:rPr>
      </w:pPr>
      <w:r w:rsidRPr="00B26B5B">
        <w:rPr>
          <w:kern w:val="22"/>
          <w:szCs w:val="22"/>
          <w:lang w:val="fr-CA"/>
        </w:rPr>
        <w:t>Les participants ont élu</w:t>
      </w:r>
      <w:r w:rsidR="00A24A85" w:rsidRPr="00B26B5B">
        <w:rPr>
          <w:kern w:val="22"/>
          <w:szCs w:val="22"/>
          <w:lang w:val="fr-CA"/>
        </w:rPr>
        <w:t xml:space="preserve"> </w:t>
      </w:r>
      <w:r w:rsidR="00F55912" w:rsidRPr="00B26B5B">
        <w:rPr>
          <w:kern w:val="22"/>
          <w:szCs w:val="22"/>
          <w:lang w:val="fr-CA"/>
        </w:rPr>
        <w:t xml:space="preserve">M. </w:t>
      </w:r>
      <w:proofErr w:type="spellStart"/>
      <w:r w:rsidR="00F55912" w:rsidRPr="00B26B5B">
        <w:rPr>
          <w:kern w:val="22"/>
          <w:szCs w:val="22"/>
          <w:lang w:val="fr-CA"/>
        </w:rPr>
        <w:t>Melesse</w:t>
      </w:r>
      <w:proofErr w:type="spellEnd"/>
      <w:r w:rsidR="00F55912" w:rsidRPr="00B26B5B">
        <w:rPr>
          <w:kern w:val="22"/>
          <w:szCs w:val="22"/>
          <w:lang w:val="fr-CA"/>
        </w:rPr>
        <w:t xml:space="preserve"> </w:t>
      </w:r>
      <w:proofErr w:type="spellStart"/>
      <w:r w:rsidR="00F55912" w:rsidRPr="00B26B5B">
        <w:rPr>
          <w:kern w:val="22"/>
          <w:szCs w:val="22"/>
          <w:lang w:val="fr-CA"/>
        </w:rPr>
        <w:t>Maryo</w:t>
      </w:r>
      <w:proofErr w:type="spellEnd"/>
      <w:r w:rsidR="00F55912" w:rsidRPr="00B26B5B">
        <w:rPr>
          <w:kern w:val="22"/>
          <w:szCs w:val="22"/>
          <w:lang w:val="fr-CA"/>
        </w:rPr>
        <w:t xml:space="preserve"> (</w:t>
      </w:r>
      <w:r w:rsidRPr="00B26B5B">
        <w:rPr>
          <w:kern w:val="22"/>
          <w:szCs w:val="22"/>
          <w:lang w:val="fr-CA"/>
        </w:rPr>
        <w:t>Éthiopie</w:t>
      </w:r>
      <w:r w:rsidR="00F55912" w:rsidRPr="00B26B5B">
        <w:rPr>
          <w:kern w:val="22"/>
          <w:szCs w:val="22"/>
          <w:lang w:val="fr-CA"/>
        </w:rPr>
        <w:t xml:space="preserve">) </w:t>
      </w:r>
      <w:r w:rsidR="00B80E2C">
        <w:rPr>
          <w:kern w:val="22"/>
          <w:szCs w:val="22"/>
          <w:lang w:val="fr-CA"/>
        </w:rPr>
        <w:t>et Mme</w:t>
      </w:r>
      <w:r w:rsidRPr="00B26B5B">
        <w:rPr>
          <w:kern w:val="22"/>
          <w:szCs w:val="22"/>
          <w:lang w:val="fr-CA"/>
        </w:rPr>
        <w:t xml:space="preserve"> Prudence </w:t>
      </w:r>
      <w:proofErr w:type="spellStart"/>
      <w:r w:rsidRPr="00B26B5B">
        <w:rPr>
          <w:kern w:val="22"/>
          <w:szCs w:val="22"/>
          <w:lang w:val="fr-CA"/>
        </w:rPr>
        <w:t>Galega</w:t>
      </w:r>
      <w:proofErr w:type="spellEnd"/>
      <w:r w:rsidRPr="00B26B5B">
        <w:rPr>
          <w:kern w:val="22"/>
          <w:szCs w:val="22"/>
          <w:lang w:val="fr-CA"/>
        </w:rPr>
        <w:t xml:space="preserve"> (Camerou</w:t>
      </w:r>
      <w:r w:rsidR="00F55912" w:rsidRPr="00B26B5B">
        <w:rPr>
          <w:kern w:val="22"/>
          <w:szCs w:val="22"/>
          <w:lang w:val="fr-CA"/>
        </w:rPr>
        <w:t xml:space="preserve">n) </w:t>
      </w:r>
      <w:r w:rsidRPr="00B26B5B">
        <w:rPr>
          <w:kern w:val="22"/>
          <w:szCs w:val="22"/>
          <w:lang w:val="fr-CA"/>
        </w:rPr>
        <w:t>à la coprésidence de la réunion, et Mme</w:t>
      </w:r>
      <w:r w:rsidR="00F55912" w:rsidRPr="00B26B5B">
        <w:rPr>
          <w:kern w:val="22"/>
          <w:szCs w:val="22"/>
          <w:lang w:val="fr-CA"/>
        </w:rPr>
        <w:t xml:space="preserve"> E</w:t>
      </w:r>
      <w:r w:rsidR="00947ECE" w:rsidRPr="00B26B5B">
        <w:rPr>
          <w:kern w:val="22"/>
          <w:szCs w:val="22"/>
          <w:lang w:val="fr-CA"/>
        </w:rPr>
        <w:t>l</w:t>
      </w:r>
      <w:r w:rsidR="00F55912" w:rsidRPr="00B26B5B">
        <w:rPr>
          <w:kern w:val="22"/>
          <w:szCs w:val="22"/>
          <w:lang w:val="fr-CA"/>
        </w:rPr>
        <w:t xml:space="preserve"> </w:t>
      </w:r>
      <w:proofErr w:type="spellStart"/>
      <w:r w:rsidR="00F55912" w:rsidRPr="00B26B5B">
        <w:rPr>
          <w:kern w:val="22"/>
          <w:szCs w:val="22"/>
          <w:lang w:val="fr-CA"/>
        </w:rPr>
        <w:t>Khitma</w:t>
      </w:r>
      <w:proofErr w:type="spellEnd"/>
      <w:r w:rsidR="00F55912" w:rsidRPr="00B26B5B">
        <w:rPr>
          <w:kern w:val="22"/>
          <w:szCs w:val="22"/>
          <w:lang w:val="fr-CA"/>
        </w:rPr>
        <w:t xml:space="preserve"> </w:t>
      </w:r>
      <w:proofErr w:type="spellStart"/>
      <w:r w:rsidR="00F55912" w:rsidRPr="00B26B5B">
        <w:rPr>
          <w:kern w:val="22"/>
          <w:szCs w:val="22"/>
          <w:lang w:val="fr-CA"/>
        </w:rPr>
        <w:t>Awad</w:t>
      </w:r>
      <w:proofErr w:type="spellEnd"/>
      <w:r w:rsidR="00F55912" w:rsidRPr="00B26B5B">
        <w:rPr>
          <w:kern w:val="22"/>
          <w:szCs w:val="22"/>
          <w:lang w:val="fr-CA"/>
        </w:rPr>
        <w:t xml:space="preserve"> Mohammed Ahmed (</w:t>
      </w:r>
      <w:r w:rsidRPr="00B26B5B">
        <w:rPr>
          <w:kern w:val="22"/>
          <w:szCs w:val="22"/>
          <w:lang w:val="fr-CA"/>
        </w:rPr>
        <w:t>Soudan</w:t>
      </w:r>
      <w:r w:rsidR="00F55912" w:rsidRPr="00B26B5B">
        <w:rPr>
          <w:kern w:val="22"/>
          <w:szCs w:val="22"/>
          <w:lang w:val="fr-CA"/>
        </w:rPr>
        <w:t xml:space="preserve">) </w:t>
      </w:r>
      <w:r w:rsidRPr="00B26B5B">
        <w:rPr>
          <w:kern w:val="22"/>
          <w:szCs w:val="22"/>
          <w:lang w:val="fr-CA"/>
        </w:rPr>
        <w:t>en qualité de</w:t>
      </w:r>
      <w:r w:rsidR="00A24A85" w:rsidRPr="00B26B5B">
        <w:rPr>
          <w:kern w:val="22"/>
          <w:szCs w:val="22"/>
          <w:lang w:val="fr-CA"/>
        </w:rPr>
        <w:t xml:space="preserve"> rapporteur</w:t>
      </w:r>
      <w:r w:rsidR="00F55912" w:rsidRPr="00B26B5B">
        <w:rPr>
          <w:kern w:val="22"/>
          <w:szCs w:val="22"/>
          <w:lang w:val="fr-CA"/>
        </w:rPr>
        <w:t xml:space="preserve">. </w:t>
      </w:r>
      <w:r w:rsidR="00FA7E41" w:rsidRPr="00B26B5B">
        <w:rPr>
          <w:kern w:val="22"/>
          <w:szCs w:val="22"/>
          <w:lang w:val="fr-CA"/>
        </w:rPr>
        <w:t>Mme</w:t>
      </w:r>
      <w:r w:rsidR="00C6777C" w:rsidRPr="00B26B5B">
        <w:rPr>
          <w:kern w:val="22"/>
          <w:szCs w:val="22"/>
          <w:lang w:val="fr-CA"/>
        </w:rPr>
        <w:t> </w:t>
      </w:r>
      <w:r w:rsidR="009462AF" w:rsidRPr="00B26B5B">
        <w:rPr>
          <w:kern w:val="22"/>
          <w:szCs w:val="22"/>
          <w:lang w:val="fr-CA"/>
        </w:rPr>
        <w:t xml:space="preserve">Patricia </w:t>
      </w:r>
      <w:proofErr w:type="spellStart"/>
      <w:r w:rsidR="009462AF" w:rsidRPr="00B26B5B">
        <w:rPr>
          <w:kern w:val="22"/>
          <w:szCs w:val="22"/>
          <w:lang w:val="fr-CA"/>
        </w:rPr>
        <w:t>Kameri-Mbote</w:t>
      </w:r>
      <w:proofErr w:type="spellEnd"/>
      <w:r w:rsidR="009462AF" w:rsidRPr="00B26B5B">
        <w:rPr>
          <w:kern w:val="22"/>
          <w:szCs w:val="22"/>
          <w:lang w:val="fr-CA"/>
        </w:rPr>
        <w:t xml:space="preserve"> (</w:t>
      </w:r>
      <w:r w:rsidR="00FA7E41" w:rsidRPr="00B26B5B">
        <w:rPr>
          <w:kern w:val="22"/>
          <w:szCs w:val="22"/>
          <w:lang w:val="fr-CA"/>
        </w:rPr>
        <w:t xml:space="preserve">professeure, Université de </w:t>
      </w:r>
      <w:r w:rsidR="009462AF" w:rsidRPr="00B26B5B">
        <w:rPr>
          <w:kern w:val="22"/>
          <w:szCs w:val="22"/>
          <w:lang w:val="fr-CA"/>
        </w:rPr>
        <w:t xml:space="preserve">Nairobi) </w:t>
      </w:r>
      <w:r w:rsidR="00FA7E41" w:rsidRPr="00B26B5B">
        <w:rPr>
          <w:kern w:val="22"/>
          <w:szCs w:val="22"/>
          <w:lang w:val="fr-CA"/>
        </w:rPr>
        <w:t>a animé la consultation</w:t>
      </w:r>
      <w:r w:rsidR="00A24A85" w:rsidRPr="00B26B5B">
        <w:rPr>
          <w:kern w:val="22"/>
          <w:szCs w:val="22"/>
          <w:lang w:val="fr-CA"/>
        </w:rPr>
        <w:t>.</w:t>
      </w:r>
    </w:p>
    <w:p w:rsidR="00F74CD2" w:rsidRPr="00B26B5B" w:rsidRDefault="00FA7E41" w:rsidP="00C33570">
      <w:pPr>
        <w:pStyle w:val="Para1"/>
        <w:suppressLineNumbers/>
        <w:tabs>
          <w:tab w:val="clear" w:pos="360"/>
        </w:tabs>
        <w:suppressAutoHyphens/>
        <w:rPr>
          <w:kern w:val="22"/>
          <w:szCs w:val="22"/>
          <w:lang w:val="fr-CA"/>
        </w:rPr>
      </w:pPr>
      <w:r w:rsidRPr="00B26B5B">
        <w:rPr>
          <w:kern w:val="22"/>
          <w:szCs w:val="22"/>
          <w:lang w:val="fr-CA"/>
        </w:rPr>
        <w:t>Les participants se sont présentés</w:t>
      </w:r>
      <w:r w:rsidR="00A24A85" w:rsidRPr="00B26B5B">
        <w:rPr>
          <w:rStyle w:val="Appelnotedebasdep"/>
          <w:kern w:val="22"/>
          <w:szCs w:val="22"/>
          <w:lang w:val="fr-CA"/>
        </w:rPr>
        <w:footnoteReference w:id="10"/>
      </w:r>
      <w:r w:rsidR="009462AF" w:rsidRPr="00B26B5B">
        <w:rPr>
          <w:kern w:val="22"/>
          <w:szCs w:val="22"/>
          <w:lang w:val="fr-CA"/>
        </w:rPr>
        <w:t xml:space="preserve"> </w:t>
      </w:r>
      <w:r w:rsidRPr="00B26B5B">
        <w:rPr>
          <w:kern w:val="22"/>
          <w:szCs w:val="22"/>
          <w:lang w:val="fr-CA"/>
        </w:rPr>
        <w:t xml:space="preserve">et ont été invités à inscrire leurs attentes à l’égard du processus de consultation sur des cartes et à remettre </w:t>
      </w:r>
      <w:r w:rsidR="00B80E2C">
        <w:rPr>
          <w:kern w:val="22"/>
          <w:szCs w:val="22"/>
          <w:lang w:val="fr-CA"/>
        </w:rPr>
        <w:t>ces cartes</w:t>
      </w:r>
      <w:r w:rsidRPr="00B26B5B">
        <w:rPr>
          <w:kern w:val="22"/>
          <w:szCs w:val="22"/>
          <w:lang w:val="fr-CA"/>
        </w:rPr>
        <w:t xml:space="preserve"> à l’animatrice</w:t>
      </w:r>
      <w:r w:rsidR="00F74CD2" w:rsidRPr="00B26B5B">
        <w:rPr>
          <w:kern w:val="22"/>
          <w:szCs w:val="22"/>
          <w:lang w:val="fr-CA"/>
        </w:rPr>
        <w:t>.</w:t>
      </w:r>
    </w:p>
    <w:p w:rsidR="00FA401F" w:rsidRPr="00B26B5B" w:rsidRDefault="0016316A" w:rsidP="00C33570">
      <w:pPr>
        <w:pStyle w:val="Para1"/>
        <w:numPr>
          <w:ilvl w:val="0"/>
          <w:numId w:val="0"/>
        </w:numPr>
        <w:suppressLineNumbers/>
        <w:suppressAutoHyphens/>
        <w:ind w:left="360"/>
        <w:jc w:val="center"/>
        <w:rPr>
          <w:b/>
          <w:kern w:val="22"/>
          <w:szCs w:val="22"/>
          <w:lang w:val="fr-CA"/>
        </w:rPr>
      </w:pPr>
      <w:r w:rsidRPr="00B26B5B">
        <w:rPr>
          <w:b/>
          <w:kern w:val="22"/>
          <w:szCs w:val="22"/>
          <w:lang w:val="fr-CA"/>
        </w:rPr>
        <w:t>Point</w:t>
      </w:r>
      <w:r w:rsidR="00F8647F" w:rsidRPr="00B26B5B">
        <w:rPr>
          <w:b/>
          <w:kern w:val="22"/>
          <w:szCs w:val="22"/>
          <w:lang w:val="fr-CA"/>
        </w:rPr>
        <w:t xml:space="preserve"> 4. </w:t>
      </w:r>
      <w:r w:rsidRPr="00B26B5B">
        <w:rPr>
          <w:b/>
          <w:snapToGrid/>
          <w:kern w:val="22"/>
          <w:lang w:val="fr-CA"/>
        </w:rPr>
        <w:t>Situation actuelle et tendances pour l’avenir</w:t>
      </w:r>
    </w:p>
    <w:p w:rsidR="006B72D7" w:rsidRPr="00B26B5B" w:rsidRDefault="00FA7E41" w:rsidP="00C33570">
      <w:pPr>
        <w:pStyle w:val="Para1"/>
        <w:suppressLineNumbers/>
        <w:tabs>
          <w:tab w:val="clear" w:pos="360"/>
        </w:tabs>
        <w:suppressAutoHyphens/>
        <w:rPr>
          <w:kern w:val="22"/>
          <w:szCs w:val="22"/>
          <w:lang w:val="fr-CA"/>
        </w:rPr>
      </w:pPr>
      <w:r w:rsidRPr="00B26B5B">
        <w:rPr>
          <w:kern w:val="22"/>
          <w:szCs w:val="22"/>
          <w:lang w:val="fr-CA"/>
        </w:rPr>
        <w:t xml:space="preserve">Cette session a </w:t>
      </w:r>
      <w:r w:rsidR="00224834" w:rsidRPr="00B26B5B">
        <w:rPr>
          <w:kern w:val="22"/>
          <w:szCs w:val="22"/>
          <w:lang w:val="fr-CA"/>
        </w:rPr>
        <w:t xml:space="preserve">porté sur l’état actuel de la diversité biologique et les tendances pour l’avenir dans la région. M. Levis </w:t>
      </w:r>
      <w:proofErr w:type="spellStart"/>
      <w:r w:rsidR="00224834" w:rsidRPr="00B26B5B">
        <w:rPr>
          <w:kern w:val="22"/>
          <w:szCs w:val="22"/>
          <w:lang w:val="fr-CA"/>
        </w:rPr>
        <w:t>Kavagi</w:t>
      </w:r>
      <w:proofErr w:type="spellEnd"/>
      <w:r w:rsidR="00224834" w:rsidRPr="00B26B5B">
        <w:rPr>
          <w:kern w:val="22"/>
          <w:szCs w:val="22"/>
          <w:lang w:val="fr-CA"/>
        </w:rPr>
        <w:t xml:space="preserve"> (PNUE) a présenté un aperçu des principaux messages du rapport de l’</w:t>
      </w:r>
      <w:r w:rsidR="00224834" w:rsidRPr="00B26B5B">
        <w:rPr>
          <w:i/>
          <w:kern w:val="22"/>
          <w:szCs w:val="22"/>
          <w:lang w:val="fr-CA"/>
        </w:rPr>
        <w:t>Évaluation régionale de la biodiversité et des services écosystémiques en Afrique</w:t>
      </w:r>
      <w:r w:rsidR="00224834" w:rsidRPr="00B26B5B">
        <w:rPr>
          <w:kern w:val="22"/>
          <w:szCs w:val="22"/>
          <w:lang w:val="fr-CA"/>
        </w:rPr>
        <w:t>, entreprise par la Plateforme intergouvernementale scientifique et politique sur la biodiversité et les services écosystémiques (</w:t>
      </w:r>
      <w:proofErr w:type="spellStart"/>
      <w:r w:rsidR="00224834" w:rsidRPr="00B26B5B">
        <w:rPr>
          <w:kern w:val="22"/>
          <w:szCs w:val="22"/>
          <w:lang w:val="fr-CA"/>
        </w:rPr>
        <w:t>IPBES</w:t>
      </w:r>
      <w:proofErr w:type="spellEnd"/>
      <w:r w:rsidR="00224834" w:rsidRPr="00B26B5B">
        <w:rPr>
          <w:kern w:val="22"/>
          <w:szCs w:val="22"/>
          <w:lang w:val="fr-CA"/>
        </w:rPr>
        <w:t xml:space="preserve">). Il a </w:t>
      </w:r>
      <w:r w:rsidR="00B80E2C">
        <w:rPr>
          <w:kern w:val="22"/>
          <w:szCs w:val="22"/>
          <w:lang w:val="fr-CA"/>
        </w:rPr>
        <w:t>présenté</w:t>
      </w:r>
      <w:r w:rsidR="00224834" w:rsidRPr="00B26B5B">
        <w:rPr>
          <w:kern w:val="22"/>
          <w:szCs w:val="22"/>
          <w:lang w:val="fr-CA"/>
        </w:rPr>
        <w:t xml:space="preserve"> l’état et les tendances en matière de diversité biologique dans la région, les principaux moteurs de l’appauvrissement de la diversité biologique, les mesures prises pour protéger la biodiversité, les d</w:t>
      </w:r>
      <w:r w:rsidR="00B407DD" w:rsidRPr="00B26B5B">
        <w:rPr>
          <w:kern w:val="22"/>
          <w:szCs w:val="22"/>
          <w:lang w:val="fr-CA"/>
        </w:rPr>
        <w:t>i</w:t>
      </w:r>
      <w:r w:rsidR="00224834" w:rsidRPr="00B26B5B">
        <w:rPr>
          <w:kern w:val="22"/>
          <w:szCs w:val="22"/>
          <w:lang w:val="fr-CA"/>
        </w:rPr>
        <w:t>fficultés, et les différentes solutions offertes à l’</w:t>
      </w:r>
      <w:r w:rsidR="00B407DD" w:rsidRPr="00B26B5B">
        <w:rPr>
          <w:kern w:val="22"/>
          <w:szCs w:val="22"/>
          <w:lang w:val="fr-CA"/>
        </w:rPr>
        <w:t>Afrique pour surmonter ces di</w:t>
      </w:r>
      <w:r w:rsidR="00224834" w:rsidRPr="00B26B5B">
        <w:rPr>
          <w:kern w:val="22"/>
          <w:szCs w:val="22"/>
          <w:lang w:val="fr-CA"/>
        </w:rPr>
        <w:t>fficultés</w:t>
      </w:r>
      <w:r w:rsidR="00061B25" w:rsidRPr="00B26B5B">
        <w:rPr>
          <w:kern w:val="22"/>
          <w:szCs w:val="22"/>
          <w:lang w:val="fr-CA"/>
        </w:rPr>
        <w:t>.</w:t>
      </w:r>
      <w:r w:rsidR="00061B25" w:rsidRPr="00B26B5B">
        <w:rPr>
          <w:rStyle w:val="Appelnotedebasdep"/>
          <w:kern w:val="22"/>
          <w:szCs w:val="22"/>
          <w:lang w:val="fr-CA"/>
        </w:rPr>
        <w:footnoteReference w:id="11"/>
      </w:r>
    </w:p>
    <w:p w:rsidR="004E5F23" w:rsidRPr="00B26B5B" w:rsidRDefault="00B407DD" w:rsidP="00C33570">
      <w:pPr>
        <w:pStyle w:val="Para1"/>
        <w:suppressLineNumbers/>
        <w:tabs>
          <w:tab w:val="clear" w:pos="360"/>
        </w:tabs>
        <w:suppressAutoHyphens/>
        <w:rPr>
          <w:kern w:val="22"/>
          <w:szCs w:val="22"/>
          <w:lang w:val="fr-CA"/>
        </w:rPr>
      </w:pPr>
      <w:r w:rsidRPr="00B26B5B">
        <w:rPr>
          <w:kern w:val="22"/>
          <w:szCs w:val="22"/>
          <w:lang w:val="fr-CA"/>
        </w:rPr>
        <w:t>M</w:t>
      </w:r>
      <w:r w:rsidR="00E84C59" w:rsidRPr="00B26B5B">
        <w:rPr>
          <w:kern w:val="22"/>
          <w:szCs w:val="22"/>
          <w:lang w:val="fr-CA"/>
        </w:rPr>
        <w:t xml:space="preserve">. </w:t>
      </w:r>
      <w:r w:rsidR="004E5F23" w:rsidRPr="00B26B5B">
        <w:rPr>
          <w:kern w:val="22"/>
          <w:szCs w:val="22"/>
          <w:lang w:val="fr-CA"/>
        </w:rPr>
        <w:t xml:space="preserve">Dan </w:t>
      </w:r>
      <w:proofErr w:type="spellStart"/>
      <w:r w:rsidR="004E5F23" w:rsidRPr="00B26B5B">
        <w:rPr>
          <w:kern w:val="22"/>
          <w:szCs w:val="22"/>
          <w:lang w:val="fr-CA"/>
        </w:rPr>
        <w:t>Leskien</w:t>
      </w:r>
      <w:proofErr w:type="spellEnd"/>
      <w:r w:rsidR="004E5F23" w:rsidRPr="00B26B5B">
        <w:rPr>
          <w:kern w:val="22"/>
          <w:szCs w:val="22"/>
          <w:lang w:val="fr-CA"/>
        </w:rPr>
        <w:t xml:space="preserve"> (FAO) </w:t>
      </w:r>
      <w:r w:rsidRPr="00B26B5B">
        <w:rPr>
          <w:kern w:val="22"/>
          <w:szCs w:val="22"/>
          <w:lang w:val="fr-CA"/>
        </w:rPr>
        <w:t>a présenté un survol de l’</w:t>
      </w:r>
      <w:r w:rsidRPr="00B26B5B">
        <w:rPr>
          <w:i/>
          <w:kern w:val="22"/>
          <w:szCs w:val="22"/>
          <w:lang w:val="fr-CA"/>
        </w:rPr>
        <w:t xml:space="preserve">État de la </w:t>
      </w:r>
      <w:r w:rsidR="00DF5A18" w:rsidRPr="00B26B5B">
        <w:rPr>
          <w:i/>
          <w:kern w:val="22"/>
          <w:szCs w:val="22"/>
          <w:lang w:val="fr-CA"/>
        </w:rPr>
        <w:t>biodiversité</w:t>
      </w:r>
      <w:r w:rsidRPr="00B26B5B">
        <w:rPr>
          <w:i/>
          <w:kern w:val="22"/>
          <w:szCs w:val="22"/>
          <w:lang w:val="fr-CA"/>
        </w:rPr>
        <w:t xml:space="preserve"> pour l’alimentation et l’agriculture</w:t>
      </w:r>
      <w:r w:rsidR="00DC07A3" w:rsidRPr="00B26B5B">
        <w:rPr>
          <w:i/>
          <w:kern w:val="22"/>
          <w:szCs w:val="22"/>
          <w:lang w:val="fr-CA"/>
        </w:rPr>
        <w:t xml:space="preserve"> dans le monde</w:t>
      </w:r>
      <w:r w:rsidRPr="00B26B5B">
        <w:rPr>
          <w:kern w:val="22"/>
          <w:szCs w:val="22"/>
          <w:lang w:val="fr-CA"/>
        </w:rPr>
        <w:t xml:space="preserve">, </w:t>
      </w:r>
      <w:r w:rsidR="00DF5A18" w:rsidRPr="00B26B5B">
        <w:rPr>
          <w:kern w:val="22"/>
          <w:szCs w:val="22"/>
          <w:lang w:val="fr-CA"/>
        </w:rPr>
        <w:t>préparé à partir d’un rapport publié par l’Organisation des Nations Unies pour l’alimentation et l’agriculture (FAO) en février 2019</w:t>
      </w:r>
      <w:r w:rsidR="004E5F23" w:rsidRPr="00B26B5B">
        <w:rPr>
          <w:kern w:val="22"/>
          <w:szCs w:val="22"/>
          <w:lang w:val="fr-CA"/>
        </w:rPr>
        <w:t>.</w:t>
      </w:r>
      <w:r w:rsidR="00E63D16" w:rsidRPr="00B26B5B">
        <w:rPr>
          <w:rStyle w:val="Appelnotedebasdep"/>
          <w:kern w:val="22"/>
          <w:szCs w:val="22"/>
          <w:lang w:val="fr-CA"/>
        </w:rPr>
        <w:footnoteReference w:id="12"/>
      </w:r>
      <w:r w:rsidR="00CE776D" w:rsidRPr="00B26B5B">
        <w:rPr>
          <w:kern w:val="22"/>
          <w:szCs w:val="22"/>
          <w:lang w:val="fr-CA"/>
        </w:rPr>
        <w:t xml:space="preserve"> </w:t>
      </w:r>
      <w:r w:rsidR="00DF5A18" w:rsidRPr="00B26B5B">
        <w:rPr>
          <w:kern w:val="22"/>
          <w:szCs w:val="22"/>
          <w:lang w:val="fr-CA"/>
        </w:rPr>
        <w:t>Il a brièvement décrit l’état actuel de la biodiversité pour l’alimentation et l’agriculture et les nombreux moteurs interdépendants du changement qui l’affecte</w:t>
      </w:r>
      <w:r w:rsidR="00BD0728">
        <w:rPr>
          <w:kern w:val="22"/>
          <w:szCs w:val="22"/>
          <w:lang w:val="fr-CA"/>
        </w:rPr>
        <w:t>nt</w:t>
      </w:r>
      <w:r w:rsidR="00DF5A18" w:rsidRPr="00B26B5B">
        <w:rPr>
          <w:kern w:val="22"/>
          <w:szCs w:val="22"/>
          <w:lang w:val="fr-CA"/>
        </w:rPr>
        <w:t>. Il a aussi présenté les pratiques respectueuses de la diversité biologique</w:t>
      </w:r>
      <w:r w:rsidR="00DC07A3" w:rsidRPr="00B26B5B">
        <w:rPr>
          <w:kern w:val="22"/>
          <w:szCs w:val="22"/>
          <w:lang w:val="fr-CA"/>
        </w:rPr>
        <w:t xml:space="preserve"> de plus en plus courantes, tout en soulignant que les cadres habilitants pour la conservation et l’utilisation durable de la diversité biologique pour l’alimentation et l’agriculture demeurent insuffisants</w:t>
      </w:r>
      <w:r w:rsidR="00CE776D" w:rsidRPr="00B26B5B">
        <w:rPr>
          <w:kern w:val="22"/>
          <w:szCs w:val="22"/>
          <w:lang w:val="fr-CA"/>
        </w:rPr>
        <w:t>.</w:t>
      </w:r>
    </w:p>
    <w:p w:rsidR="00C07C03" w:rsidRPr="00B26B5B" w:rsidRDefault="00DC07A3" w:rsidP="00C33570">
      <w:pPr>
        <w:pStyle w:val="Para1"/>
        <w:suppressLineNumbers/>
        <w:tabs>
          <w:tab w:val="clear" w:pos="360"/>
        </w:tabs>
        <w:suppressAutoHyphens/>
        <w:rPr>
          <w:kern w:val="22"/>
          <w:szCs w:val="22"/>
          <w:lang w:val="fr-CA"/>
        </w:rPr>
      </w:pPr>
      <w:r w:rsidRPr="00B26B5B">
        <w:rPr>
          <w:kern w:val="22"/>
          <w:szCs w:val="22"/>
          <w:lang w:val="fr-CA"/>
        </w:rPr>
        <w:t>Mme</w:t>
      </w:r>
      <w:r w:rsidR="00DB25D1" w:rsidRPr="00B26B5B">
        <w:rPr>
          <w:kern w:val="22"/>
          <w:szCs w:val="22"/>
          <w:lang w:val="fr-CA"/>
        </w:rPr>
        <w:t xml:space="preserve"> </w:t>
      </w:r>
      <w:proofErr w:type="spellStart"/>
      <w:r w:rsidR="00DB25D1" w:rsidRPr="00B26B5B">
        <w:rPr>
          <w:kern w:val="22"/>
          <w:szCs w:val="22"/>
          <w:lang w:val="fr-CA"/>
        </w:rPr>
        <w:t>Jyoti</w:t>
      </w:r>
      <w:proofErr w:type="spellEnd"/>
      <w:r w:rsidR="00DB25D1" w:rsidRPr="00B26B5B">
        <w:rPr>
          <w:kern w:val="22"/>
          <w:szCs w:val="22"/>
          <w:lang w:val="fr-CA"/>
        </w:rPr>
        <w:t xml:space="preserve"> Mathur-</w:t>
      </w:r>
      <w:proofErr w:type="spellStart"/>
      <w:r w:rsidR="00DB25D1" w:rsidRPr="00B26B5B">
        <w:rPr>
          <w:kern w:val="22"/>
          <w:szCs w:val="22"/>
          <w:lang w:val="fr-CA"/>
        </w:rPr>
        <w:t>Filipp</w:t>
      </w:r>
      <w:proofErr w:type="spellEnd"/>
      <w:r w:rsidR="00DB25D1" w:rsidRPr="00B26B5B">
        <w:rPr>
          <w:kern w:val="22"/>
          <w:szCs w:val="22"/>
          <w:lang w:val="fr-CA"/>
        </w:rPr>
        <w:t xml:space="preserve"> (CDB</w:t>
      </w:r>
      <w:r w:rsidR="00C07C03" w:rsidRPr="00B26B5B">
        <w:rPr>
          <w:kern w:val="22"/>
          <w:szCs w:val="22"/>
          <w:lang w:val="fr-CA"/>
        </w:rPr>
        <w:t xml:space="preserve">) </w:t>
      </w:r>
      <w:r w:rsidR="00DB25D1" w:rsidRPr="00B26B5B">
        <w:rPr>
          <w:kern w:val="22"/>
          <w:szCs w:val="22"/>
          <w:lang w:val="fr-CA"/>
        </w:rPr>
        <w:t xml:space="preserve">a offert un bref compte rendu sur la préparation de la cinquième édition des </w:t>
      </w:r>
      <w:r w:rsidR="00DB25D1" w:rsidRPr="00B26B5B">
        <w:rPr>
          <w:i/>
          <w:kern w:val="22"/>
          <w:szCs w:val="22"/>
          <w:lang w:val="fr-CA"/>
        </w:rPr>
        <w:t>Perspectives mondiales de la diversité biologique</w:t>
      </w:r>
      <w:r w:rsidR="00DB25D1" w:rsidRPr="00B26B5B">
        <w:rPr>
          <w:kern w:val="22"/>
          <w:szCs w:val="22"/>
          <w:lang w:val="fr-CA"/>
        </w:rPr>
        <w:t xml:space="preserve"> et la remise des sixièmes rapports nationaux. Elle a invité les Parties qui ne l’avaient pas encore fait à soumettre leurs rapports et contribuer l’information pertinente à la cinquième édition des </w:t>
      </w:r>
      <w:r w:rsidR="00DB25D1" w:rsidRPr="002B109E">
        <w:rPr>
          <w:i/>
          <w:kern w:val="22"/>
          <w:szCs w:val="22"/>
          <w:lang w:val="fr-CA"/>
        </w:rPr>
        <w:t>Perspectives mondiales de la diversité biologique</w:t>
      </w:r>
      <w:r w:rsidR="00DB25D1" w:rsidRPr="00B26B5B">
        <w:rPr>
          <w:kern w:val="22"/>
          <w:szCs w:val="22"/>
          <w:lang w:val="fr-CA"/>
        </w:rPr>
        <w:t>, en soulignant l’importance de ces documents comme source d’information pour la préparation du cadre mondial de la biodiversité pour l</w:t>
      </w:r>
      <w:r w:rsidR="00CD0FC3">
        <w:rPr>
          <w:kern w:val="22"/>
          <w:szCs w:val="22"/>
          <w:lang w:val="fr-CA"/>
        </w:rPr>
        <w:t>’</w:t>
      </w:r>
      <w:r w:rsidR="00DB25D1" w:rsidRPr="00B26B5B">
        <w:rPr>
          <w:kern w:val="22"/>
          <w:szCs w:val="22"/>
          <w:lang w:val="fr-CA"/>
        </w:rPr>
        <w:t>après-2020</w:t>
      </w:r>
      <w:r w:rsidR="00C07C03" w:rsidRPr="00B26B5B">
        <w:rPr>
          <w:kern w:val="22"/>
          <w:szCs w:val="22"/>
          <w:lang w:val="fr-CA"/>
        </w:rPr>
        <w:t>.</w:t>
      </w:r>
    </w:p>
    <w:p w:rsidR="0043016A" w:rsidRPr="00B26B5B" w:rsidRDefault="00DC25E7" w:rsidP="00C33570">
      <w:pPr>
        <w:pStyle w:val="Para1"/>
        <w:suppressLineNumbers/>
        <w:tabs>
          <w:tab w:val="clear" w:pos="360"/>
        </w:tabs>
        <w:suppressAutoHyphens/>
        <w:rPr>
          <w:kern w:val="22"/>
          <w:szCs w:val="22"/>
          <w:lang w:val="fr-CA"/>
        </w:rPr>
      </w:pPr>
      <w:r w:rsidRPr="00B26B5B">
        <w:rPr>
          <w:kern w:val="22"/>
          <w:szCs w:val="22"/>
          <w:lang w:val="fr-CA"/>
        </w:rPr>
        <w:t xml:space="preserve">À la suite des présentations, les participants ont posé quelques questions et amorcé un court échange en plénière. Ils ont indiqué que plusieurs études et évaluations de la diversité biologique avaient été entreprises au cours des dernières années, mais </w:t>
      </w:r>
      <w:r w:rsidR="002B109E">
        <w:rPr>
          <w:kern w:val="22"/>
          <w:szCs w:val="22"/>
          <w:lang w:val="fr-CA"/>
        </w:rPr>
        <w:t xml:space="preserve">que </w:t>
      </w:r>
      <w:r w:rsidRPr="00B26B5B">
        <w:rPr>
          <w:kern w:val="22"/>
          <w:szCs w:val="22"/>
          <w:lang w:val="fr-CA"/>
        </w:rPr>
        <w:t xml:space="preserve">leurs conclusions et principaux messages n’ont pas été communiqués efficacement ni utilisés pour orienter les politiques et le processus décisionnel. Cela a été </w:t>
      </w:r>
      <w:r w:rsidRPr="00B26B5B">
        <w:rPr>
          <w:kern w:val="22"/>
          <w:szCs w:val="22"/>
          <w:lang w:val="fr-CA"/>
        </w:rPr>
        <w:lastRenderedPageBreak/>
        <w:t>attribuable, en partie, aux outils et méthodes de communication inefficaces et l’omission d’utiliser une langue simple que les décideurs et le grand public peuvent facilement comprendre</w:t>
      </w:r>
      <w:r w:rsidR="003152EA" w:rsidRPr="00B26B5B">
        <w:rPr>
          <w:kern w:val="22"/>
          <w:szCs w:val="22"/>
          <w:lang w:val="fr-CA"/>
        </w:rPr>
        <w:t xml:space="preserve">. </w:t>
      </w:r>
      <w:r w:rsidR="002B109E">
        <w:rPr>
          <w:kern w:val="22"/>
          <w:szCs w:val="22"/>
          <w:lang w:val="fr-CA"/>
        </w:rPr>
        <w:t>Il faut</w:t>
      </w:r>
      <w:r w:rsidR="003152EA" w:rsidRPr="00B26B5B">
        <w:rPr>
          <w:kern w:val="22"/>
          <w:szCs w:val="22"/>
          <w:lang w:val="fr-CA"/>
        </w:rPr>
        <w:t xml:space="preserve"> utiliser des outils et des méthodes plus efficaces pour communiquer les faits et les messages inspirants </w:t>
      </w:r>
      <w:r w:rsidR="002B109E">
        <w:rPr>
          <w:kern w:val="22"/>
          <w:szCs w:val="22"/>
          <w:lang w:val="fr-CA"/>
        </w:rPr>
        <w:t>aux décideurs et a</w:t>
      </w:r>
      <w:r w:rsidR="003152EA" w:rsidRPr="00B26B5B">
        <w:rPr>
          <w:kern w:val="22"/>
          <w:szCs w:val="22"/>
          <w:lang w:val="fr-CA"/>
        </w:rPr>
        <w:t>u grand public en utilisant une langue simple qu’ils peuvent facilement comprendre</w:t>
      </w:r>
      <w:r w:rsidR="000311F6" w:rsidRPr="00B26B5B">
        <w:rPr>
          <w:kern w:val="22"/>
          <w:szCs w:val="22"/>
          <w:lang w:val="fr-CA"/>
        </w:rPr>
        <w:t>.</w:t>
      </w:r>
    </w:p>
    <w:p w:rsidR="00901243" w:rsidRPr="00B26B5B" w:rsidRDefault="003152EA" w:rsidP="00C33570">
      <w:pPr>
        <w:pStyle w:val="Para1"/>
        <w:suppressLineNumbers/>
        <w:tabs>
          <w:tab w:val="clear" w:pos="360"/>
        </w:tabs>
        <w:suppressAutoHyphens/>
        <w:rPr>
          <w:kern w:val="22"/>
          <w:szCs w:val="22"/>
          <w:lang w:val="fr-CA"/>
        </w:rPr>
      </w:pPr>
      <w:r w:rsidRPr="00B26B5B">
        <w:rPr>
          <w:kern w:val="22"/>
          <w:szCs w:val="22"/>
          <w:lang w:val="fr-CA"/>
        </w:rPr>
        <w:t xml:space="preserve">Plusieurs participants ont </w:t>
      </w:r>
      <w:r w:rsidR="002B109E">
        <w:rPr>
          <w:kern w:val="22"/>
          <w:szCs w:val="22"/>
          <w:lang w:val="fr-CA"/>
        </w:rPr>
        <w:t>émis une mise en garde disant</w:t>
      </w:r>
      <w:r w:rsidRPr="00B26B5B">
        <w:rPr>
          <w:kern w:val="22"/>
          <w:szCs w:val="22"/>
          <w:lang w:val="fr-CA"/>
        </w:rPr>
        <w:t xml:space="preserve"> que nos communications ne devraient pas trop mettre l’accent sur les conclusions négatives des différentes évaluations et les messages pessimistes concernant l’appauvrissement de la diversité biologique</w:t>
      </w:r>
      <w:r w:rsidR="000311F6" w:rsidRPr="00B26B5B">
        <w:rPr>
          <w:kern w:val="22"/>
          <w:szCs w:val="22"/>
          <w:lang w:val="fr-CA"/>
        </w:rPr>
        <w:t>.</w:t>
      </w:r>
      <w:r w:rsidRPr="00B26B5B">
        <w:rPr>
          <w:kern w:val="22"/>
          <w:szCs w:val="22"/>
          <w:lang w:val="fr-CA"/>
        </w:rPr>
        <w:t xml:space="preserve"> Nous devrions communiquer et souligner la valeur de la diversité biologique et des services écosystémiques, ainsi que leur contribution au développement socioéconomique et au bien-être humain. À cet égard, les participants ont souligné l’urgence de </w:t>
      </w:r>
      <w:r w:rsidR="00246E00" w:rsidRPr="00B26B5B">
        <w:rPr>
          <w:kern w:val="22"/>
          <w:szCs w:val="22"/>
          <w:lang w:val="fr-CA"/>
        </w:rPr>
        <w:t>développer des capacités de comptabilité du capital naturel et d’établir la valeur de la diversité biologique dans la région.</w:t>
      </w:r>
    </w:p>
    <w:p w:rsidR="00901243" w:rsidRPr="00B26B5B" w:rsidRDefault="0016316A" w:rsidP="00C33570">
      <w:pPr>
        <w:pStyle w:val="Para1"/>
        <w:numPr>
          <w:ilvl w:val="0"/>
          <w:numId w:val="0"/>
        </w:numPr>
        <w:suppressLineNumbers/>
        <w:suppressAutoHyphens/>
        <w:ind w:left="1701" w:hanging="992"/>
        <w:jc w:val="left"/>
        <w:rPr>
          <w:b/>
          <w:kern w:val="22"/>
          <w:szCs w:val="22"/>
          <w:lang w:val="fr-CA"/>
        </w:rPr>
      </w:pPr>
      <w:r w:rsidRPr="00B26B5B">
        <w:rPr>
          <w:b/>
          <w:kern w:val="22"/>
          <w:szCs w:val="22"/>
          <w:lang w:val="fr-CA"/>
        </w:rPr>
        <w:t>Point</w:t>
      </w:r>
      <w:r w:rsidR="00901243" w:rsidRPr="00B26B5B">
        <w:rPr>
          <w:b/>
          <w:kern w:val="22"/>
          <w:szCs w:val="22"/>
          <w:lang w:val="fr-CA"/>
        </w:rPr>
        <w:t xml:space="preserve"> 5.</w:t>
      </w:r>
      <w:r w:rsidR="00BC0951" w:rsidRPr="00B26B5B">
        <w:rPr>
          <w:b/>
          <w:kern w:val="22"/>
          <w:szCs w:val="22"/>
          <w:lang w:val="fr-CA"/>
        </w:rPr>
        <w:tab/>
      </w:r>
      <w:r w:rsidRPr="00B26B5B">
        <w:rPr>
          <w:b/>
          <w:snapToGrid/>
          <w:kern w:val="22"/>
          <w:lang w:val="fr-CA"/>
        </w:rPr>
        <w:t>Occasions d’application et défis dans la région, et perspectives pour le cadre mondial de la biodiversité pour l</w:t>
      </w:r>
      <w:r w:rsidR="00CD0FC3">
        <w:rPr>
          <w:b/>
          <w:snapToGrid/>
          <w:kern w:val="22"/>
          <w:lang w:val="fr-CA"/>
        </w:rPr>
        <w:t>’</w:t>
      </w:r>
      <w:r w:rsidRPr="00B26B5B">
        <w:rPr>
          <w:b/>
          <w:snapToGrid/>
          <w:kern w:val="22"/>
          <w:lang w:val="fr-CA"/>
        </w:rPr>
        <w:t>après-2020</w:t>
      </w:r>
    </w:p>
    <w:p w:rsidR="009462AF" w:rsidRPr="00B26B5B" w:rsidRDefault="00246E00" w:rsidP="00C33570">
      <w:pPr>
        <w:pStyle w:val="Para1"/>
        <w:suppressLineNumbers/>
        <w:tabs>
          <w:tab w:val="clear" w:pos="360"/>
        </w:tabs>
        <w:suppressAutoHyphens/>
        <w:rPr>
          <w:kern w:val="22"/>
          <w:szCs w:val="22"/>
          <w:lang w:val="fr-CA"/>
        </w:rPr>
      </w:pPr>
      <w:r w:rsidRPr="00B26B5B">
        <w:rPr>
          <w:kern w:val="22"/>
          <w:szCs w:val="22"/>
          <w:lang w:val="fr-CA"/>
        </w:rPr>
        <w:t xml:space="preserve">Au cours de l’après-midi de la première </w:t>
      </w:r>
      <w:r w:rsidR="00327DE4" w:rsidRPr="00B26B5B">
        <w:rPr>
          <w:kern w:val="22"/>
          <w:szCs w:val="22"/>
          <w:lang w:val="fr-CA"/>
        </w:rPr>
        <w:t xml:space="preserve">journée, </w:t>
      </w:r>
      <w:r w:rsidRPr="00B26B5B">
        <w:rPr>
          <w:kern w:val="22"/>
          <w:szCs w:val="22"/>
          <w:lang w:val="fr-CA"/>
        </w:rPr>
        <w:t>l</w:t>
      </w:r>
      <w:r w:rsidR="00327DE4" w:rsidRPr="00B26B5B">
        <w:rPr>
          <w:kern w:val="22"/>
          <w:szCs w:val="22"/>
          <w:lang w:val="fr-CA"/>
        </w:rPr>
        <w:t>e</w:t>
      </w:r>
      <w:r w:rsidRPr="00B26B5B">
        <w:rPr>
          <w:kern w:val="22"/>
          <w:szCs w:val="22"/>
          <w:lang w:val="fr-CA"/>
        </w:rPr>
        <w:t>s participants ont formé des group</w:t>
      </w:r>
      <w:r w:rsidR="00327DE4" w:rsidRPr="00B26B5B">
        <w:rPr>
          <w:kern w:val="22"/>
          <w:szCs w:val="22"/>
          <w:lang w:val="fr-CA"/>
        </w:rPr>
        <w:t>e</w:t>
      </w:r>
      <w:r w:rsidRPr="00B26B5B">
        <w:rPr>
          <w:kern w:val="22"/>
          <w:szCs w:val="22"/>
          <w:lang w:val="fr-CA"/>
        </w:rPr>
        <w:t xml:space="preserve">s de discussion afin </w:t>
      </w:r>
      <w:r w:rsidR="002620F0">
        <w:rPr>
          <w:kern w:val="22"/>
          <w:szCs w:val="22"/>
          <w:lang w:val="fr-CA"/>
        </w:rPr>
        <w:t>d’aborder</w:t>
      </w:r>
      <w:r w:rsidRPr="00B26B5B">
        <w:rPr>
          <w:kern w:val="22"/>
          <w:szCs w:val="22"/>
          <w:lang w:val="fr-CA"/>
        </w:rPr>
        <w:t xml:space="preserve"> </w:t>
      </w:r>
      <w:r w:rsidR="002620F0">
        <w:rPr>
          <w:kern w:val="22"/>
          <w:szCs w:val="22"/>
          <w:lang w:val="fr-CA"/>
        </w:rPr>
        <w:t xml:space="preserve">les </w:t>
      </w:r>
      <w:r w:rsidR="005D6B67">
        <w:rPr>
          <w:kern w:val="22"/>
          <w:szCs w:val="22"/>
          <w:lang w:val="fr-CA"/>
        </w:rPr>
        <w:t>occasions</w:t>
      </w:r>
      <w:r w:rsidR="002620F0">
        <w:rPr>
          <w:kern w:val="22"/>
          <w:szCs w:val="22"/>
          <w:lang w:val="fr-CA"/>
        </w:rPr>
        <w:t xml:space="preserve"> et l</w:t>
      </w:r>
      <w:r w:rsidRPr="00B26B5B">
        <w:rPr>
          <w:kern w:val="22"/>
          <w:szCs w:val="22"/>
          <w:lang w:val="fr-CA"/>
        </w:rPr>
        <w:t xml:space="preserve">es </w:t>
      </w:r>
      <w:r w:rsidR="005D6B67">
        <w:rPr>
          <w:kern w:val="22"/>
          <w:szCs w:val="22"/>
          <w:lang w:val="fr-CA"/>
        </w:rPr>
        <w:t>défis</w:t>
      </w:r>
      <w:r w:rsidRPr="00B26B5B">
        <w:rPr>
          <w:kern w:val="22"/>
          <w:szCs w:val="22"/>
          <w:lang w:val="fr-CA"/>
        </w:rPr>
        <w:t xml:space="preserve"> de la région pouvant avoir des répe</w:t>
      </w:r>
      <w:r w:rsidR="00327DE4" w:rsidRPr="00B26B5B">
        <w:rPr>
          <w:kern w:val="22"/>
          <w:szCs w:val="22"/>
          <w:lang w:val="fr-CA"/>
        </w:rPr>
        <w:t>r</w:t>
      </w:r>
      <w:r w:rsidRPr="00B26B5B">
        <w:rPr>
          <w:kern w:val="22"/>
          <w:szCs w:val="22"/>
          <w:lang w:val="fr-CA"/>
        </w:rPr>
        <w:t>cussions sur le cadre mondial de la biodiversité pour l</w:t>
      </w:r>
      <w:r w:rsidR="00CD0FC3">
        <w:rPr>
          <w:kern w:val="22"/>
          <w:szCs w:val="22"/>
          <w:lang w:val="fr-CA"/>
        </w:rPr>
        <w:t>’</w:t>
      </w:r>
      <w:r w:rsidRPr="00B26B5B">
        <w:rPr>
          <w:kern w:val="22"/>
          <w:szCs w:val="22"/>
          <w:lang w:val="fr-CA"/>
        </w:rPr>
        <w:t>après-2020 et la réalisation de la Vision 2050 de «</w:t>
      </w:r>
      <w:r w:rsidR="00CD0FC3">
        <w:rPr>
          <w:kern w:val="22"/>
          <w:szCs w:val="22"/>
          <w:lang w:val="fr-CA"/>
        </w:rPr>
        <w:t> </w:t>
      </w:r>
      <w:r w:rsidRPr="00B26B5B">
        <w:rPr>
          <w:kern w:val="22"/>
          <w:szCs w:val="22"/>
          <w:lang w:val="fr-CA"/>
        </w:rPr>
        <w:t xml:space="preserve">vivre en </w:t>
      </w:r>
      <w:r w:rsidR="00327DE4" w:rsidRPr="00B26B5B">
        <w:rPr>
          <w:kern w:val="22"/>
          <w:szCs w:val="22"/>
          <w:lang w:val="fr-CA"/>
        </w:rPr>
        <w:t>harmonie</w:t>
      </w:r>
      <w:r w:rsidRPr="00B26B5B">
        <w:rPr>
          <w:kern w:val="22"/>
          <w:szCs w:val="22"/>
          <w:lang w:val="fr-CA"/>
        </w:rPr>
        <w:t xml:space="preserve"> avec la nature ». </w:t>
      </w:r>
      <w:r w:rsidR="00327DE4" w:rsidRPr="00B26B5B">
        <w:rPr>
          <w:kern w:val="22"/>
          <w:szCs w:val="22"/>
          <w:lang w:val="fr-CA"/>
        </w:rPr>
        <w:t>Ils ont aussi discuté de la façon dont le Plan stratégique pour la biodiversité 2011-2020</w:t>
      </w:r>
      <w:r w:rsidR="005D6B67">
        <w:rPr>
          <w:kern w:val="22"/>
          <w:szCs w:val="22"/>
          <w:lang w:val="fr-CA"/>
        </w:rPr>
        <w:t xml:space="preserve"> avait ou n’avait pas facilité l</w:t>
      </w:r>
      <w:r w:rsidR="00327DE4" w:rsidRPr="00B26B5B">
        <w:rPr>
          <w:kern w:val="22"/>
          <w:szCs w:val="22"/>
          <w:lang w:val="fr-CA"/>
        </w:rPr>
        <w:t>es mesures de mise en œuvre nationale</w:t>
      </w:r>
      <w:r w:rsidR="002620F0">
        <w:rPr>
          <w:kern w:val="22"/>
          <w:szCs w:val="22"/>
          <w:lang w:val="fr-CA"/>
        </w:rPr>
        <w:t>,</w:t>
      </w:r>
      <w:r w:rsidR="005D6B67">
        <w:rPr>
          <w:kern w:val="22"/>
          <w:szCs w:val="22"/>
          <w:lang w:val="fr-CA"/>
        </w:rPr>
        <w:t xml:space="preserve"> et l</w:t>
      </w:r>
      <w:r w:rsidR="00327DE4" w:rsidRPr="00B26B5B">
        <w:rPr>
          <w:kern w:val="22"/>
          <w:szCs w:val="22"/>
          <w:lang w:val="fr-CA"/>
        </w:rPr>
        <w:t>es changements ou améliorations à apporter. À l’issue des échanges, les groupes ont présenté leur rapport en plénière</w:t>
      </w:r>
      <w:r w:rsidR="006160AC" w:rsidRPr="00B26B5B">
        <w:rPr>
          <w:kern w:val="22"/>
          <w:szCs w:val="22"/>
          <w:lang w:val="fr-CA"/>
        </w:rPr>
        <w:t>.</w:t>
      </w:r>
    </w:p>
    <w:p w:rsidR="00F8647F" w:rsidRPr="00B26B5B" w:rsidRDefault="00327DE4" w:rsidP="00C33570">
      <w:pPr>
        <w:pStyle w:val="Para1"/>
        <w:suppressLineNumbers/>
        <w:tabs>
          <w:tab w:val="clear" w:pos="360"/>
        </w:tabs>
        <w:suppressAutoHyphens/>
        <w:rPr>
          <w:kern w:val="22"/>
          <w:szCs w:val="22"/>
          <w:lang w:val="fr-CA"/>
        </w:rPr>
      </w:pPr>
      <w:r w:rsidRPr="00B26B5B">
        <w:rPr>
          <w:kern w:val="22"/>
          <w:szCs w:val="22"/>
          <w:lang w:val="fr-CA"/>
        </w:rPr>
        <w:t xml:space="preserve">Après la plénière, les organisations internationales appuyant les Parties dans la mise en œuvre de la Convention et du Plan stratégique pour la biodiversité ont participé à une table ronde sur les </w:t>
      </w:r>
      <w:r w:rsidR="005D6B67">
        <w:rPr>
          <w:kern w:val="22"/>
          <w:szCs w:val="22"/>
          <w:lang w:val="fr-CA"/>
        </w:rPr>
        <w:t>occasions</w:t>
      </w:r>
      <w:r w:rsidRPr="00B26B5B">
        <w:rPr>
          <w:kern w:val="22"/>
          <w:szCs w:val="22"/>
          <w:lang w:val="fr-CA"/>
        </w:rPr>
        <w:t xml:space="preserve">, les </w:t>
      </w:r>
      <w:r w:rsidR="005D6B67">
        <w:rPr>
          <w:kern w:val="22"/>
          <w:szCs w:val="22"/>
          <w:lang w:val="fr-CA"/>
        </w:rPr>
        <w:t>défis</w:t>
      </w:r>
      <w:r w:rsidRPr="00B26B5B">
        <w:rPr>
          <w:kern w:val="22"/>
          <w:szCs w:val="22"/>
          <w:lang w:val="fr-CA"/>
        </w:rPr>
        <w:t xml:space="preserve"> et les perspectives de leurs travaux pour le développement et la mise en œuvre du cadre mondial de la biodiversité pour l</w:t>
      </w:r>
      <w:r w:rsidR="00CD0FC3">
        <w:rPr>
          <w:kern w:val="22"/>
          <w:szCs w:val="22"/>
          <w:lang w:val="fr-CA"/>
        </w:rPr>
        <w:t>’</w:t>
      </w:r>
      <w:r w:rsidRPr="00B26B5B">
        <w:rPr>
          <w:kern w:val="22"/>
          <w:szCs w:val="22"/>
          <w:lang w:val="fr-CA"/>
        </w:rPr>
        <w:t>après-2020</w:t>
      </w:r>
      <w:r w:rsidR="00665BDE" w:rsidRPr="00B26B5B">
        <w:rPr>
          <w:kern w:val="22"/>
          <w:szCs w:val="22"/>
          <w:lang w:val="fr-CA"/>
        </w:rPr>
        <w:t xml:space="preserve">. </w:t>
      </w:r>
      <w:r w:rsidRPr="00B26B5B">
        <w:rPr>
          <w:kern w:val="22"/>
          <w:szCs w:val="22"/>
          <w:lang w:val="fr-CA"/>
        </w:rPr>
        <w:t>La table ronde a réuni</w:t>
      </w:r>
      <w:r w:rsidR="00901243" w:rsidRPr="00B26B5B">
        <w:rPr>
          <w:kern w:val="22"/>
          <w:szCs w:val="22"/>
          <w:lang w:val="fr-CA"/>
        </w:rPr>
        <w:t xml:space="preserve"> </w:t>
      </w:r>
      <w:r w:rsidRPr="00B26B5B">
        <w:rPr>
          <w:kern w:val="22"/>
          <w:szCs w:val="22"/>
          <w:lang w:val="fr-CA"/>
        </w:rPr>
        <w:t>Mme</w:t>
      </w:r>
      <w:r w:rsidR="00591278" w:rsidRPr="00B26B5B">
        <w:rPr>
          <w:kern w:val="22"/>
          <w:szCs w:val="22"/>
          <w:lang w:val="fr-CA"/>
        </w:rPr>
        <w:t xml:space="preserve"> </w:t>
      </w:r>
      <w:r w:rsidRPr="00B26B5B">
        <w:rPr>
          <w:kern w:val="22"/>
          <w:szCs w:val="22"/>
          <w:lang w:val="fr-CA"/>
        </w:rPr>
        <w:t xml:space="preserve">Saskia </w:t>
      </w:r>
      <w:proofErr w:type="spellStart"/>
      <w:r w:rsidRPr="00B26B5B">
        <w:rPr>
          <w:kern w:val="22"/>
          <w:szCs w:val="22"/>
          <w:lang w:val="fr-CA"/>
        </w:rPr>
        <w:t>Marijnissen</w:t>
      </w:r>
      <w:proofErr w:type="spellEnd"/>
      <w:r w:rsidRPr="00B26B5B">
        <w:rPr>
          <w:kern w:val="22"/>
          <w:szCs w:val="22"/>
          <w:lang w:val="fr-CA"/>
        </w:rPr>
        <w:t xml:space="preserve"> (PNUD</w:t>
      </w:r>
      <w:r w:rsidR="00137C6C" w:rsidRPr="00B26B5B">
        <w:rPr>
          <w:kern w:val="22"/>
          <w:szCs w:val="22"/>
          <w:lang w:val="fr-CA"/>
        </w:rPr>
        <w:t xml:space="preserve">), </w:t>
      </w:r>
      <w:r w:rsidRPr="00B26B5B">
        <w:rPr>
          <w:kern w:val="22"/>
          <w:szCs w:val="22"/>
          <w:lang w:val="fr-CA"/>
        </w:rPr>
        <w:t>M</w:t>
      </w:r>
      <w:r w:rsidR="00591278" w:rsidRPr="00B26B5B">
        <w:rPr>
          <w:kern w:val="22"/>
          <w:szCs w:val="22"/>
          <w:lang w:val="fr-CA"/>
        </w:rPr>
        <w:t>.</w:t>
      </w:r>
      <w:r w:rsidR="00E75A26" w:rsidRPr="00B26B5B">
        <w:rPr>
          <w:kern w:val="22"/>
          <w:szCs w:val="22"/>
          <w:lang w:val="fr-CA"/>
        </w:rPr>
        <w:t> </w:t>
      </w:r>
      <w:r w:rsidR="00137C6C" w:rsidRPr="00B26B5B">
        <w:rPr>
          <w:kern w:val="22"/>
          <w:szCs w:val="22"/>
          <w:lang w:val="fr-CA"/>
        </w:rPr>
        <w:t xml:space="preserve">Levis </w:t>
      </w:r>
      <w:proofErr w:type="spellStart"/>
      <w:r w:rsidR="00137C6C" w:rsidRPr="00B26B5B">
        <w:rPr>
          <w:kern w:val="22"/>
          <w:szCs w:val="22"/>
          <w:lang w:val="fr-CA"/>
        </w:rPr>
        <w:t>Kavagi</w:t>
      </w:r>
      <w:proofErr w:type="spellEnd"/>
      <w:r w:rsidR="00137C6C" w:rsidRPr="00B26B5B">
        <w:rPr>
          <w:kern w:val="22"/>
          <w:szCs w:val="22"/>
          <w:lang w:val="fr-CA"/>
        </w:rPr>
        <w:t xml:space="preserve"> (</w:t>
      </w:r>
      <w:r w:rsidRPr="00B26B5B">
        <w:rPr>
          <w:kern w:val="22"/>
          <w:szCs w:val="22"/>
          <w:lang w:val="fr-CA"/>
        </w:rPr>
        <w:t>PNUE</w:t>
      </w:r>
      <w:r w:rsidR="00137C6C" w:rsidRPr="00B26B5B">
        <w:rPr>
          <w:kern w:val="22"/>
          <w:szCs w:val="22"/>
          <w:lang w:val="fr-CA"/>
        </w:rPr>
        <w:t xml:space="preserve">), </w:t>
      </w:r>
      <w:r w:rsidR="00591278" w:rsidRPr="00B26B5B">
        <w:rPr>
          <w:kern w:val="22"/>
          <w:szCs w:val="22"/>
          <w:lang w:val="fr-CA"/>
        </w:rPr>
        <w:t>M</w:t>
      </w:r>
      <w:r w:rsidRPr="00B26B5B">
        <w:rPr>
          <w:kern w:val="22"/>
          <w:szCs w:val="22"/>
          <w:lang w:val="fr-CA"/>
        </w:rPr>
        <w:t>me</w:t>
      </w:r>
      <w:r w:rsidR="00591278" w:rsidRPr="00B26B5B">
        <w:rPr>
          <w:kern w:val="22"/>
          <w:szCs w:val="22"/>
          <w:lang w:val="fr-CA"/>
        </w:rPr>
        <w:t xml:space="preserve"> </w:t>
      </w:r>
      <w:r w:rsidR="00137C6C" w:rsidRPr="00B26B5B">
        <w:rPr>
          <w:kern w:val="22"/>
          <w:szCs w:val="22"/>
          <w:lang w:val="fr-CA"/>
        </w:rPr>
        <w:t xml:space="preserve">Nora </w:t>
      </w:r>
      <w:proofErr w:type="spellStart"/>
      <w:r w:rsidR="00137C6C" w:rsidRPr="00B26B5B">
        <w:rPr>
          <w:kern w:val="22"/>
          <w:szCs w:val="22"/>
          <w:lang w:val="fr-CA"/>
        </w:rPr>
        <w:t>Berrahmouni</w:t>
      </w:r>
      <w:proofErr w:type="spellEnd"/>
      <w:r w:rsidR="00137C6C" w:rsidRPr="00B26B5B">
        <w:rPr>
          <w:kern w:val="22"/>
          <w:szCs w:val="22"/>
          <w:lang w:val="fr-CA"/>
        </w:rPr>
        <w:t xml:space="preserve"> (FAO), </w:t>
      </w:r>
      <w:r w:rsidR="00591278" w:rsidRPr="00B26B5B">
        <w:rPr>
          <w:kern w:val="22"/>
          <w:szCs w:val="22"/>
          <w:lang w:val="fr-CA"/>
        </w:rPr>
        <w:t xml:space="preserve">M. </w:t>
      </w:r>
      <w:r w:rsidR="00137C6C" w:rsidRPr="00B26B5B">
        <w:rPr>
          <w:kern w:val="22"/>
          <w:szCs w:val="22"/>
          <w:lang w:val="fr-CA"/>
        </w:rPr>
        <w:t xml:space="preserve">Charles </w:t>
      </w:r>
      <w:proofErr w:type="spellStart"/>
      <w:r w:rsidR="00137C6C" w:rsidRPr="00B26B5B">
        <w:rPr>
          <w:kern w:val="22"/>
          <w:szCs w:val="22"/>
          <w:lang w:val="fr-CA"/>
        </w:rPr>
        <w:t>Karangwa</w:t>
      </w:r>
      <w:proofErr w:type="spellEnd"/>
      <w:r w:rsidR="00137C6C" w:rsidRPr="00B26B5B">
        <w:rPr>
          <w:kern w:val="22"/>
          <w:szCs w:val="22"/>
          <w:lang w:val="fr-CA"/>
        </w:rPr>
        <w:t xml:space="preserve"> (</w:t>
      </w:r>
      <w:r w:rsidR="008B52CF" w:rsidRPr="00B26B5B">
        <w:rPr>
          <w:kern w:val="22"/>
          <w:szCs w:val="22"/>
          <w:lang w:val="fr-CA"/>
        </w:rPr>
        <w:t>UICN)</w:t>
      </w:r>
      <w:r w:rsidR="00137C6C" w:rsidRPr="00B26B5B">
        <w:rPr>
          <w:kern w:val="22"/>
          <w:szCs w:val="22"/>
          <w:lang w:val="fr-CA"/>
        </w:rPr>
        <w:t xml:space="preserve">, </w:t>
      </w:r>
      <w:r w:rsidR="008B52CF" w:rsidRPr="00B26B5B">
        <w:rPr>
          <w:kern w:val="22"/>
          <w:szCs w:val="22"/>
          <w:lang w:val="fr-CA"/>
        </w:rPr>
        <w:t>M</w:t>
      </w:r>
      <w:r w:rsidR="00591278" w:rsidRPr="00B26B5B">
        <w:rPr>
          <w:kern w:val="22"/>
          <w:szCs w:val="22"/>
          <w:lang w:val="fr-CA"/>
        </w:rPr>
        <w:t xml:space="preserve">. </w:t>
      </w:r>
      <w:proofErr w:type="spellStart"/>
      <w:r w:rsidR="00137C6C" w:rsidRPr="00B26B5B">
        <w:rPr>
          <w:kern w:val="22"/>
          <w:szCs w:val="22"/>
          <w:lang w:val="fr-CA"/>
        </w:rPr>
        <w:t>Kwame</w:t>
      </w:r>
      <w:proofErr w:type="spellEnd"/>
      <w:r w:rsidR="00137C6C" w:rsidRPr="00B26B5B">
        <w:rPr>
          <w:kern w:val="22"/>
          <w:szCs w:val="22"/>
          <w:lang w:val="fr-CA"/>
        </w:rPr>
        <w:t xml:space="preserve"> </w:t>
      </w:r>
      <w:proofErr w:type="spellStart"/>
      <w:r w:rsidR="00137C6C" w:rsidRPr="00B26B5B">
        <w:rPr>
          <w:kern w:val="22"/>
          <w:szCs w:val="22"/>
          <w:lang w:val="fr-CA"/>
        </w:rPr>
        <w:t>Ababio</w:t>
      </w:r>
      <w:proofErr w:type="spellEnd"/>
      <w:r w:rsidR="00137C6C" w:rsidRPr="00B26B5B">
        <w:rPr>
          <w:kern w:val="22"/>
          <w:szCs w:val="22"/>
          <w:lang w:val="fr-CA"/>
        </w:rPr>
        <w:t xml:space="preserve"> (</w:t>
      </w:r>
      <w:proofErr w:type="spellStart"/>
      <w:r w:rsidR="00137C6C" w:rsidRPr="00B26B5B">
        <w:rPr>
          <w:kern w:val="22"/>
          <w:szCs w:val="22"/>
          <w:lang w:val="fr-CA"/>
        </w:rPr>
        <w:t>A</w:t>
      </w:r>
      <w:r w:rsidR="00244BE4" w:rsidRPr="00B26B5B">
        <w:rPr>
          <w:kern w:val="22"/>
          <w:szCs w:val="22"/>
          <w:lang w:val="fr-CA"/>
        </w:rPr>
        <w:t>UDA</w:t>
      </w:r>
      <w:r w:rsidR="00137C6C" w:rsidRPr="00B26B5B">
        <w:rPr>
          <w:kern w:val="22"/>
          <w:szCs w:val="22"/>
          <w:lang w:val="fr-CA"/>
        </w:rPr>
        <w:t>-NEPAD</w:t>
      </w:r>
      <w:proofErr w:type="spellEnd"/>
      <w:r w:rsidR="00137C6C" w:rsidRPr="00B26B5B">
        <w:rPr>
          <w:kern w:val="22"/>
          <w:szCs w:val="22"/>
          <w:lang w:val="fr-CA"/>
        </w:rPr>
        <w:t xml:space="preserve">) </w:t>
      </w:r>
      <w:r w:rsidR="008B52CF" w:rsidRPr="00B26B5B">
        <w:rPr>
          <w:kern w:val="22"/>
          <w:szCs w:val="22"/>
          <w:lang w:val="fr-CA"/>
        </w:rPr>
        <w:t>et</w:t>
      </w:r>
      <w:r w:rsidR="00137C6C" w:rsidRPr="00B26B5B">
        <w:rPr>
          <w:kern w:val="22"/>
          <w:szCs w:val="22"/>
          <w:lang w:val="fr-CA"/>
        </w:rPr>
        <w:t xml:space="preserve"> </w:t>
      </w:r>
      <w:r w:rsidR="00591278" w:rsidRPr="00B26B5B">
        <w:rPr>
          <w:kern w:val="22"/>
          <w:szCs w:val="22"/>
          <w:lang w:val="fr-CA"/>
        </w:rPr>
        <w:t xml:space="preserve">M. </w:t>
      </w:r>
      <w:proofErr w:type="spellStart"/>
      <w:r w:rsidR="00137C6C" w:rsidRPr="00B26B5B">
        <w:rPr>
          <w:kern w:val="22"/>
          <w:szCs w:val="22"/>
          <w:lang w:val="fr-CA"/>
        </w:rPr>
        <w:t>Suhel</w:t>
      </w:r>
      <w:proofErr w:type="spellEnd"/>
      <w:r w:rsidR="00137C6C" w:rsidRPr="00B26B5B">
        <w:rPr>
          <w:kern w:val="22"/>
          <w:szCs w:val="22"/>
          <w:lang w:val="fr-CA"/>
        </w:rPr>
        <w:t xml:space="preserve"> al-</w:t>
      </w:r>
      <w:proofErr w:type="spellStart"/>
      <w:r w:rsidR="00137C6C" w:rsidRPr="00B26B5B">
        <w:rPr>
          <w:kern w:val="22"/>
          <w:szCs w:val="22"/>
          <w:lang w:val="fr-CA"/>
        </w:rPr>
        <w:t>Janabi</w:t>
      </w:r>
      <w:proofErr w:type="spellEnd"/>
      <w:r w:rsidR="00137C6C" w:rsidRPr="00B26B5B">
        <w:rPr>
          <w:kern w:val="22"/>
          <w:szCs w:val="22"/>
          <w:lang w:val="fr-CA"/>
        </w:rPr>
        <w:t xml:space="preserve"> (</w:t>
      </w:r>
      <w:r w:rsidR="008B52CF" w:rsidRPr="00B26B5B">
        <w:rPr>
          <w:kern w:val="22"/>
          <w:szCs w:val="22"/>
          <w:lang w:val="fr-CA"/>
        </w:rPr>
        <w:t>Projet de développement des capacités d’accès et de partage des avantages). Les participants à la table ronde ont partagé leurs perspectives et les idées découlant de leurs travaux et répondu aux questions des participants</w:t>
      </w:r>
      <w:r w:rsidR="00F8647F" w:rsidRPr="00B26B5B">
        <w:rPr>
          <w:kern w:val="22"/>
          <w:szCs w:val="22"/>
          <w:lang w:val="fr-CA"/>
        </w:rPr>
        <w:t>.</w:t>
      </w:r>
    </w:p>
    <w:p w:rsidR="00F8647F" w:rsidRPr="00B26B5B" w:rsidRDefault="0016316A" w:rsidP="00C33570">
      <w:pPr>
        <w:pStyle w:val="Para1"/>
        <w:numPr>
          <w:ilvl w:val="0"/>
          <w:numId w:val="0"/>
        </w:numPr>
        <w:suppressLineNumbers/>
        <w:suppressAutoHyphens/>
        <w:ind w:left="357"/>
        <w:jc w:val="center"/>
        <w:rPr>
          <w:b/>
          <w:kern w:val="22"/>
          <w:szCs w:val="22"/>
          <w:lang w:val="fr-CA"/>
        </w:rPr>
      </w:pPr>
      <w:r w:rsidRPr="00B26B5B">
        <w:rPr>
          <w:b/>
          <w:kern w:val="22"/>
          <w:szCs w:val="22"/>
          <w:lang w:val="fr-CA"/>
        </w:rPr>
        <w:t>Point</w:t>
      </w:r>
      <w:r w:rsidR="00F8647F" w:rsidRPr="00B26B5B">
        <w:rPr>
          <w:b/>
          <w:kern w:val="22"/>
          <w:szCs w:val="22"/>
          <w:lang w:val="fr-CA"/>
        </w:rPr>
        <w:t xml:space="preserve"> 6. </w:t>
      </w:r>
      <w:r w:rsidRPr="00B26B5B">
        <w:rPr>
          <w:b/>
          <w:snapToGrid/>
          <w:kern w:val="22"/>
          <w:lang w:val="fr-CA"/>
        </w:rPr>
        <w:t>Élaboration du cadre pour l’après-2020</w:t>
      </w:r>
    </w:p>
    <w:p w:rsidR="00F8647F" w:rsidRPr="00B26B5B" w:rsidRDefault="0016316A" w:rsidP="002511BD">
      <w:pPr>
        <w:pStyle w:val="Para1"/>
        <w:numPr>
          <w:ilvl w:val="0"/>
          <w:numId w:val="6"/>
        </w:numPr>
        <w:suppressLineNumbers/>
        <w:suppressAutoHyphens/>
        <w:jc w:val="center"/>
        <w:rPr>
          <w:b/>
          <w:kern w:val="22"/>
          <w:szCs w:val="22"/>
          <w:lang w:val="fr-CA"/>
        </w:rPr>
      </w:pPr>
      <w:r w:rsidRPr="00B26B5B">
        <w:rPr>
          <w:b/>
          <w:snapToGrid/>
          <w:kern w:val="22"/>
          <w:lang w:val="fr-CA"/>
        </w:rPr>
        <w:t>Présentation du document de discussion sur le cadre mondial de la biodiversité pour l’après-2020</w:t>
      </w:r>
    </w:p>
    <w:p w:rsidR="00F8647F" w:rsidRPr="00B26B5B" w:rsidRDefault="00744838" w:rsidP="00C33570">
      <w:pPr>
        <w:pStyle w:val="Para1"/>
        <w:suppressLineNumbers/>
        <w:tabs>
          <w:tab w:val="clear" w:pos="360"/>
        </w:tabs>
        <w:suppressAutoHyphens/>
        <w:rPr>
          <w:kern w:val="22"/>
          <w:szCs w:val="22"/>
          <w:lang w:val="fr-CA"/>
        </w:rPr>
      </w:pPr>
      <w:r w:rsidRPr="00B26B5B">
        <w:rPr>
          <w:kern w:val="22"/>
          <w:szCs w:val="22"/>
          <w:lang w:val="fr-CA"/>
        </w:rPr>
        <w:t>Au cours de cette session, les coprésidents du Groupe de travail à composition non limitée ont présenté le document de discussion sur le cadre mondial de la biodiversité pour l</w:t>
      </w:r>
      <w:r w:rsidR="00CD0FC3">
        <w:rPr>
          <w:kern w:val="22"/>
          <w:szCs w:val="22"/>
          <w:lang w:val="fr-CA"/>
        </w:rPr>
        <w:t>’</w:t>
      </w:r>
      <w:r w:rsidRPr="00B26B5B">
        <w:rPr>
          <w:kern w:val="22"/>
          <w:szCs w:val="22"/>
          <w:lang w:val="fr-CA"/>
        </w:rPr>
        <w:t xml:space="preserve">après-2020 </w:t>
      </w:r>
      <w:r w:rsidR="00CE2FAE" w:rsidRPr="00B26B5B">
        <w:rPr>
          <w:kern w:val="22"/>
          <w:szCs w:val="22"/>
          <w:lang w:val="fr-CA"/>
        </w:rPr>
        <w:t>(CBD/POST2020/</w:t>
      </w:r>
      <w:proofErr w:type="spellStart"/>
      <w:r w:rsidR="00CE2FAE" w:rsidRPr="00B26B5B">
        <w:rPr>
          <w:kern w:val="22"/>
          <w:szCs w:val="22"/>
          <w:lang w:val="fr-CA"/>
        </w:rPr>
        <w:t>PREP</w:t>
      </w:r>
      <w:proofErr w:type="spellEnd"/>
      <w:r w:rsidR="00CE2FAE" w:rsidRPr="00B26B5B">
        <w:rPr>
          <w:kern w:val="22"/>
          <w:szCs w:val="22"/>
          <w:lang w:val="fr-CA"/>
        </w:rPr>
        <w:t>/1/1).</w:t>
      </w:r>
      <w:r w:rsidR="00A301D2" w:rsidRPr="00B26B5B">
        <w:rPr>
          <w:kern w:val="22"/>
          <w:szCs w:val="22"/>
          <w:vertAlign w:val="superscript"/>
          <w:lang w:val="fr-CA"/>
        </w:rPr>
        <w:footnoteReference w:id="13"/>
      </w:r>
      <w:r w:rsidR="00A301D2" w:rsidRPr="00B26B5B">
        <w:rPr>
          <w:kern w:val="22"/>
          <w:szCs w:val="22"/>
          <w:lang w:val="fr-CA"/>
        </w:rPr>
        <w:t xml:space="preserve"> </w:t>
      </w:r>
      <w:r w:rsidRPr="00B26B5B">
        <w:rPr>
          <w:kern w:val="22"/>
          <w:szCs w:val="22"/>
          <w:lang w:val="fr-CA"/>
        </w:rPr>
        <w:t>Ils ont présenté un aperçu des soumissions reçues sur le champ d’</w:t>
      </w:r>
      <w:r w:rsidR="007E3293" w:rsidRPr="00B26B5B">
        <w:rPr>
          <w:kern w:val="22"/>
          <w:szCs w:val="22"/>
          <w:lang w:val="fr-CA"/>
        </w:rPr>
        <w:t>applicati</w:t>
      </w:r>
      <w:r w:rsidRPr="00B26B5B">
        <w:rPr>
          <w:kern w:val="22"/>
          <w:szCs w:val="22"/>
          <w:lang w:val="fr-CA"/>
        </w:rPr>
        <w:t>on et le contenu du cadre mondial de la biodiversité pour l</w:t>
      </w:r>
      <w:r w:rsidR="00CD0FC3">
        <w:rPr>
          <w:kern w:val="22"/>
          <w:szCs w:val="22"/>
          <w:lang w:val="fr-CA"/>
        </w:rPr>
        <w:t>’</w:t>
      </w:r>
      <w:r w:rsidRPr="00B26B5B">
        <w:rPr>
          <w:kern w:val="22"/>
          <w:szCs w:val="22"/>
          <w:lang w:val="fr-CA"/>
        </w:rPr>
        <w:t>après-2020, ainsi qu’une série de questions pour faciliter les échanges plus appro</w:t>
      </w:r>
      <w:r w:rsidR="007E3293" w:rsidRPr="00B26B5B">
        <w:rPr>
          <w:kern w:val="22"/>
          <w:szCs w:val="22"/>
          <w:lang w:val="fr-CA"/>
        </w:rPr>
        <w:t>fo</w:t>
      </w:r>
      <w:r w:rsidRPr="00B26B5B">
        <w:rPr>
          <w:kern w:val="22"/>
          <w:szCs w:val="22"/>
          <w:lang w:val="fr-CA"/>
        </w:rPr>
        <w:t>ndis. Ils ont précis</w:t>
      </w:r>
      <w:r w:rsidR="007E3293" w:rsidRPr="00B26B5B">
        <w:rPr>
          <w:kern w:val="22"/>
          <w:szCs w:val="22"/>
          <w:lang w:val="fr-CA"/>
        </w:rPr>
        <w:t>é que les questi</w:t>
      </w:r>
      <w:r w:rsidRPr="00B26B5B">
        <w:rPr>
          <w:kern w:val="22"/>
          <w:szCs w:val="22"/>
          <w:lang w:val="fr-CA"/>
        </w:rPr>
        <w:t>ons n’</w:t>
      </w:r>
      <w:r w:rsidR="007E3293" w:rsidRPr="00B26B5B">
        <w:rPr>
          <w:kern w:val="22"/>
          <w:szCs w:val="22"/>
          <w:lang w:val="fr-CA"/>
        </w:rPr>
        <w:t xml:space="preserve">avaient </w:t>
      </w:r>
      <w:r w:rsidR="002620F0">
        <w:rPr>
          <w:kern w:val="22"/>
          <w:szCs w:val="22"/>
          <w:lang w:val="fr-CA"/>
        </w:rPr>
        <w:t xml:space="preserve">pas </w:t>
      </w:r>
      <w:r w:rsidR="007E3293" w:rsidRPr="00B26B5B">
        <w:rPr>
          <w:kern w:val="22"/>
          <w:szCs w:val="22"/>
          <w:lang w:val="fr-CA"/>
        </w:rPr>
        <w:t>pour but</w:t>
      </w:r>
      <w:r w:rsidRPr="00B26B5B">
        <w:rPr>
          <w:kern w:val="22"/>
          <w:szCs w:val="22"/>
          <w:lang w:val="fr-CA"/>
        </w:rPr>
        <w:t xml:space="preserve"> de limiter ou de biaiser les résultats du processus d’élaboration du cadre mondial de la biodiversité pour l</w:t>
      </w:r>
      <w:r w:rsidR="00CD0FC3">
        <w:rPr>
          <w:kern w:val="22"/>
          <w:szCs w:val="22"/>
          <w:lang w:val="fr-CA"/>
        </w:rPr>
        <w:t>’</w:t>
      </w:r>
      <w:r w:rsidRPr="00B26B5B">
        <w:rPr>
          <w:kern w:val="22"/>
          <w:szCs w:val="22"/>
          <w:lang w:val="fr-CA"/>
        </w:rPr>
        <w:t xml:space="preserve">après-2020. </w:t>
      </w:r>
      <w:r w:rsidR="007E3293" w:rsidRPr="00B26B5B">
        <w:rPr>
          <w:kern w:val="22"/>
          <w:szCs w:val="22"/>
          <w:lang w:val="fr-CA"/>
        </w:rPr>
        <w:t>À l’issue de la présentation, les participants ont posé des questions et présenté des premiers points de vue et suggestions</w:t>
      </w:r>
      <w:r w:rsidR="00F8647F" w:rsidRPr="00B26B5B">
        <w:rPr>
          <w:kern w:val="22"/>
          <w:szCs w:val="22"/>
          <w:lang w:val="fr-CA"/>
        </w:rPr>
        <w:t>.</w:t>
      </w:r>
    </w:p>
    <w:p w:rsidR="008E14F2" w:rsidRPr="00B26B5B" w:rsidRDefault="001371DA" w:rsidP="002511BD">
      <w:pPr>
        <w:pStyle w:val="Para1"/>
        <w:keepNext/>
        <w:numPr>
          <w:ilvl w:val="0"/>
          <w:numId w:val="6"/>
        </w:numPr>
        <w:suppressLineNumbers/>
        <w:suppressAutoHyphens/>
        <w:ind w:left="714" w:hanging="357"/>
        <w:jc w:val="center"/>
        <w:rPr>
          <w:b/>
          <w:kern w:val="22"/>
          <w:szCs w:val="22"/>
          <w:lang w:val="fr-CA"/>
        </w:rPr>
      </w:pPr>
      <w:r w:rsidRPr="00B26B5B">
        <w:rPr>
          <w:b/>
          <w:snapToGrid/>
          <w:kern w:val="22"/>
          <w:lang w:val="fr-CA"/>
        </w:rPr>
        <w:t>Développement et communication de nouveaux exposés de faits pour la biodiversité</w:t>
      </w:r>
    </w:p>
    <w:p w:rsidR="004A41E0" w:rsidRPr="00B26B5B" w:rsidRDefault="007E3293" w:rsidP="00C33570">
      <w:pPr>
        <w:pStyle w:val="Para1"/>
        <w:suppressLineNumbers/>
        <w:tabs>
          <w:tab w:val="clear" w:pos="360"/>
        </w:tabs>
        <w:suppressAutoHyphens/>
        <w:rPr>
          <w:kern w:val="22"/>
          <w:szCs w:val="22"/>
          <w:lang w:val="fr-CA"/>
        </w:rPr>
      </w:pPr>
      <w:r w:rsidRPr="00B26B5B">
        <w:rPr>
          <w:kern w:val="22"/>
          <w:szCs w:val="22"/>
          <w:lang w:val="fr-CA"/>
        </w:rPr>
        <w:t>Mme</w:t>
      </w:r>
      <w:r w:rsidR="00CD191D" w:rsidRPr="00B26B5B">
        <w:rPr>
          <w:kern w:val="22"/>
          <w:szCs w:val="22"/>
          <w:lang w:val="fr-CA"/>
        </w:rPr>
        <w:t xml:space="preserve"> </w:t>
      </w:r>
      <w:r w:rsidR="00853567" w:rsidRPr="00B26B5B">
        <w:rPr>
          <w:kern w:val="22"/>
          <w:szCs w:val="22"/>
          <w:lang w:val="fr-CA"/>
        </w:rPr>
        <w:t xml:space="preserve">Margaret </w:t>
      </w:r>
      <w:proofErr w:type="spellStart"/>
      <w:r w:rsidR="00853567" w:rsidRPr="00B26B5B">
        <w:rPr>
          <w:kern w:val="22"/>
          <w:szCs w:val="22"/>
          <w:lang w:val="fr-CA"/>
        </w:rPr>
        <w:t>Egbula</w:t>
      </w:r>
      <w:proofErr w:type="spellEnd"/>
      <w:r w:rsidRPr="00B26B5B">
        <w:rPr>
          <w:kern w:val="22"/>
          <w:szCs w:val="22"/>
          <w:lang w:val="fr-CA"/>
        </w:rPr>
        <w:t xml:space="preserve"> (CDB</w:t>
      </w:r>
      <w:r w:rsidR="00CD191D" w:rsidRPr="00B26B5B">
        <w:rPr>
          <w:kern w:val="22"/>
          <w:szCs w:val="22"/>
          <w:lang w:val="fr-CA"/>
        </w:rPr>
        <w:t xml:space="preserve">) </w:t>
      </w:r>
      <w:r w:rsidRPr="00B26B5B">
        <w:rPr>
          <w:kern w:val="22"/>
          <w:szCs w:val="22"/>
          <w:lang w:val="fr-CA"/>
        </w:rPr>
        <w:t xml:space="preserve">a </w:t>
      </w:r>
      <w:r w:rsidR="000E312F" w:rsidRPr="00B26B5B">
        <w:rPr>
          <w:kern w:val="22"/>
          <w:szCs w:val="22"/>
          <w:lang w:val="fr-CA"/>
        </w:rPr>
        <w:t>offert</w:t>
      </w:r>
      <w:r w:rsidRPr="00B26B5B">
        <w:rPr>
          <w:kern w:val="22"/>
          <w:szCs w:val="22"/>
          <w:lang w:val="fr-CA"/>
        </w:rPr>
        <w:t xml:space="preserve"> une présentation sur les communica</w:t>
      </w:r>
      <w:r w:rsidR="000E312F" w:rsidRPr="00B26B5B">
        <w:rPr>
          <w:kern w:val="22"/>
          <w:szCs w:val="22"/>
          <w:lang w:val="fr-CA"/>
        </w:rPr>
        <w:t>ti</w:t>
      </w:r>
      <w:r w:rsidRPr="00B26B5B">
        <w:rPr>
          <w:kern w:val="22"/>
          <w:szCs w:val="22"/>
          <w:lang w:val="fr-CA"/>
        </w:rPr>
        <w:t xml:space="preserve">ons et le </w:t>
      </w:r>
      <w:r w:rsidR="000E312F" w:rsidRPr="00B26B5B">
        <w:rPr>
          <w:kern w:val="22"/>
          <w:szCs w:val="22"/>
          <w:lang w:val="fr-CA"/>
        </w:rPr>
        <w:t>cadre mondial de la biodiversité pour l</w:t>
      </w:r>
      <w:r w:rsidR="00CD0FC3">
        <w:rPr>
          <w:kern w:val="22"/>
          <w:szCs w:val="22"/>
          <w:lang w:val="fr-CA"/>
        </w:rPr>
        <w:t>’</w:t>
      </w:r>
      <w:r w:rsidR="000E312F" w:rsidRPr="00B26B5B">
        <w:rPr>
          <w:kern w:val="22"/>
          <w:szCs w:val="22"/>
          <w:lang w:val="fr-CA"/>
        </w:rPr>
        <w:t>après-2020.</w:t>
      </w:r>
      <w:r w:rsidR="00035AE0" w:rsidRPr="00B26B5B">
        <w:rPr>
          <w:rStyle w:val="Appelnotedebasdep"/>
          <w:kern w:val="22"/>
          <w:szCs w:val="22"/>
          <w:lang w:val="fr-CA"/>
        </w:rPr>
        <w:footnoteReference w:id="14"/>
      </w:r>
      <w:r w:rsidR="00EF2E8B" w:rsidRPr="00B26B5B">
        <w:rPr>
          <w:kern w:val="22"/>
          <w:szCs w:val="22"/>
          <w:lang w:val="fr-CA"/>
        </w:rPr>
        <w:t xml:space="preserve"> </w:t>
      </w:r>
      <w:r w:rsidR="000E312F" w:rsidRPr="00B26B5B">
        <w:rPr>
          <w:kern w:val="22"/>
          <w:szCs w:val="22"/>
          <w:lang w:val="fr-CA"/>
        </w:rPr>
        <w:t>Elle a dit que le Secrétariat était en train de préparer une stratégie de communication visant à accroître la visibilité de la diversité biologique</w:t>
      </w:r>
      <w:r w:rsidR="005F278B">
        <w:rPr>
          <w:kern w:val="22"/>
          <w:szCs w:val="22"/>
          <w:lang w:val="fr-CA"/>
        </w:rPr>
        <w:t xml:space="preserve"> et à</w:t>
      </w:r>
      <w:r w:rsidR="000E312F" w:rsidRPr="00B26B5B">
        <w:rPr>
          <w:kern w:val="22"/>
          <w:szCs w:val="22"/>
          <w:lang w:val="fr-CA"/>
        </w:rPr>
        <w:t xml:space="preserve"> encourager les gens à suivre ou à participer aux négociations pour contribuer à un cadre mondial solide de la biodiversité pour l</w:t>
      </w:r>
      <w:r w:rsidR="00CD0FC3">
        <w:rPr>
          <w:kern w:val="22"/>
          <w:szCs w:val="22"/>
          <w:lang w:val="fr-CA"/>
        </w:rPr>
        <w:t>’</w:t>
      </w:r>
      <w:r w:rsidR="000E312F" w:rsidRPr="00B26B5B">
        <w:rPr>
          <w:kern w:val="22"/>
          <w:szCs w:val="22"/>
          <w:lang w:val="fr-CA"/>
        </w:rPr>
        <w:t>après-2020 et éventuellement soutenir sa mise en œuvre. La stratégie sera cohérente et présentera des message</w:t>
      </w:r>
      <w:r w:rsidR="005F278B">
        <w:rPr>
          <w:kern w:val="22"/>
          <w:szCs w:val="22"/>
          <w:lang w:val="fr-CA"/>
        </w:rPr>
        <w:t>s</w:t>
      </w:r>
      <w:r w:rsidR="000E312F" w:rsidRPr="00B26B5B">
        <w:rPr>
          <w:kern w:val="22"/>
          <w:szCs w:val="22"/>
          <w:lang w:val="fr-CA"/>
        </w:rPr>
        <w:t xml:space="preserve"> clairs et </w:t>
      </w:r>
      <w:r w:rsidR="000E312F" w:rsidRPr="00B26B5B">
        <w:rPr>
          <w:kern w:val="22"/>
          <w:szCs w:val="22"/>
          <w:lang w:val="fr-CA"/>
        </w:rPr>
        <w:lastRenderedPageBreak/>
        <w:t>conséquent</w:t>
      </w:r>
      <w:r w:rsidR="005F278B">
        <w:rPr>
          <w:kern w:val="22"/>
          <w:szCs w:val="22"/>
          <w:lang w:val="fr-CA"/>
        </w:rPr>
        <w:t>s</w:t>
      </w:r>
      <w:r w:rsidR="000E312F" w:rsidRPr="00B26B5B">
        <w:rPr>
          <w:kern w:val="22"/>
          <w:szCs w:val="22"/>
          <w:lang w:val="fr-CA"/>
        </w:rPr>
        <w:t>, appuyés par la science mais néanmoins compréhensibles par un public non spécialisé</w:t>
      </w:r>
      <w:r w:rsidR="00A65C9A">
        <w:rPr>
          <w:kern w:val="22"/>
          <w:szCs w:val="22"/>
          <w:lang w:val="fr-CA"/>
        </w:rPr>
        <w:t>,</w:t>
      </w:r>
      <w:r w:rsidR="000E312F" w:rsidRPr="00B26B5B">
        <w:rPr>
          <w:kern w:val="22"/>
          <w:szCs w:val="22"/>
          <w:lang w:val="fr-CA"/>
        </w:rPr>
        <w:t xml:space="preserve"> et lié</w:t>
      </w:r>
      <w:r w:rsidR="009B0C68" w:rsidRPr="00B26B5B">
        <w:rPr>
          <w:kern w:val="22"/>
          <w:szCs w:val="22"/>
          <w:lang w:val="fr-CA"/>
        </w:rPr>
        <w:t>e</w:t>
      </w:r>
      <w:r w:rsidR="000E312F" w:rsidRPr="00B26B5B">
        <w:rPr>
          <w:kern w:val="22"/>
          <w:szCs w:val="22"/>
          <w:lang w:val="fr-CA"/>
        </w:rPr>
        <w:t xml:space="preserve"> au Programme de développement durable à l’horizon 2030 et autres priorités mondiales</w:t>
      </w:r>
      <w:r w:rsidR="009B0C68" w:rsidRPr="00B26B5B">
        <w:rPr>
          <w:kern w:val="22"/>
          <w:szCs w:val="22"/>
          <w:lang w:val="fr-CA"/>
        </w:rPr>
        <w:t>. De plus, elle sera exhaustive et innovatrice, et visera à utiliser au maximum les nouvelles techno</w:t>
      </w:r>
      <w:r w:rsidR="005F278B">
        <w:rPr>
          <w:kern w:val="22"/>
          <w:szCs w:val="22"/>
          <w:lang w:val="fr-CA"/>
        </w:rPr>
        <w:t>logies et plateformes, dont le</w:t>
      </w:r>
      <w:r w:rsidR="009B0C68" w:rsidRPr="00B26B5B">
        <w:rPr>
          <w:kern w:val="22"/>
          <w:szCs w:val="22"/>
          <w:lang w:val="fr-CA"/>
        </w:rPr>
        <w:t>s</w:t>
      </w:r>
      <w:r w:rsidR="005F278B">
        <w:rPr>
          <w:kern w:val="22"/>
          <w:szCs w:val="22"/>
          <w:lang w:val="fr-CA"/>
        </w:rPr>
        <w:t xml:space="preserve"> médias sociaux et</w:t>
      </w:r>
      <w:r w:rsidR="009B0C68" w:rsidRPr="00B26B5B">
        <w:rPr>
          <w:kern w:val="22"/>
          <w:szCs w:val="22"/>
          <w:lang w:val="fr-CA"/>
        </w:rPr>
        <w:t xml:space="preserve"> </w:t>
      </w:r>
      <w:r w:rsidR="005F278B">
        <w:rPr>
          <w:kern w:val="22"/>
          <w:szCs w:val="22"/>
          <w:lang w:val="fr-CA"/>
        </w:rPr>
        <w:t xml:space="preserve">à </w:t>
      </w:r>
      <w:r w:rsidR="009B0C68" w:rsidRPr="00B26B5B">
        <w:rPr>
          <w:kern w:val="22"/>
          <w:szCs w:val="22"/>
          <w:lang w:val="fr-CA"/>
        </w:rPr>
        <w:t xml:space="preserve">faire l’essai de nouvelles méthodes et exposés de faits, et tentera de joindre de nouveaux publics grâce à des communications plus dynamiques et attrayantes visuellement. Elle aussi présenté la plateforme en ligne </w:t>
      </w:r>
      <w:r w:rsidR="00CD69B0" w:rsidRPr="00B26B5B">
        <w:rPr>
          <w:kern w:val="22"/>
          <w:szCs w:val="22"/>
          <w:lang w:val="fr-CA"/>
        </w:rPr>
        <w:t xml:space="preserve">de l’Agenda de l’action de </w:t>
      </w:r>
      <w:proofErr w:type="spellStart"/>
      <w:r w:rsidR="00CD69B0" w:rsidRPr="00B26B5B">
        <w:rPr>
          <w:kern w:val="22"/>
          <w:szCs w:val="22"/>
          <w:lang w:val="fr-CA"/>
        </w:rPr>
        <w:t>Charm</w:t>
      </w:r>
      <w:proofErr w:type="spellEnd"/>
      <w:r w:rsidR="00CD69B0" w:rsidRPr="00B26B5B">
        <w:rPr>
          <w:kern w:val="22"/>
          <w:szCs w:val="22"/>
          <w:lang w:val="fr-CA"/>
        </w:rPr>
        <w:t xml:space="preserve"> el-Cheikh à Kunming </w:t>
      </w:r>
      <w:r w:rsidR="003A02BA" w:rsidRPr="00B26B5B">
        <w:rPr>
          <w:kern w:val="22"/>
          <w:szCs w:val="22"/>
          <w:lang w:val="fr-CA"/>
        </w:rPr>
        <w:t>sur la nature et les peuples</w:t>
      </w:r>
      <w:r w:rsidR="000E312F" w:rsidRPr="00B26B5B">
        <w:rPr>
          <w:kern w:val="22"/>
          <w:szCs w:val="22"/>
          <w:lang w:val="fr-CA"/>
        </w:rPr>
        <w:t xml:space="preserve"> </w:t>
      </w:r>
      <w:r w:rsidR="00505A6F" w:rsidRPr="00B26B5B">
        <w:rPr>
          <w:rStyle w:val="Appelnotedebasdep"/>
          <w:kern w:val="22"/>
          <w:szCs w:val="22"/>
          <w:lang w:val="fr-CA"/>
        </w:rPr>
        <w:footnoteReference w:id="15"/>
      </w:r>
      <w:r w:rsidR="00BF5A7F" w:rsidRPr="00B26B5B">
        <w:rPr>
          <w:kern w:val="22"/>
          <w:szCs w:val="22"/>
          <w:lang w:val="fr-CA"/>
        </w:rPr>
        <w:t xml:space="preserve"> </w:t>
      </w:r>
      <w:r w:rsidR="003A02BA" w:rsidRPr="00B26B5B">
        <w:rPr>
          <w:kern w:val="22"/>
          <w:szCs w:val="22"/>
          <w:lang w:val="fr-CA"/>
        </w:rPr>
        <w:t>et a exhorté les participants de l’utiliser pour soumettre et mettre en vitrine leurs contributions et engagements pour la biodiversité. En conclusion, elle a invité les participants à partager leurs points de vue sur ce qui a bien fonctionné et ce qui n’a pas bien fonctionné, et sur ce qui manqu</w:t>
      </w:r>
      <w:r w:rsidR="00A65C9A">
        <w:rPr>
          <w:kern w:val="22"/>
          <w:szCs w:val="22"/>
          <w:lang w:val="fr-CA"/>
        </w:rPr>
        <w:t>e</w:t>
      </w:r>
      <w:r w:rsidR="003A02BA" w:rsidRPr="00B26B5B">
        <w:rPr>
          <w:kern w:val="22"/>
          <w:szCs w:val="22"/>
          <w:lang w:val="fr-CA"/>
        </w:rPr>
        <w:t xml:space="preserve"> ou </w:t>
      </w:r>
      <w:r w:rsidR="00A65C9A">
        <w:rPr>
          <w:kern w:val="22"/>
          <w:szCs w:val="22"/>
          <w:lang w:val="fr-CA"/>
        </w:rPr>
        <w:t>doit</w:t>
      </w:r>
      <w:r w:rsidR="003A02BA" w:rsidRPr="00B26B5B">
        <w:rPr>
          <w:kern w:val="22"/>
          <w:szCs w:val="22"/>
          <w:lang w:val="fr-CA"/>
        </w:rPr>
        <w:t xml:space="preserve"> être amélioré concernant les communications du Secrétariat. À l’issue de la présentation, les participants ont posé des questions et participé à de courts échanges en plénière. Les principaux points soulevé</w:t>
      </w:r>
      <w:r w:rsidR="00274E51">
        <w:rPr>
          <w:kern w:val="22"/>
          <w:szCs w:val="22"/>
          <w:lang w:val="fr-CA"/>
        </w:rPr>
        <w:t>s</w:t>
      </w:r>
      <w:r w:rsidR="003A02BA" w:rsidRPr="00B26B5B">
        <w:rPr>
          <w:kern w:val="22"/>
          <w:szCs w:val="22"/>
          <w:lang w:val="fr-CA"/>
        </w:rPr>
        <w:t xml:space="preserve"> pendant les échanges sont résumé</w:t>
      </w:r>
      <w:r w:rsidR="00274E51">
        <w:rPr>
          <w:kern w:val="22"/>
          <w:szCs w:val="22"/>
          <w:lang w:val="fr-CA"/>
        </w:rPr>
        <w:t>s</w:t>
      </w:r>
      <w:r w:rsidR="003A02BA" w:rsidRPr="00B26B5B">
        <w:rPr>
          <w:kern w:val="22"/>
          <w:szCs w:val="22"/>
          <w:lang w:val="fr-CA"/>
        </w:rPr>
        <w:t xml:space="preserve"> à la partie II, section C</w:t>
      </w:r>
      <w:r w:rsidR="00086C8C" w:rsidRPr="00B26B5B">
        <w:rPr>
          <w:kern w:val="22"/>
          <w:szCs w:val="22"/>
          <w:lang w:val="fr-CA"/>
        </w:rPr>
        <w:t>.</w:t>
      </w:r>
    </w:p>
    <w:p w:rsidR="00F8647F" w:rsidRPr="00B26B5B" w:rsidRDefault="001371DA" w:rsidP="00C33570">
      <w:pPr>
        <w:pStyle w:val="Para1"/>
        <w:numPr>
          <w:ilvl w:val="0"/>
          <w:numId w:val="0"/>
        </w:numPr>
        <w:suppressLineNumbers/>
        <w:suppressAutoHyphens/>
        <w:ind w:left="720"/>
        <w:jc w:val="center"/>
        <w:rPr>
          <w:b/>
          <w:kern w:val="22"/>
          <w:szCs w:val="22"/>
          <w:lang w:val="fr-CA"/>
        </w:rPr>
      </w:pPr>
      <w:r w:rsidRPr="00B26B5B">
        <w:rPr>
          <w:b/>
          <w:kern w:val="22"/>
          <w:szCs w:val="22"/>
          <w:lang w:val="fr-CA"/>
        </w:rPr>
        <w:t>Point</w:t>
      </w:r>
      <w:r w:rsidR="00F8647F" w:rsidRPr="00B26B5B">
        <w:rPr>
          <w:b/>
          <w:kern w:val="22"/>
          <w:szCs w:val="22"/>
          <w:lang w:val="fr-CA"/>
        </w:rPr>
        <w:t xml:space="preserve"> 7. </w:t>
      </w:r>
      <w:r w:rsidRPr="00B26B5B">
        <w:rPr>
          <w:b/>
          <w:snapToGrid/>
          <w:kern w:val="22"/>
          <w:lang w:val="fr-CA"/>
        </w:rPr>
        <w:t>Voir le monde que nous voulons en 2050 : Penser différemment</w:t>
      </w:r>
    </w:p>
    <w:p w:rsidR="000B3E53" w:rsidRPr="00B26B5B" w:rsidRDefault="009B6C58" w:rsidP="00C33570">
      <w:pPr>
        <w:pStyle w:val="Para1"/>
        <w:suppressLineNumbers/>
        <w:tabs>
          <w:tab w:val="clear" w:pos="360"/>
        </w:tabs>
        <w:suppressAutoHyphens/>
        <w:rPr>
          <w:kern w:val="22"/>
          <w:szCs w:val="22"/>
          <w:lang w:val="fr-CA"/>
        </w:rPr>
      </w:pPr>
      <w:r w:rsidRPr="00B26B5B">
        <w:rPr>
          <w:kern w:val="22"/>
          <w:szCs w:val="22"/>
          <w:lang w:val="fr-CA"/>
        </w:rPr>
        <w:t>Mme</w:t>
      </w:r>
      <w:r w:rsidR="00F8647F" w:rsidRPr="00B26B5B">
        <w:rPr>
          <w:kern w:val="22"/>
          <w:szCs w:val="22"/>
          <w:lang w:val="fr-CA"/>
        </w:rPr>
        <w:t xml:space="preserve"> </w:t>
      </w:r>
      <w:r w:rsidR="00F8647F" w:rsidRPr="00B26B5B">
        <w:rPr>
          <w:noProof/>
          <w:kern w:val="22"/>
          <w:szCs w:val="22"/>
          <w:lang w:val="fr-CA"/>
        </w:rPr>
        <w:t xml:space="preserve">Jyoti Mathur-Filipp </w:t>
      </w:r>
      <w:r w:rsidR="00FC2720" w:rsidRPr="00B26B5B">
        <w:rPr>
          <w:kern w:val="22"/>
          <w:szCs w:val="22"/>
          <w:lang w:val="fr-CA"/>
        </w:rPr>
        <w:t>(CDB</w:t>
      </w:r>
      <w:r w:rsidR="00F8647F" w:rsidRPr="00B26B5B">
        <w:rPr>
          <w:kern w:val="22"/>
          <w:szCs w:val="22"/>
          <w:lang w:val="fr-CA"/>
        </w:rPr>
        <w:t xml:space="preserve">) </w:t>
      </w:r>
      <w:r w:rsidRPr="00B26B5B">
        <w:rPr>
          <w:kern w:val="22"/>
          <w:szCs w:val="22"/>
          <w:lang w:val="fr-CA"/>
        </w:rPr>
        <w:t>a offert une présentation sur la</w:t>
      </w:r>
      <w:r w:rsidR="00FC2720" w:rsidRPr="00B26B5B">
        <w:rPr>
          <w:kern w:val="22"/>
          <w:szCs w:val="22"/>
          <w:lang w:val="fr-CA"/>
        </w:rPr>
        <w:t xml:space="preserve"> gestion de la transition</w:t>
      </w:r>
      <w:r w:rsidR="00F8647F" w:rsidRPr="00B26B5B">
        <w:rPr>
          <w:kern w:val="22"/>
          <w:szCs w:val="22"/>
          <w:lang w:val="fr-CA"/>
        </w:rPr>
        <w:t>.</w:t>
      </w:r>
      <w:r w:rsidR="00226AFC" w:rsidRPr="00B26B5B">
        <w:rPr>
          <w:kern w:val="22"/>
          <w:szCs w:val="22"/>
          <w:vertAlign w:val="superscript"/>
          <w:lang w:val="fr-CA"/>
        </w:rPr>
        <w:footnoteReference w:id="16"/>
      </w:r>
      <w:r w:rsidR="00F8647F" w:rsidRPr="00B26B5B">
        <w:rPr>
          <w:kern w:val="22"/>
          <w:szCs w:val="22"/>
          <w:lang w:val="fr-CA"/>
        </w:rPr>
        <w:t xml:space="preserve"> </w:t>
      </w:r>
      <w:r w:rsidR="00FC2720" w:rsidRPr="00B26B5B">
        <w:rPr>
          <w:kern w:val="22"/>
          <w:szCs w:val="22"/>
          <w:lang w:val="fr-CA"/>
        </w:rPr>
        <w:t xml:space="preserve">Après la présentation, les participants ont formé des groupes de discussion afin de cerner des mesures concrètes pour </w:t>
      </w:r>
      <w:r w:rsidR="00274E51">
        <w:rPr>
          <w:kern w:val="22"/>
          <w:szCs w:val="22"/>
          <w:lang w:val="fr-CA"/>
        </w:rPr>
        <w:t>abaisser</w:t>
      </w:r>
      <w:r w:rsidR="00FC2720" w:rsidRPr="00B26B5B">
        <w:rPr>
          <w:kern w:val="22"/>
          <w:szCs w:val="22"/>
          <w:lang w:val="fr-CA"/>
        </w:rPr>
        <w:t xml:space="preserve"> la courbe de l’appauvrissement de la diversité biologique d’ici à 2030 et encourager le changement transformateur. Ils ont été invités à penser différemment dans le cadre des échanges</w:t>
      </w:r>
      <w:r w:rsidR="00F8647F" w:rsidRPr="00B26B5B">
        <w:rPr>
          <w:kern w:val="22"/>
          <w:szCs w:val="22"/>
          <w:lang w:val="fr-CA"/>
        </w:rPr>
        <w:t>.</w:t>
      </w:r>
      <w:r w:rsidR="00FC2720" w:rsidRPr="00B26B5B">
        <w:rPr>
          <w:kern w:val="22"/>
          <w:szCs w:val="22"/>
          <w:lang w:val="fr-CA"/>
        </w:rPr>
        <w:t xml:space="preserve"> Après les échanges en groupe, les participants ont élaboré conjointement une série de mesures interdépendantes et de moyens possibles de réaliser la Vision 2050 de «</w:t>
      </w:r>
      <w:r w:rsidR="00CD0FC3">
        <w:rPr>
          <w:kern w:val="22"/>
          <w:szCs w:val="22"/>
          <w:lang w:val="fr-CA"/>
        </w:rPr>
        <w:t> </w:t>
      </w:r>
      <w:r w:rsidR="00FC2720" w:rsidRPr="00B26B5B">
        <w:rPr>
          <w:kern w:val="22"/>
          <w:szCs w:val="22"/>
          <w:lang w:val="fr-CA"/>
        </w:rPr>
        <w:t>vivre en harmonie avec la nature » au moyen d’un exercice utilisant des dominos</w:t>
      </w:r>
      <w:r w:rsidR="00274E51">
        <w:rPr>
          <w:kern w:val="22"/>
          <w:szCs w:val="22"/>
          <w:lang w:val="fr-CA"/>
        </w:rPr>
        <w:t>.</w:t>
      </w:r>
    </w:p>
    <w:p w:rsidR="00F8647F" w:rsidRPr="00B26B5B" w:rsidRDefault="001371DA" w:rsidP="00C33570">
      <w:pPr>
        <w:pStyle w:val="Para1"/>
        <w:numPr>
          <w:ilvl w:val="0"/>
          <w:numId w:val="0"/>
        </w:numPr>
        <w:suppressLineNumbers/>
        <w:suppressAutoHyphens/>
        <w:ind w:left="360"/>
        <w:jc w:val="center"/>
        <w:rPr>
          <w:b/>
          <w:kern w:val="22"/>
          <w:szCs w:val="22"/>
          <w:lang w:val="fr-CA"/>
        </w:rPr>
      </w:pPr>
      <w:r w:rsidRPr="00B26B5B">
        <w:rPr>
          <w:b/>
          <w:kern w:val="22"/>
          <w:szCs w:val="22"/>
          <w:lang w:val="fr-CA"/>
        </w:rPr>
        <w:t>Point</w:t>
      </w:r>
      <w:r w:rsidR="00F8647F" w:rsidRPr="00B26B5B">
        <w:rPr>
          <w:b/>
          <w:kern w:val="22"/>
          <w:szCs w:val="22"/>
          <w:lang w:val="fr-CA"/>
        </w:rPr>
        <w:t xml:space="preserve"> 8. </w:t>
      </w:r>
      <w:r w:rsidRPr="00B26B5B">
        <w:rPr>
          <w:b/>
          <w:kern w:val="22"/>
          <w:szCs w:val="22"/>
          <w:lang w:val="fr-CA"/>
        </w:rPr>
        <w:t>Intégration des différentes perspectives</w:t>
      </w:r>
    </w:p>
    <w:p w:rsidR="00F8647F" w:rsidRPr="00E40864" w:rsidRDefault="003F5485" w:rsidP="00E40864">
      <w:pPr>
        <w:pStyle w:val="Para1"/>
        <w:suppressLineNumbers/>
        <w:tabs>
          <w:tab w:val="clear" w:pos="360"/>
        </w:tabs>
        <w:suppressAutoHyphens/>
        <w:rPr>
          <w:kern w:val="22"/>
          <w:szCs w:val="22"/>
          <w:lang w:val="fr-CA"/>
        </w:rPr>
      </w:pPr>
      <w:r w:rsidRPr="00B26B5B">
        <w:rPr>
          <w:kern w:val="22"/>
          <w:szCs w:val="22"/>
          <w:lang w:val="fr-CA"/>
        </w:rPr>
        <w:t xml:space="preserve">Au cours de cette session, les participants représentant diverses organisations ont participé à une table ronde et échangé des points de vue sur la façon d’intégrer les perspectives des différents groupes de parties prenantes </w:t>
      </w:r>
      <w:r w:rsidR="00274E51">
        <w:rPr>
          <w:kern w:val="22"/>
          <w:szCs w:val="22"/>
          <w:lang w:val="fr-CA"/>
        </w:rPr>
        <w:t>au</w:t>
      </w:r>
      <w:r w:rsidRPr="00B26B5B">
        <w:rPr>
          <w:kern w:val="22"/>
          <w:szCs w:val="22"/>
          <w:lang w:val="fr-CA"/>
        </w:rPr>
        <w:t xml:space="preserve"> cadre mondial de la biodiversité pour l</w:t>
      </w:r>
      <w:r w:rsidR="00CD0FC3">
        <w:rPr>
          <w:kern w:val="22"/>
          <w:szCs w:val="22"/>
          <w:lang w:val="fr-CA"/>
        </w:rPr>
        <w:t>’</w:t>
      </w:r>
      <w:r w:rsidRPr="00B26B5B">
        <w:rPr>
          <w:kern w:val="22"/>
          <w:szCs w:val="22"/>
          <w:lang w:val="fr-CA"/>
        </w:rPr>
        <w:t>après-2020 et la manière de faciliter et d’améliorer les gestes qu’ils poseront lors de la mise en œuvre éventuelle du cadre</w:t>
      </w:r>
      <w:r w:rsidR="00F8647F" w:rsidRPr="00B26B5B">
        <w:rPr>
          <w:kern w:val="22"/>
          <w:szCs w:val="22"/>
          <w:lang w:val="fr-CA"/>
        </w:rPr>
        <w:t xml:space="preserve">. </w:t>
      </w:r>
      <w:r w:rsidR="000B2854" w:rsidRPr="00B26B5B">
        <w:rPr>
          <w:kern w:val="22"/>
          <w:szCs w:val="22"/>
          <w:lang w:val="fr-CA"/>
        </w:rPr>
        <w:t>Des présentations ont été offertes par</w:t>
      </w:r>
      <w:r w:rsidR="00F8647F" w:rsidRPr="00B26B5B">
        <w:rPr>
          <w:kern w:val="22"/>
          <w:szCs w:val="22"/>
          <w:lang w:val="fr-CA"/>
        </w:rPr>
        <w:t xml:space="preserve"> </w:t>
      </w:r>
      <w:r w:rsidR="000B2854" w:rsidRPr="00B26B5B">
        <w:rPr>
          <w:kern w:val="22"/>
          <w:szCs w:val="22"/>
          <w:lang w:val="fr-CA"/>
        </w:rPr>
        <w:t>Mme</w:t>
      </w:r>
      <w:r w:rsidR="00E55181" w:rsidRPr="00B26B5B">
        <w:rPr>
          <w:kern w:val="22"/>
          <w:szCs w:val="22"/>
          <w:lang w:val="fr-CA"/>
        </w:rPr>
        <w:t xml:space="preserve"> Lucy </w:t>
      </w:r>
      <w:proofErr w:type="spellStart"/>
      <w:r w:rsidR="00E55181" w:rsidRPr="00B26B5B">
        <w:rPr>
          <w:kern w:val="22"/>
          <w:szCs w:val="22"/>
          <w:lang w:val="fr-CA"/>
        </w:rPr>
        <w:t>Mulenkei</w:t>
      </w:r>
      <w:proofErr w:type="spellEnd"/>
      <w:r w:rsidR="00E55181" w:rsidRPr="00B26B5B">
        <w:rPr>
          <w:kern w:val="22"/>
          <w:szCs w:val="22"/>
          <w:lang w:val="fr-CA"/>
        </w:rPr>
        <w:t xml:space="preserve"> (</w:t>
      </w:r>
      <w:r w:rsidR="000B2854" w:rsidRPr="00B26B5B">
        <w:rPr>
          <w:kern w:val="22"/>
          <w:szCs w:val="22"/>
          <w:lang w:val="fr-CA"/>
        </w:rPr>
        <w:t>Forum international des peuples autochtones sur la biodiversité</w:t>
      </w:r>
      <w:r w:rsidR="00E55181" w:rsidRPr="00B26B5B">
        <w:rPr>
          <w:kern w:val="22"/>
          <w:szCs w:val="22"/>
          <w:lang w:val="fr-CA"/>
        </w:rPr>
        <w:t xml:space="preserve">) </w:t>
      </w:r>
      <w:r w:rsidR="00274E51">
        <w:rPr>
          <w:kern w:val="22"/>
          <w:szCs w:val="22"/>
          <w:lang w:val="fr-CA"/>
        </w:rPr>
        <w:t>au nom</w:t>
      </w:r>
      <w:r w:rsidR="000B2854" w:rsidRPr="00B26B5B">
        <w:rPr>
          <w:kern w:val="22"/>
          <w:szCs w:val="22"/>
          <w:lang w:val="fr-CA"/>
        </w:rPr>
        <w:t xml:space="preserve"> </w:t>
      </w:r>
      <w:r w:rsidR="00274E51">
        <w:rPr>
          <w:kern w:val="22"/>
          <w:szCs w:val="22"/>
          <w:lang w:val="fr-CA"/>
        </w:rPr>
        <w:t>d</w:t>
      </w:r>
      <w:r w:rsidR="000B2854" w:rsidRPr="00B26B5B">
        <w:rPr>
          <w:kern w:val="22"/>
          <w:szCs w:val="22"/>
          <w:lang w:val="fr-CA"/>
        </w:rPr>
        <w:t>es peuples autochtones et les communautés locales, M</w:t>
      </w:r>
      <w:r w:rsidR="00E55181" w:rsidRPr="00B26B5B">
        <w:rPr>
          <w:kern w:val="22"/>
          <w:szCs w:val="22"/>
          <w:lang w:val="fr-CA"/>
        </w:rPr>
        <w:t xml:space="preserve">. </w:t>
      </w:r>
      <w:proofErr w:type="spellStart"/>
      <w:r w:rsidR="00E55181" w:rsidRPr="00B26B5B">
        <w:rPr>
          <w:kern w:val="22"/>
          <w:szCs w:val="22"/>
          <w:lang w:val="fr-CA"/>
        </w:rPr>
        <w:t>Freddrick</w:t>
      </w:r>
      <w:proofErr w:type="spellEnd"/>
      <w:r w:rsidR="00E55181" w:rsidRPr="00B26B5B">
        <w:rPr>
          <w:kern w:val="22"/>
          <w:szCs w:val="22"/>
          <w:lang w:val="fr-CA"/>
        </w:rPr>
        <w:t xml:space="preserve"> </w:t>
      </w:r>
      <w:proofErr w:type="spellStart"/>
      <w:r w:rsidR="00E55181" w:rsidRPr="00B26B5B">
        <w:rPr>
          <w:kern w:val="22"/>
          <w:szCs w:val="22"/>
          <w:lang w:val="fr-CA"/>
        </w:rPr>
        <w:t>Kumah</w:t>
      </w:r>
      <w:proofErr w:type="spellEnd"/>
      <w:r w:rsidR="00E55181" w:rsidRPr="00B26B5B">
        <w:rPr>
          <w:kern w:val="22"/>
          <w:szCs w:val="22"/>
          <w:lang w:val="fr-CA"/>
        </w:rPr>
        <w:t xml:space="preserve"> (WWF) </w:t>
      </w:r>
      <w:r w:rsidR="00274E51">
        <w:rPr>
          <w:kern w:val="22"/>
          <w:szCs w:val="22"/>
          <w:lang w:val="fr-CA"/>
        </w:rPr>
        <w:t>au nom de</w:t>
      </w:r>
      <w:r w:rsidR="000B2854" w:rsidRPr="00B26B5B">
        <w:rPr>
          <w:kern w:val="22"/>
          <w:szCs w:val="22"/>
          <w:lang w:val="fr-CA"/>
        </w:rPr>
        <w:t xml:space="preserve"> la société civile, Mme</w:t>
      </w:r>
      <w:r w:rsidR="00E55181" w:rsidRPr="00B26B5B">
        <w:rPr>
          <w:kern w:val="22"/>
          <w:szCs w:val="22"/>
          <w:lang w:val="fr-CA"/>
        </w:rPr>
        <w:t xml:space="preserve"> Fiesta </w:t>
      </w:r>
      <w:proofErr w:type="spellStart"/>
      <w:r w:rsidR="00E55181" w:rsidRPr="00B26B5B">
        <w:rPr>
          <w:kern w:val="22"/>
          <w:szCs w:val="22"/>
          <w:lang w:val="fr-CA"/>
        </w:rPr>
        <w:t>Warinwa</w:t>
      </w:r>
      <w:proofErr w:type="spellEnd"/>
      <w:r w:rsidR="00E55181" w:rsidRPr="00B26B5B">
        <w:rPr>
          <w:kern w:val="22"/>
          <w:szCs w:val="22"/>
          <w:lang w:val="fr-CA"/>
        </w:rPr>
        <w:t xml:space="preserve"> (</w:t>
      </w:r>
      <w:proofErr w:type="spellStart"/>
      <w:r w:rsidR="00E55181" w:rsidRPr="00B26B5B">
        <w:rPr>
          <w:kern w:val="22"/>
          <w:szCs w:val="22"/>
          <w:lang w:val="fr-CA"/>
        </w:rPr>
        <w:t>AWF</w:t>
      </w:r>
      <w:proofErr w:type="spellEnd"/>
      <w:r w:rsidR="00E55181" w:rsidRPr="00B26B5B">
        <w:rPr>
          <w:kern w:val="22"/>
          <w:szCs w:val="22"/>
          <w:lang w:val="fr-CA"/>
        </w:rPr>
        <w:t xml:space="preserve">) </w:t>
      </w:r>
      <w:r w:rsidR="00274E51">
        <w:rPr>
          <w:kern w:val="22"/>
          <w:szCs w:val="22"/>
          <w:lang w:val="fr-CA"/>
        </w:rPr>
        <w:t>au nom des</w:t>
      </w:r>
      <w:r w:rsidR="000B2854" w:rsidRPr="00B26B5B">
        <w:rPr>
          <w:kern w:val="22"/>
          <w:szCs w:val="22"/>
          <w:lang w:val="fr-CA"/>
        </w:rPr>
        <w:t xml:space="preserve"> groupes communautaires, Mme</w:t>
      </w:r>
      <w:r w:rsidR="00E55181" w:rsidRPr="00B26B5B">
        <w:rPr>
          <w:kern w:val="22"/>
          <w:szCs w:val="22"/>
          <w:lang w:val="fr-CA"/>
        </w:rPr>
        <w:t xml:space="preserve"> Gertrude </w:t>
      </w:r>
      <w:proofErr w:type="spellStart"/>
      <w:r w:rsidR="00E55181" w:rsidRPr="00B26B5B">
        <w:rPr>
          <w:kern w:val="22"/>
          <w:szCs w:val="22"/>
          <w:lang w:val="fr-CA"/>
        </w:rPr>
        <w:t>Kenyangi</w:t>
      </w:r>
      <w:proofErr w:type="spellEnd"/>
      <w:r w:rsidR="00E55181" w:rsidRPr="00B26B5B">
        <w:rPr>
          <w:kern w:val="22"/>
          <w:szCs w:val="22"/>
          <w:lang w:val="fr-CA"/>
        </w:rPr>
        <w:t xml:space="preserve"> (</w:t>
      </w:r>
      <w:proofErr w:type="spellStart"/>
      <w:r w:rsidR="00E55181" w:rsidRPr="00B26B5B">
        <w:rPr>
          <w:kern w:val="22"/>
          <w:szCs w:val="22"/>
          <w:lang w:val="fr-CA"/>
        </w:rPr>
        <w:t>SWAGEN</w:t>
      </w:r>
      <w:proofErr w:type="spellEnd"/>
      <w:r w:rsidR="00E55181" w:rsidRPr="00B26B5B">
        <w:rPr>
          <w:kern w:val="22"/>
          <w:szCs w:val="22"/>
          <w:lang w:val="fr-CA"/>
        </w:rPr>
        <w:t xml:space="preserve">) </w:t>
      </w:r>
      <w:r w:rsidR="00274E51">
        <w:rPr>
          <w:kern w:val="22"/>
          <w:szCs w:val="22"/>
          <w:lang w:val="fr-CA"/>
        </w:rPr>
        <w:t>au nom des</w:t>
      </w:r>
      <w:r w:rsidR="000B2854" w:rsidRPr="00B26B5B">
        <w:rPr>
          <w:kern w:val="22"/>
          <w:szCs w:val="22"/>
          <w:lang w:val="fr-CA"/>
        </w:rPr>
        <w:t xml:space="preserve"> femmes, Mme</w:t>
      </w:r>
      <w:r w:rsidR="00E55181" w:rsidRPr="00B26B5B">
        <w:rPr>
          <w:kern w:val="22"/>
          <w:szCs w:val="22"/>
          <w:lang w:val="fr-CA"/>
        </w:rPr>
        <w:t xml:space="preserve"> </w:t>
      </w:r>
      <w:proofErr w:type="spellStart"/>
      <w:r w:rsidR="00E55181" w:rsidRPr="00B26B5B">
        <w:rPr>
          <w:kern w:val="22"/>
          <w:szCs w:val="22"/>
          <w:lang w:val="fr-CA"/>
        </w:rPr>
        <w:t>Sanda</w:t>
      </w:r>
      <w:proofErr w:type="spellEnd"/>
      <w:r w:rsidR="00E55181" w:rsidRPr="00B26B5B">
        <w:rPr>
          <w:kern w:val="22"/>
          <w:szCs w:val="22"/>
          <w:lang w:val="fr-CA"/>
        </w:rPr>
        <w:t xml:space="preserve"> </w:t>
      </w:r>
      <w:proofErr w:type="spellStart"/>
      <w:r w:rsidR="00E55181" w:rsidRPr="00B26B5B">
        <w:rPr>
          <w:kern w:val="22"/>
          <w:szCs w:val="22"/>
          <w:lang w:val="fr-CA"/>
        </w:rPr>
        <w:t>Rakotomalala</w:t>
      </w:r>
      <w:proofErr w:type="spellEnd"/>
      <w:r w:rsidR="00E55181" w:rsidRPr="00B26B5B">
        <w:rPr>
          <w:kern w:val="22"/>
          <w:szCs w:val="22"/>
          <w:lang w:val="fr-CA"/>
        </w:rPr>
        <w:t xml:space="preserve"> (</w:t>
      </w:r>
      <w:proofErr w:type="spellStart"/>
      <w:r w:rsidR="00E55181" w:rsidRPr="00B26B5B">
        <w:rPr>
          <w:kern w:val="22"/>
          <w:szCs w:val="22"/>
          <w:lang w:val="fr-CA"/>
        </w:rPr>
        <w:t>GYBN</w:t>
      </w:r>
      <w:proofErr w:type="spellEnd"/>
      <w:r w:rsidR="00E55181" w:rsidRPr="00B26B5B">
        <w:rPr>
          <w:kern w:val="22"/>
          <w:szCs w:val="22"/>
          <w:lang w:val="fr-CA"/>
        </w:rPr>
        <w:t xml:space="preserve">) </w:t>
      </w:r>
      <w:r w:rsidR="00E40864">
        <w:rPr>
          <w:kern w:val="22"/>
          <w:szCs w:val="22"/>
          <w:lang w:val="fr-CA"/>
        </w:rPr>
        <w:t>au nom d</w:t>
      </w:r>
      <w:r w:rsidR="000B2854" w:rsidRPr="00B26B5B">
        <w:rPr>
          <w:kern w:val="22"/>
          <w:szCs w:val="22"/>
          <w:lang w:val="fr-CA"/>
        </w:rPr>
        <w:t>es jeunes et M</w:t>
      </w:r>
      <w:r w:rsidR="00E55181" w:rsidRPr="00B26B5B">
        <w:rPr>
          <w:kern w:val="22"/>
          <w:szCs w:val="22"/>
          <w:lang w:val="fr-CA"/>
        </w:rPr>
        <w:t xml:space="preserve">r. </w:t>
      </w:r>
      <w:proofErr w:type="spellStart"/>
      <w:r w:rsidR="00E55181" w:rsidRPr="00B26B5B">
        <w:rPr>
          <w:kern w:val="22"/>
          <w:szCs w:val="22"/>
          <w:lang w:val="fr-CA"/>
        </w:rPr>
        <w:t>Gemedo</w:t>
      </w:r>
      <w:proofErr w:type="spellEnd"/>
      <w:r w:rsidR="00E55181" w:rsidRPr="00B26B5B">
        <w:rPr>
          <w:kern w:val="22"/>
          <w:szCs w:val="22"/>
          <w:lang w:val="fr-CA"/>
        </w:rPr>
        <w:t xml:space="preserve"> Dalle </w:t>
      </w:r>
      <w:proofErr w:type="spellStart"/>
      <w:r w:rsidR="00E55181" w:rsidRPr="00B26B5B">
        <w:rPr>
          <w:kern w:val="22"/>
          <w:szCs w:val="22"/>
          <w:lang w:val="fr-CA"/>
        </w:rPr>
        <w:t>Tussie</w:t>
      </w:r>
      <w:proofErr w:type="spellEnd"/>
      <w:r w:rsidR="00E55181" w:rsidRPr="00B26B5B">
        <w:rPr>
          <w:kern w:val="22"/>
          <w:szCs w:val="22"/>
          <w:lang w:val="fr-CA"/>
        </w:rPr>
        <w:t xml:space="preserve"> (</w:t>
      </w:r>
      <w:r w:rsidR="000B2854" w:rsidRPr="00B26B5B">
        <w:rPr>
          <w:kern w:val="22"/>
          <w:szCs w:val="22"/>
          <w:lang w:val="fr-CA"/>
        </w:rPr>
        <w:t>Université d’</w:t>
      </w:r>
      <w:r w:rsidR="00E55181" w:rsidRPr="00B26B5B">
        <w:rPr>
          <w:kern w:val="22"/>
          <w:szCs w:val="22"/>
          <w:lang w:val="fr-CA"/>
        </w:rPr>
        <w:t>Addis</w:t>
      </w:r>
      <w:r w:rsidR="000B2854" w:rsidRPr="00B26B5B">
        <w:rPr>
          <w:kern w:val="22"/>
          <w:szCs w:val="22"/>
          <w:lang w:val="fr-CA"/>
        </w:rPr>
        <w:t>-Abeba</w:t>
      </w:r>
      <w:r w:rsidR="00E55181" w:rsidRPr="00B26B5B">
        <w:rPr>
          <w:kern w:val="22"/>
          <w:szCs w:val="22"/>
          <w:lang w:val="fr-CA"/>
        </w:rPr>
        <w:t xml:space="preserve">) </w:t>
      </w:r>
      <w:r w:rsidR="00E40864">
        <w:rPr>
          <w:kern w:val="22"/>
          <w:szCs w:val="22"/>
          <w:lang w:val="fr-CA"/>
        </w:rPr>
        <w:t>au nom des universités et d</w:t>
      </w:r>
      <w:r w:rsidR="008D7AD8" w:rsidRPr="00E40864">
        <w:rPr>
          <w:kern w:val="22"/>
          <w:szCs w:val="22"/>
          <w:lang w:val="fr-CA"/>
        </w:rPr>
        <w:t>es institutions de recherche</w:t>
      </w:r>
      <w:r w:rsidR="00E55181" w:rsidRPr="00E40864">
        <w:rPr>
          <w:kern w:val="22"/>
          <w:szCs w:val="22"/>
          <w:lang w:val="fr-CA"/>
        </w:rPr>
        <w:t xml:space="preserve">. </w:t>
      </w:r>
      <w:r w:rsidR="008D7AD8" w:rsidRPr="00E40864">
        <w:rPr>
          <w:kern w:val="22"/>
          <w:szCs w:val="22"/>
          <w:lang w:val="fr-CA"/>
        </w:rPr>
        <w:t>Après les présentations, les participants à la table ronde ont répondu aux questions</w:t>
      </w:r>
      <w:r w:rsidR="00F8647F" w:rsidRPr="00E40864">
        <w:rPr>
          <w:kern w:val="22"/>
          <w:szCs w:val="22"/>
          <w:lang w:val="fr-CA"/>
        </w:rPr>
        <w:t>.</w:t>
      </w:r>
    </w:p>
    <w:p w:rsidR="004A41E0" w:rsidRPr="00B26B5B" w:rsidRDefault="001371DA" w:rsidP="00C33570">
      <w:pPr>
        <w:pStyle w:val="Para1"/>
        <w:numPr>
          <w:ilvl w:val="0"/>
          <w:numId w:val="0"/>
        </w:numPr>
        <w:suppressLineNumbers/>
        <w:suppressAutoHyphens/>
        <w:ind w:left="360"/>
        <w:jc w:val="center"/>
        <w:rPr>
          <w:b/>
          <w:kern w:val="22"/>
          <w:szCs w:val="22"/>
          <w:lang w:val="fr-CA"/>
        </w:rPr>
      </w:pPr>
      <w:r w:rsidRPr="00B26B5B">
        <w:rPr>
          <w:b/>
          <w:kern w:val="22"/>
          <w:szCs w:val="22"/>
          <w:lang w:val="fr-CA"/>
        </w:rPr>
        <w:t>Point</w:t>
      </w:r>
      <w:r w:rsidR="00F8647F" w:rsidRPr="00B26B5B">
        <w:rPr>
          <w:b/>
          <w:kern w:val="22"/>
          <w:szCs w:val="22"/>
          <w:lang w:val="fr-CA"/>
        </w:rPr>
        <w:t xml:space="preserve"> 9. </w:t>
      </w:r>
      <w:r w:rsidRPr="00B26B5B">
        <w:rPr>
          <w:b/>
          <w:snapToGrid/>
          <w:kern w:val="22"/>
          <w:lang w:val="fr-CA"/>
        </w:rPr>
        <w:t>Éléments possibles du cadre pour l’après-2020</w:t>
      </w:r>
    </w:p>
    <w:p w:rsidR="005357F3" w:rsidRPr="00B26B5B" w:rsidRDefault="008D7AD8" w:rsidP="00C33570">
      <w:pPr>
        <w:pStyle w:val="Para1"/>
        <w:suppressLineNumbers/>
        <w:tabs>
          <w:tab w:val="clear" w:pos="360"/>
        </w:tabs>
        <w:suppressAutoHyphens/>
        <w:rPr>
          <w:kern w:val="22"/>
          <w:szCs w:val="22"/>
          <w:lang w:val="fr-CA"/>
        </w:rPr>
      </w:pPr>
      <w:r w:rsidRPr="00B26B5B">
        <w:rPr>
          <w:kern w:val="22"/>
          <w:szCs w:val="22"/>
          <w:lang w:val="fr-CA"/>
        </w:rPr>
        <w:t>Les participants ont formé des groupes pour débattre de questions concernant le champ d’application et le contenu du cadre mondial de la biodiversité pour l</w:t>
      </w:r>
      <w:r w:rsidR="00CD0FC3">
        <w:rPr>
          <w:kern w:val="22"/>
          <w:szCs w:val="22"/>
          <w:lang w:val="fr-CA"/>
        </w:rPr>
        <w:t>’</w:t>
      </w:r>
      <w:r w:rsidRPr="00B26B5B">
        <w:rPr>
          <w:kern w:val="22"/>
          <w:szCs w:val="22"/>
          <w:lang w:val="fr-CA"/>
        </w:rPr>
        <w:t xml:space="preserve">après-2020. Les questions ont été regroupées </w:t>
      </w:r>
      <w:r w:rsidR="00F87F5B" w:rsidRPr="00B26B5B">
        <w:rPr>
          <w:kern w:val="22"/>
          <w:szCs w:val="22"/>
          <w:lang w:val="fr-CA"/>
        </w:rPr>
        <w:t>et présentées dans h</w:t>
      </w:r>
      <w:r w:rsidRPr="00B26B5B">
        <w:rPr>
          <w:kern w:val="22"/>
          <w:szCs w:val="22"/>
          <w:lang w:val="fr-CA"/>
        </w:rPr>
        <w:t>uit stations aux fins d’échange dans un format de café mondial</w:t>
      </w:r>
      <w:r w:rsidR="00CD0FC3">
        <w:rPr>
          <w:kern w:val="22"/>
          <w:szCs w:val="22"/>
          <w:lang w:val="fr-CA"/>
        </w:rPr>
        <w:t> </w:t>
      </w:r>
      <w:r w:rsidR="00076F74" w:rsidRPr="00B26B5B">
        <w:rPr>
          <w:kern w:val="22"/>
          <w:szCs w:val="22"/>
          <w:lang w:val="fr-CA"/>
        </w:rPr>
        <w:t>:</w:t>
      </w:r>
    </w:p>
    <w:p w:rsidR="005357F3"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Structure du cadre mondial de la biodiversité pour l</w:t>
      </w:r>
      <w:r w:rsidR="00CD0FC3">
        <w:rPr>
          <w:kern w:val="22"/>
          <w:szCs w:val="22"/>
          <w:lang w:val="fr-CA"/>
        </w:rPr>
        <w:t>’</w:t>
      </w:r>
      <w:r w:rsidRPr="00B26B5B">
        <w:rPr>
          <w:kern w:val="22"/>
          <w:szCs w:val="22"/>
          <w:lang w:val="fr-CA"/>
        </w:rPr>
        <w:t>après-2020 et objectifs pour la diversité biologique</w:t>
      </w:r>
      <w:r w:rsidR="00B92D18">
        <w:rPr>
          <w:kern w:val="22"/>
          <w:szCs w:val="22"/>
          <w:lang w:val="fr-CA"/>
        </w:rPr>
        <w:t>;</w:t>
      </w:r>
    </w:p>
    <w:p w:rsidR="005357F3"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Intégration des questions en lien avec le Protocole de Cartagena sur la prévention des risques biotechnologiques et le Protocole de Nagoya sur l’accès et le partage des avantages au cadre mondial de la biodiversité pour l</w:t>
      </w:r>
      <w:r w:rsidR="00CD0FC3">
        <w:rPr>
          <w:kern w:val="22"/>
          <w:szCs w:val="22"/>
          <w:lang w:val="fr-CA"/>
        </w:rPr>
        <w:t>’</w:t>
      </w:r>
      <w:r w:rsidRPr="00B26B5B">
        <w:rPr>
          <w:kern w:val="22"/>
          <w:szCs w:val="22"/>
          <w:lang w:val="fr-CA"/>
        </w:rPr>
        <w:t>après-2020</w:t>
      </w:r>
      <w:r w:rsidR="00B92D18">
        <w:rPr>
          <w:kern w:val="22"/>
          <w:szCs w:val="22"/>
          <w:lang w:val="fr-CA"/>
        </w:rPr>
        <w:t>;</w:t>
      </w:r>
    </w:p>
    <w:p w:rsidR="005357F3"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Intégration de la diversité biologique dans les secteurs pertinents, et dans les secteurs et les économies en général, et liens avec les autres processus pertinents</w:t>
      </w:r>
      <w:r w:rsidR="00B92D18">
        <w:rPr>
          <w:kern w:val="22"/>
          <w:szCs w:val="22"/>
          <w:lang w:val="fr-CA"/>
        </w:rPr>
        <w:t>;</w:t>
      </w:r>
    </w:p>
    <w:p w:rsidR="005357F3"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Mobilisation des ressources</w:t>
      </w:r>
      <w:r w:rsidR="006E4722">
        <w:rPr>
          <w:kern w:val="22"/>
          <w:szCs w:val="22"/>
          <w:lang w:val="fr-CA"/>
        </w:rPr>
        <w:t>,</w:t>
      </w:r>
      <w:r w:rsidRPr="00B26B5B">
        <w:rPr>
          <w:kern w:val="22"/>
          <w:szCs w:val="22"/>
          <w:lang w:val="fr-CA"/>
        </w:rPr>
        <w:t xml:space="preserve"> et engagements et contributions volontaires</w:t>
      </w:r>
      <w:r w:rsidR="00B92D18">
        <w:rPr>
          <w:kern w:val="22"/>
          <w:szCs w:val="22"/>
          <w:lang w:val="fr-CA"/>
        </w:rPr>
        <w:t>;</w:t>
      </w:r>
    </w:p>
    <w:p w:rsidR="00097C87"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lastRenderedPageBreak/>
        <w:t>Renforcement des capacités, coopération technique et scientifique, et gestion du savoir</w:t>
      </w:r>
      <w:r w:rsidR="00B92D18">
        <w:rPr>
          <w:kern w:val="22"/>
          <w:szCs w:val="22"/>
          <w:lang w:val="fr-CA"/>
        </w:rPr>
        <w:t>;</w:t>
      </w:r>
    </w:p>
    <w:p w:rsidR="005357F3"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Communications et activités de proximité</w:t>
      </w:r>
      <w:r w:rsidR="00B92D18">
        <w:rPr>
          <w:kern w:val="22"/>
          <w:szCs w:val="22"/>
          <w:lang w:val="fr-CA"/>
        </w:rPr>
        <w:t>;</w:t>
      </w:r>
    </w:p>
    <w:p w:rsidR="005357F3" w:rsidRPr="00B26B5B" w:rsidRDefault="00F87F5B"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Intégration des</w:t>
      </w:r>
      <w:r w:rsidR="00C84475" w:rsidRPr="00B26B5B">
        <w:rPr>
          <w:kern w:val="22"/>
          <w:szCs w:val="22"/>
          <w:lang w:val="fr-CA"/>
        </w:rPr>
        <w:t xml:space="preserve"> différentes perspectives et des questions d’égalité des sexes</w:t>
      </w:r>
      <w:r w:rsidR="00B92D18">
        <w:rPr>
          <w:kern w:val="22"/>
          <w:szCs w:val="22"/>
          <w:lang w:val="fr-CA"/>
        </w:rPr>
        <w:t>;</w:t>
      </w:r>
    </w:p>
    <w:p w:rsidR="00184CA7" w:rsidRPr="00B26B5B" w:rsidRDefault="00C84475" w:rsidP="00C33570">
      <w:pPr>
        <w:pStyle w:val="Para1"/>
        <w:numPr>
          <w:ilvl w:val="1"/>
          <w:numId w:val="2"/>
        </w:numPr>
        <w:suppressLineNumbers/>
        <w:tabs>
          <w:tab w:val="clear" w:pos="1440"/>
          <w:tab w:val="left" w:pos="1418"/>
        </w:tabs>
        <w:suppressAutoHyphens/>
        <w:rPr>
          <w:kern w:val="22"/>
          <w:szCs w:val="22"/>
          <w:lang w:val="fr-CA"/>
        </w:rPr>
      </w:pPr>
      <w:r w:rsidRPr="00B26B5B">
        <w:rPr>
          <w:kern w:val="22"/>
          <w:szCs w:val="22"/>
          <w:lang w:val="fr-CA"/>
        </w:rPr>
        <w:t xml:space="preserve">Mise en œuvre </w:t>
      </w:r>
      <w:r w:rsidR="00236B77">
        <w:rPr>
          <w:kern w:val="22"/>
          <w:szCs w:val="22"/>
          <w:lang w:val="fr-CA"/>
        </w:rPr>
        <w:t xml:space="preserve">à l’échelle </w:t>
      </w:r>
      <w:r w:rsidRPr="00B26B5B">
        <w:rPr>
          <w:kern w:val="22"/>
          <w:szCs w:val="22"/>
          <w:lang w:val="fr-CA"/>
        </w:rPr>
        <w:t>nationale</w:t>
      </w:r>
      <w:r w:rsidR="006E4722">
        <w:rPr>
          <w:kern w:val="22"/>
          <w:szCs w:val="22"/>
          <w:lang w:val="fr-CA"/>
        </w:rPr>
        <w:t>,</w:t>
      </w:r>
      <w:r w:rsidRPr="00B26B5B">
        <w:rPr>
          <w:kern w:val="22"/>
          <w:szCs w:val="22"/>
          <w:lang w:val="fr-CA"/>
        </w:rPr>
        <w:t xml:space="preserve"> </w:t>
      </w:r>
      <w:r w:rsidR="00C837FE">
        <w:rPr>
          <w:kern w:val="22"/>
          <w:szCs w:val="22"/>
          <w:lang w:val="fr-CA"/>
        </w:rPr>
        <w:t>SPANB</w:t>
      </w:r>
      <w:r w:rsidRPr="00B26B5B">
        <w:rPr>
          <w:kern w:val="22"/>
          <w:szCs w:val="22"/>
          <w:lang w:val="fr-CA"/>
        </w:rPr>
        <w:t>, processus de révision et mécanismes de responsabilité</w:t>
      </w:r>
      <w:r w:rsidR="00151CBC" w:rsidRPr="00B26B5B">
        <w:rPr>
          <w:kern w:val="22"/>
          <w:szCs w:val="22"/>
          <w:lang w:val="fr-CA"/>
        </w:rPr>
        <w:t>.</w:t>
      </w:r>
    </w:p>
    <w:p w:rsidR="00151CBC" w:rsidRPr="00B26B5B" w:rsidRDefault="00C84475" w:rsidP="00C33570">
      <w:pPr>
        <w:pStyle w:val="Para1"/>
        <w:suppressLineNumbers/>
        <w:tabs>
          <w:tab w:val="clear" w:pos="360"/>
        </w:tabs>
        <w:suppressAutoHyphens/>
        <w:rPr>
          <w:kern w:val="22"/>
          <w:szCs w:val="22"/>
          <w:lang w:val="fr-CA"/>
        </w:rPr>
      </w:pPr>
      <w:r w:rsidRPr="00B26B5B">
        <w:rPr>
          <w:kern w:val="22"/>
          <w:szCs w:val="22"/>
          <w:lang w:val="fr-CA"/>
        </w:rPr>
        <w:t>Chaque groupe s’est arrêté dans les huit stations, et les animateurs dans ces stations ont résumé les échanges et présenté leur rapport à la plénière</w:t>
      </w:r>
      <w:r w:rsidR="00151CBC" w:rsidRPr="00B26B5B">
        <w:rPr>
          <w:kern w:val="22"/>
          <w:szCs w:val="22"/>
          <w:lang w:val="fr-CA"/>
        </w:rPr>
        <w:t>.</w:t>
      </w:r>
    </w:p>
    <w:p w:rsidR="00DB062C" w:rsidRPr="00B26B5B" w:rsidRDefault="00C84475" w:rsidP="00C33570">
      <w:pPr>
        <w:pStyle w:val="Para1"/>
        <w:suppressLineNumbers/>
        <w:tabs>
          <w:tab w:val="clear" w:pos="360"/>
        </w:tabs>
        <w:suppressAutoHyphens/>
        <w:rPr>
          <w:kern w:val="22"/>
          <w:szCs w:val="22"/>
          <w:lang w:val="fr-CA"/>
        </w:rPr>
      </w:pPr>
      <w:r w:rsidRPr="00B26B5B">
        <w:rPr>
          <w:kern w:val="22"/>
          <w:szCs w:val="22"/>
          <w:lang w:val="fr-CA"/>
        </w:rPr>
        <w:t>Les participants ont ensuite échangé sur les rapports des huit stations et ont retenu les sujets suivants aux fins d’échanges plus approfondis</w:t>
      </w:r>
      <w:r w:rsidR="00CD0FC3">
        <w:rPr>
          <w:kern w:val="22"/>
          <w:szCs w:val="22"/>
          <w:lang w:val="fr-CA"/>
        </w:rPr>
        <w:t> </w:t>
      </w:r>
      <w:r w:rsidR="00DB062C" w:rsidRPr="00B26B5B">
        <w:rPr>
          <w:kern w:val="22"/>
          <w:szCs w:val="22"/>
          <w:lang w:val="fr-CA"/>
        </w:rPr>
        <w:t>:</w:t>
      </w:r>
    </w:p>
    <w:p w:rsidR="00DB062C" w:rsidRPr="00B26B5B" w:rsidRDefault="00C84475" w:rsidP="00C33570">
      <w:pPr>
        <w:pStyle w:val="Para1"/>
        <w:numPr>
          <w:ilvl w:val="1"/>
          <w:numId w:val="2"/>
        </w:numPr>
        <w:suppressLineNumbers/>
        <w:suppressAutoHyphens/>
        <w:rPr>
          <w:kern w:val="22"/>
          <w:szCs w:val="22"/>
          <w:lang w:val="fr-CA"/>
        </w:rPr>
      </w:pPr>
      <w:r w:rsidRPr="00B26B5B">
        <w:rPr>
          <w:kern w:val="22"/>
          <w:szCs w:val="22"/>
          <w:lang w:val="fr-CA"/>
        </w:rPr>
        <w:t>Mobilisation des ressources et mécanisme de financement</w:t>
      </w:r>
      <w:r w:rsidR="00B92D18">
        <w:rPr>
          <w:kern w:val="22"/>
          <w:szCs w:val="22"/>
          <w:lang w:val="fr-CA"/>
        </w:rPr>
        <w:t>;</w:t>
      </w:r>
    </w:p>
    <w:p w:rsidR="00972846" w:rsidRPr="00B26B5B" w:rsidRDefault="00C84475" w:rsidP="00C33570">
      <w:pPr>
        <w:pStyle w:val="Para1"/>
        <w:numPr>
          <w:ilvl w:val="1"/>
          <w:numId w:val="2"/>
        </w:numPr>
        <w:suppressLineNumbers/>
        <w:suppressAutoHyphens/>
        <w:rPr>
          <w:kern w:val="22"/>
          <w:szCs w:val="22"/>
          <w:lang w:val="fr-CA"/>
        </w:rPr>
      </w:pPr>
      <w:r w:rsidRPr="00B26B5B">
        <w:rPr>
          <w:kern w:val="22"/>
          <w:szCs w:val="22"/>
          <w:lang w:val="fr-CA"/>
        </w:rPr>
        <w:t>Coopération régionale</w:t>
      </w:r>
      <w:r w:rsidR="00B92D18">
        <w:rPr>
          <w:kern w:val="22"/>
          <w:szCs w:val="22"/>
          <w:lang w:val="fr-CA"/>
        </w:rPr>
        <w:t>;</w:t>
      </w:r>
    </w:p>
    <w:p w:rsidR="00972846" w:rsidRPr="00B26B5B" w:rsidRDefault="00C84475" w:rsidP="00C33570">
      <w:pPr>
        <w:pStyle w:val="Para1"/>
        <w:numPr>
          <w:ilvl w:val="1"/>
          <w:numId w:val="2"/>
        </w:numPr>
        <w:suppressLineNumbers/>
        <w:suppressAutoHyphens/>
        <w:rPr>
          <w:kern w:val="22"/>
          <w:szCs w:val="22"/>
          <w:lang w:val="fr-CA"/>
        </w:rPr>
      </w:pPr>
      <w:r w:rsidRPr="00B26B5B">
        <w:rPr>
          <w:kern w:val="22"/>
          <w:szCs w:val="22"/>
          <w:lang w:val="fr-CA"/>
        </w:rPr>
        <w:t>Responsabilité/conformité</w:t>
      </w:r>
      <w:r w:rsidR="00B92D18">
        <w:rPr>
          <w:kern w:val="22"/>
          <w:szCs w:val="22"/>
          <w:lang w:val="fr-CA"/>
        </w:rPr>
        <w:t>;</w:t>
      </w:r>
    </w:p>
    <w:p w:rsidR="00493EFA" w:rsidRPr="00B26B5B" w:rsidRDefault="00C84475" w:rsidP="00C33570">
      <w:pPr>
        <w:pStyle w:val="Para1"/>
        <w:numPr>
          <w:ilvl w:val="1"/>
          <w:numId w:val="2"/>
        </w:numPr>
        <w:suppressLineNumbers/>
        <w:suppressAutoHyphens/>
        <w:rPr>
          <w:kern w:val="22"/>
          <w:szCs w:val="22"/>
          <w:lang w:val="fr-CA"/>
        </w:rPr>
      </w:pPr>
      <w:r w:rsidRPr="00B26B5B">
        <w:rPr>
          <w:kern w:val="22"/>
          <w:szCs w:val="22"/>
          <w:lang w:val="fr-CA"/>
        </w:rPr>
        <w:t>Structure du cadre de l’après-2020</w:t>
      </w:r>
      <w:r w:rsidR="00972846" w:rsidRPr="00B26B5B">
        <w:rPr>
          <w:kern w:val="22"/>
          <w:szCs w:val="22"/>
          <w:lang w:val="fr-CA"/>
        </w:rPr>
        <w:t>.</w:t>
      </w:r>
    </w:p>
    <w:p w:rsidR="00493EFA" w:rsidRPr="00B26B5B" w:rsidRDefault="001371DA" w:rsidP="00C33570">
      <w:pPr>
        <w:pStyle w:val="Para1"/>
        <w:numPr>
          <w:ilvl w:val="0"/>
          <w:numId w:val="0"/>
        </w:numPr>
        <w:suppressLineNumbers/>
        <w:suppressAutoHyphens/>
        <w:ind w:left="360"/>
        <w:jc w:val="center"/>
        <w:rPr>
          <w:b/>
          <w:kern w:val="22"/>
          <w:szCs w:val="22"/>
          <w:lang w:val="fr-CA"/>
        </w:rPr>
      </w:pPr>
      <w:r w:rsidRPr="00B26B5B">
        <w:rPr>
          <w:b/>
          <w:kern w:val="22"/>
          <w:szCs w:val="22"/>
          <w:lang w:val="fr-CA"/>
        </w:rPr>
        <w:t>Point</w:t>
      </w:r>
      <w:r w:rsidR="00F8647F" w:rsidRPr="00B26B5B">
        <w:rPr>
          <w:b/>
          <w:kern w:val="22"/>
          <w:szCs w:val="22"/>
          <w:lang w:val="fr-CA"/>
        </w:rPr>
        <w:t xml:space="preserve"> 10. </w:t>
      </w:r>
      <w:r w:rsidRPr="00B26B5B">
        <w:rPr>
          <w:b/>
          <w:snapToGrid/>
          <w:kern w:val="22"/>
          <w:lang w:val="fr-CA"/>
        </w:rPr>
        <w:t>Conclusion et clôture de la consultation</w:t>
      </w:r>
    </w:p>
    <w:p w:rsidR="00DB062C" w:rsidRPr="00B26B5B" w:rsidRDefault="00C84475" w:rsidP="00C33570">
      <w:pPr>
        <w:pStyle w:val="Para1"/>
        <w:suppressLineNumbers/>
        <w:tabs>
          <w:tab w:val="clear" w:pos="360"/>
        </w:tabs>
        <w:suppressAutoHyphens/>
        <w:rPr>
          <w:kern w:val="22"/>
          <w:szCs w:val="22"/>
          <w:lang w:val="fr-CA"/>
        </w:rPr>
      </w:pPr>
      <w:r w:rsidRPr="00B26B5B">
        <w:rPr>
          <w:kern w:val="22"/>
          <w:szCs w:val="22"/>
          <w:lang w:val="fr-CA"/>
        </w:rPr>
        <w:t>Les participants ont partagé leurs réflexions sur les résultats de l’atelier de consultation. Les coprésidents du Groupe de travail à compos</w:t>
      </w:r>
      <w:r w:rsidR="00E40864">
        <w:rPr>
          <w:kern w:val="22"/>
          <w:szCs w:val="22"/>
          <w:lang w:val="fr-CA"/>
        </w:rPr>
        <w:t>ition non limitée ont aussi prés</w:t>
      </w:r>
      <w:r w:rsidRPr="00B26B5B">
        <w:rPr>
          <w:kern w:val="22"/>
          <w:szCs w:val="22"/>
          <w:lang w:val="fr-CA"/>
        </w:rPr>
        <w:t>enté leurs réflexions sur la consultation régionale, ainsi que les prochaines étapes et les attentes à l’égard de l’élaboration du cadre mondial de la biodiversité pour l</w:t>
      </w:r>
      <w:r w:rsidR="00CD0FC3">
        <w:rPr>
          <w:kern w:val="22"/>
          <w:szCs w:val="22"/>
          <w:lang w:val="fr-CA"/>
        </w:rPr>
        <w:t>’</w:t>
      </w:r>
      <w:r w:rsidRPr="00B26B5B">
        <w:rPr>
          <w:kern w:val="22"/>
          <w:szCs w:val="22"/>
          <w:lang w:val="fr-CA"/>
        </w:rPr>
        <w:t>après-2020</w:t>
      </w:r>
      <w:r w:rsidR="00451BB6" w:rsidRPr="00B26B5B">
        <w:rPr>
          <w:kern w:val="22"/>
          <w:szCs w:val="22"/>
          <w:lang w:val="fr-CA"/>
        </w:rPr>
        <w:t>.</w:t>
      </w:r>
    </w:p>
    <w:p w:rsidR="00493EFA" w:rsidRPr="00B26B5B" w:rsidRDefault="00C84475" w:rsidP="00C33570">
      <w:pPr>
        <w:pStyle w:val="Para1"/>
        <w:suppressLineNumbers/>
        <w:tabs>
          <w:tab w:val="clear" w:pos="360"/>
        </w:tabs>
        <w:suppressAutoHyphens/>
        <w:rPr>
          <w:kern w:val="22"/>
          <w:szCs w:val="22"/>
          <w:lang w:val="fr-CA"/>
        </w:rPr>
      </w:pPr>
      <w:r w:rsidRPr="00B26B5B">
        <w:rPr>
          <w:kern w:val="22"/>
          <w:szCs w:val="22"/>
          <w:lang w:val="fr-CA"/>
        </w:rPr>
        <w:t xml:space="preserve">Après </w:t>
      </w:r>
      <w:r w:rsidR="007A31FE" w:rsidRPr="00B26B5B">
        <w:rPr>
          <w:kern w:val="22"/>
          <w:szCs w:val="22"/>
          <w:lang w:val="fr-CA"/>
        </w:rPr>
        <w:t>la conclusion présentée par Mme</w:t>
      </w:r>
      <w:r w:rsidR="00451BB6" w:rsidRPr="00B26B5B">
        <w:rPr>
          <w:kern w:val="22"/>
          <w:szCs w:val="22"/>
          <w:lang w:val="fr-CA"/>
        </w:rPr>
        <w:t xml:space="preserve"> </w:t>
      </w:r>
      <w:r w:rsidR="00451BB6" w:rsidRPr="00B26B5B">
        <w:rPr>
          <w:noProof/>
          <w:kern w:val="22"/>
          <w:szCs w:val="22"/>
          <w:lang w:val="fr-CA"/>
        </w:rPr>
        <w:t>Jyoti Mathur-Filipp</w:t>
      </w:r>
      <w:r w:rsidR="007A31FE" w:rsidRPr="00B26B5B">
        <w:rPr>
          <w:kern w:val="22"/>
          <w:szCs w:val="22"/>
          <w:lang w:val="fr-CA"/>
        </w:rPr>
        <w:t xml:space="preserve"> (CDB</w:t>
      </w:r>
      <w:r w:rsidR="00451BB6" w:rsidRPr="00B26B5B">
        <w:rPr>
          <w:kern w:val="22"/>
          <w:szCs w:val="22"/>
          <w:lang w:val="fr-CA"/>
        </w:rPr>
        <w:t>),</w:t>
      </w:r>
      <w:r w:rsidR="00DB062C" w:rsidRPr="00B26B5B">
        <w:rPr>
          <w:kern w:val="22"/>
          <w:szCs w:val="22"/>
          <w:lang w:val="fr-CA"/>
        </w:rPr>
        <w:t xml:space="preserve"> </w:t>
      </w:r>
      <w:r w:rsidR="00DD0326" w:rsidRPr="00B26B5B">
        <w:rPr>
          <w:kern w:val="22"/>
          <w:szCs w:val="22"/>
          <w:lang w:val="fr-CA"/>
        </w:rPr>
        <w:t>M</w:t>
      </w:r>
      <w:r w:rsidR="00DB062C" w:rsidRPr="00B26B5B">
        <w:rPr>
          <w:kern w:val="22"/>
          <w:szCs w:val="22"/>
          <w:lang w:val="fr-CA"/>
        </w:rPr>
        <w:t xml:space="preserve">. </w:t>
      </w:r>
      <w:proofErr w:type="spellStart"/>
      <w:r w:rsidR="00DB062C" w:rsidRPr="00B26B5B">
        <w:rPr>
          <w:kern w:val="22"/>
          <w:szCs w:val="22"/>
          <w:lang w:val="fr-CA"/>
        </w:rPr>
        <w:t>Hamdallah</w:t>
      </w:r>
      <w:proofErr w:type="spellEnd"/>
      <w:r w:rsidR="00DB062C" w:rsidRPr="00B26B5B">
        <w:rPr>
          <w:kern w:val="22"/>
          <w:szCs w:val="22"/>
          <w:lang w:val="fr-CA"/>
        </w:rPr>
        <w:t xml:space="preserve"> </w:t>
      </w:r>
      <w:proofErr w:type="spellStart"/>
      <w:r w:rsidR="00DB062C" w:rsidRPr="00B26B5B">
        <w:rPr>
          <w:kern w:val="22"/>
          <w:szCs w:val="22"/>
          <w:lang w:val="fr-CA"/>
        </w:rPr>
        <w:t>Zedan</w:t>
      </w:r>
      <w:proofErr w:type="spellEnd"/>
      <w:r w:rsidR="00DB062C" w:rsidRPr="00B26B5B">
        <w:rPr>
          <w:kern w:val="22"/>
          <w:szCs w:val="22"/>
          <w:lang w:val="fr-CA"/>
        </w:rPr>
        <w:t xml:space="preserve"> (</w:t>
      </w:r>
      <w:r w:rsidR="007A31FE" w:rsidRPr="00B26B5B">
        <w:rPr>
          <w:kern w:val="22"/>
          <w:szCs w:val="22"/>
          <w:lang w:val="fr-CA"/>
        </w:rPr>
        <w:t>Égypte</w:t>
      </w:r>
      <w:r w:rsidR="00DB062C" w:rsidRPr="00B26B5B">
        <w:rPr>
          <w:kern w:val="22"/>
          <w:szCs w:val="22"/>
          <w:lang w:val="fr-CA"/>
        </w:rPr>
        <w:t xml:space="preserve">), </w:t>
      </w:r>
      <w:r w:rsidR="007A31FE" w:rsidRPr="00B26B5B">
        <w:rPr>
          <w:kern w:val="22"/>
          <w:szCs w:val="22"/>
          <w:lang w:val="fr-CA"/>
        </w:rPr>
        <w:t>et M</w:t>
      </w:r>
      <w:r w:rsidR="00DB062C" w:rsidRPr="00B26B5B">
        <w:rPr>
          <w:kern w:val="22"/>
          <w:szCs w:val="22"/>
          <w:lang w:val="fr-CA"/>
        </w:rPr>
        <w:t>.</w:t>
      </w:r>
      <w:r w:rsidR="00BC0951" w:rsidRPr="00B26B5B">
        <w:rPr>
          <w:kern w:val="22"/>
          <w:szCs w:val="22"/>
          <w:lang w:val="fr-CA"/>
        </w:rPr>
        <w:t> </w:t>
      </w:r>
      <w:r w:rsidR="00DB062C" w:rsidRPr="00B26B5B">
        <w:rPr>
          <w:kern w:val="22"/>
          <w:szCs w:val="22"/>
          <w:lang w:val="fr-CA"/>
        </w:rPr>
        <w:t xml:space="preserve">Livingstone </w:t>
      </w:r>
      <w:proofErr w:type="spellStart"/>
      <w:r w:rsidR="00DB062C" w:rsidRPr="00B26B5B">
        <w:rPr>
          <w:kern w:val="22"/>
          <w:szCs w:val="22"/>
          <w:lang w:val="fr-CA"/>
        </w:rPr>
        <w:t>Sindayigaya</w:t>
      </w:r>
      <w:proofErr w:type="spellEnd"/>
      <w:r w:rsidR="00DB062C" w:rsidRPr="00B26B5B">
        <w:rPr>
          <w:kern w:val="22"/>
          <w:szCs w:val="22"/>
          <w:lang w:val="fr-CA"/>
        </w:rPr>
        <w:t xml:space="preserve"> (</w:t>
      </w:r>
      <w:r w:rsidR="007A31FE" w:rsidRPr="00B26B5B">
        <w:rPr>
          <w:kern w:val="22"/>
          <w:szCs w:val="22"/>
          <w:lang w:val="fr-CA"/>
        </w:rPr>
        <w:t>Université américaine du Caire</w:t>
      </w:r>
      <w:r w:rsidR="00DB062C" w:rsidRPr="00B26B5B">
        <w:rPr>
          <w:kern w:val="22"/>
          <w:szCs w:val="22"/>
          <w:lang w:val="fr-CA"/>
        </w:rPr>
        <w:t>),</w:t>
      </w:r>
      <w:r w:rsidR="00451BB6" w:rsidRPr="00B26B5B">
        <w:rPr>
          <w:kern w:val="22"/>
          <w:szCs w:val="22"/>
          <w:lang w:val="fr-CA"/>
        </w:rPr>
        <w:t xml:space="preserve"> </w:t>
      </w:r>
      <w:r w:rsidR="007A31FE" w:rsidRPr="00B26B5B">
        <w:rPr>
          <w:kern w:val="22"/>
          <w:szCs w:val="22"/>
          <w:lang w:val="fr-CA"/>
        </w:rPr>
        <w:t>la consultation a pris fin à 13 h, le 5 avril 2019</w:t>
      </w:r>
      <w:r w:rsidR="00451BB6" w:rsidRPr="00B26B5B">
        <w:rPr>
          <w:kern w:val="22"/>
          <w:szCs w:val="22"/>
          <w:lang w:val="fr-CA"/>
        </w:rPr>
        <w:t>.</w:t>
      </w:r>
    </w:p>
    <w:p w:rsidR="00A601F4" w:rsidRPr="00691470" w:rsidRDefault="00013845" w:rsidP="00C33570">
      <w:pPr>
        <w:suppressLineNumbers/>
        <w:suppressAutoHyphens/>
        <w:spacing w:before="120" w:after="120"/>
        <w:jc w:val="center"/>
        <w:rPr>
          <w:kern w:val="22"/>
          <w:szCs w:val="22"/>
        </w:rPr>
      </w:pPr>
      <w:r w:rsidRPr="00691470">
        <w:rPr>
          <w:kern w:val="22"/>
          <w:szCs w:val="22"/>
        </w:rPr>
        <w:t>__________</w:t>
      </w:r>
    </w:p>
    <w:sectPr w:rsidR="00A601F4" w:rsidRPr="00691470" w:rsidSect="00014FA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E6" w:rsidRDefault="008407E6" w:rsidP="00CF1848">
      <w:r>
        <w:separator/>
      </w:r>
    </w:p>
  </w:endnote>
  <w:endnote w:type="continuationSeparator" w:id="0">
    <w:p w:rsidR="008407E6" w:rsidRDefault="008407E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E6" w:rsidRDefault="008407E6" w:rsidP="00CF1848">
      <w:r>
        <w:separator/>
      </w:r>
    </w:p>
  </w:footnote>
  <w:footnote w:type="continuationSeparator" w:id="0">
    <w:p w:rsidR="008407E6" w:rsidRDefault="008407E6" w:rsidP="00CF1848">
      <w:r>
        <w:continuationSeparator/>
      </w:r>
    </w:p>
  </w:footnote>
  <w:footnote w:id="1">
    <w:p w:rsidR="00C24A27" w:rsidRPr="00C33570" w:rsidRDefault="00C24A27" w:rsidP="00374377">
      <w:pPr>
        <w:pStyle w:val="Notedebasdepage"/>
        <w:ind w:firstLine="0"/>
        <w:jc w:val="left"/>
        <w:rPr>
          <w:kern w:val="18"/>
          <w:szCs w:val="18"/>
          <w:lang w:val="en-US"/>
        </w:rPr>
      </w:pPr>
      <w:r w:rsidRPr="00C33570">
        <w:rPr>
          <w:rStyle w:val="Appelnotedebasdep"/>
          <w:kern w:val="18"/>
          <w:sz w:val="18"/>
          <w:szCs w:val="18"/>
        </w:rPr>
        <w:footnoteRef/>
      </w:r>
      <w:r w:rsidRPr="00C33570">
        <w:rPr>
          <w:kern w:val="18"/>
          <w:szCs w:val="18"/>
        </w:rPr>
        <w:t xml:space="preserve"> </w:t>
      </w:r>
      <w:hyperlink r:id="rId1" w:history="1">
        <w:r>
          <w:rPr>
            <w:rStyle w:val="Lienhypertexte"/>
            <w:kern w:val="18"/>
            <w:szCs w:val="18"/>
          </w:rPr>
          <w:t>https://au.int/fr/agenda2063</w:t>
        </w:r>
      </w:hyperlink>
    </w:p>
  </w:footnote>
  <w:footnote w:id="2">
    <w:p w:rsidR="00C24A27" w:rsidRPr="00C33570" w:rsidRDefault="00C24A27" w:rsidP="00C33570">
      <w:pPr>
        <w:pStyle w:val="Notedebasdepage"/>
        <w:ind w:firstLine="0"/>
        <w:jc w:val="left"/>
        <w:rPr>
          <w:kern w:val="18"/>
          <w:szCs w:val="18"/>
          <w:lang w:val="en-US"/>
        </w:rPr>
      </w:pPr>
      <w:r w:rsidRPr="00C33570">
        <w:rPr>
          <w:rStyle w:val="Appelnotedebasdep"/>
          <w:kern w:val="18"/>
          <w:sz w:val="18"/>
          <w:szCs w:val="18"/>
        </w:rPr>
        <w:footnoteRef/>
      </w:r>
      <w:r w:rsidRPr="00C33570">
        <w:rPr>
          <w:kern w:val="18"/>
          <w:szCs w:val="18"/>
        </w:rPr>
        <w:t xml:space="preserve"> </w:t>
      </w:r>
      <w:r w:rsidR="00010A88">
        <w:rPr>
          <w:kern w:val="18"/>
          <w:szCs w:val="18"/>
        </w:rPr>
        <w:t xml:space="preserve">http://www.nepad.org/publications/action-plan-environment-initiative-0  </w:t>
      </w:r>
    </w:p>
  </w:footnote>
  <w:footnote w:id="3">
    <w:p w:rsidR="00C24A27" w:rsidRPr="00C33570" w:rsidRDefault="00C24A27" w:rsidP="00C33570">
      <w:pPr>
        <w:pStyle w:val="Notedebasdepage"/>
        <w:ind w:firstLine="0"/>
        <w:jc w:val="left"/>
        <w:rPr>
          <w:kern w:val="18"/>
          <w:szCs w:val="18"/>
          <w:lang w:val="en-US"/>
        </w:rPr>
      </w:pPr>
      <w:r w:rsidRPr="00C33570">
        <w:rPr>
          <w:rStyle w:val="Appelnotedebasdep"/>
          <w:kern w:val="18"/>
          <w:sz w:val="18"/>
          <w:szCs w:val="18"/>
        </w:rPr>
        <w:footnoteRef/>
      </w:r>
      <w:r w:rsidRPr="00C33570">
        <w:rPr>
          <w:kern w:val="18"/>
          <w:szCs w:val="18"/>
        </w:rPr>
        <w:t xml:space="preserve"> </w:t>
      </w:r>
      <w:hyperlink r:id="rId2" w:history="1">
        <w:r>
          <w:rPr>
            <w:rStyle w:val="Lienhypertexte"/>
            <w:kern w:val="18"/>
            <w:szCs w:val="18"/>
          </w:rPr>
          <w:t>https://au.int/fr/node/33796</w:t>
        </w:r>
      </w:hyperlink>
    </w:p>
  </w:footnote>
  <w:footnote w:id="4">
    <w:p w:rsidR="00C24A27" w:rsidRPr="00146837" w:rsidRDefault="00C24A27">
      <w:pPr>
        <w:pStyle w:val="Notedebasdepage"/>
        <w:ind w:firstLine="0"/>
        <w:jc w:val="left"/>
        <w:rPr>
          <w:kern w:val="18"/>
          <w:szCs w:val="18"/>
          <w:lang w:val="fr-CA"/>
        </w:rPr>
      </w:pPr>
      <w:r w:rsidRPr="00C33570">
        <w:rPr>
          <w:rStyle w:val="Appelnotedebasdep"/>
          <w:kern w:val="18"/>
          <w:sz w:val="18"/>
          <w:szCs w:val="18"/>
        </w:rPr>
        <w:footnoteRef/>
      </w:r>
      <w:r w:rsidRPr="00146837">
        <w:rPr>
          <w:kern w:val="18"/>
          <w:szCs w:val="18"/>
          <w:lang w:val="fr-CA"/>
        </w:rPr>
        <w:t xml:space="preserve"> Décision 9/7: </w:t>
      </w:r>
      <w:hyperlink r:id="rId3" w:history="1">
        <w:r w:rsidRPr="00146837">
          <w:rPr>
            <w:rStyle w:val="Lienhypertexte"/>
            <w:kern w:val="18"/>
            <w:szCs w:val="18"/>
            <w:lang w:val="fr-CA"/>
          </w:rPr>
          <w:t>https://www.cbd.i</w:t>
        </w:r>
        <w:bookmarkStart w:id="0" w:name="_GoBack"/>
        <w:bookmarkEnd w:id="0"/>
        <w:r w:rsidRPr="00146837">
          <w:rPr>
            <w:rStyle w:val="Lienhypertexte"/>
            <w:kern w:val="18"/>
            <w:szCs w:val="18"/>
            <w:lang w:val="fr-CA"/>
          </w:rPr>
          <w:t>n</w:t>
        </w:r>
        <w:r w:rsidRPr="00146837">
          <w:rPr>
            <w:rStyle w:val="Lienhypertexte"/>
            <w:kern w:val="18"/>
            <w:szCs w:val="18"/>
            <w:lang w:val="fr-CA"/>
          </w:rPr>
          <w:t>t/decisions/mop/?m=cp-mop-09</w:t>
        </w:r>
      </w:hyperlink>
      <w:r w:rsidRPr="00146837">
        <w:rPr>
          <w:kern w:val="18"/>
          <w:szCs w:val="18"/>
          <w:lang w:val="fr-CA"/>
        </w:rPr>
        <w:t xml:space="preserve">. </w:t>
      </w:r>
    </w:p>
  </w:footnote>
  <w:footnote w:id="5">
    <w:p w:rsidR="00C24A27" w:rsidRPr="005D4EDD" w:rsidRDefault="00C24A27" w:rsidP="00C33570">
      <w:pPr>
        <w:pStyle w:val="Notedebasdepage"/>
        <w:ind w:firstLine="0"/>
        <w:jc w:val="left"/>
        <w:rPr>
          <w:kern w:val="18"/>
          <w:szCs w:val="18"/>
          <w:lang w:val="fr-CA"/>
        </w:rPr>
      </w:pPr>
      <w:r w:rsidRPr="00C33570">
        <w:rPr>
          <w:rStyle w:val="Appelnotedebasdep"/>
          <w:kern w:val="18"/>
          <w:sz w:val="18"/>
          <w:szCs w:val="18"/>
        </w:rPr>
        <w:footnoteRef/>
      </w:r>
      <w:r w:rsidRPr="005D4EDD">
        <w:rPr>
          <w:kern w:val="18"/>
          <w:szCs w:val="18"/>
          <w:lang w:val="fr-CA"/>
        </w:rPr>
        <w:t xml:space="preserve"> </w:t>
      </w:r>
      <w:r>
        <w:rPr>
          <w:kern w:val="18"/>
          <w:szCs w:val="18"/>
          <w:lang w:val="fr-CA"/>
        </w:rPr>
        <w:t>La Conférence des Parties, dans sa décision 14/27, a souligné la valeur de mieux aligner les rapports nationaux soumis au titre de la Convention et de ses Protocoles et d’accroître les synergies d’établissement des rapports avec les conventions liées à la diversité biologique et les Conventions de Rio, afin de réduire le fardeau de l’établissement des rapports, et a reconnu le potentiel qu’offre le cadre mondial de la biodiversité pour l'après-2020 de faciliter un tel alignement. Elle a aussi demandé à la Secrétaire exécutive d’identifier des mesures concrètes visant à faire avancer les synergies sur l’établissement des rapports entre les conventions liées à la diversité biologique et les Conventions de Rio (paragraphe 3 e)) et d’analyser les synergies avec les outils et les systèmes pertinents d’établissement de rapports pour les Objectifs de développement durable, notamment concernant les approches méthodologiques</w:t>
      </w:r>
      <w:r w:rsidRPr="005D4EDD">
        <w:rPr>
          <w:kern w:val="18"/>
          <w:szCs w:val="18"/>
          <w:lang w:val="fr-CA"/>
        </w:rPr>
        <w:t>.</w:t>
      </w:r>
    </w:p>
  </w:footnote>
  <w:footnote w:id="6">
    <w:p w:rsidR="00C24A27" w:rsidRPr="00FA7E41" w:rsidRDefault="00C24A27">
      <w:pPr>
        <w:pStyle w:val="Notedebasdepage"/>
        <w:ind w:firstLine="0"/>
        <w:jc w:val="left"/>
        <w:rPr>
          <w:kern w:val="18"/>
          <w:szCs w:val="18"/>
          <w:lang w:val="fr-CA"/>
        </w:rPr>
      </w:pPr>
      <w:r w:rsidRPr="00C33570">
        <w:rPr>
          <w:rStyle w:val="Appelnotedebasdep"/>
          <w:kern w:val="18"/>
          <w:sz w:val="18"/>
          <w:szCs w:val="18"/>
        </w:rPr>
        <w:footnoteRef/>
      </w:r>
      <w:r w:rsidRPr="00FA7E41">
        <w:rPr>
          <w:kern w:val="18"/>
          <w:szCs w:val="18"/>
          <w:lang w:val="fr-CA"/>
        </w:rPr>
        <w:t xml:space="preserve"> Voir les documents du Sommet sur le site </w:t>
      </w:r>
      <w:r w:rsidR="00E94370" w:rsidRPr="00E94370">
        <w:rPr>
          <w:kern w:val="18"/>
          <w:szCs w:val="18"/>
          <w:lang w:val="fr-CA"/>
        </w:rPr>
        <w:t>https://www.cbd.int./conference</w:t>
      </w:r>
      <w:r w:rsidR="00E94370">
        <w:rPr>
          <w:kern w:val="18"/>
          <w:szCs w:val="18"/>
          <w:lang w:val="fr-CA"/>
        </w:rPr>
        <w:t>s</w:t>
      </w:r>
      <w:r w:rsidR="00E94370" w:rsidRPr="00E94370">
        <w:rPr>
          <w:kern w:val="18"/>
          <w:szCs w:val="18"/>
          <w:lang w:val="fr-CA"/>
        </w:rPr>
        <w:t>/2018/cop-14-afr-hls/documents</w:t>
      </w:r>
      <w:r w:rsidR="00E94370">
        <w:rPr>
          <w:kern w:val="18"/>
          <w:szCs w:val="18"/>
          <w:lang w:val="fr-CA"/>
        </w:rPr>
        <w:t xml:space="preserve"> </w:t>
      </w:r>
    </w:p>
  </w:footnote>
  <w:footnote w:id="7">
    <w:p w:rsidR="00C24A27" w:rsidRPr="00FA7E41" w:rsidRDefault="00C24A27">
      <w:pPr>
        <w:pStyle w:val="Notedebasdepage"/>
        <w:ind w:firstLine="0"/>
        <w:jc w:val="left"/>
        <w:rPr>
          <w:kern w:val="18"/>
          <w:szCs w:val="18"/>
          <w:lang w:val="fr-CA"/>
        </w:rPr>
      </w:pPr>
      <w:r w:rsidRPr="00C33570">
        <w:rPr>
          <w:rStyle w:val="Appelnotedebasdep"/>
          <w:kern w:val="18"/>
          <w:sz w:val="18"/>
          <w:szCs w:val="18"/>
        </w:rPr>
        <w:footnoteRef/>
      </w:r>
      <w:r w:rsidRPr="00FA7E41">
        <w:rPr>
          <w:kern w:val="18"/>
          <w:szCs w:val="18"/>
          <w:lang w:val="fr-CA"/>
        </w:rPr>
        <w:t xml:space="preserve"> Voir le rapport sur le site</w:t>
      </w:r>
      <w:r w:rsidR="00E94370">
        <w:rPr>
          <w:kern w:val="18"/>
          <w:szCs w:val="18"/>
          <w:lang w:val="fr-CA"/>
        </w:rPr>
        <w:t xml:space="preserve"> https://cbd.</w:t>
      </w:r>
      <w:r w:rsidR="007578D0">
        <w:rPr>
          <w:kern w:val="18"/>
          <w:szCs w:val="18"/>
          <w:lang w:val="fr-CA"/>
        </w:rPr>
        <w:t>int/doc/c/38b8/417d/</w:t>
      </w:r>
      <w:r w:rsidR="00E94370">
        <w:rPr>
          <w:kern w:val="18"/>
          <w:szCs w:val="18"/>
          <w:lang w:val="fr-CA"/>
        </w:rPr>
        <w:t>ecc28b57c981d0b81105f30c/post2020-ws-2019-03-report-en.pdf</w:t>
      </w:r>
      <w:r w:rsidRPr="00FA7E41">
        <w:rPr>
          <w:kern w:val="18"/>
          <w:szCs w:val="18"/>
          <w:lang w:val="fr-CA"/>
        </w:rPr>
        <w:t xml:space="preserve"> </w:t>
      </w:r>
    </w:p>
  </w:footnote>
  <w:footnote w:id="8">
    <w:p w:rsidR="00C24A27" w:rsidRPr="00FA7E41" w:rsidRDefault="00C24A27">
      <w:pPr>
        <w:pStyle w:val="Notedebasdepage"/>
        <w:ind w:firstLine="0"/>
        <w:jc w:val="left"/>
        <w:rPr>
          <w:kern w:val="18"/>
          <w:szCs w:val="18"/>
          <w:lang w:val="fr-CA"/>
        </w:rPr>
      </w:pPr>
      <w:r w:rsidRPr="00C33570">
        <w:rPr>
          <w:rStyle w:val="Appelnotedebasdep"/>
          <w:kern w:val="18"/>
          <w:sz w:val="18"/>
          <w:szCs w:val="18"/>
        </w:rPr>
        <w:footnoteRef/>
      </w:r>
      <w:r w:rsidRPr="00FA7E41">
        <w:rPr>
          <w:kern w:val="18"/>
          <w:szCs w:val="18"/>
          <w:lang w:val="fr-CA"/>
        </w:rPr>
        <w:t xml:space="preserve"> Consultez la </w:t>
      </w:r>
      <w:r>
        <w:rPr>
          <w:kern w:val="18"/>
          <w:szCs w:val="18"/>
          <w:lang w:val="fr-CA"/>
        </w:rPr>
        <w:t>prés</w:t>
      </w:r>
      <w:r w:rsidRPr="00FA7E41">
        <w:rPr>
          <w:kern w:val="18"/>
          <w:szCs w:val="18"/>
          <w:lang w:val="fr-CA"/>
        </w:rPr>
        <w:t>entation des copré</w:t>
      </w:r>
      <w:r>
        <w:rPr>
          <w:kern w:val="18"/>
          <w:szCs w:val="18"/>
          <w:lang w:val="fr-CA"/>
        </w:rPr>
        <w:t>sidents sur le site</w:t>
      </w:r>
      <w:r w:rsidRPr="00FA7E41">
        <w:rPr>
          <w:kern w:val="18"/>
          <w:szCs w:val="18"/>
          <w:lang w:val="fr-CA"/>
        </w:rPr>
        <w:t xml:space="preserve"> </w:t>
      </w:r>
      <w:r w:rsidR="00BD0728">
        <w:rPr>
          <w:kern w:val="18"/>
          <w:szCs w:val="18"/>
          <w:lang w:val="fr-CA"/>
        </w:rPr>
        <w:t xml:space="preserve">https://www.cbd.int/meetings/POST2020-WS-2019-03 </w:t>
      </w:r>
    </w:p>
  </w:footnote>
  <w:footnote w:id="9">
    <w:p w:rsidR="00C24A27" w:rsidRPr="00FA7E41" w:rsidRDefault="00C24A27" w:rsidP="00642E88">
      <w:pPr>
        <w:pStyle w:val="Notedebasdepage"/>
        <w:ind w:firstLine="0"/>
        <w:jc w:val="left"/>
        <w:rPr>
          <w:kern w:val="18"/>
          <w:szCs w:val="18"/>
          <w:lang w:val="fr-CA"/>
        </w:rPr>
      </w:pPr>
      <w:r w:rsidRPr="00C33570">
        <w:rPr>
          <w:rStyle w:val="Appelnotedebasdep"/>
          <w:kern w:val="18"/>
          <w:sz w:val="18"/>
          <w:szCs w:val="18"/>
        </w:rPr>
        <w:footnoteRef/>
      </w:r>
      <w:r w:rsidRPr="00FA7E41">
        <w:rPr>
          <w:kern w:val="18"/>
          <w:szCs w:val="18"/>
          <w:lang w:val="fr-CA"/>
        </w:rPr>
        <w:t xml:space="preserve"> Voir</w:t>
      </w:r>
      <w:r w:rsidR="00E024FD">
        <w:rPr>
          <w:kern w:val="18"/>
          <w:szCs w:val="18"/>
          <w:lang w:val="fr-CA"/>
        </w:rPr>
        <w:t xml:space="preserve"> CBD/POST2020/</w:t>
      </w:r>
      <w:proofErr w:type="spellStart"/>
      <w:r w:rsidR="00E024FD">
        <w:rPr>
          <w:kern w:val="18"/>
          <w:szCs w:val="18"/>
          <w:lang w:val="fr-CA"/>
        </w:rPr>
        <w:t>WS</w:t>
      </w:r>
      <w:proofErr w:type="spellEnd"/>
      <w:r w:rsidR="00E024FD">
        <w:rPr>
          <w:kern w:val="18"/>
          <w:szCs w:val="18"/>
          <w:lang w:val="fr-CA"/>
        </w:rPr>
        <w:t>/2019/1/1</w:t>
      </w:r>
      <w:r w:rsidRPr="00FA7E41">
        <w:rPr>
          <w:kern w:val="18"/>
          <w:szCs w:val="18"/>
          <w:lang w:val="fr-CA"/>
        </w:rPr>
        <w:t xml:space="preserve"> </w:t>
      </w:r>
      <w:hyperlink r:id="rId4" w:history="1"/>
      <w:r w:rsidRPr="00FA7E41">
        <w:rPr>
          <w:rStyle w:val="lev"/>
          <w:b w:val="0"/>
          <w:kern w:val="18"/>
          <w:szCs w:val="18"/>
          <w:lang w:val="fr-CA"/>
        </w:rPr>
        <w:t xml:space="preserve">et </w:t>
      </w:r>
      <w:r w:rsidR="00E024FD">
        <w:rPr>
          <w:kern w:val="18"/>
          <w:szCs w:val="18"/>
          <w:lang w:val="fr-CA"/>
        </w:rPr>
        <w:t>CBD/POST2020/</w:t>
      </w:r>
      <w:proofErr w:type="spellStart"/>
      <w:r w:rsidR="00E024FD">
        <w:rPr>
          <w:kern w:val="18"/>
          <w:szCs w:val="18"/>
          <w:lang w:val="fr-CA"/>
        </w:rPr>
        <w:t>WS</w:t>
      </w:r>
      <w:proofErr w:type="spellEnd"/>
      <w:r w:rsidR="00E024FD">
        <w:rPr>
          <w:kern w:val="18"/>
          <w:szCs w:val="18"/>
          <w:lang w:val="fr-CA"/>
        </w:rPr>
        <w:t>/2019/1/1/Add.1</w:t>
      </w:r>
      <w:r w:rsidRPr="00FA7E41">
        <w:rPr>
          <w:rStyle w:val="lev"/>
          <w:b w:val="0"/>
          <w:kern w:val="18"/>
          <w:szCs w:val="18"/>
          <w:lang w:val="fr-CA"/>
        </w:rPr>
        <w:t xml:space="preserve"> </w:t>
      </w:r>
    </w:p>
  </w:footnote>
  <w:footnote w:id="10">
    <w:p w:rsidR="00C24A27" w:rsidRPr="00FA7E41" w:rsidRDefault="00C24A27">
      <w:pPr>
        <w:pStyle w:val="Notedebasdepage"/>
        <w:ind w:firstLine="0"/>
        <w:jc w:val="left"/>
        <w:rPr>
          <w:kern w:val="18"/>
          <w:szCs w:val="18"/>
          <w:lang w:val="fr-CA"/>
        </w:rPr>
      </w:pPr>
      <w:r w:rsidRPr="00C33570">
        <w:rPr>
          <w:rStyle w:val="Appelnotedebasdep"/>
          <w:kern w:val="18"/>
          <w:sz w:val="18"/>
          <w:szCs w:val="18"/>
        </w:rPr>
        <w:footnoteRef/>
      </w:r>
      <w:r w:rsidRPr="00FA7E41">
        <w:rPr>
          <w:kern w:val="18"/>
          <w:szCs w:val="18"/>
          <w:lang w:val="fr-CA"/>
        </w:rPr>
        <w:t xml:space="preserve"> </w:t>
      </w:r>
      <w:r>
        <w:rPr>
          <w:kern w:val="18"/>
          <w:szCs w:val="18"/>
          <w:lang w:val="fr-CA"/>
        </w:rPr>
        <w:t>Consultez la</w:t>
      </w:r>
      <w:r w:rsidRPr="00FA7E41">
        <w:rPr>
          <w:kern w:val="18"/>
          <w:szCs w:val="18"/>
          <w:lang w:val="fr-CA"/>
        </w:rPr>
        <w:t xml:space="preserve"> liste des participants </w:t>
      </w:r>
      <w:r>
        <w:rPr>
          <w:kern w:val="18"/>
          <w:szCs w:val="18"/>
          <w:lang w:val="fr-CA"/>
        </w:rPr>
        <w:t>sur</w:t>
      </w:r>
      <w:r w:rsidRPr="00FA7E41">
        <w:rPr>
          <w:kern w:val="18"/>
          <w:szCs w:val="18"/>
          <w:lang w:val="fr-CA"/>
        </w:rPr>
        <w:t xml:space="preserve"> le site</w:t>
      </w:r>
      <w:r w:rsidR="00197C65">
        <w:rPr>
          <w:kern w:val="18"/>
          <w:szCs w:val="18"/>
          <w:lang w:val="fr-CA"/>
        </w:rPr>
        <w:t xml:space="preserve"> https://www.cbd.int/doc/c/511b/30dc/d6cd3dd5b7ea3cc572ecb59d/post2020-ws-2019-03-participant-list-en.pdf </w:t>
      </w:r>
      <w:r w:rsidRPr="00FA7E41">
        <w:rPr>
          <w:kern w:val="18"/>
          <w:szCs w:val="18"/>
          <w:lang w:val="fr-CA"/>
        </w:rPr>
        <w:t xml:space="preserve"> </w:t>
      </w:r>
      <w:r w:rsidR="00E024FD">
        <w:rPr>
          <w:rStyle w:val="Lienhypertexte"/>
          <w:kern w:val="18"/>
          <w:szCs w:val="18"/>
          <w:lang w:val="fr-CA"/>
        </w:rPr>
        <w:t xml:space="preserve"> </w:t>
      </w:r>
      <w:hyperlink r:id="rId5" w:history="1"/>
    </w:p>
  </w:footnote>
  <w:footnote w:id="11">
    <w:p w:rsidR="00C24A27" w:rsidRPr="00B407DD" w:rsidRDefault="00C24A27">
      <w:pPr>
        <w:pStyle w:val="Notedebasdepage"/>
        <w:ind w:firstLine="0"/>
        <w:jc w:val="left"/>
        <w:rPr>
          <w:kern w:val="18"/>
          <w:szCs w:val="18"/>
          <w:lang w:val="fr-CA"/>
        </w:rPr>
      </w:pPr>
      <w:r w:rsidRPr="00C33570">
        <w:rPr>
          <w:rStyle w:val="Appelnotedebasdep"/>
          <w:kern w:val="18"/>
          <w:sz w:val="18"/>
          <w:szCs w:val="18"/>
        </w:rPr>
        <w:footnoteRef/>
      </w:r>
      <w:r w:rsidRPr="00B407DD">
        <w:rPr>
          <w:kern w:val="18"/>
          <w:szCs w:val="18"/>
          <w:lang w:val="fr-CA"/>
        </w:rPr>
        <w:t xml:space="preserve"> Consultez la </w:t>
      </w:r>
      <w:r>
        <w:rPr>
          <w:kern w:val="18"/>
          <w:szCs w:val="18"/>
          <w:lang w:val="fr-CA"/>
        </w:rPr>
        <w:t>pré</w:t>
      </w:r>
      <w:r w:rsidRPr="00B407DD">
        <w:rPr>
          <w:kern w:val="18"/>
          <w:szCs w:val="18"/>
          <w:lang w:val="fr-CA"/>
        </w:rPr>
        <w:t xml:space="preserve">sentation sur le site </w:t>
      </w:r>
      <w:r w:rsidR="00E43333">
        <w:rPr>
          <w:kern w:val="18"/>
          <w:szCs w:val="18"/>
          <w:lang w:val="fr-CA"/>
        </w:rPr>
        <w:t xml:space="preserve">https://cbd.int/doc/c/9f7a/3436/598b0261db0300bd49636cd4/post2020-ws-2019-03-ipbes-en.pdf </w:t>
      </w:r>
      <w:r>
        <w:rPr>
          <w:kern w:val="18"/>
          <w:szCs w:val="18"/>
          <w:lang w:val="fr-CA"/>
        </w:rPr>
        <w:t>et le rapport complet sur le site</w:t>
      </w:r>
      <w:r w:rsidRPr="00B407DD">
        <w:rPr>
          <w:kern w:val="18"/>
          <w:szCs w:val="18"/>
          <w:lang w:val="fr-CA"/>
        </w:rPr>
        <w:t xml:space="preserve"> </w:t>
      </w:r>
      <w:r w:rsidR="00E43333">
        <w:rPr>
          <w:kern w:val="18"/>
          <w:szCs w:val="18"/>
          <w:lang w:val="fr-CA"/>
        </w:rPr>
        <w:t xml:space="preserve">https://www.ipbes.net/assessment-reports/africa </w:t>
      </w:r>
    </w:p>
  </w:footnote>
  <w:footnote w:id="12">
    <w:p w:rsidR="00C24A27" w:rsidRPr="00DC07A3" w:rsidRDefault="00C24A27">
      <w:pPr>
        <w:pStyle w:val="Notedebasdepage"/>
        <w:ind w:firstLine="0"/>
        <w:jc w:val="left"/>
        <w:rPr>
          <w:kern w:val="18"/>
          <w:szCs w:val="18"/>
          <w:lang w:val="fr-CA"/>
        </w:rPr>
      </w:pPr>
      <w:r w:rsidRPr="00C33570">
        <w:rPr>
          <w:rStyle w:val="Appelnotedebasdep"/>
          <w:kern w:val="18"/>
          <w:sz w:val="18"/>
          <w:szCs w:val="18"/>
        </w:rPr>
        <w:footnoteRef/>
      </w:r>
      <w:r w:rsidRPr="00DC07A3">
        <w:rPr>
          <w:kern w:val="18"/>
          <w:szCs w:val="18"/>
          <w:lang w:val="fr-CA"/>
        </w:rPr>
        <w:t xml:space="preserve"> Consultez la pr</w:t>
      </w:r>
      <w:r>
        <w:rPr>
          <w:kern w:val="18"/>
          <w:szCs w:val="18"/>
          <w:lang w:val="fr-CA"/>
        </w:rPr>
        <w:t>é</w:t>
      </w:r>
      <w:r w:rsidR="00D86B6C">
        <w:rPr>
          <w:kern w:val="18"/>
          <w:szCs w:val="18"/>
          <w:lang w:val="fr-CA"/>
        </w:rPr>
        <w:t>s</w:t>
      </w:r>
      <w:r w:rsidRPr="00DC07A3">
        <w:rPr>
          <w:kern w:val="18"/>
          <w:szCs w:val="18"/>
          <w:lang w:val="fr-CA"/>
        </w:rPr>
        <w:t>entation sur le site</w:t>
      </w:r>
      <w:r w:rsidR="00D86B6C">
        <w:rPr>
          <w:kern w:val="18"/>
          <w:szCs w:val="18"/>
          <w:lang w:val="fr-CA"/>
        </w:rPr>
        <w:t xml:space="preserve"> https://www.cbd.int/doc/c/8539/3726/5464d06f51f70532f922ea67/post2020-ws-2019-03-fao-en.pdf </w:t>
      </w:r>
      <w:r w:rsidRPr="00DC07A3">
        <w:rPr>
          <w:kern w:val="18"/>
          <w:szCs w:val="18"/>
          <w:lang w:val="fr-CA"/>
        </w:rPr>
        <w:t xml:space="preserve"> </w:t>
      </w:r>
      <w:r>
        <w:rPr>
          <w:kern w:val="18"/>
          <w:szCs w:val="18"/>
          <w:lang w:val="fr-CA"/>
        </w:rPr>
        <w:t>et les rapport complet sur le site</w:t>
      </w:r>
      <w:r w:rsidR="00D86B6C">
        <w:rPr>
          <w:kern w:val="18"/>
          <w:szCs w:val="18"/>
          <w:lang w:val="fr-CA"/>
        </w:rPr>
        <w:t xml:space="preserve"> http://fao.</w:t>
      </w:r>
      <w:r w:rsidR="005D6B67">
        <w:rPr>
          <w:kern w:val="18"/>
          <w:szCs w:val="18"/>
          <w:lang w:val="fr-CA"/>
        </w:rPr>
        <w:t>org</w:t>
      </w:r>
      <w:r w:rsidR="00D86B6C">
        <w:rPr>
          <w:kern w:val="18"/>
          <w:szCs w:val="18"/>
          <w:lang w:val="fr-CA"/>
        </w:rPr>
        <w:t>/cgrfa/topics/biodiversity/sowbfa/en</w:t>
      </w:r>
    </w:p>
  </w:footnote>
  <w:footnote w:id="13">
    <w:p w:rsidR="00C24A27" w:rsidRPr="007E3293" w:rsidRDefault="00C24A27" w:rsidP="00C33570">
      <w:pPr>
        <w:pStyle w:val="Notedebasdepage"/>
        <w:ind w:firstLine="0"/>
        <w:jc w:val="left"/>
        <w:rPr>
          <w:kern w:val="18"/>
          <w:szCs w:val="18"/>
          <w:lang w:val="fr-CA"/>
        </w:rPr>
      </w:pPr>
      <w:r w:rsidRPr="00C33570">
        <w:rPr>
          <w:rStyle w:val="Appelnotedebasdep"/>
          <w:kern w:val="18"/>
          <w:sz w:val="18"/>
          <w:szCs w:val="18"/>
        </w:rPr>
        <w:footnoteRef/>
      </w:r>
      <w:r w:rsidRPr="007E3293">
        <w:rPr>
          <w:kern w:val="18"/>
          <w:szCs w:val="18"/>
          <w:lang w:val="fr-CA"/>
        </w:rPr>
        <w:t xml:space="preserve"> Consultez la </w:t>
      </w:r>
      <w:r>
        <w:rPr>
          <w:kern w:val="18"/>
          <w:szCs w:val="18"/>
          <w:lang w:val="fr-CA"/>
        </w:rPr>
        <w:t>pré</w:t>
      </w:r>
      <w:r w:rsidRPr="007E3293">
        <w:rPr>
          <w:kern w:val="18"/>
          <w:szCs w:val="18"/>
          <w:lang w:val="fr-CA"/>
        </w:rPr>
        <w:t>sentation sur le site</w:t>
      </w:r>
      <w:r w:rsidR="006C4DE7">
        <w:rPr>
          <w:kern w:val="18"/>
          <w:szCs w:val="18"/>
          <w:lang w:val="fr-CA"/>
        </w:rPr>
        <w:t xml:space="preserve"> https://www.cbd.int/doc/c/de91/2533/f01a9d0c1ec92e0842094f03/post2020-ws-2019-03-overview-en.pdf</w:t>
      </w:r>
      <w:r w:rsidRPr="007E3293">
        <w:rPr>
          <w:kern w:val="18"/>
          <w:szCs w:val="18"/>
          <w:lang w:val="fr-CA"/>
        </w:rPr>
        <w:t xml:space="preserve">  </w:t>
      </w:r>
    </w:p>
  </w:footnote>
  <w:footnote w:id="14">
    <w:p w:rsidR="00C24A27" w:rsidRPr="007E3293" w:rsidRDefault="00C24A27">
      <w:pPr>
        <w:pStyle w:val="Notedebasdepage"/>
        <w:ind w:firstLine="0"/>
        <w:jc w:val="left"/>
        <w:rPr>
          <w:kern w:val="18"/>
          <w:szCs w:val="18"/>
          <w:lang w:val="fr-CA"/>
        </w:rPr>
      </w:pPr>
      <w:r w:rsidRPr="00C33570">
        <w:rPr>
          <w:rStyle w:val="Appelnotedebasdep"/>
          <w:kern w:val="18"/>
          <w:sz w:val="18"/>
          <w:szCs w:val="18"/>
        </w:rPr>
        <w:footnoteRef/>
      </w:r>
      <w:r w:rsidRPr="007E3293">
        <w:rPr>
          <w:kern w:val="18"/>
          <w:szCs w:val="18"/>
          <w:lang w:val="fr-CA"/>
        </w:rPr>
        <w:t xml:space="preserve"> Consultez la </w:t>
      </w:r>
      <w:r>
        <w:rPr>
          <w:kern w:val="18"/>
          <w:szCs w:val="18"/>
          <w:lang w:val="fr-CA"/>
        </w:rPr>
        <w:t>pré</w:t>
      </w:r>
      <w:r w:rsidRPr="007E3293">
        <w:rPr>
          <w:kern w:val="18"/>
          <w:szCs w:val="18"/>
          <w:lang w:val="fr-CA"/>
        </w:rPr>
        <w:t>sentation sur le site</w:t>
      </w:r>
      <w:r w:rsidR="006C4DE7">
        <w:rPr>
          <w:kern w:val="18"/>
          <w:szCs w:val="18"/>
          <w:lang w:val="fr-CA"/>
        </w:rPr>
        <w:t xml:space="preserve"> https://cbd.int/doc/c/4696/01da/</w:t>
      </w:r>
      <w:r w:rsidR="00915483">
        <w:rPr>
          <w:kern w:val="18"/>
          <w:szCs w:val="18"/>
          <w:lang w:val="fr-CA"/>
        </w:rPr>
        <w:t>9064575d10a42d05e77d5c3d/post2020-ws-2019-03-communication-en.pdf</w:t>
      </w:r>
      <w:r w:rsidRPr="007E3293">
        <w:rPr>
          <w:kern w:val="18"/>
          <w:szCs w:val="18"/>
          <w:lang w:val="fr-CA"/>
        </w:rPr>
        <w:t xml:space="preserve">  </w:t>
      </w:r>
      <w:hyperlink r:id="rId6" w:history="1"/>
    </w:p>
  </w:footnote>
  <w:footnote w:id="15">
    <w:p w:rsidR="00C24A27" w:rsidRPr="006774AC" w:rsidRDefault="00C24A27" w:rsidP="00C33570">
      <w:pPr>
        <w:pStyle w:val="Notedebasdepage"/>
        <w:ind w:firstLine="0"/>
        <w:jc w:val="left"/>
        <w:rPr>
          <w:kern w:val="18"/>
          <w:szCs w:val="18"/>
          <w:lang w:val="fr-CA"/>
        </w:rPr>
      </w:pPr>
      <w:r w:rsidRPr="00C33570">
        <w:rPr>
          <w:rStyle w:val="Appelnotedebasdep"/>
          <w:kern w:val="18"/>
          <w:sz w:val="18"/>
          <w:szCs w:val="18"/>
        </w:rPr>
        <w:footnoteRef/>
      </w:r>
      <w:r w:rsidRPr="006774AC">
        <w:rPr>
          <w:kern w:val="18"/>
          <w:szCs w:val="18"/>
          <w:lang w:val="fr-CA"/>
        </w:rPr>
        <w:t xml:space="preserve"> </w:t>
      </w:r>
      <w:r w:rsidR="00615791">
        <w:rPr>
          <w:kern w:val="18"/>
          <w:szCs w:val="18"/>
          <w:lang w:val="fr-CA"/>
        </w:rPr>
        <w:t xml:space="preserve">www.cbd.int/action-agenda </w:t>
      </w:r>
      <w:r w:rsidRPr="006774AC">
        <w:rPr>
          <w:kern w:val="18"/>
          <w:szCs w:val="18"/>
          <w:lang w:val="fr-CA"/>
        </w:rPr>
        <w:t xml:space="preserve"> </w:t>
      </w:r>
    </w:p>
  </w:footnote>
  <w:footnote w:id="16">
    <w:p w:rsidR="00C24A27" w:rsidRPr="007E3293" w:rsidRDefault="00C24A27">
      <w:pPr>
        <w:pStyle w:val="Notedebasdepage"/>
        <w:ind w:firstLine="0"/>
        <w:jc w:val="left"/>
        <w:rPr>
          <w:kern w:val="18"/>
          <w:szCs w:val="18"/>
          <w:lang w:val="fr-CA"/>
        </w:rPr>
      </w:pPr>
      <w:r w:rsidRPr="00C33570">
        <w:rPr>
          <w:rStyle w:val="Appelnotedebasdep"/>
          <w:kern w:val="18"/>
          <w:sz w:val="18"/>
          <w:szCs w:val="18"/>
        </w:rPr>
        <w:footnoteRef/>
      </w:r>
      <w:r w:rsidRPr="007E3293">
        <w:rPr>
          <w:kern w:val="18"/>
          <w:szCs w:val="18"/>
          <w:lang w:val="fr-CA"/>
        </w:rPr>
        <w:t xml:space="preserve"> Consultez la </w:t>
      </w:r>
      <w:r>
        <w:rPr>
          <w:kern w:val="18"/>
          <w:szCs w:val="18"/>
          <w:lang w:val="fr-CA"/>
        </w:rPr>
        <w:t>pré</w:t>
      </w:r>
      <w:r w:rsidRPr="007E3293">
        <w:rPr>
          <w:kern w:val="18"/>
          <w:szCs w:val="18"/>
          <w:lang w:val="fr-CA"/>
        </w:rPr>
        <w:t xml:space="preserve">sentation sur le site </w:t>
      </w:r>
      <w:r w:rsidR="00615791">
        <w:rPr>
          <w:kern w:val="18"/>
          <w:szCs w:val="18"/>
          <w:lang w:val="fr-CA"/>
        </w:rPr>
        <w:t>https://cbd.int/doc/c/889a/afe9/c71f19f25d9</w:t>
      </w:r>
      <w:r w:rsidR="004F0CDE">
        <w:rPr>
          <w:kern w:val="18"/>
          <w:szCs w:val="18"/>
          <w:lang w:val="fr-CA"/>
        </w:rPr>
        <w:t xml:space="preserve">77020d2d3c1e5/post2020-ws-2019-03-vision-en.pdf </w:t>
      </w:r>
      <w:r w:rsidRPr="007E3293">
        <w:rPr>
          <w:kern w:val="18"/>
          <w:szCs w:val="18"/>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C24A27" w:rsidRPr="00C33570" w:rsidRDefault="00C24A27" w:rsidP="00B27611">
        <w:pPr>
          <w:pStyle w:val="En-tte"/>
          <w:tabs>
            <w:tab w:val="clear" w:pos="4320"/>
            <w:tab w:val="clear" w:pos="8640"/>
          </w:tabs>
          <w:jc w:val="left"/>
          <w:rPr>
            <w:noProof/>
            <w:kern w:val="22"/>
          </w:rPr>
        </w:pPr>
        <w:r w:rsidRPr="00C33570">
          <w:rPr>
            <w:noProof/>
            <w:kern w:val="22"/>
          </w:rPr>
          <w:t>CBD/POST2020/WS/2019/3/2</w:t>
        </w:r>
      </w:p>
    </w:sdtContent>
  </w:sdt>
  <w:p w:rsidR="00C24A27" w:rsidRPr="00C33570" w:rsidRDefault="00C24A27" w:rsidP="00B27611">
    <w:pPr>
      <w:pStyle w:val="En-tte"/>
      <w:tabs>
        <w:tab w:val="clear" w:pos="4320"/>
        <w:tab w:val="clear" w:pos="8640"/>
      </w:tabs>
      <w:jc w:val="left"/>
      <w:rPr>
        <w:noProof/>
        <w:kern w:val="22"/>
      </w:rPr>
    </w:pPr>
    <w:r w:rsidRPr="00C33570">
      <w:rPr>
        <w:noProof/>
        <w:kern w:val="22"/>
      </w:rPr>
      <w:t xml:space="preserve">Page </w:t>
    </w:r>
    <w:r w:rsidRPr="00C33570">
      <w:rPr>
        <w:noProof/>
        <w:kern w:val="22"/>
      </w:rPr>
      <w:fldChar w:fldCharType="begin"/>
    </w:r>
    <w:r w:rsidRPr="00C33570">
      <w:rPr>
        <w:noProof/>
        <w:kern w:val="22"/>
      </w:rPr>
      <w:instrText xml:space="preserve"> PAGE   \* MERGEFORMAT </w:instrText>
    </w:r>
    <w:r w:rsidRPr="00C33570">
      <w:rPr>
        <w:noProof/>
        <w:kern w:val="22"/>
      </w:rPr>
      <w:fldChar w:fldCharType="separate"/>
    </w:r>
    <w:r w:rsidR="00010A88">
      <w:rPr>
        <w:noProof/>
        <w:kern w:val="22"/>
      </w:rPr>
      <w:t>24</w:t>
    </w:r>
    <w:r w:rsidRPr="00C33570">
      <w:rPr>
        <w:noProof/>
        <w:kern w:val="22"/>
      </w:rPr>
      <w:fldChar w:fldCharType="end"/>
    </w:r>
  </w:p>
  <w:p w:rsidR="00C24A27" w:rsidRPr="00C33570" w:rsidRDefault="00C24A27" w:rsidP="00B27611">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C24A27" w:rsidRPr="00C33570" w:rsidRDefault="00C24A27" w:rsidP="00B27611">
        <w:pPr>
          <w:pStyle w:val="En-tte"/>
          <w:tabs>
            <w:tab w:val="clear" w:pos="4320"/>
            <w:tab w:val="clear" w:pos="8640"/>
          </w:tabs>
          <w:jc w:val="right"/>
          <w:rPr>
            <w:noProof/>
            <w:kern w:val="22"/>
          </w:rPr>
        </w:pPr>
        <w:r w:rsidRPr="00C33570">
          <w:rPr>
            <w:noProof/>
            <w:kern w:val="22"/>
          </w:rPr>
          <w:t>CBD/POST2020/WS/2019/3/2</w:t>
        </w:r>
      </w:p>
    </w:sdtContent>
  </w:sdt>
  <w:p w:rsidR="00C24A27" w:rsidRPr="00C33570" w:rsidRDefault="00C24A27" w:rsidP="00B27611">
    <w:pPr>
      <w:pStyle w:val="En-tte"/>
      <w:tabs>
        <w:tab w:val="clear" w:pos="4320"/>
        <w:tab w:val="clear" w:pos="8640"/>
      </w:tabs>
      <w:jc w:val="right"/>
      <w:rPr>
        <w:noProof/>
        <w:kern w:val="22"/>
      </w:rPr>
    </w:pPr>
    <w:r w:rsidRPr="00C33570">
      <w:rPr>
        <w:noProof/>
        <w:kern w:val="22"/>
      </w:rPr>
      <w:t xml:space="preserve">Page </w:t>
    </w:r>
    <w:r w:rsidRPr="00C33570">
      <w:rPr>
        <w:noProof/>
        <w:kern w:val="22"/>
      </w:rPr>
      <w:fldChar w:fldCharType="begin"/>
    </w:r>
    <w:r w:rsidRPr="00C33570">
      <w:rPr>
        <w:noProof/>
        <w:kern w:val="22"/>
      </w:rPr>
      <w:instrText xml:space="preserve"> PAGE   \* MERGEFORMAT </w:instrText>
    </w:r>
    <w:r w:rsidRPr="00C33570">
      <w:rPr>
        <w:noProof/>
        <w:kern w:val="22"/>
      </w:rPr>
      <w:fldChar w:fldCharType="separate"/>
    </w:r>
    <w:r w:rsidR="00010A88">
      <w:rPr>
        <w:noProof/>
        <w:kern w:val="22"/>
      </w:rPr>
      <w:t>25</w:t>
    </w:r>
    <w:r w:rsidRPr="00C33570">
      <w:rPr>
        <w:noProof/>
        <w:kern w:val="22"/>
      </w:rPr>
      <w:fldChar w:fldCharType="end"/>
    </w:r>
  </w:p>
  <w:p w:rsidR="00C24A27" w:rsidRPr="00C33570" w:rsidRDefault="00C24A27" w:rsidP="00B27611">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70639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9F441A4"/>
    <w:multiLevelType w:val="hybridMultilevel"/>
    <w:tmpl w:val="26B0B7FE"/>
    <w:lvl w:ilvl="0" w:tplc="2B54A9A6">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DC253F1"/>
    <w:multiLevelType w:val="multilevel"/>
    <w:tmpl w:val="7284C8C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left"/>
      <w:pPr>
        <w:tabs>
          <w:tab w:val="num" w:pos="2160"/>
        </w:tabs>
        <w:ind w:left="2160" w:hanging="720"/>
      </w:pPr>
      <w:rPr>
        <w:rFonts w:ascii="Times New Roman" w:eastAsia="Times New Roman" w:hAnsi="Times New Roman" w:cs="Times New Roman"/>
        <w:color w:val="auto"/>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0442B4"/>
    <w:multiLevelType w:val="multilevel"/>
    <w:tmpl w:val="CE52BFA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FDC63EC"/>
    <w:multiLevelType w:val="hybridMultilevel"/>
    <w:tmpl w:val="294E1454"/>
    <w:lvl w:ilvl="0" w:tplc="2F80A81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8"/>
  </w:num>
  <w:num w:numId="6">
    <w:abstractNumId w:val="7"/>
  </w:num>
  <w:num w:numId="7">
    <w:abstractNumId w:val="3"/>
  </w:num>
  <w:num w:numId="8">
    <w:abstractNumId w:val="5"/>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2ED"/>
    <w:rsid w:val="000013CB"/>
    <w:rsid w:val="00002074"/>
    <w:rsid w:val="0000271A"/>
    <w:rsid w:val="00002F9C"/>
    <w:rsid w:val="00003439"/>
    <w:rsid w:val="0000356B"/>
    <w:rsid w:val="00003C89"/>
    <w:rsid w:val="00004584"/>
    <w:rsid w:val="00005746"/>
    <w:rsid w:val="0000593E"/>
    <w:rsid w:val="00005E92"/>
    <w:rsid w:val="000063A9"/>
    <w:rsid w:val="00007359"/>
    <w:rsid w:val="00007505"/>
    <w:rsid w:val="00007F6F"/>
    <w:rsid w:val="00010A88"/>
    <w:rsid w:val="00011400"/>
    <w:rsid w:val="00011EC0"/>
    <w:rsid w:val="00012472"/>
    <w:rsid w:val="00013845"/>
    <w:rsid w:val="0001470C"/>
    <w:rsid w:val="0001482D"/>
    <w:rsid w:val="00014FAD"/>
    <w:rsid w:val="0001524A"/>
    <w:rsid w:val="00015C7C"/>
    <w:rsid w:val="00016019"/>
    <w:rsid w:val="00021CEA"/>
    <w:rsid w:val="0002488F"/>
    <w:rsid w:val="0002579C"/>
    <w:rsid w:val="00025ED6"/>
    <w:rsid w:val="000268BC"/>
    <w:rsid w:val="00030746"/>
    <w:rsid w:val="000311F6"/>
    <w:rsid w:val="00032C3C"/>
    <w:rsid w:val="00034936"/>
    <w:rsid w:val="00035AE0"/>
    <w:rsid w:val="00035B21"/>
    <w:rsid w:val="00037441"/>
    <w:rsid w:val="0004048B"/>
    <w:rsid w:val="00041D7D"/>
    <w:rsid w:val="0004260F"/>
    <w:rsid w:val="00044C8C"/>
    <w:rsid w:val="00046220"/>
    <w:rsid w:val="00046932"/>
    <w:rsid w:val="000477F9"/>
    <w:rsid w:val="00047804"/>
    <w:rsid w:val="00051A70"/>
    <w:rsid w:val="0005319D"/>
    <w:rsid w:val="00053A0D"/>
    <w:rsid w:val="00053E6A"/>
    <w:rsid w:val="00053EB2"/>
    <w:rsid w:val="00054144"/>
    <w:rsid w:val="0005454F"/>
    <w:rsid w:val="00055A7E"/>
    <w:rsid w:val="0005785B"/>
    <w:rsid w:val="00061B25"/>
    <w:rsid w:val="00061DDC"/>
    <w:rsid w:val="000630F2"/>
    <w:rsid w:val="000631D4"/>
    <w:rsid w:val="00063B4E"/>
    <w:rsid w:val="0006446E"/>
    <w:rsid w:val="000651A4"/>
    <w:rsid w:val="00065FB5"/>
    <w:rsid w:val="000662C3"/>
    <w:rsid w:val="00067AA9"/>
    <w:rsid w:val="00067E17"/>
    <w:rsid w:val="00070121"/>
    <w:rsid w:val="000704CE"/>
    <w:rsid w:val="00074CF9"/>
    <w:rsid w:val="00074CFB"/>
    <w:rsid w:val="00075178"/>
    <w:rsid w:val="00076F74"/>
    <w:rsid w:val="0008189A"/>
    <w:rsid w:val="00081DB8"/>
    <w:rsid w:val="00082C81"/>
    <w:rsid w:val="00083BF2"/>
    <w:rsid w:val="00084120"/>
    <w:rsid w:val="00086058"/>
    <w:rsid w:val="00086741"/>
    <w:rsid w:val="00086777"/>
    <w:rsid w:val="00086C8C"/>
    <w:rsid w:val="00087182"/>
    <w:rsid w:val="000878C0"/>
    <w:rsid w:val="0009036D"/>
    <w:rsid w:val="00091E2F"/>
    <w:rsid w:val="00092948"/>
    <w:rsid w:val="00092C34"/>
    <w:rsid w:val="00094354"/>
    <w:rsid w:val="00095401"/>
    <w:rsid w:val="00095414"/>
    <w:rsid w:val="0009566F"/>
    <w:rsid w:val="00095FF8"/>
    <w:rsid w:val="00096D26"/>
    <w:rsid w:val="0009743E"/>
    <w:rsid w:val="00097C87"/>
    <w:rsid w:val="000A2CAA"/>
    <w:rsid w:val="000A497A"/>
    <w:rsid w:val="000A4AAE"/>
    <w:rsid w:val="000A6D1D"/>
    <w:rsid w:val="000A70D4"/>
    <w:rsid w:val="000A7253"/>
    <w:rsid w:val="000B09B7"/>
    <w:rsid w:val="000B186C"/>
    <w:rsid w:val="000B1B1F"/>
    <w:rsid w:val="000B2854"/>
    <w:rsid w:val="000B2AB9"/>
    <w:rsid w:val="000B2D6A"/>
    <w:rsid w:val="000B3E53"/>
    <w:rsid w:val="000B60E8"/>
    <w:rsid w:val="000B71FB"/>
    <w:rsid w:val="000B7677"/>
    <w:rsid w:val="000B783C"/>
    <w:rsid w:val="000B7EAA"/>
    <w:rsid w:val="000B7FC1"/>
    <w:rsid w:val="000C0857"/>
    <w:rsid w:val="000C1270"/>
    <w:rsid w:val="000C2650"/>
    <w:rsid w:val="000C2C39"/>
    <w:rsid w:val="000C35A3"/>
    <w:rsid w:val="000C4BD8"/>
    <w:rsid w:val="000C5AF1"/>
    <w:rsid w:val="000C7D6D"/>
    <w:rsid w:val="000D0F9E"/>
    <w:rsid w:val="000D12AE"/>
    <w:rsid w:val="000D17DA"/>
    <w:rsid w:val="000D1DE3"/>
    <w:rsid w:val="000D51D4"/>
    <w:rsid w:val="000D5CCE"/>
    <w:rsid w:val="000E164C"/>
    <w:rsid w:val="000E3044"/>
    <w:rsid w:val="000E312F"/>
    <w:rsid w:val="000E3376"/>
    <w:rsid w:val="000E37E6"/>
    <w:rsid w:val="000E49D0"/>
    <w:rsid w:val="000E4CC6"/>
    <w:rsid w:val="000E579B"/>
    <w:rsid w:val="000E579F"/>
    <w:rsid w:val="000E673A"/>
    <w:rsid w:val="000E76B6"/>
    <w:rsid w:val="000E783F"/>
    <w:rsid w:val="000F0AFB"/>
    <w:rsid w:val="000F27C1"/>
    <w:rsid w:val="000F2EE7"/>
    <w:rsid w:val="000F370E"/>
    <w:rsid w:val="000F5FF1"/>
    <w:rsid w:val="000F6239"/>
    <w:rsid w:val="000F74F5"/>
    <w:rsid w:val="00101515"/>
    <w:rsid w:val="00102469"/>
    <w:rsid w:val="00105372"/>
    <w:rsid w:val="00106213"/>
    <w:rsid w:val="00107372"/>
    <w:rsid w:val="001106B9"/>
    <w:rsid w:val="00111445"/>
    <w:rsid w:val="00111899"/>
    <w:rsid w:val="00113D0D"/>
    <w:rsid w:val="00114072"/>
    <w:rsid w:val="00114386"/>
    <w:rsid w:val="00114ADC"/>
    <w:rsid w:val="00117106"/>
    <w:rsid w:val="001207D2"/>
    <w:rsid w:val="00121608"/>
    <w:rsid w:val="00126F67"/>
    <w:rsid w:val="00130B05"/>
    <w:rsid w:val="00131E7A"/>
    <w:rsid w:val="00134598"/>
    <w:rsid w:val="00134898"/>
    <w:rsid w:val="001354D7"/>
    <w:rsid w:val="00136B38"/>
    <w:rsid w:val="00137142"/>
    <w:rsid w:val="001371DA"/>
    <w:rsid w:val="00137C6C"/>
    <w:rsid w:val="00142F95"/>
    <w:rsid w:val="00145EEB"/>
    <w:rsid w:val="00146837"/>
    <w:rsid w:val="00146B8B"/>
    <w:rsid w:val="00147AF4"/>
    <w:rsid w:val="00150C93"/>
    <w:rsid w:val="00151CBC"/>
    <w:rsid w:val="00151F32"/>
    <w:rsid w:val="00152262"/>
    <w:rsid w:val="00155B12"/>
    <w:rsid w:val="00155F7B"/>
    <w:rsid w:val="00156690"/>
    <w:rsid w:val="00160915"/>
    <w:rsid w:val="0016176D"/>
    <w:rsid w:val="001629AC"/>
    <w:rsid w:val="0016316A"/>
    <w:rsid w:val="00163989"/>
    <w:rsid w:val="0016428C"/>
    <w:rsid w:val="001661EB"/>
    <w:rsid w:val="00166F4A"/>
    <w:rsid w:val="001677FF"/>
    <w:rsid w:val="00167CB7"/>
    <w:rsid w:val="001702CB"/>
    <w:rsid w:val="00170754"/>
    <w:rsid w:val="00171E1D"/>
    <w:rsid w:val="0017249F"/>
    <w:rsid w:val="00172AF6"/>
    <w:rsid w:val="00173028"/>
    <w:rsid w:val="00174E7E"/>
    <w:rsid w:val="00175C5C"/>
    <w:rsid w:val="00176CEE"/>
    <w:rsid w:val="001774D4"/>
    <w:rsid w:val="00180687"/>
    <w:rsid w:val="00180A1C"/>
    <w:rsid w:val="00182981"/>
    <w:rsid w:val="00182DAE"/>
    <w:rsid w:val="0018499F"/>
    <w:rsid w:val="00184CA7"/>
    <w:rsid w:val="00186F6C"/>
    <w:rsid w:val="0018739C"/>
    <w:rsid w:val="00190A89"/>
    <w:rsid w:val="0019177A"/>
    <w:rsid w:val="00193DD7"/>
    <w:rsid w:val="0019647A"/>
    <w:rsid w:val="001965FA"/>
    <w:rsid w:val="0019765C"/>
    <w:rsid w:val="00197A03"/>
    <w:rsid w:val="00197C65"/>
    <w:rsid w:val="001A0644"/>
    <w:rsid w:val="001A4725"/>
    <w:rsid w:val="001A602D"/>
    <w:rsid w:val="001A6140"/>
    <w:rsid w:val="001B2A1E"/>
    <w:rsid w:val="001B30B9"/>
    <w:rsid w:val="001B34BB"/>
    <w:rsid w:val="001B65E8"/>
    <w:rsid w:val="001B76BB"/>
    <w:rsid w:val="001B79F5"/>
    <w:rsid w:val="001C13A3"/>
    <w:rsid w:val="001C15B9"/>
    <w:rsid w:val="001C1B2B"/>
    <w:rsid w:val="001C2182"/>
    <w:rsid w:val="001C3B97"/>
    <w:rsid w:val="001C3BF3"/>
    <w:rsid w:val="001C3EA6"/>
    <w:rsid w:val="001C5619"/>
    <w:rsid w:val="001D307B"/>
    <w:rsid w:val="001D314D"/>
    <w:rsid w:val="001D4D34"/>
    <w:rsid w:val="001D558A"/>
    <w:rsid w:val="001D5708"/>
    <w:rsid w:val="001D5B44"/>
    <w:rsid w:val="001E036E"/>
    <w:rsid w:val="001E0C87"/>
    <w:rsid w:val="001E0D6E"/>
    <w:rsid w:val="001E143E"/>
    <w:rsid w:val="001E1571"/>
    <w:rsid w:val="001E215F"/>
    <w:rsid w:val="001E4404"/>
    <w:rsid w:val="001E7C59"/>
    <w:rsid w:val="001F3B19"/>
    <w:rsid w:val="001F3F75"/>
    <w:rsid w:val="001F4400"/>
    <w:rsid w:val="001F6277"/>
    <w:rsid w:val="001F7146"/>
    <w:rsid w:val="001F75BB"/>
    <w:rsid w:val="00200AF1"/>
    <w:rsid w:val="002027BD"/>
    <w:rsid w:val="0020374A"/>
    <w:rsid w:val="0020539B"/>
    <w:rsid w:val="00206520"/>
    <w:rsid w:val="00211E0A"/>
    <w:rsid w:val="002133BE"/>
    <w:rsid w:val="002167AB"/>
    <w:rsid w:val="00216904"/>
    <w:rsid w:val="00220EB9"/>
    <w:rsid w:val="00223625"/>
    <w:rsid w:val="002247A8"/>
    <w:rsid w:val="00224834"/>
    <w:rsid w:val="00225168"/>
    <w:rsid w:val="00226AFC"/>
    <w:rsid w:val="00233097"/>
    <w:rsid w:val="00234553"/>
    <w:rsid w:val="0023538D"/>
    <w:rsid w:val="002357DA"/>
    <w:rsid w:val="00236003"/>
    <w:rsid w:val="00236B77"/>
    <w:rsid w:val="002373D9"/>
    <w:rsid w:val="00237FBD"/>
    <w:rsid w:val="00242080"/>
    <w:rsid w:val="0024297D"/>
    <w:rsid w:val="00244BE4"/>
    <w:rsid w:val="00246E00"/>
    <w:rsid w:val="00246EB5"/>
    <w:rsid w:val="002511BD"/>
    <w:rsid w:val="002519B6"/>
    <w:rsid w:val="00253254"/>
    <w:rsid w:val="0025345D"/>
    <w:rsid w:val="00253DA0"/>
    <w:rsid w:val="00255BC9"/>
    <w:rsid w:val="0025748A"/>
    <w:rsid w:val="00260082"/>
    <w:rsid w:val="002600D9"/>
    <w:rsid w:val="00260C5F"/>
    <w:rsid w:val="002619EA"/>
    <w:rsid w:val="002620F0"/>
    <w:rsid w:val="00263716"/>
    <w:rsid w:val="00263ABA"/>
    <w:rsid w:val="00264142"/>
    <w:rsid w:val="002653C5"/>
    <w:rsid w:val="00265875"/>
    <w:rsid w:val="00266E8E"/>
    <w:rsid w:val="00267226"/>
    <w:rsid w:val="00270166"/>
    <w:rsid w:val="002731E1"/>
    <w:rsid w:val="00274568"/>
    <w:rsid w:val="00274E51"/>
    <w:rsid w:val="00275CEC"/>
    <w:rsid w:val="0027654F"/>
    <w:rsid w:val="00276F12"/>
    <w:rsid w:val="00277E91"/>
    <w:rsid w:val="00284246"/>
    <w:rsid w:val="00285635"/>
    <w:rsid w:val="00286B31"/>
    <w:rsid w:val="00286B83"/>
    <w:rsid w:val="00286D27"/>
    <w:rsid w:val="00287CBE"/>
    <w:rsid w:val="00290691"/>
    <w:rsid w:val="00290F14"/>
    <w:rsid w:val="00292808"/>
    <w:rsid w:val="00292CB6"/>
    <w:rsid w:val="00294D55"/>
    <w:rsid w:val="00295743"/>
    <w:rsid w:val="0029756F"/>
    <w:rsid w:val="002A11FA"/>
    <w:rsid w:val="002A4CDA"/>
    <w:rsid w:val="002A5871"/>
    <w:rsid w:val="002A7F34"/>
    <w:rsid w:val="002B09FC"/>
    <w:rsid w:val="002B109E"/>
    <w:rsid w:val="002B2AA3"/>
    <w:rsid w:val="002B2FCA"/>
    <w:rsid w:val="002B340C"/>
    <w:rsid w:val="002B3CA4"/>
    <w:rsid w:val="002B5914"/>
    <w:rsid w:val="002B6714"/>
    <w:rsid w:val="002C2AB8"/>
    <w:rsid w:val="002C43BA"/>
    <w:rsid w:val="002C47B5"/>
    <w:rsid w:val="002C5F14"/>
    <w:rsid w:val="002C7BA3"/>
    <w:rsid w:val="002D0000"/>
    <w:rsid w:val="002D1316"/>
    <w:rsid w:val="002D4D1F"/>
    <w:rsid w:val="002D58B3"/>
    <w:rsid w:val="002E15E1"/>
    <w:rsid w:val="002E19EE"/>
    <w:rsid w:val="002E1E75"/>
    <w:rsid w:val="002E29DA"/>
    <w:rsid w:val="002E2E41"/>
    <w:rsid w:val="002E413E"/>
    <w:rsid w:val="002E4388"/>
    <w:rsid w:val="002E46CE"/>
    <w:rsid w:val="002F33F1"/>
    <w:rsid w:val="002F3858"/>
    <w:rsid w:val="002F5A22"/>
    <w:rsid w:val="002F673C"/>
    <w:rsid w:val="002F6FBB"/>
    <w:rsid w:val="002F769D"/>
    <w:rsid w:val="002F76C2"/>
    <w:rsid w:val="002F795A"/>
    <w:rsid w:val="00300672"/>
    <w:rsid w:val="0030426A"/>
    <w:rsid w:val="003052BC"/>
    <w:rsid w:val="00305347"/>
    <w:rsid w:val="00306A6E"/>
    <w:rsid w:val="003073AE"/>
    <w:rsid w:val="00311246"/>
    <w:rsid w:val="003116A8"/>
    <w:rsid w:val="0031269B"/>
    <w:rsid w:val="003138FE"/>
    <w:rsid w:val="0031423B"/>
    <w:rsid w:val="00315047"/>
    <w:rsid w:val="003152EA"/>
    <w:rsid w:val="00315E0B"/>
    <w:rsid w:val="003169AD"/>
    <w:rsid w:val="0031713F"/>
    <w:rsid w:val="00317C92"/>
    <w:rsid w:val="00320518"/>
    <w:rsid w:val="00321CBD"/>
    <w:rsid w:val="00323143"/>
    <w:rsid w:val="00323FE2"/>
    <w:rsid w:val="003245E6"/>
    <w:rsid w:val="003263F2"/>
    <w:rsid w:val="00326CEB"/>
    <w:rsid w:val="00327CA8"/>
    <w:rsid w:val="00327DE4"/>
    <w:rsid w:val="003307CC"/>
    <w:rsid w:val="00332085"/>
    <w:rsid w:val="0033225A"/>
    <w:rsid w:val="003348A5"/>
    <w:rsid w:val="00334CDC"/>
    <w:rsid w:val="00337E02"/>
    <w:rsid w:val="00340D11"/>
    <w:rsid w:val="00341A2F"/>
    <w:rsid w:val="00342C6C"/>
    <w:rsid w:val="003440C9"/>
    <w:rsid w:val="0034565B"/>
    <w:rsid w:val="00345EFD"/>
    <w:rsid w:val="0034796A"/>
    <w:rsid w:val="003505AC"/>
    <w:rsid w:val="0035268F"/>
    <w:rsid w:val="003532E6"/>
    <w:rsid w:val="00353F8C"/>
    <w:rsid w:val="00355A2C"/>
    <w:rsid w:val="003563A1"/>
    <w:rsid w:val="00356A32"/>
    <w:rsid w:val="0035728C"/>
    <w:rsid w:val="0035729A"/>
    <w:rsid w:val="00357EB5"/>
    <w:rsid w:val="00360D78"/>
    <w:rsid w:val="00360DE7"/>
    <w:rsid w:val="00361C5F"/>
    <w:rsid w:val="0036460A"/>
    <w:rsid w:val="00365B20"/>
    <w:rsid w:val="00366226"/>
    <w:rsid w:val="00366529"/>
    <w:rsid w:val="00367984"/>
    <w:rsid w:val="00370B24"/>
    <w:rsid w:val="00370CB3"/>
    <w:rsid w:val="003725BA"/>
    <w:rsid w:val="00372C61"/>
    <w:rsid w:val="00372CA0"/>
    <w:rsid w:val="00372E20"/>
    <w:rsid w:val="00372F74"/>
    <w:rsid w:val="00374377"/>
    <w:rsid w:val="003773B1"/>
    <w:rsid w:val="003802F9"/>
    <w:rsid w:val="00382D39"/>
    <w:rsid w:val="00383686"/>
    <w:rsid w:val="00384577"/>
    <w:rsid w:val="00385529"/>
    <w:rsid w:val="00386509"/>
    <w:rsid w:val="0038680A"/>
    <w:rsid w:val="003904A4"/>
    <w:rsid w:val="00390DD2"/>
    <w:rsid w:val="00392BCB"/>
    <w:rsid w:val="00393CCE"/>
    <w:rsid w:val="00396084"/>
    <w:rsid w:val="00396558"/>
    <w:rsid w:val="003966C6"/>
    <w:rsid w:val="00397E59"/>
    <w:rsid w:val="003A0251"/>
    <w:rsid w:val="003A02BA"/>
    <w:rsid w:val="003A22C7"/>
    <w:rsid w:val="003A2670"/>
    <w:rsid w:val="003A2D27"/>
    <w:rsid w:val="003A514B"/>
    <w:rsid w:val="003A51D8"/>
    <w:rsid w:val="003A5CAD"/>
    <w:rsid w:val="003A5EC4"/>
    <w:rsid w:val="003A753B"/>
    <w:rsid w:val="003A79B7"/>
    <w:rsid w:val="003B00DF"/>
    <w:rsid w:val="003B0D7D"/>
    <w:rsid w:val="003B2E0D"/>
    <w:rsid w:val="003B3556"/>
    <w:rsid w:val="003B4A0F"/>
    <w:rsid w:val="003B5360"/>
    <w:rsid w:val="003B60BA"/>
    <w:rsid w:val="003C1E31"/>
    <w:rsid w:val="003C5820"/>
    <w:rsid w:val="003C5A0C"/>
    <w:rsid w:val="003C63B7"/>
    <w:rsid w:val="003C6BFE"/>
    <w:rsid w:val="003C797B"/>
    <w:rsid w:val="003C7F79"/>
    <w:rsid w:val="003D13F2"/>
    <w:rsid w:val="003D14E4"/>
    <w:rsid w:val="003D2C48"/>
    <w:rsid w:val="003D2E3D"/>
    <w:rsid w:val="003D43E4"/>
    <w:rsid w:val="003D5B0E"/>
    <w:rsid w:val="003D6BBD"/>
    <w:rsid w:val="003D6D82"/>
    <w:rsid w:val="003D74BD"/>
    <w:rsid w:val="003D7876"/>
    <w:rsid w:val="003E0740"/>
    <w:rsid w:val="003E216A"/>
    <w:rsid w:val="003E21D9"/>
    <w:rsid w:val="003F0D51"/>
    <w:rsid w:val="003F2E28"/>
    <w:rsid w:val="003F3796"/>
    <w:rsid w:val="003F3950"/>
    <w:rsid w:val="003F3A97"/>
    <w:rsid w:val="003F4DAA"/>
    <w:rsid w:val="003F5485"/>
    <w:rsid w:val="003F6D5B"/>
    <w:rsid w:val="003F7224"/>
    <w:rsid w:val="00400C87"/>
    <w:rsid w:val="004011BC"/>
    <w:rsid w:val="004015F4"/>
    <w:rsid w:val="00401C25"/>
    <w:rsid w:val="0040354A"/>
    <w:rsid w:val="00404B8D"/>
    <w:rsid w:val="00407526"/>
    <w:rsid w:val="00407BD5"/>
    <w:rsid w:val="00407F8C"/>
    <w:rsid w:val="004108C3"/>
    <w:rsid w:val="00411FE5"/>
    <w:rsid w:val="004139F1"/>
    <w:rsid w:val="00416C94"/>
    <w:rsid w:val="004177A9"/>
    <w:rsid w:val="00422163"/>
    <w:rsid w:val="00422C0D"/>
    <w:rsid w:val="004243D5"/>
    <w:rsid w:val="00424DDD"/>
    <w:rsid w:val="00425AD5"/>
    <w:rsid w:val="00426CA5"/>
    <w:rsid w:val="00427A44"/>
    <w:rsid w:val="00427D21"/>
    <w:rsid w:val="0043016A"/>
    <w:rsid w:val="004326A3"/>
    <w:rsid w:val="0043515D"/>
    <w:rsid w:val="00435842"/>
    <w:rsid w:val="00435EBB"/>
    <w:rsid w:val="004368DC"/>
    <w:rsid w:val="004379EE"/>
    <w:rsid w:val="00440227"/>
    <w:rsid w:val="00441EC1"/>
    <w:rsid w:val="004429D4"/>
    <w:rsid w:val="00443000"/>
    <w:rsid w:val="00444E46"/>
    <w:rsid w:val="00445C60"/>
    <w:rsid w:val="00446EE3"/>
    <w:rsid w:val="00451BB6"/>
    <w:rsid w:val="0045279B"/>
    <w:rsid w:val="00452A13"/>
    <w:rsid w:val="00453B9C"/>
    <w:rsid w:val="00455A88"/>
    <w:rsid w:val="00456BDF"/>
    <w:rsid w:val="00457A39"/>
    <w:rsid w:val="004609B8"/>
    <w:rsid w:val="00461C35"/>
    <w:rsid w:val="004623E5"/>
    <w:rsid w:val="004644C2"/>
    <w:rsid w:val="00464EB4"/>
    <w:rsid w:val="004665DE"/>
    <w:rsid w:val="004670C6"/>
    <w:rsid w:val="00467F9C"/>
    <w:rsid w:val="00470DF1"/>
    <w:rsid w:val="00471969"/>
    <w:rsid w:val="004719B6"/>
    <w:rsid w:val="00471C13"/>
    <w:rsid w:val="004776B2"/>
    <w:rsid w:val="00480239"/>
    <w:rsid w:val="004804D5"/>
    <w:rsid w:val="00480DA6"/>
    <w:rsid w:val="004825D0"/>
    <w:rsid w:val="00482C34"/>
    <w:rsid w:val="0048344E"/>
    <w:rsid w:val="0048363E"/>
    <w:rsid w:val="00485361"/>
    <w:rsid w:val="00486B48"/>
    <w:rsid w:val="0049008A"/>
    <w:rsid w:val="00490331"/>
    <w:rsid w:val="004939A5"/>
    <w:rsid w:val="00493B26"/>
    <w:rsid w:val="00493EFA"/>
    <w:rsid w:val="0049442A"/>
    <w:rsid w:val="004953E1"/>
    <w:rsid w:val="004977D7"/>
    <w:rsid w:val="004A2B07"/>
    <w:rsid w:val="004A3995"/>
    <w:rsid w:val="004A41B7"/>
    <w:rsid w:val="004A41E0"/>
    <w:rsid w:val="004A4B1A"/>
    <w:rsid w:val="004A61EC"/>
    <w:rsid w:val="004A6E47"/>
    <w:rsid w:val="004A6F60"/>
    <w:rsid w:val="004B12A9"/>
    <w:rsid w:val="004B2305"/>
    <w:rsid w:val="004B2B61"/>
    <w:rsid w:val="004B34A5"/>
    <w:rsid w:val="004B3F5C"/>
    <w:rsid w:val="004B6E60"/>
    <w:rsid w:val="004C0005"/>
    <w:rsid w:val="004C0D58"/>
    <w:rsid w:val="004C14BD"/>
    <w:rsid w:val="004C16FB"/>
    <w:rsid w:val="004C29CC"/>
    <w:rsid w:val="004C574C"/>
    <w:rsid w:val="004D01D0"/>
    <w:rsid w:val="004D10EB"/>
    <w:rsid w:val="004D2AF2"/>
    <w:rsid w:val="004D3053"/>
    <w:rsid w:val="004D5B5E"/>
    <w:rsid w:val="004E0981"/>
    <w:rsid w:val="004E393B"/>
    <w:rsid w:val="004E3FB4"/>
    <w:rsid w:val="004E53D4"/>
    <w:rsid w:val="004E585F"/>
    <w:rsid w:val="004E5F23"/>
    <w:rsid w:val="004E6A72"/>
    <w:rsid w:val="004E6D66"/>
    <w:rsid w:val="004E6E80"/>
    <w:rsid w:val="004F081C"/>
    <w:rsid w:val="004F0CDE"/>
    <w:rsid w:val="004F1EB3"/>
    <w:rsid w:val="004F2049"/>
    <w:rsid w:val="004F250F"/>
    <w:rsid w:val="004F2EEC"/>
    <w:rsid w:val="004F478E"/>
    <w:rsid w:val="004F6BB5"/>
    <w:rsid w:val="004F77A6"/>
    <w:rsid w:val="005025D1"/>
    <w:rsid w:val="00502E27"/>
    <w:rsid w:val="0050480A"/>
    <w:rsid w:val="00504EC5"/>
    <w:rsid w:val="0050534A"/>
    <w:rsid w:val="00505A6F"/>
    <w:rsid w:val="005064FC"/>
    <w:rsid w:val="0050723B"/>
    <w:rsid w:val="00511514"/>
    <w:rsid w:val="0051357B"/>
    <w:rsid w:val="005137AE"/>
    <w:rsid w:val="005179E1"/>
    <w:rsid w:val="00521A0A"/>
    <w:rsid w:val="00521A70"/>
    <w:rsid w:val="00522FA9"/>
    <w:rsid w:val="0052372A"/>
    <w:rsid w:val="005243EC"/>
    <w:rsid w:val="005248BD"/>
    <w:rsid w:val="00527725"/>
    <w:rsid w:val="00530602"/>
    <w:rsid w:val="00531293"/>
    <w:rsid w:val="00531771"/>
    <w:rsid w:val="005318F6"/>
    <w:rsid w:val="0053262A"/>
    <w:rsid w:val="0053265E"/>
    <w:rsid w:val="0053290B"/>
    <w:rsid w:val="0053341E"/>
    <w:rsid w:val="00534228"/>
    <w:rsid w:val="00534681"/>
    <w:rsid w:val="00534B03"/>
    <w:rsid w:val="00534C03"/>
    <w:rsid w:val="005357F3"/>
    <w:rsid w:val="005359C9"/>
    <w:rsid w:val="00535C58"/>
    <w:rsid w:val="0053637A"/>
    <w:rsid w:val="00537126"/>
    <w:rsid w:val="00537A0C"/>
    <w:rsid w:val="005403F3"/>
    <w:rsid w:val="005425D8"/>
    <w:rsid w:val="00542F5F"/>
    <w:rsid w:val="00544193"/>
    <w:rsid w:val="00544273"/>
    <w:rsid w:val="0054474F"/>
    <w:rsid w:val="00545420"/>
    <w:rsid w:val="0054750B"/>
    <w:rsid w:val="005502AD"/>
    <w:rsid w:val="005503EE"/>
    <w:rsid w:val="00550A78"/>
    <w:rsid w:val="00553905"/>
    <w:rsid w:val="00554C43"/>
    <w:rsid w:val="005566DF"/>
    <w:rsid w:val="00556EBA"/>
    <w:rsid w:val="005602FE"/>
    <w:rsid w:val="00560367"/>
    <w:rsid w:val="00560406"/>
    <w:rsid w:val="005616E2"/>
    <w:rsid w:val="00561A47"/>
    <w:rsid w:val="00561F27"/>
    <w:rsid w:val="00562CC9"/>
    <w:rsid w:val="0056415C"/>
    <w:rsid w:val="00565A8C"/>
    <w:rsid w:val="00566037"/>
    <w:rsid w:val="00567C35"/>
    <w:rsid w:val="00573BE1"/>
    <w:rsid w:val="00574BC5"/>
    <w:rsid w:val="0058015A"/>
    <w:rsid w:val="00580AD4"/>
    <w:rsid w:val="00581EBF"/>
    <w:rsid w:val="005821D8"/>
    <w:rsid w:val="00582AB2"/>
    <w:rsid w:val="00583864"/>
    <w:rsid w:val="00583FB0"/>
    <w:rsid w:val="0058538F"/>
    <w:rsid w:val="0058678C"/>
    <w:rsid w:val="00587307"/>
    <w:rsid w:val="00587685"/>
    <w:rsid w:val="00591278"/>
    <w:rsid w:val="005914A3"/>
    <w:rsid w:val="00594018"/>
    <w:rsid w:val="0059410E"/>
    <w:rsid w:val="005942DF"/>
    <w:rsid w:val="00595322"/>
    <w:rsid w:val="00595432"/>
    <w:rsid w:val="005972B1"/>
    <w:rsid w:val="005974B4"/>
    <w:rsid w:val="00597A8C"/>
    <w:rsid w:val="005A0A99"/>
    <w:rsid w:val="005A1208"/>
    <w:rsid w:val="005A1ADF"/>
    <w:rsid w:val="005A27D9"/>
    <w:rsid w:val="005A3015"/>
    <w:rsid w:val="005A612C"/>
    <w:rsid w:val="005A682B"/>
    <w:rsid w:val="005A6B4A"/>
    <w:rsid w:val="005B13BC"/>
    <w:rsid w:val="005B1ED2"/>
    <w:rsid w:val="005B27B4"/>
    <w:rsid w:val="005B4173"/>
    <w:rsid w:val="005B4EB0"/>
    <w:rsid w:val="005B5132"/>
    <w:rsid w:val="005B610F"/>
    <w:rsid w:val="005B6A07"/>
    <w:rsid w:val="005B6CA8"/>
    <w:rsid w:val="005C0B92"/>
    <w:rsid w:val="005C35E5"/>
    <w:rsid w:val="005C52F9"/>
    <w:rsid w:val="005C5CAB"/>
    <w:rsid w:val="005C6426"/>
    <w:rsid w:val="005C7164"/>
    <w:rsid w:val="005D3F47"/>
    <w:rsid w:val="005D429B"/>
    <w:rsid w:val="005D4EDD"/>
    <w:rsid w:val="005D5033"/>
    <w:rsid w:val="005D5168"/>
    <w:rsid w:val="005D5B60"/>
    <w:rsid w:val="005D619A"/>
    <w:rsid w:val="005D67FC"/>
    <w:rsid w:val="005D6B67"/>
    <w:rsid w:val="005D6E5B"/>
    <w:rsid w:val="005E052B"/>
    <w:rsid w:val="005E0867"/>
    <w:rsid w:val="005E1D62"/>
    <w:rsid w:val="005E3183"/>
    <w:rsid w:val="005E53E9"/>
    <w:rsid w:val="005E574F"/>
    <w:rsid w:val="005F05FF"/>
    <w:rsid w:val="005F2029"/>
    <w:rsid w:val="005F278B"/>
    <w:rsid w:val="005F34D7"/>
    <w:rsid w:val="005F50FC"/>
    <w:rsid w:val="005F5BF5"/>
    <w:rsid w:val="005F68D9"/>
    <w:rsid w:val="005F6C29"/>
    <w:rsid w:val="00600F95"/>
    <w:rsid w:val="00602B03"/>
    <w:rsid w:val="00603861"/>
    <w:rsid w:val="006051CE"/>
    <w:rsid w:val="00605B7E"/>
    <w:rsid w:val="00605C0E"/>
    <w:rsid w:val="00606504"/>
    <w:rsid w:val="00610462"/>
    <w:rsid w:val="0061072B"/>
    <w:rsid w:val="00610D7C"/>
    <w:rsid w:val="006122BA"/>
    <w:rsid w:val="00612448"/>
    <w:rsid w:val="0061354B"/>
    <w:rsid w:val="00615791"/>
    <w:rsid w:val="00615865"/>
    <w:rsid w:val="006160AC"/>
    <w:rsid w:val="00616C69"/>
    <w:rsid w:val="0062014A"/>
    <w:rsid w:val="006202F2"/>
    <w:rsid w:val="006236B1"/>
    <w:rsid w:val="00623B88"/>
    <w:rsid w:val="0062478A"/>
    <w:rsid w:val="00624EC9"/>
    <w:rsid w:val="006250BB"/>
    <w:rsid w:val="006256DF"/>
    <w:rsid w:val="00631FB2"/>
    <w:rsid w:val="006338C7"/>
    <w:rsid w:val="00634774"/>
    <w:rsid w:val="00635B3F"/>
    <w:rsid w:val="00636951"/>
    <w:rsid w:val="006401B6"/>
    <w:rsid w:val="00640386"/>
    <w:rsid w:val="00641E90"/>
    <w:rsid w:val="00642E88"/>
    <w:rsid w:val="00643010"/>
    <w:rsid w:val="00645188"/>
    <w:rsid w:val="00645370"/>
    <w:rsid w:val="00645BF0"/>
    <w:rsid w:val="00646539"/>
    <w:rsid w:val="00651D70"/>
    <w:rsid w:val="006522F5"/>
    <w:rsid w:val="00652C30"/>
    <w:rsid w:val="0065338D"/>
    <w:rsid w:val="00654003"/>
    <w:rsid w:val="0065453E"/>
    <w:rsid w:val="006556CA"/>
    <w:rsid w:val="00655A4F"/>
    <w:rsid w:val="006574F9"/>
    <w:rsid w:val="00657A64"/>
    <w:rsid w:val="00657B78"/>
    <w:rsid w:val="0066041E"/>
    <w:rsid w:val="006622CA"/>
    <w:rsid w:val="006630A7"/>
    <w:rsid w:val="00665BDE"/>
    <w:rsid w:val="006714C7"/>
    <w:rsid w:val="006722F7"/>
    <w:rsid w:val="006759E5"/>
    <w:rsid w:val="00675EF8"/>
    <w:rsid w:val="006764B1"/>
    <w:rsid w:val="00676978"/>
    <w:rsid w:val="006774AC"/>
    <w:rsid w:val="0067754C"/>
    <w:rsid w:val="006775DB"/>
    <w:rsid w:val="006839DA"/>
    <w:rsid w:val="006850B6"/>
    <w:rsid w:val="00691470"/>
    <w:rsid w:val="00691F40"/>
    <w:rsid w:val="00691FBA"/>
    <w:rsid w:val="00693F01"/>
    <w:rsid w:val="00694249"/>
    <w:rsid w:val="006947D4"/>
    <w:rsid w:val="006954BA"/>
    <w:rsid w:val="00697B79"/>
    <w:rsid w:val="006A0952"/>
    <w:rsid w:val="006A1CCD"/>
    <w:rsid w:val="006A3843"/>
    <w:rsid w:val="006A5663"/>
    <w:rsid w:val="006A68BA"/>
    <w:rsid w:val="006A69E4"/>
    <w:rsid w:val="006B2290"/>
    <w:rsid w:val="006B2D47"/>
    <w:rsid w:val="006B44E1"/>
    <w:rsid w:val="006B47E6"/>
    <w:rsid w:val="006B72D7"/>
    <w:rsid w:val="006B77B8"/>
    <w:rsid w:val="006B793B"/>
    <w:rsid w:val="006B7EB9"/>
    <w:rsid w:val="006C2DEF"/>
    <w:rsid w:val="006C30D1"/>
    <w:rsid w:val="006C375A"/>
    <w:rsid w:val="006C3872"/>
    <w:rsid w:val="006C387A"/>
    <w:rsid w:val="006C39A3"/>
    <w:rsid w:val="006C3C66"/>
    <w:rsid w:val="006C458C"/>
    <w:rsid w:val="006C4DE7"/>
    <w:rsid w:val="006C4DF9"/>
    <w:rsid w:val="006C5943"/>
    <w:rsid w:val="006C71EB"/>
    <w:rsid w:val="006D10B1"/>
    <w:rsid w:val="006D1790"/>
    <w:rsid w:val="006D1BCA"/>
    <w:rsid w:val="006D1C83"/>
    <w:rsid w:val="006D261B"/>
    <w:rsid w:val="006D528B"/>
    <w:rsid w:val="006D7243"/>
    <w:rsid w:val="006D7CB2"/>
    <w:rsid w:val="006E09B6"/>
    <w:rsid w:val="006E2D7F"/>
    <w:rsid w:val="006E4722"/>
    <w:rsid w:val="006E57CD"/>
    <w:rsid w:val="006E6E07"/>
    <w:rsid w:val="006E72DD"/>
    <w:rsid w:val="006F1E34"/>
    <w:rsid w:val="006F575F"/>
    <w:rsid w:val="006F7DB9"/>
    <w:rsid w:val="00700795"/>
    <w:rsid w:val="0070096E"/>
    <w:rsid w:val="0070144C"/>
    <w:rsid w:val="00705714"/>
    <w:rsid w:val="00706511"/>
    <w:rsid w:val="00706C57"/>
    <w:rsid w:val="00706F09"/>
    <w:rsid w:val="00707972"/>
    <w:rsid w:val="0071125E"/>
    <w:rsid w:val="007112C4"/>
    <w:rsid w:val="00712B50"/>
    <w:rsid w:val="00712EBD"/>
    <w:rsid w:val="00713EEC"/>
    <w:rsid w:val="00715CFA"/>
    <w:rsid w:val="007160EF"/>
    <w:rsid w:val="00716782"/>
    <w:rsid w:val="00717050"/>
    <w:rsid w:val="00717D88"/>
    <w:rsid w:val="0072150C"/>
    <w:rsid w:val="007217A2"/>
    <w:rsid w:val="00721968"/>
    <w:rsid w:val="007226C2"/>
    <w:rsid w:val="00722766"/>
    <w:rsid w:val="0072286E"/>
    <w:rsid w:val="00722C55"/>
    <w:rsid w:val="00723281"/>
    <w:rsid w:val="00723677"/>
    <w:rsid w:val="00724AB7"/>
    <w:rsid w:val="00726172"/>
    <w:rsid w:val="00732E82"/>
    <w:rsid w:val="00736E36"/>
    <w:rsid w:val="007418AB"/>
    <w:rsid w:val="00743A7C"/>
    <w:rsid w:val="00744838"/>
    <w:rsid w:val="007502FD"/>
    <w:rsid w:val="00750CAC"/>
    <w:rsid w:val="00751ED5"/>
    <w:rsid w:val="0075221B"/>
    <w:rsid w:val="00753BCE"/>
    <w:rsid w:val="00753FDD"/>
    <w:rsid w:val="007578D0"/>
    <w:rsid w:val="00760C50"/>
    <w:rsid w:val="00762417"/>
    <w:rsid w:val="00764BB1"/>
    <w:rsid w:val="00765F3D"/>
    <w:rsid w:val="00766570"/>
    <w:rsid w:val="007665A7"/>
    <w:rsid w:val="007734E4"/>
    <w:rsid w:val="00773AB7"/>
    <w:rsid w:val="00776D20"/>
    <w:rsid w:val="00776FA1"/>
    <w:rsid w:val="00780275"/>
    <w:rsid w:val="00781A7C"/>
    <w:rsid w:val="00781BAC"/>
    <w:rsid w:val="00781CD3"/>
    <w:rsid w:val="00782F5A"/>
    <w:rsid w:val="00785F80"/>
    <w:rsid w:val="00790FAC"/>
    <w:rsid w:val="00791236"/>
    <w:rsid w:val="00791B48"/>
    <w:rsid w:val="007942D3"/>
    <w:rsid w:val="007952C0"/>
    <w:rsid w:val="007A31FE"/>
    <w:rsid w:val="007A36A8"/>
    <w:rsid w:val="007A760E"/>
    <w:rsid w:val="007A78B5"/>
    <w:rsid w:val="007A7B40"/>
    <w:rsid w:val="007A7E9B"/>
    <w:rsid w:val="007B019E"/>
    <w:rsid w:val="007B059F"/>
    <w:rsid w:val="007B171B"/>
    <w:rsid w:val="007B28A0"/>
    <w:rsid w:val="007B3F97"/>
    <w:rsid w:val="007B427D"/>
    <w:rsid w:val="007B6B16"/>
    <w:rsid w:val="007B6C09"/>
    <w:rsid w:val="007B769C"/>
    <w:rsid w:val="007B76AF"/>
    <w:rsid w:val="007C5D73"/>
    <w:rsid w:val="007C7659"/>
    <w:rsid w:val="007C7F3A"/>
    <w:rsid w:val="007D1133"/>
    <w:rsid w:val="007D2B73"/>
    <w:rsid w:val="007D513B"/>
    <w:rsid w:val="007D76F9"/>
    <w:rsid w:val="007E0741"/>
    <w:rsid w:val="007E09DA"/>
    <w:rsid w:val="007E2F50"/>
    <w:rsid w:val="007E3293"/>
    <w:rsid w:val="007E3980"/>
    <w:rsid w:val="007E466A"/>
    <w:rsid w:val="007E4816"/>
    <w:rsid w:val="007E4F41"/>
    <w:rsid w:val="007E5E4C"/>
    <w:rsid w:val="007E624C"/>
    <w:rsid w:val="007E6422"/>
    <w:rsid w:val="007E66A1"/>
    <w:rsid w:val="007E6A52"/>
    <w:rsid w:val="007E75AB"/>
    <w:rsid w:val="007F028B"/>
    <w:rsid w:val="007F2454"/>
    <w:rsid w:val="007F34FB"/>
    <w:rsid w:val="007F35F4"/>
    <w:rsid w:val="007F5A10"/>
    <w:rsid w:val="007F5D4A"/>
    <w:rsid w:val="007F789E"/>
    <w:rsid w:val="007F7AC9"/>
    <w:rsid w:val="00801203"/>
    <w:rsid w:val="0080214D"/>
    <w:rsid w:val="008041D7"/>
    <w:rsid w:val="00806A19"/>
    <w:rsid w:val="008078C7"/>
    <w:rsid w:val="00807E10"/>
    <w:rsid w:val="008102FA"/>
    <w:rsid w:val="00813788"/>
    <w:rsid w:val="00813D3D"/>
    <w:rsid w:val="00813E85"/>
    <w:rsid w:val="008146BF"/>
    <w:rsid w:val="00815325"/>
    <w:rsid w:val="0081638D"/>
    <w:rsid w:val="008178B6"/>
    <w:rsid w:val="00820239"/>
    <w:rsid w:val="0082180D"/>
    <w:rsid w:val="00823A1C"/>
    <w:rsid w:val="008242B8"/>
    <w:rsid w:val="00824838"/>
    <w:rsid w:val="00824DBC"/>
    <w:rsid w:val="00825EB3"/>
    <w:rsid w:val="00825EED"/>
    <w:rsid w:val="008266F7"/>
    <w:rsid w:val="008276BC"/>
    <w:rsid w:val="00827BBD"/>
    <w:rsid w:val="00830939"/>
    <w:rsid w:val="00831E5D"/>
    <w:rsid w:val="00831F51"/>
    <w:rsid w:val="00831FC6"/>
    <w:rsid w:val="0083218F"/>
    <w:rsid w:val="0083287D"/>
    <w:rsid w:val="00833801"/>
    <w:rsid w:val="00833BCE"/>
    <w:rsid w:val="008407E6"/>
    <w:rsid w:val="0084145A"/>
    <w:rsid w:val="00842519"/>
    <w:rsid w:val="008429C2"/>
    <w:rsid w:val="00842DBE"/>
    <w:rsid w:val="00844180"/>
    <w:rsid w:val="008445FB"/>
    <w:rsid w:val="00847089"/>
    <w:rsid w:val="00847155"/>
    <w:rsid w:val="00850976"/>
    <w:rsid w:val="008518F8"/>
    <w:rsid w:val="00853567"/>
    <w:rsid w:val="00853847"/>
    <w:rsid w:val="00854512"/>
    <w:rsid w:val="0085585C"/>
    <w:rsid w:val="0085691C"/>
    <w:rsid w:val="00856B12"/>
    <w:rsid w:val="00857488"/>
    <w:rsid w:val="008575C0"/>
    <w:rsid w:val="00857790"/>
    <w:rsid w:val="00861693"/>
    <w:rsid w:val="00862BA3"/>
    <w:rsid w:val="008637B5"/>
    <w:rsid w:val="00865A3C"/>
    <w:rsid w:val="00865AD2"/>
    <w:rsid w:val="00865B74"/>
    <w:rsid w:val="008669D1"/>
    <w:rsid w:val="008709F6"/>
    <w:rsid w:val="00870CBF"/>
    <w:rsid w:val="00872611"/>
    <w:rsid w:val="00872CBB"/>
    <w:rsid w:val="008748D4"/>
    <w:rsid w:val="00876565"/>
    <w:rsid w:val="008767E7"/>
    <w:rsid w:val="008775FC"/>
    <w:rsid w:val="0088089B"/>
    <w:rsid w:val="0088107A"/>
    <w:rsid w:val="00881465"/>
    <w:rsid w:val="00883B00"/>
    <w:rsid w:val="008856F1"/>
    <w:rsid w:val="008857FE"/>
    <w:rsid w:val="0088591E"/>
    <w:rsid w:val="0088732B"/>
    <w:rsid w:val="00887EF9"/>
    <w:rsid w:val="00892EED"/>
    <w:rsid w:val="00894B77"/>
    <w:rsid w:val="008952EC"/>
    <w:rsid w:val="00896816"/>
    <w:rsid w:val="00896F76"/>
    <w:rsid w:val="008A25C8"/>
    <w:rsid w:val="008A4C23"/>
    <w:rsid w:val="008A4EFB"/>
    <w:rsid w:val="008A6BC5"/>
    <w:rsid w:val="008B22DB"/>
    <w:rsid w:val="008B283E"/>
    <w:rsid w:val="008B2929"/>
    <w:rsid w:val="008B2DDB"/>
    <w:rsid w:val="008B2E25"/>
    <w:rsid w:val="008B52CF"/>
    <w:rsid w:val="008B5BE2"/>
    <w:rsid w:val="008B64DD"/>
    <w:rsid w:val="008B6794"/>
    <w:rsid w:val="008B6CE4"/>
    <w:rsid w:val="008C0A32"/>
    <w:rsid w:val="008C0D11"/>
    <w:rsid w:val="008C33FC"/>
    <w:rsid w:val="008C6B72"/>
    <w:rsid w:val="008C6F69"/>
    <w:rsid w:val="008C7385"/>
    <w:rsid w:val="008D0F6F"/>
    <w:rsid w:val="008D1CFC"/>
    <w:rsid w:val="008D2590"/>
    <w:rsid w:val="008D3C9D"/>
    <w:rsid w:val="008D4E42"/>
    <w:rsid w:val="008D7AD8"/>
    <w:rsid w:val="008E03BC"/>
    <w:rsid w:val="008E0907"/>
    <w:rsid w:val="008E14F2"/>
    <w:rsid w:val="008E3C7A"/>
    <w:rsid w:val="008E406B"/>
    <w:rsid w:val="008E4EEA"/>
    <w:rsid w:val="008E677B"/>
    <w:rsid w:val="008F1ECB"/>
    <w:rsid w:val="008F2151"/>
    <w:rsid w:val="008F28A2"/>
    <w:rsid w:val="008F399A"/>
    <w:rsid w:val="008F3DBA"/>
    <w:rsid w:val="008F4FA7"/>
    <w:rsid w:val="008F4FF4"/>
    <w:rsid w:val="008F5495"/>
    <w:rsid w:val="008F6447"/>
    <w:rsid w:val="008F6D4B"/>
    <w:rsid w:val="008F7681"/>
    <w:rsid w:val="009001B9"/>
    <w:rsid w:val="00901243"/>
    <w:rsid w:val="00902C5B"/>
    <w:rsid w:val="009045CE"/>
    <w:rsid w:val="00906185"/>
    <w:rsid w:val="00906CB7"/>
    <w:rsid w:val="00906F54"/>
    <w:rsid w:val="0090707C"/>
    <w:rsid w:val="00910E59"/>
    <w:rsid w:val="00912F20"/>
    <w:rsid w:val="00914D10"/>
    <w:rsid w:val="00915483"/>
    <w:rsid w:val="0091587E"/>
    <w:rsid w:val="009168E5"/>
    <w:rsid w:val="00917338"/>
    <w:rsid w:val="0091787E"/>
    <w:rsid w:val="00921794"/>
    <w:rsid w:val="009221C1"/>
    <w:rsid w:val="00922B7E"/>
    <w:rsid w:val="0092393C"/>
    <w:rsid w:val="0092448A"/>
    <w:rsid w:val="009248D8"/>
    <w:rsid w:val="00927983"/>
    <w:rsid w:val="00930BA1"/>
    <w:rsid w:val="0093169E"/>
    <w:rsid w:val="009320AF"/>
    <w:rsid w:val="00932EE5"/>
    <w:rsid w:val="00933A32"/>
    <w:rsid w:val="00935249"/>
    <w:rsid w:val="00935252"/>
    <w:rsid w:val="00935BB7"/>
    <w:rsid w:val="00936772"/>
    <w:rsid w:val="00944652"/>
    <w:rsid w:val="00945996"/>
    <w:rsid w:val="00945B8E"/>
    <w:rsid w:val="009462AF"/>
    <w:rsid w:val="00946540"/>
    <w:rsid w:val="00947687"/>
    <w:rsid w:val="00947ECE"/>
    <w:rsid w:val="00947F26"/>
    <w:rsid w:val="009505C9"/>
    <w:rsid w:val="00950975"/>
    <w:rsid w:val="00950F63"/>
    <w:rsid w:val="00951C76"/>
    <w:rsid w:val="009537FE"/>
    <w:rsid w:val="00954FCE"/>
    <w:rsid w:val="00957328"/>
    <w:rsid w:val="00960821"/>
    <w:rsid w:val="0096147C"/>
    <w:rsid w:val="009615E2"/>
    <w:rsid w:val="00961AEF"/>
    <w:rsid w:val="009625D7"/>
    <w:rsid w:val="00964701"/>
    <w:rsid w:val="0096519C"/>
    <w:rsid w:val="0096547E"/>
    <w:rsid w:val="00971AB2"/>
    <w:rsid w:val="00972846"/>
    <w:rsid w:val="00974315"/>
    <w:rsid w:val="009754B4"/>
    <w:rsid w:val="00981A20"/>
    <w:rsid w:val="00985DEB"/>
    <w:rsid w:val="00986049"/>
    <w:rsid w:val="00986889"/>
    <w:rsid w:val="00987330"/>
    <w:rsid w:val="0098762F"/>
    <w:rsid w:val="009930F0"/>
    <w:rsid w:val="00993E32"/>
    <w:rsid w:val="00994E1D"/>
    <w:rsid w:val="009959EC"/>
    <w:rsid w:val="0099729C"/>
    <w:rsid w:val="009979E9"/>
    <w:rsid w:val="009A1665"/>
    <w:rsid w:val="009A1A2F"/>
    <w:rsid w:val="009A6DBF"/>
    <w:rsid w:val="009B0A79"/>
    <w:rsid w:val="009B0ADE"/>
    <w:rsid w:val="009B0C68"/>
    <w:rsid w:val="009B1184"/>
    <w:rsid w:val="009B164E"/>
    <w:rsid w:val="009B213F"/>
    <w:rsid w:val="009B2D7C"/>
    <w:rsid w:val="009B6C58"/>
    <w:rsid w:val="009B7234"/>
    <w:rsid w:val="009C1BBF"/>
    <w:rsid w:val="009C418E"/>
    <w:rsid w:val="009C41F0"/>
    <w:rsid w:val="009C5AFB"/>
    <w:rsid w:val="009D64E9"/>
    <w:rsid w:val="009D6EEC"/>
    <w:rsid w:val="009D795C"/>
    <w:rsid w:val="009E217D"/>
    <w:rsid w:val="009E2851"/>
    <w:rsid w:val="009E2BB9"/>
    <w:rsid w:val="009E5A0B"/>
    <w:rsid w:val="009E7739"/>
    <w:rsid w:val="009F0B59"/>
    <w:rsid w:val="009F0CD7"/>
    <w:rsid w:val="009F4A5A"/>
    <w:rsid w:val="009F5466"/>
    <w:rsid w:val="009F6466"/>
    <w:rsid w:val="009F6ABF"/>
    <w:rsid w:val="009F7482"/>
    <w:rsid w:val="00A03029"/>
    <w:rsid w:val="00A053DE"/>
    <w:rsid w:val="00A07B2D"/>
    <w:rsid w:val="00A100D2"/>
    <w:rsid w:val="00A1177E"/>
    <w:rsid w:val="00A11F36"/>
    <w:rsid w:val="00A1469B"/>
    <w:rsid w:val="00A166AC"/>
    <w:rsid w:val="00A16DD6"/>
    <w:rsid w:val="00A1719C"/>
    <w:rsid w:val="00A17A2E"/>
    <w:rsid w:val="00A212B7"/>
    <w:rsid w:val="00A21305"/>
    <w:rsid w:val="00A22291"/>
    <w:rsid w:val="00A22E2A"/>
    <w:rsid w:val="00A24A85"/>
    <w:rsid w:val="00A25BB9"/>
    <w:rsid w:val="00A265E5"/>
    <w:rsid w:val="00A27007"/>
    <w:rsid w:val="00A27289"/>
    <w:rsid w:val="00A301D2"/>
    <w:rsid w:val="00A30A08"/>
    <w:rsid w:val="00A30CED"/>
    <w:rsid w:val="00A329CE"/>
    <w:rsid w:val="00A34312"/>
    <w:rsid w:val="00A3462B"/>
    <w:rsid w:val="00A35409"/>
    <w:rsid w:val="00A362B0"/>
    <w:rsid w:val="00A36C63"/>
    <w:rsid w:val="00A36E7B"/>
    <w:rsid w:val="00A370D4"/>
    <w:rsid w:val="00A372F8"/>
    <w:rsid w:val="00A374E9"/>
    <w:rsid w:val="00A37F5F"/>
    <w:rsid w:val="00A40DA0"/>
    <w:rsid w:val="00A417D8"/>
    <w:rsid w:val="00A41EC5"/>
    <w:rsid w:val="00A425E8"/>
    <w:rsid w:val="00A42E2E"/>
    <w:rsid w:val="00A43245"/>
    <w:rsid w:val="00A447E7"/>
    <w:rsid w:val="00A44804"/>
    <w:rsid w:val="00A455B4"/>
    <w:rsid w:val="00A456AC"/>
    <w:rsid w:val="00A471C0"/>
    <w:rsid w:val="00A47934"/>
    <w:rsid w:val="00A50D8F"/>
    <w:rsid w:val="00A50DB6"/>
    <w:rsid w:val="00A51CD5"/>
    <w:rsid w:val="00A57517"/>
    <w:rsid w:val="00A57A1A"/>
    <w:rsid w:val="00A601F4"/>
    <w:rsid w:val="00A603C2"/>
    <w:rsid w:val="00A60D69"/>
    <w:rsid w:val="00A6108A"/>
    <w:rsid w:val="00A6123A"/>
    <w:rsid w:val="00A63281"/>
    <w:rsid w:val="00A632AC"/>
    <w:rsid w:val="00A65C9A"/>
    <w:rsid w:val="00A664D4"/>
    <w:rsid w:val="00A66A52"/>
    <w:rsid w:val="00A67CE9"/>
    <w:rsid w:val="00A7049E"/>
    <w:rsid w:val="00A705EA"/>
    <w:rsid w:val="00A70E0A"/>
    <w:rsid w:val="00A7268A"/>
    <w:rsid w:val="00A73206"/>
    <w:rsid w:val="00A73A97"/>
    <w:rsid w:val="00A748B1"/>
    <w:rsid w:val="00A75631"/>
    <w:rsid w:val="00A75F2B"/>
    <w:rsid w:val="00A76954"/>
    <w:rsid w:val="00A778C5"/>
    <w:rsid w:val="00A81305"/>
    <w:rsid w:val="00A828C6"/>
    <w:rsid w:val="00A829AD"/>
    <w:rsid w:val="00A839B0"/>
    <w:rsid w:val="00A8556E"/>
    <w:rsid w:val="00A86F81"/>
    <w:rsid w:val="00A87E6D"/>
    <w:rsid w:val="00A9024D"/>
    <w:rsid w:val="00A918F1"/>
    <w:rsid w:val="00A91AD9"/>
    <w:rsid w:val="00A9279D"/>
    <w:rsid w:val="00A932FD"/>
    <w:rsid w:val="00A93325"/>
    <w:rsid w:val="00A93381"/>
    <w:rsid w:val="00A9427A"/>
    <w:rsid w:val="00A942ED"/>
    <w:rsid w:val="00A948B6"/>
    <w:rsid w:val="00A95354"/>
    <w:rsid w:val="00A9555B"/>
    <w:rsid w:val="00A96059"/>
    <w:rsid w:val="00AA1C31"/>
    <w:rsid w:val="00AA30E3"/>
    <w:rsid w:val="00AA50F7"/>
    <w:rsid w:val="00AA535A"/>
    <w:rsid w:val="00AA634E"/>
    <w:rsid w:val="00AB19C0"/>
    <w:rsid w:val="00AB39A9"/>
    <w:rsid w:val="00AB78F6"/>
    <w:rsid w:val="00AB7BCE"/>
    <w:rsid w:val="00AB7FF1"/>
    <w:rsid w:val="00AC0C29"/>
    <w:rsid w:val="00AC0D25"/>
    <w:rsid w:val="00AC2785"/>
    <w:rsid w:val="00AC27A1"/>
    <w:rsid w:val="00AC2B39"/>
    <w:rsid w:val="00AC30CC"/>
    <w:rsid w:val="00AC355B"/>
    <w:rsid w:val="00AC3F61"/>
    <w:rsid w:val="00AC7018"/>
    <w:rsid w:val="00AC7682"/>
    <w:rsid w:val="00AD02CD"/>
    <w:rsid w:val="00AD040A"/>
    <w:rsid w:val="00AD096C"/>
    <w:rsid w:val="00AD26A7"/>
    <w:rsid w:val="00AD2BBA"/>
    <w:rsid w:val="00AD45C1"/>
    <w:rsid w:val="00AD5897"/>
    <w:rsid w:val="00AD751A"/>
    <w:rsid w:val="00AD7CDC"/>
    <w:rsid w:val="00AE04BE"/>
    <w:rsid w:val="00AE145E"/>
    <w:rsid w:val="00AE1461"/>
    <w:rsid w:val="00AE15F2"/>
    <w:rsid w:val="00AE2777"/>
    <w:rsid w:val="00AE35AB"/>
    <w:rsid w:val="00AE388B"/>
    <w:rsid w:val="00AE6BB5"/>
    <w:rsid w:val="00AF0753"/>
    <w:rsid w:val="00AF1BB2"/>
    <w:rsid w:val="00AF21DD"/>
    <w:rsid w:val="00AF272F"/>
    <w:rsid w:val="00AF45E8"/>
    <w:rsid w:val="00AF4683"/>
    <w:rsid w:val="00AF5406"/>
    <w:rsid w:val="00AF5A81"/>
    <w:rsid w:val="00AF5FBB"/>
    <w:rsid w:val="00AF6E5E"/>
    <w:rsid w:val="00AF7288"/>
    <w:rsid w:val="00B00096"/>
    <w:rsid w:val="00B01109"/>
    <w:rsid w:val="00B01705"/>
    <w:rsid w:val="00B0300B"/>
    <w:rsid w:val="00B0404A"/>
    <w:rsid w:val="00B04E3D"/>
    <w:rsid w:val="00B06D5B"/>
    <w:rsid w:val="00B07586"/>
    <w:rsid w:val="00B07FB1"/>
    <w:rsid w:val="00B10D81"/>
    <w:rsid w:val="00B12CB8"/>
    <w:rsid w:val="00B1366F"/>
    <w:rsid w:val="00B13A29"/>
    <w:rsid w:val="00B13F83"/>
    <w:rsid w:val="00B20043"/>
    <w:rsid w:val="00B21AAF"/>
    <w:rsid w:val="00B23B61"/>
    <w:rsid w:val="00B24261"/>
    <w:rsid w:val="00B26B5B"/>
    <w:rsid w:val="00B27611"/>
    <w:rsid w:val="00B32032"/>
    <w:rsid w:val="00B3369F"/>
    <w:rsid w:val="00B33B0F"/>
    <w:rsid w:val="00B34133"/>
    <w:rsid w:val="00B3440F"/>
    <w:rsid w:val="00B34CF3"/>
    <w:rsid w:val="00B3543D"/>
    <w:rsid w:val="00B36B98"/>
    <w:rsid w:val="00B36CE0"/>
    <w:rsid w:val="00B3733F"/>
    <w:rsid w:val="00B37CDA"/>
    <w:rsid w:val="00B407DD"/>
    <w:rsid w:val="00B427DD"/>
    <w:rsid w:val="00B42D86"/>
    <w:rsid w:val="00B45688"/>
    <w:rsid w:val="00B469FB"/>
    <w:rsid w:val="00B47624"/>
    <w:rsid w:val="00B529EE"/>
    <w:rsid w:val="00B5369C"/>
    <w:rsid w:val="00B5373F"/>
    <w:rsid w:val="00B548EF"/>
    <w:rsid w:val="00B549C2"/>
    <w:rsid w:val="00B5606F"/>
    <w:rsid w:val="00B5616D"/>
    <w:rsid w:val="00B56FEA"/>
    <w:rsid w:val="00B5785F"/>
    <w:rsid w:val="00B61D13"/>
    <w:rsid w:val="00B6238C"/>
    <w:rsid w:val="00B63A58"/>
    <w:rsid w:val="00B63C92"/>
    <w:rsid w:val="00B6428E"/>
    <w:rsid w:val="00B6479B"/>
    <w:rsid w:val="00B64CD8"/>
    <w:rsid w:val="00B6536D"/>
    <w:rsid w:val="00B679E3"/>
    <w:rsid w:val="00B70148"/>
    <w:rsid w:val="00B71786"/>
    <w:rsid w:val="00B71DDF"/>
    <w:rsid w:val="00B724DA"/>
    <w:rsid w:val="00B72915"/>
    <w:rsid w:val="00B7432B"/>
    <w:rsid w:val="00B74365"/>
    <w:rsid w:val="00B807EB"/>
    <w:rsid w:val="00B80E2C"/>
    <w:rsid w:val="00B8126A"/>
    <w:rsid w:val="00B81F07"/>
    <w:rsid w:val="00B81FDB"/>
    <w:rsid w:val="00B82F73"/>
    <w:rsid w:val="00B83EB9"/>
    <w:rsid w:val="00B843D6"/>
    <w:rsid w:val="00B85EBD"/>
    <w:rsid w:val="00B86F75"/>
    <w:rsid w:val="00B87599"/>
    <w:rsid w:val="00B87715"/>
    <w:rsid w:val="00B91E75"/>
    <w:rsid w:val="00B92364"/>
    <w:rsid w:val="00B92D18"/>
    <w:rsid w:val="00B945D2"/>
    <w:rsid w:val="00B946EC"/>
    <w:rsid w:val="00B9729F"/>
    <w:rsid w:val="00BA1948"/>
    <w:rsid w:val="00BA2018"/>
    <w:rsid w:val="00BA4F32"/>
    <w:rsid w:val="00BA7A1B"/>
    <w:rsid w:val="00BB0212"/>
    <w:rsid w:val="00BB0D9B"/>
    <w:rsid w:val="00BB1C3A"/>
    <w:rsid w:val="00BB1D58"/>
    <w:rsid w:val="00BB1EF2"/>
    <w:rsid w:val="00BB2710"/>
    <w:rsid w:val="00BB2D60"/>
    <w:rsid w:val="00BB4331"/>
    <w:rsid w:val="00BB76F5"/>
    <w:rsid w:val="00BC0951"/>
    <w:rsid w:val="00BC0D6D"/>
    <w:rsid w:val="00BC124B"/>
    <w:rsid w:val="00BC33A5"/>
    <w:rsid w:val="00BC382E"/>
    <w:rsid w:val="00BC4183"/>
    <w:rsid w:val="00BC57D6"/>
    <w:rsid w:val="00BC5A75"/>
    <w:rsid w:val="00BC6EAE"/>
    <w:rsid w:val="00BC7920"/>
    <w:rsid w:val="00BD0079"/>
    <w:rsid w:val="00BD0728"/>
    <w:rsid w:val="00BD0A2E"/>
    <w:rsid w:val="00BD37F0"/>
    <w:rsid w:val="00BD4384"/>
    <w:rsid w:val="00BD597A"/>
    <w:rsid w:val="00BD785A"/>
    <w:rsid w:val="00BE0422"/>
    <w:rsid w:val="00BE2CAF"/>
    <w:rsid w:val="00BE43D2"/>
    <w:rsid w:val="00BE501E"/>
    <w:rsid w:val="00BE6433"/>
    <w:rsid w:val="00BF1265"/>
    <w:rsid w:val="00BF18EA"/>
    <w:rsid w:val="00BF3B88"/>
    <w:rsid w:val="00BF5A7F"/>
    <w:rsid w:val="00BF5D56"/>
    <w:rsid w:val="00BF5FF4"/>
    <w:rsid w:val="00BF7F36"/>
    <w:rsid w:val="00C00AAF"/>
    <w:rsid w:val="00C0146A"/>
    <w:rsid w:val="00C017D6"/>
    <w:rsid w:val="00C03399"/>
    <w:rsid w:val="00C05643"/>
    <w:rsid w:val="00C05AFB"/>
    <w:rsid w:val="00C063E0"/>
    <w:rsid w:val="00C06C34"/>
    <w:rsid w:val="00C07C03"/>
    <w:rsid w:val="00C101FE"/>
    <w:rsid w:val="00C10D54"/>
    <w:rsid w:val="00C1124F"/>
    <w:rsid w:val="00C1146D"/>
    <w:rsid w:val="00C1150B"/>
    <w:rsid w:val="00C122F2"/>
    <w:rsid w:val="00C12E82"/>
    <w:rsid w:val="00C1342A"/>
    <w:rsid w:val="00C13435"/>
    <w:rsid w:val="00C14D13"/>
    <w:rsid w:val="00C150BD"/>
    <w:rsid w:val="00C15621"/>
    <w:rsid w:val="00C17645"/>
    <w:rsid w:val="00C20133"/>
    <w:rsid w:val="00C21148"/>
    <w:rsid w:val="00C2318E"/>
    <w:rsid w:val="00C24A27"/>
    <w:rsid w:val="00C26B56"/>
    <w:rsid w:val="00C27B92"/>
    <w:rsid w:val="00C27BCD"/>
    <w:rsid w:val="00C27C83"/>
    <w:rsid w:val="00C30441"/>
    <w:rsid w:val="00C3259E"/>
    <w:rsid w:val="00C33570"/>
    <w:rsid w:val="00C36033"/>
    <w:rsid w:val="00C364FF"/>
    <w:rsid w:val="00C37BD3"/>
    <w:rsid w:val="00C40ABC"/>
    <w:rsid w:val="00C40FF6"/>
    <w:rsid w:val="00C43060"/>
    <w:rsid w:val="00C440F3"/>
    <w:rsid w:val="00C463A7"/>
    <w:rsid w:val="00C466EC"/>
    <w:rsid w:val="00C46CAE"/>
    <w:rsid w:val="00C4707C"/>
    <w:rsid w:val="00C47110"/>
    <w:rsid w:val="00C533C2"/>
    <w:rsid w:val="00C56385"/>
    <w:rsid w:val="00C56CE2"/>
    <w:rsid w:val="00C56DDE"/>
    <w:rsid w:val="00C6039C"/>
    <w:rsid w:val="00C61D40"/>
    <w:rsid w:val="00C63AAD"/>
    <w:rsid w:val="00C653F0"/>
    <w:rsid w:val="00C65B2A"/>
    <w:rsid w:val="00C65B71"/>
    <w:rsid w:val="00C65D40"/>
    <w:rsid w:val="00C669EB"/>
    <w:rsid w:val="00C66F34"/>
    <w:rsid w:val="00C6777C"/>
    <w:rsid w:val="00C67DA4"/>
    <w:rsid w:val="00C70A51"/>
    <w:rsid w:val="00C70C94"/>
    <w:rsid w:val="00C7181F"/>
    <w:rsid w:val="00C72F20"/>
    <w:rsid w:val="00C734B9"/>
    <w:rsid w:val="00C73EBD"/>
    <w:rsid w:val="00C74067"/>
    <w:rsid w:val="00C74E90"/>
    <w:rsid w:val="00C762F8"/>
    <w:rsid w:val="00C7687D"/>
    <w:rsid w:val="00C769AE"/>
    <w:rsid w:val="00C819D4"/>
    <w:rsid w:val="00C81D46"/>
    <w:rsid w:val="00C828A6"/>
    <w:rsid w:val="00C837FE"/>
    <w:rsid w:val="00C83A5C"/>
    <w:rsid w:val="00C84475"/>
    <w:rsid w:val="00C84A20"/>
    <w:rsid w:val="00C84D4A"/>
    <w:rsid w:val="00C86F34"/>
    <w:rsid w:val="00C9161D"/>
    <w:rsid w:val="00C91B0A"/>
    <w:rsid w:val="00C91B0F"/>
    <w:rsid w:val="00C93112"/>
    <w:rsid w:val="00C942BA"/>
    <w:rsid w:val="00C96940"/>
    <w:rsid w:val="00C96AFE"/>
    <w:rsid w:val="00CA027B"/>
    <w:rsid w:val="00CA0983"/>
    <w:rsid w:val="00CA0CB0"/>
    <w:rsid w:val="00CA0E50"/>
    <w:rsid w:val="00CA2ADF"/>
    <w:rsid w:val="00CA37E6"/>
    <w:rsid w:val="00CA472B"/>
    <w:rsid w:val="00CA54C3"/>
    <w:rsid w:val="00CA591A"/>
    <w:rsid w:val="00CA6393"/>
    <w:rsid w:val="00CA73BE"/>
    <w:rsid w:val="00CB0A20"/>
    <w:rsid w:val="00CB0CFF"/>
    <w:rsid w:val="00CB115A"/>
    <w:rsid w:val="00CB1C69"/>
    <w:rsid w:val="00CB2A7C"/>
    <w:rsid w:val="00CB3FD3"/>
    <w:rsid w:val="00CC1AC0"/>
    <w:rsid w:val="00CC205A"/>
    <w:rsid w:val="00CC20E0"/>
    <w:rsid w:val="00CC3679"/>
    <w:rsid w:val="00CC4ECF"/>
    <w:rsid w:val="00CC6705"/>
    <w:rsid w:val="00CD0694"/>
    <w:rsid w:val="00CD0FC3"/>
    <w:rsid w:val="00CD191D"/>
    <w:rsid w:val="00CD2DA0"/>
    <w:rsid w:val="00CD36A6"/>
    <w:rsid w:val="00CD53FE"/>
    <w:rsid w:val="00CD5C14"/>
    <w:rsid w:val="00CD69B0"/>
    <w:rsid w:val="00CD6A95"/>
    <w:rsid w:val="00CE002E"/>
    <w:rsid w:val="00CE0854"/>
    <w:rsid w:val="00CE2465"/>
    <w:rsid w:val="00CE2F21"/>
    <w:rsid w:val="00CE2FAE"/>
    <w:rsid w:val="00CE4861"/>
    <w:rsid w:val="00CE5591"/>
    <w:rsid w:val="00CE72AC"/>
    <w:rsid w:val="00CE776D"/>
    <w:rsid w:val="00CF1123"/>
    <w:rsid w:val="00CF1701"/>
    <w:rsid w:val="00CF1848"/>
    <w:rsid w:val="00CF236E"/>
    <w:rsid w:val="00CF3556"/>
    <w:rsid w:val="00CF3D87"/>
    <w:rsid w:val="00CF3DD0"/>
    <w:rsid w:val="00CF54E5"/>
    <w:rsid w:val="00CF77B8"/>
    <w:rsid w:val="00D030FB"/>
    <w:rsid w:val="00D0497B"/>
    <w:rsid w:val="00D06A37"/>
    <w:rsid w:val="00D073B0"/>
    <w:rsid w:val="00D07CD9"/>
    <w:rsid w:val="00D1006B"/>
    <w:rsid w:val="00D10BB4"/>
    <w:rsid w:val="00D12044"/>
    <w:rsid w:val="00D12802"/>
    <w:rsid w:val="00D13066"/>
    <w:rsid w:val="00D14792"/>
    <w:rsid w:val="00D16F2D"/>
    <w:rsid w:val="00D17C5A"/>
    <w:rsid w:val="00D20CB8"/>
    <w:rsid w:val="00D2155F"/>
    <w:rsid w:val="00D218FF"/>
    <w:rsid w:val="00D23596"/>
    <w:rsid w:val="00D235C3"/>
    <w:rsid w:val="00D244B6"/>
    <w:rsid w:val="00D2486E"/>
    <w:rsid w:val="00D255DC"/>
    <w:rsid w:val="00D2642E"/>
    <w:rsid w:val="00D27089"/>
    <w:rsid w:val="00D301F7"/>
    <w:rsid w:val="00D30891"/>
    <w:rsid w:val="00D32A06"/>
    <w:rsid w:val="00D340EE"/>
    <w:rsid w:val="00D40F67"/>
    <w:rsid w:val="00D4382C"/>
    <w:rsid w:val="00D4394D"/>
    <w:rsid w:val="00D446E3"/>
    <w:rsid w:val="00D44B36"/>
    <w:rsid w:val="00D44D18"/>
    <w:rsid w:val="00D44E40"/>
    <w:rsid w:val="00D45886"/>
    <w:rsid w:val="00D46D51"/>
    <w:rsid w:val="00D50C10"/>
    <w:rsid w:val="00D51063"/>
    <w:rsid w:val="00D52BC6"/>
    <w:rsid w:val="00D5305E"/>
    <w:rsid w:val="00D55A5D"/>
    <w:rsid w:val="00D56735"/>
    <w:rsid w:val="00D56A8C"/>
    <w:rsid w:val="00D56B04"/>
    <w:rsid w:val="00D57283"/>
    <w:rsid w:val="00D610CB"/>
    <w:rsid w:val="00D62686"/>
    <w:rsid w:val="00D626E8"/>
    <w:rsid w:val="00D62BB7"/>
    <w:rsid w:val="00D62DD6"/>
    <w:rsid w:val="00D64E3E"/>
    <w:rsid w:val="00D65320"/>
    <w:rsid w:val="00D65F85"/>
    <w:rsid w:val="00D664A4"/>
    <w:rsid w:val="00D66540"/>
    <w:rsid w:val="00D6682E"/>
    <w:rsid w:val="00D704D3"/>
    <w:rsid w:val="00D713A1"/>
    <w:rsid w:val="00D7153C"/>
    <w:rsid w:val="00D71F0A"/>
    <w:rsid w:val="00D72926"/>
    <w:rsid w:val="00D73575"/>
    <w:rsid w:val="00D7399D"/>
    <w:rsid w:val="00D73DDA"/>
    <w:rsid w:val="00D73FEF"/>
    <w:rsid w:val="00D7403F"/>
    <w:rsid w:val="00D744EB"/>
    <w:rsid w:val="00D74EF6"/>
    <w:rsid w:val="00D7670B"/>
    <w:rsid w:val="00D76A18"/>
    <w:rsid w:val="00D76E9D"/>
    <w:rsid w:val="00D82B96"/>
    <w:rsid w:val="00D842E7"/>
    <w:rsid w:val="00D848DF"/>
    <w:rsid w:val="00D85591"/>
    <w:rsid w:val="00D86B6C"/>
    <w:rsid w:val="00D872D4"/>
    <w:rsid w:val="00D87608"/>
    <w:rsid w:val="00D87A87"/>
    <w:rsid w:val="00D912E0"/>
    <w:rsid w:val="00D919C0"/>
    <w:rsid w:val="00D91AA8"/>
    <w:rsid w:val="00D92AC6"/>
    <w:rsid w:val="00D93B75"/>
    <w:rsid w:val="00D95DA4"/>
    <w:rsid w:val="00D97FCE"/>
    <w:rsid w:val="00DA11F8"/>
    <w:rsid w:val="00DA1671"/>
    <w:rsid w:val="00DA1697"/>
    <w:rsid w:val="00DA1BED"/>
    <w:rsid w:val="00DA21F5"/>
    <w:rsid w:val="00DA3AA4"/>
    <w:rsid w:val="00DA58FB"/>
    <w:rsid w:val="00DA5A66"/>
    <w:rsid w:val="00DA7842"/>
    <w:rsid w:val="00DB00C5"/>
    <w:rsid w:val="00DB0518"/>
    <w:rsid w:val="00DB062C"/>
    <w:rsid w:val="00DB15C0"/>
    <w:rsid w:val="00DB1E31"/>
    <w:rsid w:val="00DB217F"/>
    <w:rsid w:val="00DB25D1"/>
    <w:rsid w:val="00DB2879"/>
    <w:rsid w:val="00DB5581"/>
    <w:rsid w:val="00DB5EFF"/>
    <w:rsid w:val="00DC07A3"/>
    <w:rsid w:val="00DC09F6"/>
    <w:rsid w:val="00DC11D8"/>
    <w:rsid w:val="00DC25E7"/>
    <w:rsid w:val="00DC28B9"/>
    <w:rsid w:val="00DC38DC"/>
    <w:rsid w:val="00DC451C"/>
    <w:rsid w:val="00DC6C65"/>
    <w:rsid w:val="00DC72EC"/>
    <w:rsid w:val="00DC7625"/>
    <w:rsid w:val="00DC7761"/>
    <w:rsid w:val="00DD0326"/>
    <w:rsid w:val="00DD118C"/>
    <w:rsid w:val="00DD1F4B"/>
    <w:rsid w:val="00DD2488"/>
    <w:rsid w:val="00DD4038"/>
    <w:rsid w:val="00DD4700"/>
    <w:rsid w:val="00DD4C3B"/>
    <w:rsid w:val="00DE0E82"/>
    <w:rsid w:val="00DE10B2"/>
    <w:rsid w:val="00DE1A34"/>
    <w:rsid w:val="00DE6011"/>
    <w:rsid w:val="00DE6E72"/>
    <w:rsid w:val="00DF3581"/>
    <w:rsid w:val="00DF35DB"/>
    <w:rsid w:val="00DF46AA"/>
    <w:rsid w:val="00DF5A18"/>
    <w:rsid w:val="00E01F1D"/>
    <w:rsid w:val="00E0206F"/>
    <w:rsid w:val="00E024FD"/>
    <w:rsid w:val="00E0286B"/>
    <w:rsid w:val="00E038E0"/>
    <w:rsid w:val="00E04108"/>
    <w:rsid w:val="00E067BE"/>
    <w:rsid w:val="00E072BE"/>
    <w:rsid w:val="00E1047E"/>
    <w:rsid w:val="00E13750"/>
    <w:rsid w:val="00E13E72"/>
    <w:rsid w:val="00E147AF"/>
    <w:rsid w:val="00E14A7C"/>
    <w:rsid w:val="00E156BB"/>
    <w:rsid w:val="00E15EF6"/>
    <w:rsid w:val="00E2047C"/>
    <w:rsid w:val="00E214B5"/>
    <w:rsid w:val="00E21E85"/>
    <w:rsid w:val="00E2272A"/>
    <w:rsid w:val="00E23B72"/>
    <w:rsid w:val="00E23F29"/>
    <w:rsid w:val="00E25C77"/>
    <w:rsid w:val="00E25F98"/>
    <w:rsid w:val="00E2630E"/>
    <w:rsid w:val="00E26780"/>
    <w:rsid w:val="00E30522"/>
    <w:rsid w:val="00E30B00"/>
    <w:rsid w:val="00E30EF8"/>
    <w:rsid w:val="00E32777"/>
    <w:rsid w:val="00E33D9A"/>
    <w:rsid w:val="00E37B87"/>
    <w:rsid w:val="00E40855"/>
    <w:rsid w:val="00E40864"/>
    <w:rsid w:val="00E41086"/>
    <w:rsid w:val="00E43333"/>
    <w:rsid w:val="00E46716"/>
    <w:rsid w:val="00E46B40"/>
    <w:rsid w:val="00E5129A"/>
    <w:rsid w:val="00E51856"/>
    <w:rsid w:val="00E52B42"/>
    <w:rsid w:val="00E52E0E"/>
    <w:rsid w:val="00E536E7"/>
    <w:rsid w:val="00E55181"/>
    <w:rsid w:val="00E558B7"/>
    <w:rsid w:val="00E55918"/>
    <w:rsid w:val="00E576DB"/>
    <w:rsid w:val="00E577D8"/>
    <w:rsid w:val="00E57A43"/>
    <w:rsid w:val="00E617F5"/>
    <w:rsid w:val="00E623E4"/>
    <w:rsid w:val="00E63D16"/>
    <w:rsid w:val="00E64188"/>
    <w:rsid w:val="00E65676"/>
    <w:rsid w:val="00E66235"/>
    <w:rsid w:val="00E700E1"/>
    <w:rsid w:val="00E70309"/>
    <w:rsid w:val="00E71613"/>
    <w:rsid w:val="00E7282D"/>
    <w:rsid w:val="00E72C42"/>
    <w:rsid w:val="00E73103"/>
    <w:rsid w:val="00E7329A"/>
    <w:rsid w:val="00E734FD"/>
    <w:rsid w:val="00E73BBA"/>
    <w:rsid w:val="00E753C1"/>
    <w:rsid w:val="00E75A26"/>
    <w:rsid w:val="00E75EAF"/>
    <w:rsid w:val="00E76A7B"/>
    <w:rsid w:val="00E7768D"/>
    <w:rsid w:val="00E777FD"/>
    <w:rsid w:val="00E77C80"/>
    <w:rsid w:val="00E80155"/>
    <w:rsid w:val="00E81511"/>
    <w:rsid w:val="00E81621"/>
    <w:rsid w:val="00E8163F"/>
    <w:rsid w:val="00E82D23"/>
    <w:rsid w:val="00E830BD"/>
    <w:rsid w:val="00E83C24"/>
    <w:rsid w:val="00E83E7B"/>
    <w:rsid w:val="00E84C59"/>
    <w:rsid w:val="00E852CA"/>
    <w:rsid w:val="00E852CF"/>
    <w:rsid w:val="00E858EC"/>
    <w:rsid w:val="00E86257"/>
    <w:rsid w:val="00E875BF"/>
    <w:rsid w:val="00E87BD0"/>
    <w:rsid w:val="00E9121F"/>
    <w:rsid w:val="00E923DD"/>
    <w:rsid w:val="00E9318D"/>
    <w:rsid w:val="00E94331"/>
    <w:rsid w:val="00E94370"/>
    <w:rsid w:val="00E947D3"/>
    <w:rsid w:val="00E96027"/>
    <w:rsid w:val="00E97AE5"/>
    <w:rsid w:val="00EA15D5"/>
    <w:rsid w:val="00EA2B7C"/>
    <w:rsid w:val="00EA32A6"/>
    <w:rsid w:val="00EA4134"/>
    <w:rsid w:val="00EA5B58"/>
    <w:rsid w:val="00EA77C5"/>
    <w:rsid w:val="00EA7EC6"/>
    <w:rsid w:val="00EA7F4A"/>
    <w:rsid w:val="00EB0EAD"/>
    <w:rsid w:val="00EB1627"/>
    <w:rsid w:val="00EB230A"/>
    <w:rsid w:val="00EB4250"/>
    <w:rsid w:val="00EB444D"/>
    <w:rsid w:val="00EB6F64"/>
    <w:rsid w:val="00EB7E33"/>
    <w:rsid w:val="00EC1DFC"/>
    <w:rsid w:val="00EC216B"/>
    <w:rsid w:val="00EC3BAA"/>
    <w:rsid w:val="00EC4B2C"/>
    <w:rsid w:val="00EC51B5"/>
    <w:rsid w:val="00EC65A8"/>
    <w:rsid w:val="00ED33BC"/>
    <w:rsid w:val="00ED40E1"/>
    <w:rsid w:val="00ED48D2"/>
    <w:rsid w:val="00ED7E81"/>
    <w:rsid w:val="00EE0A98"/>
    <w:rsid w:val="00EE0CC8"/>
    <w:rsid w:val="00EE0D0C"/>
    <w:rsid w:val="00EE1396"/>
    <w:rsid w:val="00EE162E"/>
    <w:rsid w:val="00EE4A05"/>
    <w:rsid w:val="00EE5CEB"/>
    <w:rsid w:val="00EE5F01"/>
    <w:rsid w:val="00EF28B9"/>
    <w:rsid w:val="00EF2E8B"/>
    <w:rsid w:val="00EF7B6B"/>
    <w:rsid w:val="00F023B7"/>
    <w:rsid w:val="00F04045"/>
    <w:rsid w:val="00F046C9"/>
    <w:rsid w:val="00F06E67"/>
    <w:rsid w:val="00F0759E"/>
    <w:rsid w:val="00F118DD"/>
    <w:rsid w:val="00F126D2"/>
    <w:rsid w:val="00F1371D"/>
    <w:rsid w:val="00F13B55"/>
    <w:rsid w:val="00F14C37"/>
    <w:rsid w:val="00F17A33"/>
    <w:rsid w:val="00F17B2F"/>
    <w:rsid w:val="00F200CF"/>
    <w:rsid w:val="00F2012A"/>
    <w:rsid w:val="00F23055"/>
    <w:rsid w:val="00F2399B"/>
    <w:rsid w:val="00F2508F"/>
    <w:rsid w:val="00F3023C"/>
    <w:rsid w:val="00F31C45"/>
    <w:rsid w:val="00F34166"/>
    <w:rsid w:val="00F36A15"/>
    <w:rsid w:val="00F401EE"/>
    <w:rsid w:val="00F404FD"/>
    <w:rsid w:val="00F40B67"/>
    <w:rsid w:val="00F41099"/>
    <w:rsid w:val="00F41524"/>
    <w:rsid w:val="00F4196F"/>
    <w:rsid w:val="00F42E84"/>
    <w:rsid w:val="00F43F28"/>
    <w:rsid w:val="00F50256"/>
    <w:rsid w:val="00F5277F"/>
    <w:rsid w:val="00F53883"/>
    <w:rsid w:val="00F54BC2"/>
    <w:rsid w:val="00F54CC8"/>
    <w:rsid w:val="00F55912"/>
    <w:rsid w:val="00F55CD2"/>
    <w:rsid w:val="00F57C2B"/>
    <w:rsid w:val="00F62258"/>
    <w:rsid w:val="00F625BB"/>
    <w:rsid w:val="00F64C3F"/>
    <w:rsid w:val="00F6605E"/>
    <w:rsid w:val="00F660EC"/>
    <w:rsid w:val="00F6778D"/>
    <w:rsid w:val="00F67B77"/>
    <w:rsid w:val="00F70181"/>
    <w:rsid w:val="00F702CC"/>
    <w:rsid w:val="00F713C9"/>
    <w:rsid w:val="00F71AC9"/>
    <w:rsid w:val="00F71D20"/>
    <w:rsid w:val="00F724F4"/>
    <w:rsid w:val="00F73528"/>
    <w:rsid w:val="00F74CD2"/>
    <w:rsid w:val="00F74EAD"/>
    <w:rsid w:val="00F760C1"/>
    <w:rsid w:val="00F773CC"/>
    <w:rsid w:val="00F810E9"/>
    <w:rsid w:val="00F8174E"/>
    <w:rsid w:val="00F82F12"/>
    <w:rsid w:val="00F8301F"/>
    <w:rsid w:val="00F8483F"/>
    <w:rsid w:val="00F84B82"/>
    <w:rsid w:val="00F855FD"/>
    <w:rsid w:val="00F8647F"/>
    <w:rsid w:val="00F86846"/>
    <w:rsid w:val="00F871C2"/>
    <w:rsid w:val="00F8748D"/>
    <w:rsid w:val="00F87F5B"/>
    <w:rsid w:val="00F906BD"/>
    <w:rsid w:val="00F91489"/>
    <w:rsid w:val="00F91A10"/>
    <w:rsid w:val="00F928DF"/>
    <w:rsid w:val="00F93592"/>
    <w:rsid w:val="00F93CD2"/>
    <w:rsid w:val="00F945DE"/>
    <w:rsid w:val="00F94774"/>
    <w:rsid w:val="00F948BA"/>
    <w:rsid w:val="00F955CD"/>
    <w:rsid w:val="00F955DC"/>
    <w:rsid w:val="00F96AF1"/>
    <w:rsid w:val="00F96CAD"/>
    <w:rsid w:val="00F9748B"/>
    <w:rsid w:val="00FA01A3"/>
    <w:rsid w:val="00FA1662"/>
    <w:rsid w:val="00FA1F5C"/>
    <w:rsid w:val="00FA3B28"/>
    <w:rsid w:val="00FA401F"/>
    <w:rsid w:val="00FA4FFA"/>
    <w:rsid w:val="00FA7E41"/>
    <w:rsid w:val="00FA7F2B"/>
    <w:rsid w:val="00FB0493"/>
    <w:rsid w:val="00FB1A56"/>
    <w:rsid w:val="00FB2653"/>
    <w:rsid w:val="00FB3EAB"/>
    <w:rsid w:val="00FB4E28"/>
    <w:rsid w:val="00FB59D8"/>
    <w:rsid w:val="00FB623A"/>
    <w:rsid w:val="00FB6659"/>
    <w:rsid w:val="00FB6D10"/>
    <w:rsid w:val="00FB6D36"/>
    <w:rsid w:val="00FC2720"/>
    <w:rsid w:val="00FC2C3B"/>
    <w:rsid w:val="00FC4588"/>
    <w:rsid w:val="00FC4860"/>
    <w:rsid w:val="00FC53DB"/>
    <w:rsid w:val="00FC7C19"/>
    <w:rsid w:val="00FD4FE2"/>
    <w:rsid w:val="00FD54ED"/>
    <w:rsid w:val="00FD5D82"/>
    <w:rsid w:val="00FD6407"/>
    <w:rsid w:val="00FD6C7C"/>
    <w:rsid w:val="00FD70A2"/>
    <w:rsid w:val="00FE1C0E"/>
    <w:rsid w:val="00FE38AC"/>
    <w:rsid w:val="00FE458E"/>
    <w:rsid w:val="00FE5DB6"/>
    <w:rsid w:val="00FE6415"/>
    <w:rsid w:val="00FF10FA"/>
    <w:rsid w:val="00FF1CFC"/>
    <w:rsid w:val="00FF2753"/>
    <w:rsid w:val="00FF374C"/>
    <w:rsid w:val="00FF3D22"/>
    <w:rsid w:val="00FF4DF2"/>
    <w:rsid w:val="00FF4E52"/>
    <w:rsid w:val="00FF537E"/>
    <w:rsid w:val="00FF64A9"/>
    <w:rsid w:val="00FF71FA"/>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530064-D49E-4754-B029-B1DF109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Policepardfaut"/>
    <w:uiPriority w:val="99"/>
    <w:semiHidden/>
    <w:unhideWhenUsed/>
    <w:rsid w:val="00174E7E"/>
    <w:rPr>
      <w:color w:val="808080"/>
      <w:shd w:val="clear" w:color="auto" w:fill="E6E6E6"/>
    </w:rPr>
  </w:style>
  <w:style w:type="paragraph" w:styleId="R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Policepardfaut"/>
    <w:uiPriority w:val="99"/>
    <w:semiHidden/>
    <w:unhideWhenUsed/>
    <w:rsid w:val="00AD45C1"/>
    <w:rPr>
      <w:color w:val="605E5C"/>
      <w:shd w:val="clear" w:color="auto" w:fill="E1DFDD"/>
    </w:rPr>
  </w:style>
  <w:style w:type="character" w:customStyle="1" w:styleId="ParagraphedelisteCar">
    <w:name w:val="Paragraphe de liste Car"/>
    <w:basedOn w:val="Policepardfaut"/>
    <w:link w:val="Paragraphedeliste"/>
    <w:uiPriority w:val="34"/>
    <w:qFormat/>
    <w:locked/>
    <w:rsid w:val="00E84C59"/>
    <w:rPr>
      <w:rFonts w:ascii="Times New Roman" w:eastAsia="Times New Roman" w:hAnsi="Times New Roman" w:cs="Times New Roman"/>
      <w:sz w:val="22"/>
      <w:lang w:val="en-GB"/>
    </w:rPr>
  </w:style>
  <w:style w:type="character" w:styleId="lev">
    <w:name w:val="Strong"/>
    <w:basedOn w:val="Policepardfaut"/>
    <w:uiPriority w:val="22"/>
    <w:qFormat/>
    <w:rsid w:val="00493EFA"/>
    <w:rPr>
      <w:b/>
      <w:bCs/>
    </w:rPr>
  </w:style>
  <w:style w:type="paragraph" w:styleId="Objetducommentaire">
    <w:name w:val="annotation subject"/>
    <w:basedOn w:val="Commentaire"/>
    <w:next w:val="Commentaire"/>
    <w:link w:val="ObjetducommentaireCar"/>
    <w:uiPriority w:val="99"/>
    <w:semiHidden/>
    <w:unhideWhenUsed/>
    <w:rsid w:val="0056603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Policepardfaut"/>
    <w:uiPriority w:val="99"/>
    <w:semiHidden/>
    <w:unhideWhenUsed/>
    <w:rsid w:val="00155F7B"/>
    <w:rPr>
      <w:color w:val="605E5C"/>
      <w:shd w:val="clear" w:color="auto" w:fill="E1DFDD"/>
    </w:rPr>
  </w:style>
  <w:style w:type="character" w:customStyle="1" w:styleId="UnresolvedMention">
    <w:name w:val="Unresolved Mention"/>
    <w:basedOn w:val="Policepardfaut"/>
    <w:uiPriority w:val="99"/>
    <w:semiHidden/>
    <w:unhideWhenUsed/>
    <w:rsid w:val="00853567"/>
    <w:rPr>
      <w:color w:val="605E5C"/>
      <w:shd w:val="clear" w:color="auto" w:fill="E1DFDD"/>
    </w:rPr>
  </w:style>
  <w:style w:type="paragraph" w:styleId="Listepuces">
    <w:name w:val="List Bullet"/>
    <w:basedOn w:val="Normal"/>
    <w:uiPriority w:val="99"/>
    <w:unhideWhenUsed/>
    <w:rsid w:val="00BB2D6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34-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ecisions/mop/?m=cp-mop-09" TargetMode="External"/><Relationship Id="rId2" Type="http://schemas.openxmlformats.org/officeDocument/2006/relationships/hyperlink" Target="https://au.int/fr/node/33796" TargetMode="External"/><Relationship Id="rId1" Type="http://schemas.openxmlformats.org/officeDocument/2006/relationships/hyperlink" Target="https://au.int/fr/agenda2063" TargetMode="External"/><Relationship Id="rId6" Type="http://schemas.openxmlformats.org/officeDocument/2006/relationships/hyperlink" Target="https://www.cbd.int/doc/c/f490/ab38/838cee48fbbc87a1d448811d/post2020-ws-2019-01-presentation-scbd-01-en.pdf" TargetMode="External"/><Relationship Id="rId5" Type="http://schemas.openxmlformats.org/officeDocument/2006/relationships/hyperlink" Target="https://www.cbd.int/doc/c/eedc/fead/bd6ca9e84d659cafa0db3ad9/post2020-ws-2019-01-participants-en.pdf" TargetMode="External"/><Relationship Id="rId4" Type="http://schemas.openxmlformats.org/officeDocument/2006/relationships/hyperlink" Target="https://www.cbd.int/doc/c/63c9/be61/d118a168190a94dba4bf86d7/post2020-ws-2019-01-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edelespacerserv"/>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4014"/>
    <w:rsid w:val="000A1C84"/>
    <w:rsid w:val="00117407"/>
    <w:rsid w:val="001446F2"/>
    <w:rsid w:val="00180298"/>
    <w:rsid w:val="00182925"/>
    <w:rsid w:val="001D1678"/>
    <w:rsid w:val="00214BFC"/>
    <w:rsid w:val="00305D68"/>
    <w:rsid w:val="00325BE7"/>
    <w:rsid w:val="0035249F"/>
    <w:rsid w:val="0036362B"/>
    <w:rsid w:val="003A7E19"/>
    <w:rsid w:val="003C055C"/>
    <w:rsid w:val="00436A7C"/>
    <w:rsid w:val="00474089"/>
    <w:rsid w:val="0048577A"/>
    <w:rsid w:val="004B58B9"/>
    <w:rsid w:val="004B6891"/>
    <w:rsid w:val="004F2C39"/>
    <w:rsid w:val="00500A2B"/>
    <w:rsid w:val="0058288D"/>
    <w:rsid w:val="005A77BD"/>
    <w:rsid w:val="00610BA3"/>
    <w:rsid w:val="0063130B"/>
    <w:rsid w:val="006801B3"/>
    <w:rsid w:val="00684CF3"/>
    <w:rsid w:val="006D705E"/>
    <w:rsid w:val="006D7F55"/>
    <w:rsid w:val="0073014D"/>
    <w:rsid w:val="007F3137"/>
    <w:rsid w:val="0080191A"/>
    <w:rsid w:val="00810A55"/>
    <w:rsid w:val="0089325E"/>
    <w:rsid w:val="008C6619"/>
    <w:rsid w:val="008D420E"/>
    <w:rsid w:val="0098642F"/>
    <w:rsid w:val="00A05E60"/>
    <w:rsid w:val="00A22E29"/>
    <w:rsid w:val="00A70517"/>
    <w:rsid w:val="00C20CE7"/>
    <w:rsid w:val="00C34FE8"/>
    <w:rsid w:val="00D76EAC"/>
    <w:rsid w:val="00DF7429"/>
    <w:rsid w:val="00E248B2"/>
    <w:rsid w:val="00E611C3"/>
    <w:rsid w:val="00EB3288"/>
    <w:rsid w:val="00F806ED"/>
    <w:rsid w:val="00FE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4C2F2-79A9-46A1-A434-26538BE3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1933</TotalTime>
  <Pages>25</Pages>
  <Words>15187</Words>
  <Characters>83531</Characters>
  <Application>Microsoft Office Word</Application>
  <DocSecurity>0</DocSecurity>
  <Lines>696</Lines>
  <Paragraphs>197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LA CONSULTATION RÉGIONALE SUR LE CADRE MONDIAL DE LA BIODIVERSITÉ POUR L’APRÈS-2020 POUR L’AFRIQUE, Addis-abeba, 2-5 AVRIL 2019</vt:lpstr>
      <vt:lpstr>Report of the Regional Consultation on the Post-2020 Global Biodiversity Framework for Africa, Addis Ababa, 2-5 April 2019</vt:lpstr>
    </vt:vector>
  </TitlesOfParts>
  <Company>SCBD</Company>
  <LinksUpToDate>false</LinksUpToDate>
  <CharactersWithSpaces>98521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CONSULTATION RÉGIONALE SUR LE CADRE MONDIAL DE LA BIODIVERSITÉ POUR L’APRÈS-2020 POUR L’AFRIQUE, Addis-abeba, 2-5 AVRIL 2019</dc:title>
  <dc:subject>CBD/POST2020/WS/2019/3/2</dc:subject>
  <dc:creator>SCBD</dc:creator>
  <cp:keywords>Convention on Biological Diversity, post-2020 global biodiversity framework</cp:keywords>
  <cp:lastModifiedBy>Louise</cp:lastModifiedBy>
  <cp:revision>44</cp:revision>
  <cp:lastPrinted>2019-06-12T18:53:00Z</cp:lastPrinted>
  <dcterms:created xsi:type="dcterms:W3CDTF">2019-06-06T15:47:00Z</dcterms:created>
  <dcterms:modified xsi:type="dcterms:W3CDTF">2019-06-13T15:59:00Z</dcterms:modified>
  <cp:contentStatus>GÉNÉRALE</cp:contentStatus>
</cp:coreProperties>
</file>