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8"/>
        <w:gridCol w:w="4066"/>
        <w:gridCol w:w="5526"/>
      </w:tblGrid>
      <w:tr w:rsidR="00F76C2F" w:rsidRPr="00C9561A" w14:paraId="29620D8D" w14:textId="77777777" w:rsidTr="00D915CB">
        <w:trPr>
          <w:trHeight w:val="851"/>
        </w:trPr>
        <w:tc>
          <w:tcPr>
            <w:tcW w:w="454" w:type="pct"/>
            <w:tcBorders>
              <w:bottom w:val="single" w:sz="8" w:space="0" w:color="auto"/>
            </w:tcBorders>
            <w:vAlign w:val="bottom"/>
          </w:tcPr>
          <w:p w14:paraId="6F65653A" w14:textId="77777777" w:rsidR="00F76C2F" w:rsidRPr="00C9561A" w:rsidRDefault="00F76C2F">
            <w:pPr>
              <w:spacing w:after="120"/>
              <w:jc w:val="left"/>
            </w:pPr>
            <w:bookmarkStart w:id="0" w:name="_Hlk137651738"/>
            <w:r w:rsidRPr="00C9561A">
              <w:drawing>
                <wp:inline distT="0" distB="0" distL="0" distR="0" wp14:anchorId="033F20E3" wp14:editId="27DD5D6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93" w:type="pct"/>
            <w:tcBorders>
              <w:bottom w:val="single" w:sz="8" w:space="0" w:color="auto"/>
            </w:tcBorders>
            <w:shd w:val="clear" w:color="auto" w:fill="auto"/>
            <w:tcFitText/>
            <w:vAlign w:val="bottom"/>
          </w:tcPr>
          <w:p w14:paraId="1FE949A0" w14:textId="77E9E176" w:rsidR="00F76C2F" w:rsidRPr="00C9561A" w:rsidRDefault="005876F9">
            <w:pPr>
              <w:spacing w:after="120"/>
              <w:jc w:val="left"/>
            </w:pPr>
            <w:r w:rsidRPr="00C9561A">
              <w:drawing>
                <wp:inline distT="0" distB="0" distL="0" distR="0" wp14:anchorId="627B68C5" wp14:editId="336F45FA">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tc>
        <w:tc>
          <w:tcPr>
            <w:tcW w:w="2653" w:type="pct"/>
            <w:tcBorders>
              <w:bottom w:val="single" w:sz="8" w:space="0" w:color="auto"/>
            </w:tcBorders>
            <w:vAlign w:val="bottom"/>
          </w:tcPr>
          <w:p w14:paraId="53BA33CC" w14:textId="5E5B18CF" w:rsidR="00F76C2F" w:rsidRPr="00C9561A" w:rsidRDefault="00F76C2F">
            <w:pPr>
              <w:spacing w:after="120"/>
              <w:ind w:left="2021"/>
              <w:jc w:val="right"/>
              <w:rPr>
                <w:rFonts w:ascii="Times New Roman" w:hAnsi="Times New Roman" w:cs="Times New Roman"/>
                <w:szCs w:val="22"/>
              </w:rPr>
            </w:pPr>
            <w:r w:rsidRPr="00C9561A">
              <w:rPr>
                <w:rFonts w:ascii="Times New Roman" w:hAnsi="Times New Roman"/>
                <w:sz w:val="40"/>
                <w:szCs w:val="40"/>
              </w:rPr>
              <w:t>CBD</w:t>
            </w:r>
            <w:r w:rsidRPr="00C9561A">
              <w:rPr>
                <w:rFonts w:ascii="Times New Roman" w:hAnsi="Times New Roman"/>
                <w:szCs w:val="22"/>
              </w:rPr>
              <w:t>/WGDSI/1/3</w:t>
            </w:r>
          </w:p>
        </w:tc>
      </w:tr>
      <w:tr w:rsidR="00F76C2F" w:rsidRPr="00C9561A" w14:paraId="742EE40A" w14:textId="77777777" w:rsidTr="00D915CB">
        <w:tc>
          <w:tcPr>
            <w:tcW w:w="2347" w:type="pct"/>
            <w:gridSpan w:val="2"/>
            <w:tcBorders>
              <w:top w:val="single" w:sz="8" w:space="0" w:color="auto"/>
              <w:bottom w:val="single" w:sz="12" w:space="0" w:color="auto"/>
            </w:tcBorders>
          </w:tcPr>
          <w:p w14:paraId="31AE980A" w14:textId="36B032D3" w:rsidR="00F76C2F" w:rsidRPr="00C9561A" w:rsidRDefault="005876F9">
            <w:pPr>
              <w:pStyle w:val="Cornernotation"/>
              <w:suppressLineNumbers/>
              <w:suppressAutoHyphens/>
              <w:spacing w:before="120" w:after="120"/>
              <w:ind w:left="0" w:right="0" w:firstLine="0"/>
            </w:pPr>
            <w:r w:rsidRPr="00C9561A">
              <w:rPr>
                <w:kern w:val="22"/>
              </w:rPr>
              <w:drawing>
                <wp:inline distT="0" distB="0" distL="0" distR="0" wp14:anchorId="209A9442" wp14:editId="65366604">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653" w:type="pct"/>
            <w:tcBorders>
              <w:top w:val="single" w:sz="8" w:space="0" w:color="auto"/>
              <w:bottom w:val="single" w:sz="12" w:space="0" w:color="auto"/>
            </w:tcBorders>
          </w:tcPr>
          <w:p w14:paraId="120B8BDB" w14:textId="1C4BCABE" w:rsidR="00F76C2F" w:rsidRPr="00C9561A" w:rsidRDefault="00F76C2F">
            <w:pPr>
              <w:ind w:left="2867"/>
              <w:rPr>
                <w:rFonts w:ascii="Times New Roman" w:hAnsi="Times New Roman" w:cs="Times New Roman"/>
                <w:szCs w:val="22"/>
              </w:rPr>
            </w:pPr>
            <w:r w:rsidRPr="00C9561A">
              <w:rPr>
                <w:rFonts w:ascii="Times New Roman" w:hAnsi="Times New Roman"/>
                <w:szCs w:val="22"/>
              </w:rPr>
              <w:t xml:space="preserve">Distr. </w:t>
            </w:r>
            <w:r w:rsidR="00E52B3B" w:rsidRPr="00C9561A">
              <w:rPr>
                <w:rFonts w:ascii="Times New Roman" w:hAnsi="Times New Roman"/>
                <w:szCs w:val="22"/>
              </w:rPr>
              <w:t>g</w:t>
            </w:r>
            <w:r w:rsidRPr="00C9561A">
              <w:rPr>
                <w:rFonts w:ascii="Times New Roman" w:hAnsi="Times New Roman"/>
                <w:szCs w:val="22"/>
              </w:rPr>
              <w:t>eneral</w:t>
            </w:r>
          </w:p>
          <w:p w14:paraId="60010A54" w14:textId="05AFB5C9" w:rsidR="00F76C2F" w:rsidRPr="00C9561A" w:rsidRDefault="00F97674">
            <w:pPr>
              <w:ind w:left="2867"/>
              <w:rPr>
                <w:rFonts w:ascii="Times New Roman" w:hAnsi="Times New Roman" w:cs="Times New Roman"/>
                <w:szCs w:val="22"/>
              </w:rPr>
            </w:pPr>
            <w:r w:rsidRPr="00C9561A">
              <w:rPr>
                <w:rFonts w:ascii="Times New Roman" w:hAnsi="Times New Roman"/>
                <w:szCs w:val="22"/>
              </w:rPr>
              <w:t>18 de noviembre de 2023</w:t>
            </w:r>
          </w:p>
          <w:p w14:paraId="22F61415" w14:textId="77777777" w:rsidR="00F76C2F" w:rsidRPr="00C9561A" w:rsidRDefault="00F76C2F">
            <w:pPr>
              <w:ind w:left="2867"/>
              <w:rPr>
                <w:rFonts w:ascii="Times New Roman" w:hAnsi="Times New Roman" w:cs="Times New Roman"/>
                <w:szCs w:val="22"/>
              </w:rPr>
            </w:pPr>
          </w:p>
          <w:p w14:paraId="4E87E6D0" w14:textId="77777777" w:rsidR="002276B9" w:rsidRPr="00C9561A" w:rsidRDefault="00F76C2F">
            <w:pPr>
              <w:ind w:left="2867"/>
              <w:rPr>
                <w:rFonts w:ascii="Times New Roman" w:hAnsi="Times New Roman"/>
                <w:szCs w:val="22"/>
              </w:rPr>
            </w:pPr>
            <w:r w:rsidRPr="00C9561A">
              <w:rPr>
                <w:rFonts w:ascii="Times New Roman" w:hAnsi="Times New Roman"/>
                <w:szCs w:val="22"/>
              </w:rPr>
              <w:t xml:space="preserve">Español </w:t>
            </w:r>
          </w:p>
          <w:p w14:paraId="556D1BC1" w14:textId="61888CA1" w:rsidR="00F76C2F" w:rsidRPr="00C9561A" w:rsidRDefault="00F76C2F">
            <w:pPr>
              <w:ind w:left="2867"/>
              <w:rPr>
                <w:rFonts w:ascii="Times New Roman" w:hAnsi="Times New Roman" w:cs="Times New Roman"/>
                <w:szCs w:val="22"/>
              </w:rPr>
            </w:pPr>
            <w:r w:rsidRPr="00C9561A">
              <w:rPr>
                <w:rFonts w:ascii="Times New Roman" w:hAnsi="Times New Roman"/>
                <w:szCs w:val="22"/>
              </w:rPr>
              <w:t>Original: inglés</w:t>
            </w:r>
          </w:p>
          <w:p w14:paraId="55CEA8CF" w14:textId="77777777" w:rsidR="00F76C2F" w:rsidRPr="00C9561A" w:rsidRDefault="00F76C2F">
            <w:pPr>
              <w:rPr>
                <w:rFonts w:ascii="Times New Roman" w:hAnsi="Times New Roman" w:cs="Times New Roman"/>
                <w:szCs w:val="22"/>
              </w:rPr>
            </w:pPr>
          </w:p>
        </w:tc>
      </w:tr>
    </w:tbl>
    <w:p w14:paraId="45EF417A" w14:textId="02327333" w:rsidR="00F76C2F" w:rsidRPr="00C9561A" w:rsidRDefault="00D915CB" w:rsidP="00F76C2F">
      <w:pPr>
        <w:pStyle w:val="Cornernotation"/>
        <w:ind w:left="0" w:right="4540" w:firstLine="0"/>
        <w:rPr>
          <w:bCs/>
        </w:rPr>
      </w:pPr>
      <w:r w:rsidRPr="00C9561A">
        <w:t>Grupo de Trabajo Especial de Composición Abierta sobre Participación en los Beneficios que se Deriven de la Utilización de Información Digital sobre Secuencias de Recursos Genéticos</w:t>
      </w:r>
    </w:p>
    <w:p w14:paraId="06AFCA41" w14:textId="37FB6332" w:rsidR="00F76C2F" w:rsidRPr="00C9561A" w:rsidRDefault="00D915CB" w:rsidP="00F76C2F">
      <w:pPr>
        <w:pStyle w:val="Cornernotation"/>
        <w:rPr>
          <w:bCs/>
          <w:sz w:val="22"/>
          <w:szCs w:val="22"/>
        </w:rPr>
      </w:pPr>
      <w:r w:rsidRPr="00C9561A">
        <w:rPr>
          <w:bCs/>
          <w:sz w:val="22"/>
          <w:szCs w:val="22"/>
        </w:rPr>
        <w:t xml:space="preserve">Primera reunión </w:t>
      </w:r>
    </w:p>
    <w:p w14:paraId="20EEC66E" w14:textId="3FA46146" w:rsidR="00F76C2F" w:rsidRPr="00C9561A" w:rsidRDefault="00F76C2F" w:rsidP="00F76C2F">
      <w:pPr>
        <w:pStyle w:val="Venuedate"/>
      </w:pPr>
      <w:r w:rsidRPr="00C9561A">
        <w:t>Ginebra, 14 a 18 de noviembre de 2023</w:t>
      </w:r>
    </w:p>
    <w:p w14:paraId="6F106B18" w14:textId="50FDC3DD" w:rsidR="00537098" w:rsidRPr="00C9561A" w:rsidRDefault="003D003D" w:rsidP="00D923A6">
      <w:pPr>
        <w:pStyle w:val="Venuedate"/>
        <w:ind w:left="173" w:right="3125" w:hanging="173"/>
      </w:pPr>
      <w:r w:rsidRPr="00C9561A">
        <w:t>Tema 5 del programa</w:t>
      </w:r>
    </w:p>
    <w:p w14:paraId="417A927B" w14:textId="66F6350D" w:rsidR="00537098" w:rsidRPr="00C9561A" w:rsidRDefault="00E70B83" w:rsidP="00726278">
      <w:pPr>
        <w:pStyle w:val="Cornernotation-Item"/>
        <w:ind w:left="0" w:right="3125" w:firstLine="0"/>
      </w:pPr>
      <w:r w:rsidRPr="00C9561A">
        <w:t>Adopción del informe</w:t>
      </w:r>
    </w:p>
    <w:bookmarkEnd w:id="0"/>
    <w:p w14:paraId="64798DFB" w14:textId="661959A2" w:rsidR="00887C18" w:rsidRPr="00C9561A" w:rsidRDefault="00EF5568" w:rsidP="00886C24">
      <w:pPr>
        <w:pStyle w:val="Title"/>
        <w:jc w:val="left"/>
        <w:rPr>
          <w:snapToGrid w:val="0"/>
        </w:rPr>
      </w:pPr>
      <w:r w:rsidRPr="00C9561A">
        <w:rPr>
          <w:snapToGrid w:val="0"/>
        </w:rPr>
        <w:t>Informe de la primera reunión del Grupo de Trabajo Especial de Composición Abierta sobre Participación en los Beneficios que se Deriven de la Utilización de Información Digital sobre Secuencias de Recursos Genéticos</w:t>
      </w:r>
    </w:p>
    <w:tbl>
      <w:tblPr>
        <w:tblStyle w:val="TableGrid"/>
        <w:tblW w:w="0" w:type="auto"/>
        <w:tblLook w:val="04A0" w:firstRow="1" w:lastRow="0" w:firstColumn="1" w:lastColumn="0" w:noHBand="0" w:noVBand="1"/>
      </w:tblPr>
      <w:tblGrid>
        <w:gridCol w:w="9487"/>
      </w:tblGrid>
      <w:tr w:rsidR="00731050" w:rsidRPr="00C9561A" w14:paraId="5F43FF81" w14:textId="77777777" w:rsidTr="00731050">
        <w:tc>
          <w:tcPr>
            <w:tcW w:w="9487" w:type="dxa"/>
          </w:tcPr>
          <w:p w14:paraId="7E5205D9" w14:textId="77777777" w:rsidR="00A43EF1" w:rsidRPr="00C9561A" w:rsidRDefault="00A43EF1" w:rsidP="00BB5E7F">
            <w:pPr>
              <w:spacing w:before="120" w:after="120"/>
              <w:rPr>
                <w:rFonts w:asciiTheme="majorBidi" w:hAnsiTheme="majorBidi" w:cstheme="majorBidi"/>
                <w:i/>
                <w:iCs/>
                <w:sz w:val="26"/>
                <w:szCs w:val="26"/>
              </w:rPr>
            </w:pPr>
            <w:r w:rsidRPr="00C9561A">
              <w:rPr>
                <w:rFonts w:asciiTheme="majorBidi" w:hAnsiTheme="majorBidi"/>
                <w:i/>
                <w:iCs/>
                <w:sz w:val="26"/>
                <w:szCs w:val="26"/>
              </w:rPr>
              <w:t>Resumen</w:t>
            </w:r>
          </w:p>
          <w:p w14:paraId="27A4259F" w14:textId="33D2D739" w:rsidR="00731050" w:rsidRPr="00C9561A" w:rsidRDefault="00731050" w:rsidP="00B84767">
            <w:pPr>
              <w:spacing w:before="120" w:after="120"/>
              <w:ind w:firstLine="589"/>
              <w:rPr>
                <w:rFonts w:asciiTheme="majorBidi" w:hAnsiTheme="majorBidi" w:cstheme="majorBidi"/>
              </w:rPr>
            </w:pPr>
            <w:r w:rsidRPr="00C9561A">
              <w:rPr>
                <w:rFonts w:asciiTheme="majorBidi" w:hAnsiTheme="majorBidi"/>
              </w:rPr>
              <w:tab/>
              <w:t xml:space="preserve">La primera reunión del Grupo de Trabajo Especial de Composición Abierta sobre Participación en los Beneficios que se Deriven de la Utilización de Información Digital sobre Secuencias de Recursos Genéticos se celebró en Ginebra del 14 al 18 de noviembre de 2023. El Grupo de Trabajo desarrolló posibles elementos de un mecanismo multilateral de participación en los beneficios que se deriven de la utilización de información digital sobre secuencias de recursos genéticos, incluido un fondo mundial (véase el anexo). </w:t>
            </w:r>
          </w:p>
        </w:tc>
      </w:tr>
    </w:tbl>
    <w:p w14:paraId="1FEC03ED" w14:textId="77777777" w:rsidR="00731050" w:rsidRPr="00C9561A" w:rsidRDefault="00731050" w:rsidP="00B84767"/>
    <w:p w14:paraId="76E48496" w14:textId="16838FDA" w:rsidR="00AC30FE" w:rsidRPr="00C9561A" w:rsidRDefault="00AC30FE" w:rsidP="000F7F3F">
      <w:pPr>
        <w:pStyle w:val="Para10"/>
        <w:numPr>
          <w:ilvl w:val="0"/>
          <w:numId w:val="0"/>
        </w:numPr>
        <w:ind w:left="547"/>
      </w:pPr>
    </w:p>
    <w:p w14:paraId="5069177C" w14:textId="77777777" w:rsidR="000F7F3F" w:rsidRPr="00C9561A" w:rsidRDefault="000F7F3F" w:rsidP="00B84767"/>
    <w:p w14:paraId="1BBBCA4D" w14:textId="77777777" w:rsidR="0086192B" w:rsidRPr="00C9561A" w:rsidRDefault="0086192B" w:rsidP="00FB0142">
      <w:pPr>
        <w:pStyle w:val="Heading1"/>
        <w:keepNext w:val="0"/>
        <w:numPr>
          <w:ilvl w:val="0"/>
          <w:numId w:val="0"/>
        </w:numPr>
        <w:suppressLineNumbers/>
        <w:suppressAutoHyphens/>
        <w:spacing w:before="120"/>
        <w:ind w:left="567"/>
        <w:rPr>
          <w:snapToGrid w:val="0"/>
          <w:kern w:val="22"/>
          <w:sz w:val="24"/>
          <w:szCs w:val="24"/>
        </w:rPr>
        <w:sectPr w:rsidR="0086192B" w:rsidRPr="00C9561A" w:rsidSect="00537098">
          <w:headerReference w:type="even" r:id="rId14"/>
          <w:headerReference w:type="default" r:id="rId15"/>
          <w:footerReference w:type="even" r:id="rId16"/>
          <w:footerReference w:type="default" r:id="rId17"/>
          <w:footnotePr>
            <w:numRestart w:val="eachSect"/>
          </w:footnotePr>
          <w:pgSz w:w="12240" w:h="15840" w:code="1"/>
          <w:pgMar w:top="1022" w:right="1325" w:bottom="1138" w:left="1418" w:header="461" w:footer="720" w:gutter="0"/>
          <w:cols w:space="720"/>
          <w:titlePg/>
          <w:docGrid w:linePitch="299"/>
        </w:sectPr>
      </w:pPr>
    </w:p>
    <w:p w14:paraId="10AEC2F8" w14:textId="2F3D273A" w:rsidR="008232F1" w:rsidRPr="00C9561A" w:rsidRDefault="008232F1" w:rsidP="00AA0D40">
      <w:pPr>
        <w:pStyle w:val="Heading1"/>
        <w:numPr>
          <w:ilvl w:val="0"/>
          <w:numId w:val="0"/>
        </w:numPr>
        <w:ind w:left="567"/>
      </w:pPr>
      <w:r w:rsidRPr="00C9561A">
        <w:lastRenderedPageBreak/>
        <w:t>Resumen de las deliberaciones de la reunión</w:t>
      </w:r>
    </w:p>
    <w:p w14:paraId="2648BA37" w14:textId="251B66B9" w:rsidR="00887C18" w:rsidRPr="00C9561A" w:rsidRDefault="00887C18" w:rsidP="00FB0142">
      <w:pPr>
        <w:pStyle w:val="Heading1"/>
        <w:keepNext w:val="0"/>
        <w:numPr>
          <w:ilvl w:val="0"/>
          <w:numId w:val="0"/>
        </w:numPr>
        <w:suppressLineNumbers/>
        <w:suppressAutoHyphens/>
        <w:spacing w:before="120"/>
        <w:ind w:left="567"/>
        <w:rPr>
          <w:snapToGrid w:val="0"/>
          <w:kern w:val="22"/>
          <w:sz w:val="24"/>
          <w:szCs w:val="24"/>
        </w:rPr>
      </w:pPr>
      <w:r w:rsidRPr="00C9561A">
        <w:rPr>
          <w:snapToGrid w:val="0"/>
          <w:sz w:val="24"/>
          <w:szCs w:val="24"/>
        </w:rPr>
        <w:t>Introducción</w:t>
      </w:r>
    </w:p>
    <w:p w14:paraId="10B3728D" w14:textId="705A5E09" w:rsidR="00671406" w:rsidRPr="00C9561A" w:rsidRDefault="00671406" w:rsidP="00DB70B6">
      <w:pPr>
        <w:pStyle w:val="Para10"/>
      </w:pPr>
      <w:r w:rsidRPr="00C9561A">
        <w:rPr>
          <w:rFonts w:asciiTheme="majorBidi" w:hAnsiTheme="majorBidi"/>
        </w:rPr>
        <w:t>La primera reunión del Grupo de Trabajo Especial de Composición Abierta sobre Participación en los Beneficios que se Deriven de la Utilización de Información Digital sobre Secuencias de Recursos Genéticos se celebró en Ginebra del 14 al 18 de noviembre de 2023.</w:t>
      </w:r>
    </w:p>
    <w:p w14:paraId="6019C01C" w14:textId="42D09FFE" w:rsidR="00DB70B6" w:rsidRPr="00C9561A" w:rsidRDefault="00DB70B6" w:rsidP="00DB70B6">
      <w:pPr>
        <w:pStyle w:val="Para10"/>
      </w:pPr>
      <w:r w:rsidRPr="00C9561A">
        <w:t>Las siguientes Partes en el Convenio asistieron a la reunión: Alemania, Angola, Antigua y Barbuda, Arabia Saudita, Argelia, Argentina, Australia, Austria, Bahamas, Barbados, Belarús, Bélgica, Benin, Bhután, Bosnia y Herzegovina, Brasil, Burkina Faso, Burundi, Camboya, Canadá, Chad, Chile, China, Colombia, Comor</w:t>
      </w:r>
      <w:r w:rsidR="00BC55FF" w:rsidRPr="00C9561A">
        <w:t>a</w:t>
      </w:r>
      <w:r w:rsidRPr="00C9561A">
        <w:t xml:space="preserve">s, Croacia, Cuba, Chequia, Côte d’Ivoire, Dinamarca, Djibouti, Egipto, Emiratos Árabes Unidos, España, Eswatini, Etiopía, Federación de Rusia, Fiji, Filipinas, Finlandia, Francia, Georgia, Guatemala, Haití, Hungría, India, Indonesia, Irlanda, Italia, Japón, Jordania, Kiribati, Kuwait, Líbano, Lesotho, Liberia, Luxemburgo, Madagascar, Malawi, Maldivas, Mauricio, </w:t>
      </w:r>
      <w:r w:rsidR="00B56B0F" w:rsidRPr="00C9561A">
        <w:t>Marruecos</w:t>
      </w:r>
      <w:r w:rsidRPr="00C9561A">
        <w:t>, Mozambique, Namibia, Nepal, Nueva Zelandia, Nicaragua, Nigeria, Noruega, Omán, Países Bajos (Reino de los), Reino Unido de Gran Bretaña e Irlanda del Norte, República Centroafricana, República de Corea, República Democrática del Congo, República Democrática Popular Lao, República Dominicana, República de Moldova, Saint Kitts y Nevis, Santa Lucía, Senegal, Serbia, Seychelles, Somalia, Sudáfrica, Sudán, Suecia, Suiza, Tailandia, Timor-Leste, Togo, Trinidad y Tobago, Uganda, Unión Europea y Zimbabwe.</w:t>
      </w:r>
    </w:p>
    <w:p w14:paraId="0C03480B" w14:textId="38052571" w:rsidR="00732E20" w:rsidRPr="00C9561A" w:rsidRDefault="00732E20" w:rsidP="00DB70B6">
      <w:pPr>
        <w:pStyle w:val="Para10"/>
      </w:pPr>
      <w:r w:rsidRPr="00C9561A">
        <w:t>También estuvo representado el siguiente Estado que no es Parte en el Convenio: Estados Unidos de América</w:t>
      </w:r>
      <w:r w:rsidR="005C6F9E" w:rsidRPr="00C9561A">
        <w:t>.</w:t>
      </w:r>
    </w:p>
    <w:p w14:paraId="410E7500" w14:textId="300141D9" w:rsidR="00D96DB7" w:rsidRPr="00C9561A" w:rsidRDefault="00D96DB7" w:rsidP="00DB70B6">
      <w:pPr>
        <w:pStyle w:val="Para10"/>
        <w:rPr>
          <w:color w:val="333333"/>
        </w:rPr>
      </w:pPr>
      <w:r w:rsidRPr="00C9561A">
        <w:t>Asimismo, asistieron a la reunión representantes y observadores de órganos de las Naciones Unidas, organismos especializados, secretarías de convenios y otros organismos y organizaciones</w:t>
      </w:r>
      <w:r w:rsidR="001F513F" w:rsidRPr="00C9561A">
        <w:rPr>
          <w:rStyle w:val="FootnoteReference"/>
        </w:rPr>
        <w:footnoteReference w:id="2"/>
      </w:r>
      <w:r w:rsidRPr="00C9561A">
        <w:t>.</w:t>
      </w:r>
    </w:p>
    <w:p w14:paraId="31E50BC4" w14:textId="38EDCF36" w:rsidR="00523A7D" w:rsidRPr="00C9561A" w:rsidRDefault="00DA6CE9" w:rsidP="001A7B71">
      <w:pPr>
        <w:pStyle w:val="Item"/>
        <w:spacing w:after="0"/>
      </w:pPr>
      <w:r w:rsidRPr="00C9561A">
        <w:t>Tema 1</w:t>
      </w:r>
    </w:p>
    <w:p w14:paraId="16180DB6" w14:textId="10B56855" w:rsidR="00887C18" w:rsidRPr="00C9561A" w:rsidRDefault="00DA6CE9" w:rsidP="00DA6CE9">
      <w:pPr>
        <w:pStyle w:val="Item"/>
        <w:spacing w:before="0"/>
      </w:pPr>
      <w:r w:rsidRPr="00C9561A">
        <w:t>Apertura de la reunión</w:t>
      </w:r>
    </w:p>
    <w:p w14:paraId="17968EE5" w14:textId="247C96BA" w:rsidR="00E27CA1" w:rsidRPr="00C9561A" w:rsidRDefault="008934D9" w:rsidP="00E27CA1">
      <w:pPr>
        <w:pStyle w:val="Para10"/>
      </w:pPr>
      <w:r w:rsidRPr="00C9561A">
        <w:t>El Presidente, Liu Ning, en representación del Presidente de la 15</w:t>
      </w:r>
      <w:r w:rsidRPr="00C9561A">
        <w:rPr>
          <w:vertAlign w:val="superscript"/>
        </w:rPr>
        <w:t>a</w:t>
      </w:r>
      <w:r w:rsidRPr="00C9561A">
        <w:t xml:space="preserve"> reunión de la Conferencia de las Partes en el Convenio sobre la Diversidad Biológica, Huang Runqiu, Ministro de Ecología y Medio Ambiente de China, se dirigió a los representantes y les dio la bienvenida a la </w:t>
      </w:r>
      <w:r w:rsidR="00C77605" w:rsidRPr="00C9561A">
        <w:t>primera</w:t>
      </w:r>
      <w:r w:rsidRPr="00C9561A">
        <w:t xml:space="preserve"> reunión del </w:t>
      </w:r>
      <w:r w:rsidRPr="00C9561A">
        <w:rPr>
          <w:rFonts w:asciiTheme="majorBidi" w:hAnsiTheme="majorBidi"/>
        </w:rPr>
        <w:t xml:space="preserve">Grupo de Trabajo Especial de Composición Abierta sobre Participación en los Beneficios que se Deriven de la Utilización de Información Digital sobre Secuencias de Recursos Genéticos. Recordó </w:t>
      </w:r>
      <w:r w:rsidRPr="00C9561A">
        <w:t xml:space="preserve">que el objetivo C y la meta 13 del Marco Mundial de Biodiversidad de Kunming‑Montreal, así como la decisión 15/9 asociada, se referían a la información digital sobre secuencias de recursos genéticos, lo cual significaba que el acceso y la participación en los beneficios constituían un tema central del Marco. Señaló que el camino recorrido hasta el momento en materia de información digital sobre secuencias había sido largo y difícil, pero productivo, y que el Grupo de Trabajo tenía ahora la oportunidad de hacer historia determinando la forma que adoptaría el mecanismo multilateral de participación en los beneficios que se deriven de la información digital sobre secuencias y garantizando que ese sistema se ajustara a los principios acordados en Montreal. Expresó la esperanza de que el Grupo de Trabajo abordara la labor de la presente reunión con el mismo espíritu ambicioso con que se había elaborado el Marco, y que sus deliberaciones lograran avances sustanciales y aportaran claridad para alcanzar una solución sencilla, eficiente y eficaz en función de los costos para la información digital sobre secuencias, enviando así una señal clara al mundo de que el Marco y sus decisiones asociadas podrán cumplir sus objetivos de generación de un cambio verdaderamente transformador y construcción de un mundo en el que se viva en armonía con la naturaleza. </w:t>
      </w:r>
    </w:p>
    <w:p w14:paraId="6869A4E8" w14:textId="5BB2374E" w:rsidR="00E36D6A" w:rsidRPr="00C9561A" w:rsidRDefault="002C4D1A" w:rsidP="001E6B67">
      <w:pPr>
        <w:pStyle w:val="Para10"/>
      </w:pPr>
      <w:r w:rsidRPr="00C9561A">
        <w:t xml:space="preserve">Luego de su discurso, el Presidente declaró inaugurada la reunión a las 10.15 horas del 14 de noviembre. </w:t>
      </w:r>
    </w:p>
    <w:p w14:paraId="687BB562" w14:textId="5E23382C" w:rsidR="00D371B7" w:rsidRPr="00C9561A" w:rsidRDefault="007B2BAB" w:rsidP="001E6B67">
      <w:pPr>
        <w:pStyle w:val="Para10"/>
      </w:pPr>
      <w:r w:rsidRPr="00C9561A">
        <w:lastRenderedPageBreak/>
        <w:t xml:space="preserve">David Cooper, Secretario Ejecutivo Interino del Convenio, pronunció una declaración de apertura. </w:t>
      </w:r>
    </w:p>
    <w:p w14:paraId="1FD7B772" w14:textId="1BD32EA9" w:rsidR="00855279" w:rsidRPr="00C9561A" w:rsidRDefault="00B26FA0" w:rsidP="0017378E">
      <w:pPr>
        <w:pStyle w:val="Para10"/>
      </w:pPr>
      <w:bookmarkStart w:id="1" w:name="_Hlk150856323"/>
      <w:r w:rsidRPr="00C9561A">
        <w:t xml:space="preserve">El Secretario Ejecutivo Interino </w:t>
      </w:r>
      <w:bookmarkEnd w:id="1"/>
      <w:r w:rsidRPr="00C9561A">
        <w:t xml:space="preserve">comenzó por dirigirse a los representantes y darles la bienvenida, para luego agradecer a los numerosos donantes cuyas contribuciones habían apoyado la participación de delegados de países en desarrollo y países con economías en transición. Recordando la decisión 15/9, por la cual se estableció un mecanismo multilateral y un fondo mundial para la participación en los beneficios como parte del Marco Mundial de Biodiversidad de Kunming‑Montreal, señaló que la tarea del Grupo de Trabajo consistía en desarrollar más a fondo y poner en práctica el mecanismo multilateral y el fondo mundial, en particular en relación con el objetivo C y la meta 13, pero también en relación con otros objetivos y metas, incluidos los que tienen que ver con la creación de capacidad y la movilización de recursos financieros. El Grupo de Trabajo debía entonces deliberar sobre cómo se recaudarán y desembolsarán los fondos, cómo se facilitarán los beneficios no monetarios, incluido a través de la creación de capacidad y la transferencia de tecnología, cómo se regirá el sistema y el fondo en sí y cómo se relacionará el sistema con los sistemas nacionales de acceso y participación en los beneficios desarrollados en el marco del Protocolo de Nagoya, así como con otros procesos. Por lo tanto, tenía un importante trabajo por delante que debía realizar en poco tiempo, por lo que instaba a los participantes a que aprovecharan el tiempo disponible en las dos reuniones del Grupo de Trabajo para asegurarse de que las Partes tengan un sistema práctico para la participación justa y equitativa en los beneficios y para apoyar la innovación y la conservación y, en definitiva, contribuir a los tres objetivos del Convenio y a la agenda más amplia de desarrollo sostenible.  </w:t>
      </w:r>
    </w:p>
    <w:p w14:paraId="08F7D9EC" w14:textId="13B0C846" w:rsidR="00D371B7" w:rsidRPr="00C9561A" w:rsidRDefault="00855279" w:rsidP="001E6B67">
      <w:pPr>
        <w:pStyle w:val="Para10"/>
      </w:pPr>
      <w:r w:rsidRPr="00C9561A">
        <w:t>Formularon declaraciones regionales los representantes de las siguientes Partes: Argentina (en nombre de los Estados de América Latina y el Caribe), Camboya (en nombre de los Estados de Asia y el Pacífico), España (en nombre de la Unión Europea y sus Estados miembros), Namibia (en nombre de los Estados de África) y Suiza (en nombre de Australia, Canadá, Estados Unidos, Japón, Noruega, Nueva Zelandia, Reino Unido y República de Corea)</w:t>
      </w:r>
      <w:r w:rsidR="009867A0" w:rsidRPr="00C9561A">
        <w:rPr>
          <w:rStyle w:val="FootnoteReference"/>
        </w:rPr>
        <w:footnoteReference w:id="3"/>
      </w:r>
      <w:r w:rsidRPr="00C9561A">
        <w:t>.</w:t>
      </w:r>
    </w:p>
    <w:p w14:paraId="3AEC62BC" w14:textId="0FB1DA3F" w:rsidR="00A81545" w:rsidRPr="00C9561A" w:rsidRDefault="00A81545" w:rsidP="0017378E">
      <w:pPr>
        <w:pStyle w:val="Para10"/>
      </w:pPr>
      <w:r w:rsidRPr="00C9561A">
        <w:t>También formularon declaraciones los representantes de las siguientes organizaciones en nombre de los principales grupos e interesados: Grupo de Mujeres del CDB, DSI Scientific Network, Cámara de Comercio Internacional, Foro Internacional Indígena sobre Biodiversidad y Red del Tercer Mundo (en nombre de los miembros de la Alianza del CDB representados en la reunión).</w:t>
      </w:r>
    </w:p>
    <w:p w14:paraId="54D429AC" w14:textId="69E161F8" w:rsidR="00523A7D" w:rsidRPr="00C9561A" w:rsidRDefault="00DA6CE9" w:rsidP="001A7B71">
      <w:pPr>
        <w:pStyle w:val="Item"/>
        <w:spacing w:after="0"/>
      </w:pPr>
      <w:r w:rsidRPr="00C9561A">
        <w:t>Tema 2</w:t>
      </w:r>
    </w:p>
    <w:p w14:paraId="3702ECE8" w14:textId="6F3672EC" w:rsidR="00887C18" w:rsidRPr="00C9561A" w:rsidRDefault="00DA6CE9" w:rsidP="00DA6CE9">
      <w:pPr>
        <w:pStyle w:val="Item"/>
        <w:spacing w:before="0"/>
      </w:pPr>
      <w:r w:rsidRPr="00C9561A">
        <w:t>Cuestiones de organización</w:t>
      </w:r>
    </w:p>
    <w:p w14:paraId="06474FA2" w14:textId="5A4E00FE" w:rsidR="00887C18" w:rsidRPr="00C9561A" w:rsidRDefault="00DE7914" w:rsidP="001A7B71">
      <w:pPr>
        <w:pStyle w:val="Heading2"/>
        <w:suppressLineNumbers/>
        <w:suppressAutoHyphens/>
        <w:spacing w:line="238" w:lineRule="auto"/>
        <w:rPr>
          <w:b w:val="0"/>
          <w:bCs/>
          <w:i/>
          <w:iCs/>
          <w:snapToGrid w:val="0"/>
          <w:kern w:val="22"/>
          <w:sz w:val="22"/>
          <w:szCs w:val="22"/>
        </w:rPr>
      </w:pPr>
      <w:r w:rsidRPr="00C9561A">
        <w:rPr>
          <w:b w:val="0"/>
          <w:bCs/>
          <w:i/>
          <w:iCs/>
          <w:snapToGrid w:val="0"/>
          <w:sz w:val="22"/>
          <w:szCs w:val="22"/>
        </w:rPr>
        <w:t>Elección de la Mesa</w:t>
      </w:r>
    </w:p>
    <w:p w14:paraId="492810A7" w14:textId="77777777" w:rsidR="00E27CA1" w:rsidRPr="00C9561A" w:rsidRDefault="007A4070" w:rsidP="001E6B67">
      <w:pPr>
        <w:pStyle w:val="Para10"/>
      </w:pPr>
      <w:r w:rsidRPr="00C9561A">
        <w:t xml:space="preserve">De conformidad con el artículo 26 del Reglamento para las reuniones de la Conferencia de las Partes en el Convenio, la Mesa de la Conferencia de las Partes ofició de Mesa del Grupo de Trabajo. </w:t>
      </w:r>
    </w:p>
    <w:p w14:paraId="06240446" w14:textId="0205CAEB" w:rsidR="00DF2FC5" w:rsidRPr="00C9561A" w:rsidRDefault="00A90E55" w:rsidP="001E6B67">
      <w:pPr>
        <w:pStyle w:val="Para10"/>
      </w:pPr>
      <w:r w:rsidRPr="00C9561A">
        <w:t xml:space="preserve">La Mesa designó a Angela Lozan (Moldova) para oficiar de Relatora de la reunión. </w:t>
      </w:r>
    </w:p>
    <w:p w14:paraId="7B024984" w14:textId="477160C8" w:rsidR="00887C18" w:rsidRPr="00C9561A" w:rsidRDefault="00887C18" w:rsidP="001A7B71">
      <w:pPr>
        <w:pStyle w:val="Heading2"/>
        <w:suppressLineNumbers/>
        <w:suppressAutoHyphens/>
        <w:spacing w:before="0" w:after="0" w:line="238" w:lineRule="auto"/>
        <w:rPr>
          <w:b w:val="0"/>
          <w:bCs/>
          <w:i/>
          <w:iCs/>
          <w:snapToGrid w:val="0"/>
          <w:kern w:val="22"/>
          <w:sz w:val="22"/>
          <w:szCs w:val="22"/>
        </w:rPr>
      </w:pPr>
      <w:r w:rsidRPr="00C9561A">
        <w:rPr>
          <w:b w:val="0"/>
          <w:bCs/>
          <w:i/>
          <w:iCs/>
          <w:snapToGrid w:val="0"/>
          <w:sz w:val="22"/>
          <w:szCs w:val="22"/>
        </w:rPr>
        <w:t>Adopción del programa</w:t>
      </w:r>
    </w:p>
    <w:p w14:paraId="680209B3" w14:textId="438483DD" w:rsidR="00115A1B" w:rsidRPr="00C9561A" w:rsidRDefault="00ED0AF9" w:rsidP="001E6B67">
      <w:pPr>
        <w:pStyle w:val="Para10"/>
      </w:pPr>
      <w:r w:rsidRPr="00C9561A">
        <w:t>En su primera sesión plenaria, el 14 de noviembre de 2023, el Grupo de Trabajo adoptó el siguiente programa sobre la base del programa provisional preparado por la Secretaría</w:t>
      </w:r>
      <w:r w:rsidR="00260254" w:rsidRPr="00C9561A">
        <w:rPr>
          <w:rStyle w:val="FootnoteReference"/>
        </w:rPr>
        <w:footnoteReference w:id="4"/>
      </w:r>
      <w:r w:rsidRPr="00C9561A">
        <w:t>:</w:t>
      </w:r>
    </w:p>
    <w:p w14:paraId="392B2E7E" w14:textId="11C0AD72" w:rsidR="006E02AC" w:rsidRPr="00C9561A" w:rsidRDefault="006E02AC" w:rsidP="001E6B67">
      <w:pPr>
        <w:pStyle w:val="Para10"/>
        <w:numPr>
          <w:ilvl w:val="0"/>
          <w:numId w:val="0"/>
        </w:numPr>
        <w:ind w:left="1701"/>
      </w:pPr>
      <w:r w:rsidRPr="00C9561A">
        <w:t>1.</w:t>
      </w:r>
      <w:r w:rsidRPr="00C9561A">
        <w:tab/>
        <w:t>Apertura de la reunión.</w:t>
      </w:r>
    </w:p>
    <w:p w14:paraId="48A36627" w14:textId="5B0DF005" w:rsidR="006E02AC" w:rsidRPr="00C9561A" w:rsidRDefault="006E02AC" w:rsidP="001E6B67">
      <w:pPr>
        <w:pStyle w:val="Para10"/>
        <w:numPr>
          <w:ilvl w:val="0"/>
          <w:numId w:val="0"/>
        </w:numPr>
        <w:ind w:left="1701"/>
      </w:pPr>
      <w:r w:rsidRPr="00C9561A">
        <w:t>2.</w:t>
      </w:r>
      <w:r w:rsidRPr="00C9561A">
        <w:tab/>
        <w:t>Cuestiones de organización.</w:t>
      </w:r>
    </w:p>
    <w:p w14:paraId="7989D92A" w14:textId="10C5AC18" w:rsidR="006E02AC" w:rsidRPr="00C9561A" w:rsidRDefault="006E02AC" w:rsidP="001E6B67">
      <w:pPr>
        <w:pStyle w:val="Para10"/>
        <w:numPr>
          <w:ilvl w:val="0"/>
          <w:numId w:val="0"/>
        </w:numPr>
        <w:ind w:left="1701"/>
      </w:pPr>
      <w:r w:rsidRPr="00C9561A">
        <w:t>3.</w:t>
      </w:r>
      <w:r w:rsidRPr="00C9561A">
        <w:tab/>
        <w:t>Cuestiones que deben seguir examinándose planteadas en el anexo de la decisión 15/9.</w:t>
      </w:r>
    </w:p>
    <w:p w14:paraId="523234C3" w14:textId="2026EF36" w:rsidR="006E02AC" w:rsidRPr="00C9561A" w:rsidRDefault="0017378E" w:rsidP="001E6B67">
      <w:pPr>
        <w:pStyle w:val="Para10"/>
        <w:numPr>
          <w:ilvl w:val="0"/>
          <w:numId w:val="0"/>
        </w:numPr>
        <w:ind w:left="1701"/>
      </w:pPr>
      <w:r w:rsidRPr="00C9561A">
        <w:t>4.</w:t>
      </w:r>
      <w:r w:rsidRPr="00C9561A">
        <w:tab/>
        <w:t>Otros asuntos.</w:t>
      </w:r>
    </w:p>
    <w:p w14:paraId="6B1F0942" w14:textId="608AADD1" w:rsidR="006E02AC" w:rsidRPr="00C9561A" w:rsidRDefault="0017378E" w:rsidP="001E6B67">
      <w:pPr>
        <w:pStyle w:val="Para10"/>
        <w:numPr>
          <w:ilvl w:val="0"/>
          <w:numId w:val="0"/>
        </w:numPr>
        <w:ind w:left="1701"/>
      </w:pPr>
      <w:r w:rsidRPr="00C9561A">
        <w:t>5.</w:t>
      </w:r>
      <w:r w:rsidRPr="00C9561A">
        <w:tab/>
        <w:t>Adopción del informe.</w:t>
      </w:r>
    </w:p>
    <w:p w14:paraId="1B76C3A0" w14:textId="40C28232" w:rsidR="00642B4D" w:rsidRPr="00C9561A" w:rsidRDefault="0017378E" w:rsidP="001E6B67">
      <w:pPr>
        <w:pStyle w:val="Para10"/>
        <w:numPr>
          <w:ilvl w:val="0"/>
          <w:numId w:val="0"/>
        </w:numPr>
        <w:ind w:left="1701"/>
      </w:pPr>
      <w:r w:rsidRPr="00C9561A">
        <w:lastRenderedPageBreak/>
        <w:t>6.</w:t>
      </w:r>
      <w:r w:rsidRPr="00C9561A">
        <w:tab/>
        <w:t>Clausura de la reunión.</w:t>
      </w:r>
    </w:p>
    <w:p w14:paraId="706AD887" w14:textId="7ABD838A" w:rsidR="00C44816" w:rsidRPr="00C9561A" w:rsidRDefault="007C5D0C" w:rsidP="00C44816">
      <w:pPr>
        <w:pStyle w:val="Heading2"/>
        <w:suppressLineNumbers/>
        <w:suppressAutoHyphens/>
        <w:spacing w:before="0" w:after="0" w:line="238" w:lineRule="auto"/>
        <w:rPr>
          <w:b w:val="0"/>
          <w:bCs/>
          <w:i/>
          <w:iCs/>
          <w:snapToGrid w:val="0"/>
          <w:kern w:val="22"/>
          <w:sz w:val="22"/>
          <w:szCs w:val="22"/>
        </w:rPr>
      </w:pPr>
      <w:r w:rsidRPr="00C9561A">
        <w:rPr>
          <w:b w:val="0"/>
          <w:bCs/>
          <w:i/>
          <w:iCs/>
          <w:snapToGrid w:val="0"/>
          <w:sz w:val="22"/>
          <w:szCs w:val="22"/>
        </w:rPr>
        <w:t>Organización de los trabajos</w:t>
      </w:r>
    </w:p>
    <w:p w14:paraId="0A2D0A4C" w14:textId="77777777" w:rsidR="00A15824" w:rsidRPr="00C9561A" w:rsidRDefault="006D327D">
      <w:pPr>
        <w:pStyle w:val="Para10"/>
        <w:rPr>
          <w:i/>
          <w:snapToGrid w:val="0"/>
        </w:rPr>
      </w:pPr>
      <w:r w:rsidRPr="00C9561A">
        <w:rPr>
          <w:snapToGrid w:val="0"/>
        </w:rPr>
        <w:t>En la misma sesión, el Grupo de Trabajo aprobó la propuesta de organización de los trabajos que figuraba en el anexo I de las anotaciones al programa provisional</w:t>
      </w:r>
      <w:r w:rsidR="00C44816" w:rsidRPr="00C9561A">
        <w:rPr>
          <w:rStyle w:val="FootnoteReference"/>
          <w:snapToGrid w:val="0"/>
        </w:rPr>
        <w:footnoteReference w:id="5"/>
      </w:r>
      <w:r w:rsidRPr="00C9561A">
        <w:rPr>
          <w:snapToGrid w:val="0"/>
        </w:rPr>
        <w:t xml:space="preserve">. </w:t>
      </w:r>
    </w:p>
    <w:p w14:paraId="53658B4A" w14:textId="350E55FD" w:rsidR="00C44816" w:rsidRPr="00C9561A" w:rsidRDefault="00A15824">
      <w:pPr>
        <w:pStyle w:val="Para10"/>
        <w:rPr>
          <w:i/>
          <w:snapToGrid w:val="0"/>
        </w:rPr>
      </w:pPr>
      <w:r w:rsidRPr="00C9561A">
        <w:rPr>
          <w:snapToGrid w:val="0"/>
        </w:rPr>
        <w:t>Se convino en establecer un Comité Plenario para examinar el tema 3 del programa y se eligió a Mphatso Kalemba (Malawi) y William Lockhart (Reino Unido) como Copresidentes del Comité. Se acordó asimismo que los Copresidentes continuarían con sus responsabilidades en la segunda reunión del Grupo de Trabajo y orientarían cualquier trabajo entre períodos de sesiones que se requiriera.</w:t>
      </w:r>
    </w:p>
    <w:p w14:paraId="433A6D1A" w14:textId="7BC1DF18" w:rsidR="00523A7D" w:rsidRPr="00C9561A" w:rsidRDefault="00DA6CE9" w:rsidP="001A7B71">
      <w:pPr>
        <w:pStyle w:val="Item"/>
        <w:spacing w:after="0"/>
      </w:pPr>
      <w:r w:rsidRPr="00C9561A">
        <w:t>Tema 3</w:t>
      </w:r>
    </w:p>
    <w:p w14:paraId="6674B949" w14:textId="6A55C730" w:rsidR="00F45983" w:rsidRPr="00C9561A" w:rsidRDefault="0017378E" w:rsidP="001A7B71">
      <w:pPr>
        <w:pStyle w:val="Item"/>
        <w:keepNext/>
        <w:spacing w:before="0"/>
        <w:rPr>
          <w:b w:val="0"/>
        </w:rPr>
      </w:pPr>
      <w:r w:rsidRPr="00C9561A">
        <w:t>Cuestiones que deben seguir examinándose planteadas en el anexo de la decisión 15/9</w:t>
      </w:r>
    </w:p>
    <w:p w14:paraId="5DCD9015" w14:textId="56E50092" w:rsidR="00A806F1" w:rsidRPr="00C9561A" w:rsidRDefault="00A806F1" w:rsidP="00CA5A9C">
      <w:pPr>
        <w:pStyle w:val="Para10"/>
      </w:pPr>
      <w:bookmarkStart w:id="2" w:name="_Ref431398504"/>
      <w:r w:rsidRPr="00C9561A">
        <w:t>Los Copresidentes del Comité Plenario declararon abierta la sesión del Comité a las 11.30 horas del 14 de noviembre.</w:t>
      </w:r>
    </w:p>
    <w:p w14:paraId="321D517E" w14:textId="77777777" w:rsidR="00A806F1" w:rsidRPr="00C9561A" w:rsidRDefault="00A806F1" w:rsidP="00CA5A9C">
      <w:pPr>
        <w:pStyle w:val="Para10"/>
      </w:pPr>
      <w:r w:rsidRPr="00C9561A">
        <w:t>El Comité inició el examen del tema 3 del programa en su primera sesión. Tuvo ante sí una nota de la Secretaría sobre la información recopilada a raíz de la decisión 15/9 y los puntos clave para su examen por el Grupo de Trabajo Especial de Composición Abierta sobre Participación en los Beneficios que se Deriven de la Utilización de Información Digital sobre Secuencias de Recursos Genéticos</w:t>
      </w:r>
      <w:r w:rsidRPr="00C9561A">
        <w:rPr>
          <w:rStyle w:val="FootnoteReference"/>
        </w:rPr>
        <w:footnoteReference w:id="6"/>
      </w:r>
      <w:r w:rsidRPr="00C9561A">
        <w:t>, así como tres adiciones a ese documento: una síntesis de las opiniones de conformidad con la decisión 15/9</w:t>
      </w:r>
      <w:r w:rsidRPr="00C9561A">
        <w:rPr>
          <w:rStyle w:val="FootnoteReference"/>
        </w:rPr>
        <w:footnoteReference w:id="7"/>
      </w:r>
      <w:r w:rsidRPr="00C9561A">
        <w:t>, un resumen ejecutivo de la recopilación de las lecciones aprendidas de otros mecanismos internacionales de financiación</w:t>
      </w:r>
      <w:r w:rsidRPr="00C9561A">
        <w:rPr>
          <w:rStyle w:val="FootnoteReference"/>
        </w:rPr>
        <w:footnoteReference w:id="8"/>
      </w:r>
      <w:r w:rsidRPr="00C9561A">
        <w:t xml:space="preserve"> y la información inicial de los estudios encargados</w:t>
      </w:r>
      <w:r w:rsidRPr="00C9561A">
        <w:rPr>
          <w:rStyle w:val="FootnoteReference"/>
        </w:rPr>
        <w:footnoteReference w:id="9"/>
      </w:r>
      <w:r w:rsidRPr="00C9561A">
        <w:t>. La recopilación completa de las lecciones aprendidas de otros mecanismos internacionales de financiación también se puso a disposición del Grupo de Trabajo como documento informativo</w:t>
      </w:r>
      <w:r w:rsidRPr="00C9561A">
        <w:rPr>
          <w:rStyle w:val="FootnoteReference"/>
        </w:rPr>
        <w:footnoteReference w:id="10"/>
      </w:r>
      <w:r w:rsidRPr="00C9561A">
        <w:t>.</w:t>
      </w:r>
    </w:p>
    <w:p w14:paraId="06FB2BE5" w14:textId="4AE43977" w:rsidR="00AF4B12" w:rsidRPr="00C9561A" w:rsidRDefault="00A806F1" w:rsidP="009A753F">
      <w:pPr>
        <w:pStyle w:val="Para10"/>
      </w:pPr>
      <w:r w:rsidRPr="00C9561A">
        <w:t xml:space="preserve">Un representante de la Secretaría </w:t>
      </w:r>
      <w:r w:rsidR="008465F9" w:rsidRPr="00C9561A">
        <w:t>realizó</w:t>
      </w:r>
      <w:r w:rsidRPr="00C9561A">
        <w:t xml:space="preserve"> una presentación sobre los trabajos en curso en otros foros intergubernamentales sobre la participación en los beneficios que se deriven del uso de la información digital sobre secuencias.</w:t>
      </w:r>
    </w:p>
    <w:p w14:paraId="1678B525" w14:textId="6BC59BD7" w:rsidR="00A806F1" w:rsidRPr="00C9561A" w:rsidRDefault="00A806F1" w:rsidP="009A753F">
      <w:pPr>
        <w:pStyle w:val="Para10"/>
      </w:pPr>
      <w:r w:rsidRPr="00C9561A">
        <w:t xml:space="preserve">Otro representante de la Secretaría </w:t>
      </w:r>
      <w:r w:rsidR="008465F9" w:rsidRPr="00C9561A">
        <w:t>realizó</w:t>
      </w:r>
      <w:r w:rsidRPr="00C9561A">
        <w:t xml:space="preserve"> una presentación sobre la labor del Comité Asesor sobre Movilización de Recursos, creado por la Conferencia de las Partes en la decisión 15/7.</w:t>
      </w:r>
    </w:p>
    <w:p w14:paraId="2FC9FE6B" w14:textId="09EA93B6" w:rsidR="00A806F1" w:rsidRPr="00C9561A" w:rsidRDefault="00A806F1" w:rsidP="00180D0F">
      <w:pPr>
        <w:pStyle w:val="Para10"/>
      </w:pPr>
      <w:r w:rsidRPr="00C9561A">
        <w:t>Formularon declaraciones los representantes de las siguientes Partes: Arabia Saud</w:t>
      </w:r>
      <w:r w:rsidR="00106732" w:rsidRPr="00C9561A">
        <w:t>ita</w:t>
      </w:r>
      <w:r w:rsidRPr="00C9561A">
        <w:t xml:space="preserve">, Argentina, Australia, Brasil, Canadá, China, Côte d’Ivoire, Egipto, Eswatini, India, Indonesia, Japón, Jordania, Kuwait, Malawi, Marruecos, Namibia (en nombre del Grupo de Estados de África), Noruega, Reino Unido, República de Corea, Serbia, Sudáfrica, Suiza, Uganda y Zimbabwe. </w:t>
      </w:r>
    </w:p>
    <w:p w14:paraId="73322EA0" w14:textId="77777777" w:rsidR="00A806F1" w:rsidRPr="00C9561A" w:rsidRDefault="00A806F1" w:rsidP="00180D0F">
      <w:pPr>
        <w:pStyle w:val="Para10"/>
      </w:pPr>
      <w:r w:rsidRPr="00C9561A">
        <w:t>El Comité prosiguió el examen del tema en su segunda sesión, el 14 de noviembre.</w:t>
      </w:r>
    </w:p>
    <w:p w14:paraId="6733B592" w14:textId="77777777" w:rsidR="00A806F1" w:rsidRPr="00C9561A" w:rsidRDefault="00A806F1" w:rsidP="00180D0F">
      <w:pPr>
        <w:pStyle w:val="Para10"/>
      </w:pPr>
      <w:r w:rsidRPr="00C9561A">
        <w:t>Formularon declaraciones los representantes de las siguientes Partes: Benín, Colombia, Emiratos Árabes Unidos, Fiyi, Guatemala, Maldivas, Mauricio, Nueva Zelanda, Omán, República Democrática del Congo y Sudán.</w:t>
      </w:r>
    </w:p>
    <w:p w14:paraId="45C98F36" w14:textId="0F610815" w:rsidR="00A806F1" w:rsidRPr="00C9561A" w:rsidRDefault="00A806F1" w:rsidP="00180D0F">
      <w:pPr>
        <w:pStyle w:val="Para10"/>
      </w:pPr>
      <w:r w:rsidRPr="00C9561A">
        <w:t>También formuló una declaración la representante de los Estados Unidos de América.</w:t>
      </w:r>
    </w:p>
    <w:p w14:paraId="6087D70B" w14:textId="1E8340C3" w:rsidR="00A806F1" w:rsidRPr="00C9561A" w:rsidRDefault="00A806F1" w:rsidP="00180D0F">
      <w:pPr>
        <w:pStyle w:val="Para10"/>
      </w:pPr>
      <w:r w:rsidRPr="00C9561A">
        <w:t>Asimismo, formularon declaraciones los representantes del Foro Internacional Indígena sobre Biodiversidad, la Red de Mujeres Indígenas sobre Biodiversidad de América Latina y el Caribe y la Red del Tercer Mundo (también en nombre de la Iniciativa Regional del Sudeste Asiático para el Empoderamiento Comunitario).</w:t>
      </w:r>
    </w:p>
    <w:p w14:paraId="5651A553" w14:textId="77777777" w:rsidR="00A806F1" w:rsidRPr="00C9561A" w:rsidRDefault="00A806F1" w:rsidP="00180D0F">
      <w:pPr>
        <w:pStyle w:val="Para10"/>
      </w:pPr>
      <w:r w:rsidRPr="00C9561A">
        <w:t xml:space="preserve">Tras el intercambio de opiniones, el Comité acordó establecer un grupo de contacto, copresidido por la Sra. Salima Kempenaer (Bélgica) y la Sra. Nneka Nicholas (Antigua y Barbuda), para debatir </w:t>
      </w:r>
      <w:r w:rsidRPr="00C9561A">
        <w:lastRenderedPageBreak/>
        <w:t>las cuestiones que debían seguir examinándose y que se enumeran en el anexo de la decisión 15/9. También acordó que el grupo de contacto examinaría las cuestiones por grupos, de conformidad con la agrupación que figura en el cuadro del documento CBD/WGDSI/1/2.</w:t>
      </w:r>
    </w:p>
    <w:p w14:paraId="5C20AC54" w14:textId="6CBB1DD3" w:rsidR="00252D6A" w:rsidRPr="00C9561A" w:rsidRDefault="00252D6A" w:rsidP="00252D6A">
      <w:pPr>
        <w:pStyle w:val="Para10"/>
        <w:numPr>
          <w:ilvl w:val="0"/>
          <w:numId w:val="0"/>
        </w:numPr>
        <w:ind w:left="547"/>
        <w:rPr>
          <w:i/>
          <w:iCs/>
        </w:rPr>
      </w:pPr>
      <w:r w:rsidRPr="00C9561A">
        <w:rPr>
          <w:i/>
          <w:iCs/>
        </w:rPr>
        <w:t>Consideración del proyecto de texto</w:t>
      </w:r>
    </w:p>
    <w:p w14:paraId="15404350" w14:textId="524DE92C" w:rsidR="00A806F1" w:rsidRPr="00C9561A" w:rsidRDefault="00A806F1" w:rsidP="00180D0F">
      <w:pPr>
        <w:pStyle w:val="Para10"/>
      </w:pPr>
      <w:r w:rsidRPr="00C9561A">
        <w:t>En su tercera sesión, el 17 de noviembre, el Comité examinó un proyecto de texto presentado por los Copresidentes sobre la base de las deliberaciones del grupo de contacto, acerca de posibles elementos de un mecanismo multilateral de participación en los beneficios que se deriven de la información digital sobre secuencias de recursos genéticos, incluido un fondo mundial. El Comité acordó examinar los elementos del proyecto de texto por grupos.</w:t>
      </w:r>
    </w:p>
    <w:p w14:paraId="3ADA4E2B" w14:textId="529D221C" w:rsidR="00A806F1" w:rsidRPr="00C9561A" w:rsidRDefault="00A806F1" w:rsidP="00180D0F">
      <w:pPr>
        <w:pStyle w:val="Para10"/>
      </w:pPr>
      <w:r w:rsidRPr="00C9561A">
        <w:t>En el grupo A formularon declaraciones los representantes de las siguientes Partes: Argelia, Argentina, Australia, Brasil (también en nombre de América Latina y el Caribe), Canadá, Chile, Colombia, Egipto, Filipinas, India, Indonesia, Japón, Marruecos, Noruega, Nueva Zelandia, Reino Unido, República Democrática del Congo, Sudáfrica (en nombre de los Estados de África), Suiza, Togo, Uganda, Unión Europea y sus Estados Miembros y Zimbabwe.</w:t>
      </w:r>
    </w:p>
    <w:p w14:paraId="5FFE0C06" w14:textId="3303DA6F" w:rsidR="00A806F1" w:rsidRPr="00C9561A" w:rsidRDefault="00A806F1" w:rsidP="00180D0F">
      <w:pPr>
        <w:pStyle w:val="Para10"/>
      </w:pPr>
      <w:r w:rsidRPr="00C9561A">
        <w:t>En el grupo B formularon declaraciones los representantes de las siguientes Partes: Australia, Brasil, Canadá, Côte d’Ivoire, Japón, Jordania, Namibia, Suiza y la Unión Europea y sus Estados Miembros.</w:t>
      </w:r>
    </w:p>
    <w:p w14:paraId="30201CC5" w14:textId="4634CFDA" w:rsidR="00A806F1" w:rsidRPr="00C9561A" w:rsidRDefault="00A806F1" w:rsidP="00180D0F">
      <w:pPr>
        <w:pStyle w:val="Para10"/>
      </w:pPr>
      <w:r w:rsidRPr="00C9561A">
        <w:t xml:space="preserve">En su cuarta sesión, el 17 de noviembre, el Comité continuó su examen del proyecto de texto sobre los posibles elementos del mecanismo multilateral. </w:t>
      </w:r>
    </w:p>
    <w:p w14:paraId="233560B5" w14:textId="24E25BB0" w:rsidR="00A806F1" w:rsidRPr="00C9561A" w:rsidRDefault="00D138DD" w:rsidP="00CD74E4">
      <w:pPr>
        <w:pStyle w:val="Para10"/>
      </w:pPr>
      <w:r w:rsidRPr="00C9561A">
        <w:t>En el grupo B formularon declaraciones adicionales los representantes de las siguientes Partes: Argelia, Brasil, Canadá, Colombia, Cuba, Egipto, India, Jordania, Maldivas, Marruecos, Mauricio, Noruega, Suiza, Togo, Uganda, Unión Europea y sus Estados Miembros y Zimbabwe.</w:t>
      </w:r>
    </w:p>
    <w:p w14:paraId="13399B79" w14:textId="4E3C9D15" w:rsidR="00A806F1" w:rsidRPr="00C9561A" w:rsidRDefault="00A806F1" w:rsidP="00CD74E4">
      <w:pPr>
        <w:pStyle w:val="Para10"/>
      </w:pPr>
      <w:r w:rsidRPr="00C9561A">
        <w:t>En el grupo C formularon declaraciones los representantes de las siguientes Partes: Argelia (en nombre de los Estados de África), Argentina, Australia, Brasil, Burkina Faso, Canadá, Chile, Colombia, Côte d’Ivoire, Egipto, India, Indonesia, Japón, Noruega, Federación Rusa, Filipinas, Reino Unido, Suiza, Togo, Uganda y la Unión Europea y sus Estados Miembros.</w:t>
      </w:r>
    </w:p>
    <w:p w14:paraId="240E2EB3" w14:textId="77777777" w:rsidR="00A806F1" w:rsidRPr="00C9561A" w:rsidRDefault="00A806F1" w:rsidP="00CD74E4">
      <w:pPr>
        <w:pStyle w:val="Para10"/>
      </w:pPr>
      <w:r w:rsidRPr="00C9561A">
        <w:t>También formularon declaraciones los representantes de la Red Científica de Información Digital sobre Secuencias de Recursos Genéticos y el Foro Internacional Indígena sobre Biodiversidad.</w:t>
      </w:r>
    </w:p>
    <w:p w14:paraId="7354C60B" w14:textId="4C5C03A2" w:rsidR="00A806F1" w:rsidRPr="00C9561A" w:rsidRDefault="00A806F1" w:rsidP="00CD74E4">
      <w:pPr>
        <w:pStyle w:val="Para10"/>
      </w:pPr>
      <w:r w:rsidRPr="00C9561A">
        <w:t>En el grupo D formularon declaraciones los representantes de las siguientes Partes: Argentina, Australia, Brasil, Burkina Faso, Canadá, India, Indonesia, Japón, Noruega, Reino Unido, República Democrática del Congo, Suiza, Uganda y la Unión Europea y sus Estados Miembros.</w:t>
      </w:r>
    </w:p>
    <w:p w14:paraId="163E958D" w14:textId="3FBC21EC" w:rsidR="00A806F1" w:rsidRPr="00C9561A" w:rsidRDefault="00A806F1" w:rsidP="00CD74E4">
      <w:pPr>
        <w:pStyle w:val="Para10"/>
      </w:pPr>
      <w:r w:rsidRPr="00C9561A">
        <w:t xml:space="preserve">El Comité estableció un grupo de contacto presidido por los Copresidentes del Comité Plenario con la finalidad de debatir propuestas para el trabajo entre períodos de sesiones. </w:t>
      </w:r>
    </w:p>
    <w:p w14:paraId="0D901EF2" w14:textId="2D06DD25" w:rsidR="001F005F" w:rsidRPr="00C9561A" w:rsidRDefault="001F005F" w:rsidP="001F005F">
      <w:pPr>
        <w:pStyle w:val="Para10"/>
      </w:pPr>
      <w:r w:rsidRPr="00C9561A">
        <w:t xml:space="preserve">En su quinta sesión, el 18 de noviembre, el Comité continuó su examen del proyecto de texto sobre los posibles elementos del mecanismo multilateral. </w:t>
      </w:r>
    </w:p>
    <w:p w14:paraId="44167EC5" w14:textId="0AAAB4E5" w:rsidR="001F005F" w:rsidRPr="00C9561A" w:rsidRDefault="00D138DD" w:rsidP="001F005F">
      <w:pPr>
        <w:pStyle w:val="Para10"/>
      </w:pPr>
      <w:r w:rsidRPr="00C9561A">
        <w:t>En el grupo D formularon declaraciones adicionales los representantes de las siguientes Partes: Argentina, Australia, Belarús, Brasil, Canadá, Chile, Colombia, Guatemala, India, Indonesia, Japón, Namibia (en nombre de los Estados de África), Noruega, Reino Unido, República de Corea, Sudáfrica, Suiza, Togo, Uganda y la Unión Europea y sus Estados miembros.</w:t>
      </w:r>
    </w:p>
    <w:p w14:paraId="7F17D35A" w14:textId="66F2F454" w:rsidR="00AA724C" w:rsidRPr="00C9561A" w:rsidRDefault="00AA724C" w:rsidP="001F005F">
      <w:pPr>
        <w:pStyle w:val="Para10"/>
      </w:pPr>
      <w:r w:rsidRPr="00C9561A">
        <w:t>También formularon declaraciones los representantes del Foro Internacional Indígena sobre Biodiversidad y la Red del Tercer Mundo.</w:t>
      </w:r>
    </w:p>
    <w:p w14:paraId="4220E52D" w14:textId="6CE74EC2" w:rsidR="001F005F" w:rsidRPr="00C9561A" w:rsidRDefault="001F005F" w:rsidP="001F005F">
      <w:pPr>
        <w:pStyle w:val="Para10"/>
      </w:pPr>
      <w:r w:rsidRPr="00C9561A">
        <w:t>En el grupo E formularon declaraciones los representantes de las siguientes Partes: Argentina, Brasil, Canadá, Chile, China, Colombia, Cuba, India, Indonesia, Japón, Marruecos, Namibia (en nombre de los Estados de África), Noruega, Reino Unido, República Democrática del Congo, República de Corea, Sudáfrica, Suiza, Togo, Uganda y la Unión Europea y sus Estados miembros.</w:t>
      </w:r>
    </w:p>
    <w:p w14:paraId="32006FFF" w14:textId="3C18687F" w:rsidR="00AA724C" w:rsidRPr="00C9561A" w:rsidRDefault="00AA724C" w:rsidP="00AA724C">
      <w:pPr>
        <w:pStyle w:val="Para10"/>
      </w:pPr>
      <w:r w:rsidRPr="00C9561A">
        <w:lastRenderedPageBreak/>
        <w:t>También formularon declaraciones los representantes del Grupo de Mujeres del CDB y el Foro Internacional Indígena sobre Biodiversidad.</w:t>
      </w:r>
    </w:p>
    <w:p w14:paraId="2D76829E" w14:textId="3A9CA229" w:rsidR="0061389B" w:rsidRPr="00C9561A" w:rsidRDefault="0061389B" w:rsidP="0061389B">
      <w:pPr>
        <w:pStyle w:val="Para1"/>
        <w:keepNext/>
        <w:numPr>
          <w:ilvl w:val="0"/>
          <w:numId w:val="0"/>
        </w:numPr>
        <w:ind w:left="562"/>
        <w:rPr>
          <w:i/>
          <w:iCs/>
        </w:rPr>
      </w:pPr>
      <w:bookmarkStart w:id="3" w:name="_Hlk151224103"/>
      <w:r w:rsidRPr="00C9561A">
        <w:rPr>
          <w:i/>
          <w:iCs/>
        </w:rPr>
        <w:t>Examen de los proyectos de texto revisados y propuesta para el trabajo entre períodos de sesiones</w:t>
      </w:r>
    </w:p>
    <w:bookmarkEnd w:id="3"/>
    <w:p w14:paraId="0F5AB8C0" w14:textId="77777777" w:rsidR="006608D7" w:rsidRPr="00C9561A" w:rsidRDefault="006608D7" w:rsidP="006608D7">
      <w:pPr>
        <w:pStyle w:val="Para10"/>
      </w:pPr>
      <w:r w:rsidRPr="00C9561A">
        <w:t>En su se</w:t>
      </w:r>
      <w:bookmarkStart w:id="4" w:name="_GoBack"/>
      <w:bookmarkEnd w:id="4"/>
      <w:r w:rsidRPr="00C9561A">
        <w:t xml:space="preserve">xta sesión, celebrada el 18 de noviembre, el Comité examinó los proyectos de texto revisados para los elementos del mecanismo multilateral, presentados por los Copresidentes, y una propuesta de los Copresidentes para el trabajo entre períodos de sesiones. </w:t>
      </w:r>
    </w:p>
    <w:p w14:paraId="50507C7A" w14:textId="209FE8F4" w:rsidR="00ED178A" w:rsidRPr="00C9561A" w:rsidRDefault="00ED178A" w:rsidP="00ED178A">
      <w:pPr>
        <w:pStyle w:val="Para10"/>
      </w:pPr>
      <w:r w:rsidRPr="00C9561A">
        <w:t>Formularon declaraciones sobre los proyectos de texto revisados los representantes de las siguientes Partes: Argelia, Argentina, Australia, Belarús, Brasil, Canadá, Chile, Colombia, Côte d’Ivoire, Egipto, India, Indonesia, Japón, Marruecos, Noruega, Reino Unido, República Democrática del Congo, República de Corea, Sudáfrica, Suiza, Togo, Uganda y la Unión Europea y sus Estados miembros.</w:t>
      </w:r>
    </w:p>
    <w:p w14:paraId="36CA105B" w14:textId="6CECD61E" w:rsidR="001110BD" w:rsidRPr="00C9561A" w:rsidRDefault="00037665" w:rsidP="00ED178A">
      <w:pPr>
        <w:pStyle w:val="Para10"/>
      </w:pPr>
      <w:r w:rsidRPr="00C9561A">
        <w:t xml:space="preserve">Los Copresidentes </w:t>
      </w:r>
      <w:r w:rsidR="00E81ECF" w:rsidRPr="00C9561A">
        <w:t>señalaron</w:t>
      </w:r>
      <w:r w:rsidRPr="00C9561A">
        <w:t xml:space="preserve"> que prepararían un texto revisado sobre la base de las declaraciones realizadas y lo presentarían al Grupo de Trabajo para su aprobación.</w:t>
      </w:r>
    </w:p>
    <w:p w14:paraId="62DB8E70" w14:textId="68CEE619" w:rsidR="0061389B" w:rsidRPr="00C9561A" w:rsidRDefault="0061389B" w:rsidP="00AE286A">
      <w:pPr>
        <w:pStyle w:val="Para10"/>
      </w:pPr>
      <w:r w:rsidRPr="00C9561A">
        <w:t>Además, los Copresidentes informaron sobre los debates del grupo de contacto acerca del trabajo entre períodos de sesiones y presentaron su propuesta para dicho trabajo, que se llevaría a cabo durante el período comprendido entre la primera y la segunda reunión del Grupo de Trabajo y comprendería:</w:t>
      </w:r>
    </w:p>
    <w:p w14:paraId="68ED1421" w14:textId="0213D3EC" w:rsidR="00B85912" w:rsidRPr="00C9561A" w:rsidRDefault="00B85912" w:rsidP="004730CB">
      <w:pPr>
        <w:pStyle w:val="ListParagraph"/>
        <w:numPr>
          <w:ilvl w:val="0"/>
          <w:numId w:val="88"/>
        </w:numPr>
        <w:tabs>
          <w:tab w:val="clear" w:pos="1512"/>
          <w:tab w:val="left" w:pos="1701"/>
        </w:tabs>
        <w:spacing w:after="120" w:line="259" w:lineRule="auto"/>
        <w:ind w:left="567" w:firstLine="567"/>
        <w:rPr>
          <w:szCs w:val="22"/>
        </w:rPr>
      </w:pPr>
      <w:r w:rsidRPr="00C9561A">
        <w:t xml:space="preserve">Actividades de intercambio de información por parte de los Copresidentes y la Secretaría, según sea necesario y apropiado; </w:t>
      </w:r>
    </w:p>
    <w:p w14:paraId="69ECEAB7" w14:textId="127FE762" w:rsidR="00B85912" w:rsidRPr="00C9561A" w:rsidRDefault="00B85912" w:rsidP="00B24447">
      <w:pPr>
        <w:pStyle w:val="ListParagraph"/>
        <w:numPr>
          <w:ilvl w:val="0"/>
          <w:numId w:val="88"/>
        </w:numPr>
        <w:tabs>
          <w:tab w:val="clear" w:pos="1512"/>
          <w:tab w:val="left" w:pos="1701"/>
        </w:tabs>
        <w:spacing w:after="120" w:line="259" w:lineRule="auto"/>
        <w:ind w:left="567" w:firstLine="567"/>
        <w:rPr>
          <w:szCs w:val="22"/>
        </w:rPr>
      </w:pPr>
      <w:r w:rsidRPr="00C9561A">
        <w:t>Un grupo asesor oficioso de composición abierta, que se basaría en la experiencia del anterior grupo asesor oficioso en materia de información digital sobre secuencias que se reunió entre septiembre de 2021 y octubre de 2022, sería inclusivo, flexible y ágil, tendría en cuenta la carga que supone la diferencia horaria para las Partes, y se concentraría en las cuestiones técnicas contenidas en los elementos que requieren más trabajo, actuando a través de debates en línea entre las Partes, los pueblos indígenas y las comunidades locales y los interesados;</w:t>
      </w:r>
    </w:p>
    <w:p w14:paraId="40F557D4" w14:textId="31616C40" w:rsidR="00B85912" w:rsidRPr="00C9561A" w:rsidRDefault="00AE286A" w:rsidP="00B24447">
      <w:pPr>
        <w:pStyle w:val="ListParagraph"/>
        <w:numPr>
          <w:ilvl w:val="0"/>
          <w:numId w:val="88"/>
        </w:numPr>
        <w:tabs>
          <w:tab w:val="clear" w:pos="1512"/>
          <w:tab w:val="left" w:pos="1701"/>
        </w:tabs>
        <w:spacing w:after="120" w:line="259" w:lineRule="auto"/>
        <w:ind w:left="567" w:firstLine="567"/>
        <w:rPr>
          <w:szCs w:val="22"/>
        </w:rPr>
      </w:pPr>
      <w:r w:rsidRPr="00C9561A">
        <w:t>Consultas regionales oficiosas en línea facilitadas por los Copresidentes, además de comunicaciones oficiosas para apoyar la revisión por pares de los proyectos de informe para los estudios encargados que se mencionan en el párrafo 22, incisos b) y c), de la decisión 15/9;</w:t>
      </w:r>
    </w:p>
    <w:p w14:paraId="16F67084" w14:textId="77777777" w:rsidR="00317A3B" w:rsidRPr="00C9561A" w:rsidRDefault="00AE286A" w:rsidP="00B24447">
      <w:pPr>
        <w:pStyle w:val="ListParagraph"/>
        <w:numPr>
          <w:ilvl w:val="0"/>
          <w:numId w:val="88"/>
        </w:numPr>
        <w:tabs>
          <w:tab w:val="clear" w:pos="1512"/>
          <w:tab w:val="left" w:pos="1701"/>
        </w:tabs>
        <w:spacing w:after="120" w:line="259" w:lineRule="auto"/>
        <w:ind w:left="567" w:firstLine="567"/>
        <w:rPr>
          <w:szCs w:val="22"/>
        </w:rPr>
      </w:pPr>
      <w:r w:rsidRPr="00C9561A">
        <w:t>Preparación, por los Copresidentes, de un informe sobre los resultados de los trabajos entre períodos de sesiones, basado en la metodología de presentación de informes utilizada por el anterior grupo asesor oficioso en materia de información digital sobre secuencias.</w:t>
      </w:r>
    </w:p>
    <w:p w14:paraId="1F3748B1" w14:textId="4FDC4B87" w:rsidR="00B85912" w:rsidRPr="00C9561A" w:rsidRDefault="00317A3B" w:rsidP="00317A3B">
      <w:pPr>
        <w:pStyle w:val="Para10"/>
      </w:pPr>
      <w:r w:rsidRPr="00C9561A">
        <w:t>El Comité respaldó la propuesta de los Copresidentes para los trabajos entre períodos de sesiones tal como se había presentado.</w:t>
      </w:r>
    </w:p>
    <w:p w14:paraId="33F31E92" w14:textId="3031680C" w:rsidR="009B04C2" w:rsidRPr="00C9561A" w:rsidRDefault="009B04C2" w:rsidP="009B04C2">
      <w:pPr>
        <w:pStyle w:val="Para1"/>
        <w:keepNext/>
        <w:numPr>
          <w:ilvl w:val="0"/>
          <w:numId w:val="0"/>
        </w:numPr>
        <w:ind w:left="562"/>
        <w:rPr>
          <w:i/>
          <w:iCs/>
        </w:rPr>
      </w:pPr>
      <w:r w:rsidRPr="00C9561A">
        <w:rPr>
          <w:i/>
          <w:iCs/>
        </w:rPr>
        <w:t>Conclusión</w:t>
      </w:r>
    </w:p>
    <w:p w14:paraId="6CCB6682" w14:textId="1B7E2F09" w:rsidR="00DB70B6" w:rsidRPr="00C9561A" w:rsidRDefault="00372232" w:rsidP="00DE3106">
      <w:pPr>
        <w:pStyle w:val="Para10"/>
      </w:pPr>
      <w:r w:rsidRPr="00C9561A">
        <w:t>En su segunda sesión plenaria, celebrada el 18 de noviembre, el Grupo de Trabajo escuchó un informe de los Copresidentes del Comité Plenario sobre la labor del Comité y aprobó el documento CBD/WGDSI/1/L.2, en su forma oralmente enmendada (véase el anexo), que se utilizará como base para futuros debates. Asimismo, aceptó la propuesta para los trabajos entre períodos de sesiones respaldada por el Comité Plenario.</w:t>
      </w:r>
    </w:p>
    <w:p w14:paraId="2F2D0DC1" w14:textId="56323AFF" w:rsidR="00523A7D" w:rsidRPr="00C9561A" w:rsidRDefault="00154AA3" w:rsidP="001A7B71">
      <w:pPr>
        <w:pStyle w:val="Item"/>
        <w:keepNext/>
        <w:spacing w:after="0"/>
      </w:pPr>
      <w:r w:rsidRPr="00C9561A">
        <w:t>Tema 4</w:t>
      </w:r>
    </w:p>
    <w:p w14:paraId="10A76CBB" w14:textId="3C9BDEB0" w:rsidR="009F653F" w:rsidRPr="00C9561A" w:rsidRDefault="00644BD1" w:rsidP="00644BD1">
      <w:pPr>
        <w:pStyle w:val="Item"/>
        <w:spacing w:before="0"/>
      </w:pPr>
      <w:r w:rsidRPr="00C9561A">
        <w:t>Otros asuntos</w:t>
      </w:r>
    </w:p>
    <w:p w14:paraId="0B0B46FC" w14:textId="3F000BF9" w:rsidR="00AF12BA" w:rsidRPr="00C9561A" w:rsidRDefault="00670F51" w:rsidP="001E6B67">
      <w:pPr>
        <w:pStyle w:val="Para10"/>
      </w:pPr>
      <w:r w:rsidRPr="00C9561A">
        <w:t>En la segunda sesión plenaria de la reunión, formularon declaraciones los representantes de las siguientes Partes: Argelia, Egipto, Indonesia, Jordania y Noruega.</w:t>
      </w:r>
    </w:p>
    <w:p w14:paraId="153F84A6" w14:textId="622C1727" w:rsidR="00D40AA4" w:rsidRPr="00C9561A" w:rsidRDefault="00D40AA4" w:rsidP="00592A43">
      <w:pPr>
        <w:pStyle w:val="Para10"/>
      </w:pPr>
      <w:r w:rsidRPr="00C9561A">
        <w:t xml:space="preserve">El representante de Indonesia, solicitando que su declaración se reflejara en el informe, se refirió a la situación en el Estado de Palestina e instó a los países a que pidieran un alto el fuego. </w:t>
      </w:r>
    </w:p>
    <w:p w14:paraId="11D9800F" w14:textId="2254648F" w:rsidR="00420D33" w:rsidRPr="00C9561A" w:rsidRDefault="00420D33" w:rsidP="00592A43">
      <w:pPr>
        <w:pStyle w:val="Para10"/>
      </w:pPr>
      <w:r w:rsidRPr="00C9561A">
        <w:lastRenderedPageBreak/>
        <w:t xml:space="preserve">El representante de Noruega, en su intervención, anunció la financiación de la labor oficiosa que se llevará a cabo en materia de información digital sobre secuencias durante el período previo a la 16ª reunión de la Conferencia de las Partes. </w:t>
      </w:r>
    </w:p>
    <w:p w14:paraId="05CD286E" w14:textId="600E3F06" w:rsidR="00523A7D" w:rsidRPr="00C9561A" w:rsidRDefault="00154AA3" w:rsidP="001A7B71">
      <w:pPr>
        <w:pStyle w:val="Item"/>
        <w:keepNext/>
        <w:spacing w:after="0"/>
        <w:rPr>
          <w:color w:val="000000"/>
        </w:rPr>
      </w:pPr>
      <w:r w:rsidRPr="00C9561A">
        <w:t>Tema 5</w:t>
      </w:r>
    </w:p>
    <w:p w14:paraId="45851AB7" w14:textId="09C56A94" w:rsidR="009F653F" w:rsidRPr="00C9561A" w:rsidRDefault="005F378F" w:rsidP="001A7B71">
      <w:pPr>
        <w:pStyle w:val="Item"/>
        <w:keepNext/>
        <w:spacing w:before="0"/>
      </w:pPr>
      <w:r w:rsidRPr="00C9561A">
        <w:t>Adopción</w:t>
      </w:r>
      <w:r w:rsidR="00644BD1" w:rsidRPr="00C9561A">
        <w:t xml:space="preserve"> del informe</w:t>
      </w:r>
    </w:p>
    <w:p w14:paraId="5651CF46" w14:textId="477E82B0" w:rsidR="003522B0" w:rsidRPr="00C9561A" w:rsidRDefault="00592A43" w:rsidP="001E6B67">
      <w:pPr>
        <w:pStyle w:val="Para10"/>
      </w:pPr>
      <w:r w:rsidRPr="00C9561A">
        <w:t xml:space="preserve">En su segunda sesión plenaria, el Grupo de Trabajo </w:t>
      </w:r>
      <w:r w:rsidR="009D49D1" w:rsidRPr="00C9561A">
        <w:t>adoptó</w:t>
      </w:r>
      <w:r w:rsidRPr="00C9561A">
        <w:t xml:space="preserve"> el presente informe, en su forma oralmente enmendada, basándose en el proyecto elaborado por la Relatora (CBD/WGDSI/1/L.1). </w:t>
      </w:r>
    </w:p>
    <w:p w14:paraId="32B6FD04" w14:textId="0C9A9173" w:rsidR="00377C1D" w:rsidRPr="00C9561A" w:rsidRDefault="00377C1D" w:rsidP="001E6B67">
      <w:pPr>
        <w:pStyle w:val="Para10"/>
      </w:pPr>
      <w:r w:rsidRPr="00C9561A">
        <w:t xml:space="preserve">Durante la </w:t>
      </w:r>
      <w:r w:rsidR="009D49D1" w:rsidRPr="00C9561A">
        <w:t>adopción</w:t>
      </w:r>
      <w:r w:rsidRPr="00C9561A">
        <w:t xml:space="preserve"> del informe, el representante del Brasil solicitó que las futuras presentaciones sobre los trabajos en curso relativos a la participación en los beneficios que se deriven de la utilización de información digital sobre secuencias realizados en otros foros intergubernamentales incluyeran información sobre los trabajos que se estén realizando en el marco de la Organización Mundial de la Propiedad Intelectual.</w:t>
      </w:r>
    </w:p>
    <w:p w14:paraId="3C8FEB7A" w14:textId="1D94A2B9" w:rsidR="00523A7D" w:rsidRPr="00C9561A" w:rsidRDefault="00154AA3" w:rsidP="00744A43">
      <w:pPr>
        <w:pStyle w:val="Item"/>
        <w:keepNext/>
        <w:spacing w:after="0"/>
      </w:pPr>
      <w:r w:rsidRPr="00C9561A">
        <w:t>Tema 6</w:t>
      </w:r>
    </w:p>
    <w:p w14:paraId="32145300" w14:textId="38F23C4A" w:rsidR="009F653F" w:rsidRPr="00C9561A" w:rsidRDefault="00523A7D" w:rsidP="00744A43">
      <w:pPr>
        <w:pStyle w:val="Item"/>
        <w:keepNext/>
        <w:spacing w:before="0"/>
      </w:pPr>
      <w:r w:rsidRPr="00C9561A">
        <w:t>Clausura de la reunión</w:t>
      </w:r>
    </w:p>
    <w:bookmarkEnd w:id="2"/>
    <w:p w14:paraId="4A18F7DF" w14:textId="3BEA0E9D" w:rsidR="003522B0" w:rsidRPr="00C9561A" w:rsidRDefault="00807F0F" w:rsidP="001E6B67">
      <w:pPr>
        <w:pStyle w:val="Para10"/>
      </w:pPr>
      <w:r w:rsidRPr="00C9561A">
        <w:t xml:space="preserve">Tras el habitual intercambio de cortesías, el Presidente declaró clausurada la primera reunión del Grupo de Trabajo Especial de Composición Abierta sobre Participación en los Beneficios que se Deriven de la Utilización de Información Digital sobre Secuencias de Recursos Genéticos a las 21.55 horas del 18 de noviembre de 2023. </w:t>
      </w:r>
    </w:p>
    <w:p w14:paraId="65EE4D12" w14:textId="03214636" w:rsidR="00CF21CE" w:rsidRPr="00C9561A" w:rsidRDefault="00CF21CE" w:rsidP="00DE0D3C">
      <w:pPr>
        <w:suppressLineNumbers/>
        <w:suppressAutoHyphens/>
        <w:jc w:val="center"/>
        <w:rPr>
          <w:rFonts w:eastAsia="SimSun"/>
          <w:snapToGrid w:val="0"/>
          <w:kern w:val="22"/>
          <w:szCs w:val="22"/>
          <w:lang w:eastAsia="zh-CN"/>
        </w:rPr>
        <w:sectPr w:rsidR="00CF21CE" w:rsidRPr="00C9561A" w:rsidSect="00D923A6">
          <w:footnotePr>
            <w:numRestart w:val="eachSect"/>
          </w:footnotePr>
          <w:pgSz w:w="12240" w:h="15840" w:code="1"/>
          <w:pgMar w:top="1022" w:right="1325" w:bottom="1138" w:left="1418" w:header="461" w:footer="720" w:gutter="0"/>
          <w:cols w:space="720"/>
          <w:docGrid w:linePitch="299"/>
        </w:sectPr>
      </w:pPr>
    </w:p>
    <w:p w14:paraId="282B5DD0" w14:textId="6E7A213A" w:rsidR="00C05649" w:rsidRPr="00C9561A" w:rsidRDefault="00CF21CE" w:rsidP="00B959EC">
      <w:pPr>
        <w:suppressLineNumbers/>
        <w:suppressAutoHyphens/>
        <w:ind w:left="567"/>
        <w:jc w:val="left"/>
        <w:rPr>
          <w:rFonts w:eastAsia="SimSun"/>
          <w:b/>
          <w:bCs/>
          <w:snapToGrid w:val="0"/>
          <w:kern w:val="22"/>
          <w:sz w:val="24"/>
        </w:rPr>
      </w:pPr>
      <w:r w:rsidRPr="00C9561A">
        <w:rPr>
          <w:b/>
          <w:bCs/>
          <w:snapToGrid w:val="0"/>
          <w:sz w:val="24"/>
        </w:rPr>
        <w:lastRenderedPageBreak/>
        <w:t>Anexo</w:t>
      </w:r>
    </w:p>
    <w:p w14:paraId="75E245F4" w14:textId="77777777" w:rsidR="00962A8B" w:rsidRPr="00C9561A" w:rsidRDefault="00962A8B" w:rsidP="00774E13">
      <w:pPr>
        <w:spacing w:before="240" w:after="120"/>
        <w:ind w:left="567"/>
        <w:rPr>
          <w:rFonts w:asciiTheme="majorBidi" w:hAnsiTheme="majorBidi" w:cstheme="majorBidi"/>
          <w:b/>
          <w:sz w:val="28"/>
          <w:szCs w:val="28"/>
        </w:rPr>
      </w:pPr>
      <w:bookmarkStart w:id="5" w:name="_Hlk151004480"/>
      <w:bookmarkStart w:id="6" w:name="_Hlk151004463"/>
      <w:r w:rsidRPr="00C9561A">
        <w:rPr>
          <w:rFonts w:asciiTheme="majorBidi" w:hAnsiTheme="majorBidi"/>
          <w:b/>
          <w:bCs/>
          <w:sz w:val="28"/>
          <w:szCs w:val="28"/>
        </w:rPr>
        <w:t xml:space="preserve">Posibles </w:t>
      </w:r>
      <w:bookmarkEnd w:id="5"/>
      <w:bookmarkEnd w:id="6"/>
      <w:r w:rsidRPr="00C9561A">
        <w:rPr>
          <w:rFonts w:asciiTheme="majorBidi" w:hAnsiTheme="majorBidi"/>
          <w:b/>
          <w:sz w:val="28"/>
          <w:szCs w:val="28"/>
        </w:rPr>
        <w:t xml:space="preserve">elementos de un mecanismo multilateral de participación en los beneficios que se deriven de la utilización de </w:t>
      </w:r>
      <w:r w:rsidRPr="00C9561A">
        <w:rPr>
          <w:b/>
          <w:bCs/>
          <w:sz w:val="28"/>
          <w:szCs w:val="28"/>
        </w:rPr>
        <w:t>información</w:t>
      </w:r>
      <w:r w:rsidRPr="00C9561A">
        <w:rPr>
          <w:rFonts w:asciiTheme="majorBidi" w:hAnsiTheme="majorBidi"/>
          <w:b/>
          <w:sz w:val="28"/>
          <w:szCs w:val="28"/>
        </w:rPr>
        <w:t xml:space="preserve"> digital sobre secuencias de recursos genéticos, incluido un fondo mundial</w:t>
      </w:r>
      <w:r w:rsidRPr="00C9561A">
        <w:rPr>
          <w:rStyle w:val="FootnoteReference"/>
          <w:rFonts w:asciiTheme="majorBidi" w:hAnsiTheme="majorBidi" w:cstheme="majorBidi"/>
          <w:b/>
          <w:sz w:val="28"/>
          <w:szCs w:val="28"/>
        </w:rPr>
        <w:footnoteReference w:customMarkFollows="1" w:id="11"/>
        <w:t>*</w:t>
      </w:r>
    </w:p>
    <w:p w14:paraId="04A2AB96" w14:textId="77777777" w:rsidR="00962A8B" w:rsidRPr="00C9561A" w:rsidRDefault="00962A8B" w:rsidP="00135E6A">
      <w:pPr>
        <w:spacing w:before="240" w:after="120"/>
        <w:rPr>
          <w:rFonts w:asciiTheme="majorBidi" w:hAnsiTheme="majorBidi" w:cstheme="majorBidi"/>
          <w:b/>
          <w:sz w:val="28"/>
          <w:szCs w:val="28"/>
        </w:rPr>
      </w:pPr>
      <w:r w:rsidRPr="00C9561A">
        <w:rPr>
          <w:rFonts w:asciiTheme="majorBidi" w:hAnsiTheme="majorBidi"/>
          <w:b/>
          <w:sz w:val="28"/>
          <w:szCs w:val="28"/>
        </w:rPr>
        <w:t>Consideraciones generales</w:t>
      </w:r>
    </w:p>
    <w:p w14:paraId="6F9D5C67" w14:textId="77777777" w:rsidR="00962A8B" w:rsidRPr="00C9561A" w:rsidRDefault="00962A8B" w:rsidP="00277E47">
      <w:pPr>
        <w:pStyle w:val="Para10"/>
        <w:numPr>
          <w:ilvl w:val="0"/>
          <w:numId w:val="0"/>
        </w:numPr>
        <w:ind w:left="1170" w:hanging="603"/>
        <w:rPr>
          <w:i/>
        </w:rPr>
      </w:pPr>
      <w:r w:rsidRPr="00C9561A">
        <w:t>1.</w:t>
      </w:r>
      <w:r w:rsidRPr="00C9561A">
        <w:tab/>
        <w:t>En la decisión 15/9, la Conferencia de las Partes en el Convenio sobre la Diversidad Biológica decidió establecer un proceso justo, transparente, inclusivo, participativo y sujeto a plazos para seguir desarrollando el mecanismo multilateral.</w:t>
      </w:r>
    </w:p>
    <w:p w14:paraId="02EEBD21" w14:textId="77777777" w:rsidR="00962A8B" w:rsidRPr="00C9561A" w:rsidRDefault="00962A8B" w:rsidP="00C2361D">
      <w:pPr>
        <w:pStyle w:val="Para10"/>
        <w:numPr>
          <w:ilvl w:val="0"/>
          <w:numId w:val="0"/>
        </w:numPr>
        <w:ind w:left="1134" w:hanging="567"/>
      </w:pPr>
      <w:r w:rsidRPr="00C9561A">
        <w:t>2.</w:t>
      </w:r>
      <w:r w:rsidRPr="00C9561A">
        <w:tab/>
        <w:t xml:space="preserve">El mecanismo multilateral debería contribuir a la consecución de la meta 13 y el objetivo C del </w:t>
      </w:r>
      <w:r w:rsidRPr="00C9561A">
        <w:rPr>
          <w:rStyle w:val="ui-provider"/>
        </w:rPr>
        <w:t>Marco</w:t>
      </w:r>
      <w:r w:rsidRPr="00C9561A">
        <w:t>.</w:t>
      </w:r>
    </w:p>
    <w:p w14:paraId="1BDA4912" w14:textId="77777777" w:rsidR="00962A8B" w:rsidRPr="00C9561A" w:rsidRDefault="00962A8B" w:rsidP="00F346D8">
      <w:pPr>
        <w:spacing w:after="120" w:line="256" w:lineRule="auto"/>
        <w:rPr>
          <w:rFonts w:asciiTheme="majorBidi" w:hAnsiTheme="majorBidi" w:cstheme="majorBidi"/>
          <w:b/>
          <w:sz w:val="28"/>
          <w:szCs w:val="28"/>
        </w:rPr>
      </w:pPr>
      <w:r w:rsidRPr="00C9561A">
        <w:rPr>
          <w:rFonts w:asciiTheme="majorBidi" w:hAnsiTheme="majorBidi"/>
          <w:b/>
          <w:sz w:val="28"/>
          <w:szCs w:val="28"/>
        </w:rPr>
        <w:t>A.</w:t>
      </w:r>
      <w:r w:rsidRPr="00C9561A">
        <w:rPr>
          <w:rFonts w:asciiTheme="majorBidi" w:hAnsiTheme="majorBidi"/>
          <w:b/>
          <w:sz w:val="28"/>
          <w:szCs w:val="28"/>
        </w:rPr>
        <w:tab/>
        <w:t>Contribuciones al fondo</w:t>
      </w:r>
    </w:p>
    <w:p w14:paraId="20320638" w14:textId="77777777" w:rsidR="00962A8B" w:rsidRPr="00C9561A" w:rsidRDefault="00962A8B" w:rsidP="00F346D8">
      <w:pPr>
        <w:tabs>
          <w:tab w:val="left" w:pos="1134"/>
        </w:tabs>
        <w:spacing w:before="120" w:after="120"/>
        <w:jc w:val="left"/>
        <w:rPr>
          <w:rFonts w:asciiTheme="majorBidi" w:eastAsia="Calibri" w:hAnsiTheme="majorBidi" w:cstheme="majorBidi"/>
          <w:i/>
        </w:rPr>
      </w:pPr>
      <w:r w:rsidRPr="00C9561A">
        <w:rPr>
          <w:rFonts w:asciiTheme="majorBidi" w:hAnsiTheme="majorBidi"/>
          <w:i/>
          <w:iCs/>
        </w:rPr>
        <w:t xml:space="preserve">Elementos en los que hay posible convergencia </w:t>
      </w:r>
    </w:p>
    <w:p w14:paraId="3A25522F" w14:textId="77777777" w:rsidR="00962A8B" w:rsidRPr="00C9561A" w:rsidRDefault="00962A8B" w:rsidP="00277E47">
      <w:pPr>
        <w:pStyle w:val="Para10"/>
        <w:numPr>
          <w:ilvl w:val="0"/>
          <w:numId w:val="0"/>
        </w:numPr>
        <w:ind w:left="1170" w:hanging="603"/>
      </w:pPr>
      <w:r w:rsidRPr="00C9561A">
        <w:t>3.</w:t>
      </w:r>
      <w:r w:rsidRPr="00C9561A">
        <w:tab/>
        <w:t>El fondo mundial debería contribuir a la consecución de la meta 19 y el objetivo D del Marco sin modificar las obligaciones existentes de todas las Partes en el Convenio, incluidas las obligaciones asumidas en virtud del artículo 20, y puede contribuir a movilizar medios de implementación nuevos y adicionales.</w:t>
      </w:r>
    </w:p>
    <w:p w14:paraId="44CEA59F" w14:textId="77777777" w:rsidR="00962A8B" w:rsidRPr="00C9561A" w:rsidRDefault="00962A8B" w:rsidP="00EF6869">
      <w:pPr>
        <w:keepNext/>
        <w:tabs>
          <w:tab w:val="left" w:pos="1134"/>
          <w:tab w:val="left" w:pos="1701"/>
        </w:tabs>
        <w:spacing w:before="120" w:after="120"/>
        <w:rPr>
          <w:rFonts w:asciiTheme="majorBidi" w:eastAsia="Calibri" w:hAnsiTheme="majorBidi" w:cstheme="majorBidi"/>
          <w:i/>
        </w:rPr>
      </w:pPr>
      <w:r w:rsidRPr="00C9561A">
        <w:rPr>
          <w:rFonts w:asciiTheme="majorBidi" w:hAnsiTheme="majorBidi"/>
          <w:i/>
        </w:rPr>
        <w:t>Elementos sobre los que es necesario seguir deliberando, teniendo también en cuenta los estudios encargados en el párrafo 22 de la decisión 15/9 de la Conferencia de las Partes:</w:t>
      </w:r>
    </w:p>
    <w:p w14:paraId="46B4A8B7" w14:textId="77777777" w:rsidR="00962A8B" w:rsidRPr="00C9561A" w:rsidRDefault="00962A8B" w:rsidP="00277E47">
      <w:pPr>
        <w:pStyle w:val="Para10"/>
        <w:numPr>
          <w:ilvl w:val="0"/>
          <w:numId w:val="0"/>
        </w:numPr>
        <w:ind w:left="1170" w:hanging="603"/>
      </w:pPr>
      <w:r w:rsidRPr="00C9561A">
        <w:t>4.</w:t>
      </w:r>
      <w:r w:rsidRPr="00C9561A">
        <w:tab/>
        <w:t>Si los puntos de activación que se indican a continuación podrían cumplir los criterios de los párrafos 9 y 10 de la decisión 15/9 y movilizar financiación de manera oportuna y previsible en la escala deseada:</w:t>
      </w:r>
    </w:p>
    <w:p w14:paraId="1BB95A29" w14:textId="77777777" w:rsidR="00962A8B" w:rsidRPr="00C9561A" w:rsidRDefault="00962A8B" w:rsidP="00C2361D">
      <w:pPr>
        <w:pStyle w:val="Para20"/>
        <w:numPr>
          <w:ilvl w:val="0"/>
          <w:numId w:val="0"/>
        </w:numPr>
        <w:ind w:left="1701" w:hanging="567"/>
        <w:rPr>
          <w:rFonts w:eastAsia="Calibri"/>
        </w:rPr>
      </w:pPr>
      <w:r w:rsidRPr="00C9561A">
        <w:t>a)</w:t>
      </w:r>
      <w:r w:rsidRPr="00C9561A">
        <w:tab/>
        <w:t>Acceso a información digital sobre secuencias de recursos genéticos;</w:t>
      </w:r>
    </w:p>
    <w:p w14:paraId="30C49D07" w14:textId="77777777" w:rsidR="00962A8B" w:rsidRPr="00C9561A" w:rsidRDefault="00962A8B" w:rsidP="00C2361D">
      <w:pPr>
        <w:pStyle w:val="Para20"/>
        <w:numPr>
          <w:ilvl w:val="0"/>
          <w:numId w:val="0"/>
        </w:numPr>
        <w:ind w:left="1701" w:hanging="567"/>
        <w:rPr>
          <w:rFonts w:eastAsia="Calibri"/>
        </w:rPr>
      </w:pPr>
      <w:r w:rsidRPr="00C9561A">
        <w:t>b)</w:t>
      </w:r>
      <w:r w:rsidRPr="00C9561A">
        <w:tab/>
        <w:t>Utilización de información digital sobre secuencias de recursos genéticos;</w:t>
      </w:r>
    </w:p>
    <w:p w14:paraId="01C8EFFC" w14:textId="77777777" w:rsidR="00962A8B" w:rsidRPr="00C9561A" w:rsidRDefault="00962A8B" w:rsidP="00C2361D">
      <w:pPr>
        <w:pStyle w:val="Para20"/>
        <w:numPr>
          <w:ilvl w:val="0"/>
          <w:numId w:val="0"/>
        </w:numPr>
        <w:ind w:left="1701" w:hanging="567"/>
        <w:rPr>
          <w:rFonts w:eastAsia="Calibri"/>
        </w:rPr>
      </w:pPr>
      <w:r w:rsidRPr="00C9561A">
        <w:t>c)</w:t>
      </w:r>
      <w:r w:rsidRPr="00C9561A">
        <w:tab/>
        <w:t>Generación de ingresos que se deriven de la utilización de información digital sobre secuencias de recursos genéticos;</w:t>
      </w:r>
    </w:p>
    <w:p w14:paraId="14AB533E" w14:textId="77777777" w:rsidR="00962A8B" w:rsidRPr="00C9561A" w:rsidRDefault="00962A8B" w:rsidP="00C2361D">
      <w:pPr>
        <w:pStyle w:val="Para20"/>
        <w:numPr>
          <w:ilvl w:val="0"/>
          <w:numId w:val="0"/>
        </w:numPr>
        <w:ind w:left="1701" w:hanging="567"/>
        <w:rPr>
          <w:rFonts w:eastAsia="Calibri"/>
        </w:rPr>
      </w:pPr>
      <w:r w:rsidRPr="00C9561A">
        <w:t>d)</w:t>
      </w:r>
      <w:r w:rsidRPr="00C9561A">
        <w:tab/>
        <w:t>Comercialización de productos que se deriven de la utilización de información digital sobre secuencias de recursos genéticos;</w:t>
      </w:r>
    </w:p>
    <w:p w14:paraId="0BA529F3" w14:textId="77777777" w:rsidR="00962A8B" w:rsidRPr="00C9561A" w:rsidRDefault="00962A8B" w:rsidP="00C2361D">
      <w:pPr>
        <w:pStyle w:val="Para20"/>
        <w:numPr>
          <w:ilvl w:val="0"/>
          <w:numId w:val="0"/>
        </w:numPr>
        <w:ind w:left="1701" w:hanging="567"/>
        <w:rPr>
          <w:rFonts w:eastAsia="Calibri"/>
        </w:rPr>
      </w:pPr>
      <w:r w:rsidRPr="00C9561A">
        <w:t>e)</w:t>
      </w:r>
      <w:r w:rsidRPr="00C9561A">
        <w:tab/>
        <w:t xml:space="preserve">Cualquier otro punto de activación ya determinado o que se pudiera determinar. </w:t>
      </w:r>
    </w:p>
    <w:p w14:paraId="5A471123" w14:textId="77777777" w:rsidR="00962A8B" w:rsidRPr="00C9561A" w:rsidRDefault="00962A8B" w:rsidP="00277E47">
      <w:pPr>
        <w:pStyle w:val="Para10"/>
        <w:numPr>
          <w:ilvl w:val="0"/>
          <w:numId w:val="0"/>
        </w:numPr>
        <w:ind w:left="1170" w:hanging="603"/>
      </w:pPr>
      <w:r w:rsidRPr="00C9561A">
        <w:t>5.</w:t>
      </w:r>
      <w:r w:rsidRPr="00C9561A">
        <w:tab/>
        <w:t>Si en el caso de un sistema voluntario se necesitaría un punto de activación.</w:t>
      </w:r>
    </w:p>
    <w:p w14:paraId="73695EF4" w14:textId="77777777" w:rsidR="00962A8B" w:rsidRPr="00C9561A" w:rsidRDefault="00962A8B" w:rsidP="00277E47">
      <w:pPr>
        <w:pStyle w:val="Para10"/>
        <w:numPr>
          <w:ilvl w:val="0"/>
          <w:numId w:val="0"/>
        </w:numPr>
        <w:ind w:left="1170" w:hanging="603"/>
      </w:pPr>
      <w:r w:rsidRPr="00C9561A">
        <w:t>6.</w:t>
      </w:r>
      <w:r w:rsidRPr="00C9561A">
        <w:tab/>
        <w:t>Si todos los usuarios de información digital sobre secuencias de recursos genéticos podrían ser potenciales contribuyentes del mecanismo.</w:t>
      </w:r>
    </w:p>
    <w:p w14:paraId="2C6C9E6B" w14:textId="2790B4C1" w:rsidR="00962A8B" w:rsidRPr="00C9561A" w:rsidRDefault="00962A8B" w:rsidP="00F36AF0">
      <w:pPr>
        <w:pStyle w:val="Para10"/>
        <w:numPr>
          <w:ilvl w:val="0"/>
          <w:numId w:val="0"/>
        </w:numPr>
        <w:tabs>
          <w:tab w:val="clear" w:pos="1134"/>
          <w:tab w:val="left" w:pos="1170"/>
        </w:tabs>
        <w:ind w:left="1170" w:hanging="603"/>
      </w:pPr>
      <w:r w:rsidRPr="00C9561A">
        <w:t>7.</w:t>
      </w:r>
      <w:r w:rsidRPr="00C9561A">
        <w:tab/>
        <w:t>Si los donantes, incluidos los Gobiernos, deberían contribuir al fondo, por ejemplo, en su fase inicial para garantizar una capitalización inicial suficiente, o bien realizar contribuciones puntuales o periódicas.</w:t>
      </w:r>
    </w:p>
    <w:p w14:paraId="5E063860" w14:textId="77777777" w:rsidR="00962A8B" w:rsidRPr="00C9561A" w:rsidRDefault="00962A8B" w:rsidP="00277E47">
      <w:pPr>
        <w:pStyle w:val="Para10"/>
        <w:numPr>
          <w:ilvl w:val="0"/>
          <w:numId w:val="0"/>
        </w:numPr>
        <w:ind w:left="1170" w:hanging="603"/>
      </w:pPr>
      <w:r w:rsidRPr="00C9561A">
        <w:t>8.</w:t>
      </w:r>
      <w:r w:rsidRPr="00C9561A">
        <w:tab/>
        <w:t xml:space="preserve">Determinación de posibles incentivos eficaces para la realización de contribuciones voluntarias al fondo. </w:t>
      </w:r>
    </w:p>
    <w:p w14:paraId="2FAD9BFC" w14:textId="77777777" w:rsidR="00962A8B" w:rsidRPr="00C9561A" w:rsidRDefault="00962A8B" w:rsidP="00277E47">
      <w:pPr>
        <w:pStyle w:val="Para10"/>
        <w:numPr>
          <w:ilvl w:val="0"/>
          <w:numId w:val="0"/>
        </w:numPr>
        <w:ind w:left="1170" w:hanging="603"/>
      </w:pPr>
      <w:r w:rsidRPr="00C9561A">
        <w:t>9.</w:t>
      </w:r>
      <w:r w:rsidRPr="00C9561A">
        <w:tab/>
        <w:t xml:space="preserve">Cómo pueden crearse en el mecanismo multilateral obligaciones en materia de participación en los beneficios que se deriven de la utilización de información digital sobre secuencias de </w:t>
      </w:r>
      <w:r w:rsidRPr="00C9561A">
        <w:lastRenderedPageBreak/>
        <w:t>recursos genéticos; si eso facilitaría un nivel previsible de contribuciones y equidad entre los posibles contribuyentes; y si podría hacerse a través de un instrumento jurídicamente vinculante o un marco que no sea jurídicamente vinculante, y qué plazos tendrían estas opciones.</w:t>
      </w:r>
    </w:p>
    <w:p w14:paraId="3245D59C" w14:textId="77777777" w:rsidR="00962A8B" w:rsidRPr="00C9561A" w:rsidRDefault="00962A8B" w:rsidP="00277E47">
      <w:pPr>
        <w:pStyle w:val="Para10"/>
        <w:numPr>
          <w:ilvl w:val="0"/>
          <w:numId w:val="0"/>
        </w:numPr>
        <w:ind w:left="1170" w:hanging="603"/>
      </w:pPr>
      <w:r w:rsidRPr="00C9561A">
        <w:t>10.</w:t>
      </w:r>
      <w:r w:rsidRPr="00C9561A">
        <w:tab/>
        <w:t>Cómo podría determinarse la escala de las contribuciones al fondo.</w:t>
      </w:r>
    </w:p>
    <w:p w14:paraId="3C208AF4" w14:textId="77777777" w:rsidR="00962A8B" w:rsidRPr="00C9561A" w:rsidRDefault="00962A8B" w:rsidP="00277E47">
      <w:pPr>
        <w:pStyle w:val="Para10"/>
        <w:numPr>
          <w:ilvl w:val="0"/>
          <w:numId w:val="0"/>
        </w:numPr>
        <w:ind w:left="1170" w:hanging="603"/>
      </w:pPr>
      <w:r w:rsidRPr="00C9561A">
        <w:t>11.</w:t>
      </w:r>
      <w:r w:rsidRPr="00C9561A">
        <w:tab/>
        <w:t>Si las contribuciones al fondo deberían ser proporcionales a los ingresos generados por la utilización de información digital sobre secuencias de recursos genéticos.</w:t>
      </w:r>
    </w:p>
    <w:p w14:paraId="477F7ED8" w14:textId="77777777" w:rsidR="00962A8B" w:rsidRPr="00C9561A" w:rsidRDefault="00962A8B" w:rsidP="007B6F12">
      <w:pPr>
        <w:pStyle w:val="Para10"/>
        <w:numPr>
          <w:ilvl w:val="0"/>
          <w:numId w:val="0"/>
        </w:numPr>
        <w:ind w:left="1170" w:hanging="603"/>
      </w:pPr>
      <w:r w:rsidRPr="00C9561A">
        <w:t>12.</w:t>
      </w:r>
      <w:r w:rsidRPr="00C9561A">
        <w:tab/>
        <w:t>La escala y los sectores de las industrias que utilizan información digital sobre secuencias de recursos genéticos, incluida información sobre, por ejemplo, volumen de negocios, ganancias, personas empleadas, países de operación y dependencia de la información digital sobre secuencias de recursos genéticos.</w:t>
      </w:r>
    </w:p>
    <w:p w14:paraId="0131F3E6" w14:textId="77777777" w:rsidR="00962A8B" w:rsidRPr="00C9561A" w:rsidRDefault="00962A8B" w:rsidP="00277E47">
      <w:pPr>
        <w:pStyle w:val="Para10"/>
        <w:numPr>
          <w:ilvl w:val="0"/>
          <w:numId w:val="0"/>
        </w:numPr>
        <w:ind w:left="1170" w:hanging="603"/>
      </w:pPr>
      <w:r w:rsidRPr="00C9561A">
        <w:t>13.</w:t>
      </w:r>
      <w:r w:rsidRPr="00C9561A">
        <w:tab/>
        <w:t>Qué elementos de la modalidad de cálculo de las contribuciones tendrían que ser definidos por acuerdo de la Conferencia de las Partes en el Convenio sobre la Diversidad Biológica y cuáles podrían dejarse en manos del órgano rector del fondo.</w:t>
      </w:r>
    </w:p>
    <w:p w14:paraId="74666058" w14:textId="77777777" w:rsidR="00962A8B" w:rsidRPr="00C9561A" w:rsidRDefault="00962A8B" w:rsidP="007B6F12">
      <w:pPr>
        <w:pStyle w:val="Para10"/>
        <w:numPr>
          <w:ilvl w:val="0"/>
          <w:numId w:val="0"/>
        </w:numPr>
        <w:ind w:left="1170" w:hanging="603"/>
      </w:pPr>
      <w:r w:rsidRPr="00C9561A">
        <w:t>14.</w:t>
      </w:r>
      <w:r w:rsidRPr="00C9561A">
        <w:tab/>
        <w:t>Si los posibles criterios para la escala de contribuciones podrían ser los siguientes, y de qué manera:</w:t>
      </w:r>
    </w:p>
    <w:p w14:paraId="168B0D1A" w14:textId="77777777" w:rsidR="00962A8B" w:rsidRPr="00C9561A" w:rsidRDefault="00962A8B" w:rsidP="00277E47">
      <w:pPr>
        <w:pStyle w:val="Para20"/>
        <w:numPr>
          <w:ilvl w:val="0"/>
          <w:numId w:val="0"/>
        </w:numPr>
        <w:ind w:left="1710" w:hanging="630"/>
        <w:rPr>
          <w:rFonts w:eastAsia="Calibri"/>
        </w:rPr>
      </w:pPr>
      <w:r w:rsidRPr="00C9561A">
        <w:t>a)</w:t>
      </w:r>
      <w:r w:rsidRPr="00C9561A">
        <w:tab/>
        <w:t>El 1 % del precio al por menor de todas las ganancias netas por ventas comerciales de productos que resulten de toda utilización de información digital sobre secuencias de recursos genéticos;</w:t>
      </w:r>
    </w:p>
    <w:p w14:paraId="6F826A7F" w14:textId="77777777" w:rsidR="00962A8B" w:rsidRPr="00C9561A" w:rsidRDefault="00962A8B" w:rsidP="00AB7832">
      <w:pPr>
        <w:pStyle w:val="Para20"/>
        <w:numPr>
          <w:ilvl w:val="0"/>
          <w:numId w:val="0"/>
        </w:numPr>
        <w:ind w:left="1710" w:hanging="630"/>
        <w:rPr>
          <w:rFonts w:eastAsia="Calibri"/>
        </w:rPr>
      </w:pPr>
      <w:r w:rsidRPr="00C9561A">
        <w:t>b)</w:t>
      </w:r>
      <w:r w:rsidRPr="00C9561A">
        <w:tab/>
        <w:t>Las ganancias o ingresos generados por la utilización de información digital sobre secuencias de recursos genéticos.</w:t>
      </w:r>
    </w:p>
    <w:p w14:paraId="793C71FC" w14:textId="757310B3" w:rsidR="00962A8B" w:rsidRPr="00C9561A" w:rsidRDefault="00962A8B" w:rsidP="00A26802">
      <w:pPr>
        <w:tabs>
          <w:tab w:val="left" w:pos="567"/>
          <w:tab w:val="left" w:pos="1134"/>
          <w:tab w:val="left" w:pos="1701"/>
        </w:tabs>
        <w:spacing w:before="120" w:after="120"/>
        <w:rPr>
          <w:rFonts w:asciiTheme="majorBidi" w:hAnsiTheme="majorBidi" w:cstheme="majorBidi"/>
          <w:b/>
          <w:sz w:val="28"/>
          <w:szCs w:val="28"/>
        </w:rPr>
      </w:pPr>
      <w:r w:rsidRPr="00C9561A">
        <w:rPr>
          <w:rFonts w:asciiTheme="majorBidi" w:hAnsiTheme="majorBidi"/>
          <w:b/>
          <w:sz w:val="28"/>
          <w:szCs w:val="28"/>
        </w:rPr>
        <w:t>B.</w:t>
      </w:r>
      <w:r w:rsidRPr="00C9561A">
        <w:rPr>
          <w:rFonts w:asciiTheme="majorBidi" w:hAnsiTheme="majorBidi"/>
          <w:b/>
          <w:sz w:val="28"/>
          <w:szCs w:val="28"/>
        </w:rPr>
        <w:tab/>
        <w:t>Desembolso del fondo</w:t>
      </w:r>
    </w:p>
    <w:p w14:paraId="1EEDC776" w14:textId="77777777" w:rsidR="00962A8B" w:rsidRPr="00C9561A" w:rsidRDefault="00962A8B" w:rsidP="00A26802">
      <w:pPr>
        <w:tabs>
          <w:tab w:val="left" w:pos="1134"/>
        </w:tabs>
        <w:spacing w:before="120" w:after="120"/>
        <w:jc w:val="left"/>
        <w:rPr>
          <w:rFonts w:asciiTheme="majorBidi" w:eastAsia="Calibri" w:hAnsiTheme="majorBidi" w:cstheme="majorBidi"/>
          <w:i/>
          <w:iCs/>
        </w:rPr>
      </w:pPr>
      <w:r w:rsidRPr="00C9561A">
        <w:rPr>
          <w:rFonts w:asciiTheme="majorBidi" w:hAnsiTheme="majorBidi"/>
          <w:i/>
          <w:iCs/>
        </w:rPr>
        <w:t>Elementos en los que hay posible convergencia</w:t>
      </w:r>
    </w:p>
    <w:p w14:paraId="2309B789" w14:textId="77777777" w:rsidR="00962A8B" w:rsidRPr="00C9561A" w:rsidRDefault="00962A8B" w:rsidP="00277E47">
      <w:pPr>
        <w:pStyle w:val="Para10"/>
        <w:numPr>
          <w:ilvl w:val="0"/>
          <w:numId w:val="0"/>
        </w:numPr>
        <w:ind w:left="1170" w:hanging="603"/>
      </w:pPr>
      <w:r w:rsidRPr="00C9561A">
        <w:t>15.</w:t>
      </w:r>
      <w:r w:rsidRPr="00C9561A">
        <w:tab/>
        <w:t xml:space="preserve">Las prioridades estratégicas y los criterios de desembolso del fondo deberían ser determinados por la Conferencia de las Partes. </w:t>
      </w:r>
    </w:p>
    <w:p w14:paraId="46D2C90D" w14:textId="77777777" w:rsidR="00962A8B" w:rsidRPr="00C9561A" w:rsidRDefault="00962A8B" w:rsidP="00277E47">
      <w:pPr>
        <w:pStyle w:val="Para10"/>
        <w:numPr>
          <w:ilvl w:val="0"/>
          <w:numId w:val="0"/>
        </w:numPr>
        <w:ind w:left="1170" w:hanging="603"/>
      </w:pPr>
      <w:r w:rsidRPr="00C9561A">
        <w:t>16.</w:t>
      </w:r>
      <w:r w:rsidRPr="00C9561A">
        <w:tab/>
        <w:t>La financiación debería destinarse a actividades que apoyen la conservación y la utilización sostenible de la diversidad biológica y la implementación de las estrategias y planes de acción nacionales en materia de biodiversidad, especialmente en los países en desarrollo, en particular en los países menos adelantados y los pequeños Estados insulares en desarrollo, así como en los países con economías en transición.</w:t>
      </w:r>
    </w:p>
    <w:p w14:paraId="1F77E01A" w14:textId="32CBBFB9" w:rsidR="00962A8B" w:rsidRPr="00C9561A" w:rsidRDefault="00962A8B" w:rsidP="00277E47">
      <w:pPr>
        <w:pStyle w:val="Para10"/>
        <w:numPr>
          <w:ilvl w:val="0"/>
          <w:numId w:val="0"/>
        </w:numPr>
        <w:ind w:left="1170" w:hanging="603"/>
      </w:pPr>
      <w:r w:rsidRPr="00C9561A">
        <w:t>17.</w:t>
      </w:r>
      <w:r w:rsidRPr="00C9561A">
        <w:tab/>
        <w:t>La financiación podría destinarse a otras prioridades relacionadas con la diversidad biológica, incluidos los Objetivos de Desarrollo Sostenible pertinentes.</w:t>
      </w:r>
    </w:p>
    <w:p w14:paraId="54DCF9E5" w14:textId="77777777" w:rsidR="00962A8B" w:rsidRPr="00C9561A" w:rsidRDefault="00962A8B" w:rsidP="00277E47">
      <w:pPr>
        <w:pStyle w:val="Para10"/>
        <w:numPr>
          <w:ilvl w:val="0"/>
          <w:numId w:val="0"/>
        </w:numPr>
        <w:ind w:left="1170" w:hanging="603"/>
      </w:pPr>
      <w:r w:rsidRPr="00C9561A">
        <w:t>18.</w:t>
      </w:r>
      <w:r w:rsidRPr="00C9561A">
        <w:tab/>
        <w:t>La financiación debería asignarse de forma justa, equitativa, transparente, con rendición de cuentas y perspectiva de género.</w:t>
      </w:r>
    </w:p>
    <w:p w14:paraId="3C6BA5BA" w14:textId="79943C5F" w:rsidR="00962A8B" w:rsidRPr="00C9561A" w:rsidRDefault="00962A8B" w:rsidP="00277E47">
      <w:pPr>
        <w:pStyle w:val="Para10"/>
        <w:numPr>
          <w:ilvl w:val="0"/>
          <w:numId w:val="0"/>
        </w:numPr>
        <w:ind w:left="1170" w:hanging="603"/>
      </w:pPr>
      <w:r w:rsidRPr="00C9561A">
        <w:rPr>
          <w:rFonts w:asciiTheme="majorBidi" w:hAnsiTheme="majorBidi"/>
        </w:rPr>
        <w:t>19.</w:t>
      </w:r>
      <w:r w:rsidRPr="00C9561A">
        <w:rPr>
          <w:rFonts w:asciiTheme="majorBidi" w:hAnsiTheme="majorBidi"/>
        </w:rPr>
        <w:tab/>
        <w:t>El fondo debería permitir la asignación de financiación a los pueblos indígenas y las comunidades locales de todas las regiones, en particular de los países en desarrollo.</w:t>
      </w:r>
    </w:p>
    <w:p w14:paraId="08C19AC1" w14:textId="77777777" w:rsidR="00962A8B" w:rsidRPr="00C9561A" w:rsidRDefault="00962A8B" w:rsidP="00277E47">
      <w:pPr>
        <w:pStyle w:val="Para10"/>
        <w:numPr>
          <w:ilvl w:val="0"/>
          <w:numId w:val="0"/>
        </w:numPr>
        <w:ind w:left="1170" w:hanging="603"/>
      </w:pPr>
      <w:r w:rsidRPr="00C9561A">
        <w:t>20.</w:t>
      </w:r>
      <w:r w:rsidRPr="00C9561A">
        <w:tab/>
        <w:t xml:space="preserve">Se podrían emplear diversos factores para determinar el nivel de financiación asignada, entre ellos los siguientes: </w:t>
      </w:r>
    </w:p>
    <w:p w14:paraId="065A8AD9" w14:textId="77777777" w:rsidR="00962A8B" w:rsidRPr="00C9561A" w:rsidRDefault="00962A8B" w:rsidP="007B6F12">
      <w:pPr>
        <w:pStyle w:val="Para20"/>
        <w:numPr>
          <w:ilvl w:val="0"/>
          <w:numId w:val="0"/>
        </w:numPr>
        <w:ind w:left="1710" w:hanging="630"/>
        <w:rPr>
          <w:rFonts w:eastAsia="Calibri"/>
        </w:rPr>
      </w:pPr>
      <w:r w:rsidRPr="00C9561A">
        <w:t>a)</w:t>
      </w:r>
      <w:r w:rsidRPr="00C9561A">
        <w:tab/>
        <w:t xml:space="preserve">Las necesidades autodefinidas de los pueblos indígenas y las comunidades locales, las mujeres y la juventud, teniendo en cuenta su gran contribución a la conservación y la utilización sostenible de la diversidad biológica; </w:t>
      </w:r>
    </w:p>
    <w:p w14:paraId="5A8D6B2A" w14:textId="46DCF8E7" w:rsidR="00962A8B" w:rsidRPr="00C9561A" w:rsidRDefault="00962A8B" w:rsidP="00277E47">
      <w:pPr>
        <w:pStyle w:val="Para20"/>
        <w:numPr>
          <w:ilvl w:val="0"/>
          <w:numId w:val="0"/>
        </w:numPr>
        <w:ind w:left="1710" w:hanging="630"/>
        <w:rPr>
          <w:rFonts w:eastAsia="Calibri"/>
        </w:rPr>
      </w:pPr>
      <w:r w:rsidRPr="00C9561A">
        <w:t>b)</w:t>
      </w:r>
      <w:r w:rsidRPr="00C9561A">
        <w:tab/>
        <w:t>La riqueza ecológica, de diversidad biológica o de ecosistemas del país;</w:t>
      </w:r>
    </w:p>
    <w:p w14:paraId="7E551D45" w14:textId="77777777" w:rsidR="00962A8B" w:rsidRPr="00C9561A" w:rsidRDefault="00962A8B" w:rsidP="00277E47">
      <w:pPr>
        <w:pStyle w:val="Para20"/>
        <w:numPr>
          <w:ilvl w:val="0"/>
          <w:numId w:val="0"/>
        </w:numPr>
        <w:ind w:left="1710" w:hanging="630"/>
        <w:rPr>
          <w:rFonts w:eastAsia="Calibri"/>
        </w:rPr>
      </w:pPr>
      <w:r w:rsidRPr="00C9561A">
        <w:t>c)</w:t>
      </w:r>
      <w:r w:rsidRPr="00C9561A">
        <w:tab/>
        <w:t>Las necesidades de los países en materia de capacidad, en particular con respecto a la información digital sobre secuencias de recursos genéticos;</w:t>
      </w:r>
    </w:p>
    <w:p w14:paraId="2250D94D" w14:textId="77777777" w:rsidR="00962A8B" w:rsidRPr="00C9561A" w:rsidRDefault="00962A8B" w:rsidP="00A306F1">
      <w:pPr>
        <w:pStyle w:val="Para20"/>
        <w:widowControl w:val="0"/>
        <w:numPr>
          <w:ilvl w:val="0"/>
          <w:numId w:val="0"/>
        </w:numPr>
        <w:ind w:left="1714" w:hanging="634"/>
        <w:rPr>
          <w:rFonts w:eastAsia="Calibri"/>
        </w:rPr>
      </w:pPr>
      <w:r w:rsidRPr="00C9561A">
        <w:t>d)</w:t>
      </w:r>
      <w:r w:rsidRPr="00C9561A">
        <w:tab/>
        <w:t xml:space="preserve">El equilibrio regional y una consideración especial de las necesidades de los países en </w:t>
      </w:r>
      <w:r w:rsidRPr="00C9561A">
        <w:lastRenderedPageBreak/>
        <w:t>desarrollo;</w:t>
      </w:r>
    </w:p>
    <w:p w14:paraId="12AD34EB" w14:textId="77777777" w:rsidR="00962A8B" w:rsidRPr="00C9561A" w:rsidRDefault="00962A8B" w:rsidP="00277E47">
      <w:pPr>
        <w:pStyle w:val="Para20"/>
        <w:numPr>
          <w:ilvl w:val="0"/>
          <w:numId w:val="0"/>
        </w:numPr>
        <w:ind w:left="1710" w:hanging="630"/>
        <w:rPr>
          <w:rFonts w:eastAsia="Calibri"/>
        </w:rPr>
      </w:pPr>
      <w:r w:rsidRPr="00C9561A">
        <w:t>e)</w:t>
      </w:r>
      <w:r w:rsidRPr="00C9561A">
        <w:tab/>
        <w:t>Las necesidades de capacidad con respecto a la conservación y utilización sostenible.</w:t>
      </w:r>
    </w:p>
    <w:p w14:paraId="19D3DBF6" w14:textId="77777777" w:rsidR="00962A8B" w:rsidRPr="00C9561A" w:rsidRDefault="00962A8B" w:rsidP="003417ED">
      <w:pPr>
        <w:tabs>
          <w:tab w:val="left" w:pos="1134"/>
        </w:tabs>
        <w:spacing w:before="240" w:after="120"/>
        <w:jc w:val="left"/>
        <w:rPr>
          <w:rFonts w:asciiTheme="majorBidi" w:eastAsia="Calibri" w:hAnsiTheme="majorBidi" w:cstheme="majorBidi"/>
        </w:rPr>
      </w:pPr>
      <w:r w:rsidRPr="00C9561A">
        <w:rPr>
          <w:rFonts w:asciiTheme="majorBidi" w:hAnsiTheme="majorBidi"/>
          <w:i/>
        </w:rPr>
        <w:t>Elementos sobre los que es necesario seguir deliberando</w:t>
      </w:r>
      <w:r w:rsidRPr="00C9561A">
        <w:rPr>
          <w:rFonts w:asciiTheme="majorBidi" w:hAnsiTheme="majorBidi"/>
          <w:i/>
          <w:strike/>
        </w:rPr>
        <w:t xml:space="preserve"> </w:t>
      </w:r>
    </w:p>
    <w:p w14:paraId="6FAA35DF" w14:textId="06D14AD1" w:rsidR="00962A8B" w:rsidRPr="00C9561A" w:rsidRDefault="00962A8B" w:rsidP="00277E47">
      <w:pPr>
        <w:pStyle w:val="Para10"/>
        <w:numPr>
          <w:ilvl w:val="0"/>
          <w:numId w:val="0"/>
        </w:numPr>
        <w:ind w:left="1170" w:hanging="603"/>
      </w:pPr>
      <w:r w:rsidRPr="00C9561A">
        <w:t>21.</w:t>
      </w:r>
      <w:r w:rsidRPr="00C9561A">
        <w:tab/>
        <w:t xml:space="preserve">Cómo deberían acceder a los fondos los pueblos indígenas y las comunidades locales, si deberían poder acceder a los fondos directamente y/o indirectamente, y cómo pueden participar en la toma de decisiones. </w:t>
      </w:r>
    </w:p>
    <w:p w14:paraId="6FE18D1E" w14:textId="17763187" w:rsidR="00962A8B" w:rsidRPr="00C9561A" w:rsidRDefault="00962A8B" w:rsidP="00277E47">
      <w:pPr>
        <w:pStyle w:val="Para10"/>
        <w:numPr>
          <w:ilvl w:val="0"/>
          <w:numId w:val="0"/>
        </w:numPr>
        <w:ind w:left="1170" w:hanging="603"/>
      </w:pPr>
      <w:r w:rsidRPr="00C9561A">
        <w:t>22.</w:t>
      </w:r>
      <w:r w:rsidRPr="00C9561A">
        <w:tab/>
        <w:t>Si los países que exigen, a través de la legislación nacional, la participación en los beneficios que se deriven de la utilización de información digital sobre secuencias de recursos genéticos en bases de datos públicas internacionales deberían o no recibir también beneficios del mecanismo multilateral.</w:t>
      </w:r>
    </w:p>
    <w:p w14:paraId="3AEFA153" w14:textId="77777777" w:rsidR="00962A8B" w:rsidRPr="00C9561A" w:rsidRDefault="00962A8B" w:rsidP="00277E47">
      <w:pPr>
        <w:pStyle w:val="Para10"/>
        <w:numPr>
          <w:ilvl w:val="0"/>
          <w:numId w:val="0"/>
        </w:numPr>
        <w:ind w:left="1170" w:hanging="603"/>
      </w:pPr>
      <w:r w:rsidRPr="00C9561A">
        <w:t>23.</w:t>
      </w:r>
      <w:r w:rsidRPr="00C9561A">
        <w:tab/>
        <w:t>Si la financiación debería ser desembolsada en función de asignaciones por países, por proyectos, una combinación de ambos u otra modalidad distinta.</w:t>
      </w:r>
    </w:p>
    <w:p w14:paraId="160CB683" w14:textId="77777777" w:rsidR="00962A8B" w:rsidRPr="00C9561A" w:rsidRDefault="00962A8B" w:rsidP="00277E47">
      <w:pPr>
        <w:pStyle w:val="Para10"/>
        <w:numPr>
          <w:ilvl w:val="0"/>
          <w:numId w:val="0"/>
        </w:numPr>
        <w:ind w:left="1170" w:hanging="603"/>
      </w:pPr>
      <w:r w:rsidRPr="00C9561A">
        <w:t>24.</w:t>
      </w:r>
      <w:r w:rsidRPr="00C9561A">
        <w:tab/>
        <w:t>Si el nivel de desarrollo del país debería tenerse en cuenta o evaluarse al asignar la financiación.</w:t>
      </w:r>
    </w:p>
    <w:p w14:paraId="00C26C67" w14:textId="77777777" w:rsidR="00962A8B" w:rsidRPr="00C9561A" w:rsidRDefault="00962A8B" w:rsidP="00277E47">
      <w:pPr>
        <w:pStyle w:val="Para10"/>
        <w:numPr>
          <w:ilvl w:val="0"/>
          <w:numId w:val="0"/>
        </w:numPr>
        <w:ind w:left="1170" w:hanging="603"/>
      </w:pPr>
      <w:r w:rsidRPr="00C9561A">
        <w:t>25.</w:t>
      </w:r>
      <w:r w:rsidRPr="00C9561A">
        <w:tab/>
        <w:t>Si el nivel de financiación desembolsada debería basarse siempre en una evaluación de las necesidades.</w:t>
      </w:r>
    </w:p>
    <w:p w14:paraId="3DC5505C" w14:textId="77777777" w:rsidR="00962A8B" w:rsidRPr="00C9561A" w:rsidRDefault="00962A8B" w:rsidP="00277E47">
      <w:pPr>
        <w:pStyle w:val="Para10"/>
        <w:numPr>
          <w:ilvl w:val="0"/>
          <w:numId w:val="0"/>
        </w:numPr>
        <w:ind w:left="1170" w:hanging="603"/>
      </w:pPr>
      <w:r w:rsidRPr="00C9561A">
        <w:t>26.</w:t>
      </w:r>
      <w:r w:rsidRPr="00C9561A">
        <w:tab/>
        <w:t>Si las asignaciones de financiación deberían basarse, al menos en parte, en el origen geográfico de los recursos genéticos de los que se deriva la información digital sobre secuencias de recursos genéticos, señalando que en estudios actuales se sugiere que en las bases de datos solo se dispone de datos incompletos sobre el origen geográfico.</w:t>
      </w:r>
    </w:p>
    <w:p w14:paraId="55A8A1F4" w14:textId="77777777" w:rsidR="00962A8B" w:rsidRPr="00C9561A" w:rsidRDefault="00962A8B" w:rsidP="000A5AC4">
      <w:pPr>
        <w:keepNext/>
        <w:keepLines/>
        <w:spacing w:before="240" w:after="120"/>
        <w:rPr>
          <w:rFonts w:asciiTheme="majorBidi" w:hAnsiTheme="majorBidi" w:cstheme="majorBidi"/>
          <w:b/>
          <w:sz w:val="28"/>
          <w:szCs w:val="28"/>
        </w:rPr>
      </w:pPr>
      <w:r w:rsidRPr="00C9561A">
        <w:rPr>
          <w:rFonts w:asciiTheme="majorBidi" w:hAnsiTheme="majorBidi"/>
          <w:b/>
          <w:sz w:val="28"/>
          <w:szCs w:val="28"/>
        </w:rPr>
        <w:t>C.</w:t>
      </w:r>
      <w:r w:rsidRPr="00C9561A">
        <w:rPr>
          <w:rFonts w:asciiTheme="majorBidi" w:hAnsiTheme="majorBidi"/>
          <w:b/>
          <w:sz w:val="28"/>
          <w:szCs w:val="28"/>
        </w:rPr>
        <w:tab/>
        <w:t>Participación en los beneficios no monetarios</w:t>
      </w:r>
    </w:p>
    <w:p w14:paraId="4159EC5A" w14:textId="77777777" w:rsidR="00962A8B" w:rsidRPr="00C9561A" w:rsidRDefault="00962A8B" w:rsidP="00A26802">
      <w:pPr>
        <w:tabs>
          <w:tab w:val="left" w:pos="1134"/>
        </w:tabs>
        <w:spacing w:before="120" w:after="120"/>
        <w:jc w:val="left"/>
        <w:rPr>
          <w:rFonts w:asciiTheme="majorBidi" w:eastAsia="Calibri" w:hAnsiTheme="majorBidi" w:cstheme="majorBidi"/>
          <w:i/>
          <w:iCs/>
        </w:rPr>
      </w:pPr>
      <w:r w:rsidRPr="00C9561A">
        <w:rPr>
          <w:rFonts w:asciiTheme="majorBidi" w:hAnsiTheme="majorBidi"/>
          <w:i/>
          <w:iCs/>
        </w:rPr>
        <w:t>Elementos en los que hay posible convergencia</w:t>
      </w:r>
    </w:p>
    <w:p w14:paraId="31CD02F3" w14:textId="77777777" w:rsidR="00962A8B" w:rsidRPr="00C9561A" w:rsidRDefault="00962A8B" w:rsidP="00277E47">
      <w:pPr>
        <w:pStyle w:val="Para10"/>
        <w:numPr>
          <w:ilvl w:val="0"/>
          <w:numId w:val="0"/>
        </w:numPr>
        <w:ind w:left="1170" w:hanging="603"/>
      </w:pPr>
      <w:r w:rsidRPr="00C9561A">
        <w:t>27.</w:t>
      </w:r>
      <w:r w:rsidRPr="00C9561A">
        <w:tab/>
        <w:t xml:space="preserve">Los criterios para la participación en los beneficios no monetarios podrían incluir los siguientes: </w:t>
      </w:r>
    </w:p>
    <w:p w14:paraId="20F6FE58" w14:textId="77777777" w:rsidR="00962A8B" w:rsidRPr="00C9561A" w:rsidRDefault="00962A8B" w:rsidP="00880A1C">
      <w:pPr>
        <w:pStyle w:val="NormalWeb"/>
        <w:keepNext/>
        <w:keepLines/>
        <w:spacing w:before="120" w:beforeAutospacing="0" w:after="120" w:afterAutospacing="0" w:line="259" w:lineRule="auto"/>
        <w:ind w:left="1701" w:hanging="567"/>
        <w:jc w:val="both"/>
        <w:textAlignment w:val="baseline"/>
        <w:rPr>
          <w:rFonts w:asciiTheme="majorBidi" w:hAnsiTheme="majorBidi" w:cstheme="majorBidi"/>
          <w:color w:val="000000"/>
          <w:sz w:val="22"/>
          <w:szCs w:val="22"/>
        </w:rPr>
      </w:pPr>
      <w:r w:rsidRPr="00C9561A">
        <w:rPr>
          <w:rFonts w:asciiTheme="majorBidi" w:hAnsiTheme="majorBidi"/>
          <w:sz w:val="22"/>
          <w:szCs w:val="22"/>
        </w:rPr>
        <w:t>a)</w:t>
      </w:r>
      <w:r w:rsidRPr="00C9561A">
        <w:rPr>
          <w:rFonts w:asciiTheme="majorBidi" w:hAnsiTheme="majorBidi"/>
          <w:sz w:val="22"/>
          <w:szCs w:val="22"/>
        </w:rPr>
        <w:tab/>
        <w:t>La necesidad de capacidad adicional para los fines de conservación y utilización sostenible;</w:t>
      </w:r>
    </w:p>
    <w:p w14:paraId="3E88362F" w14:textId="2C56D6A5" w:rsidR="00962A8B" w:rsidRPr="00C9561A" w:rsidRDefault="00962A8B" w:rsidP="00880A1C">
      <w:pPr>
        <w:pStyle w:val="NormalWeb"/>
        <w:keepNext/>
        <w:keepLines/>
        <w:spacing w:before="120" w:beforeAutospacing="0" w:after="120" w:afterAutospacing="0" w:line="259" w:lineRule="auto"/>
        <w:ind w:left="1701" w:hanging="567"/>
        <w:jc w:val="both"/>
        <w:textAlignment w:val="baseline"/>
        <w:rPr>
          <w:rFonts w:asciiTheme="majorBidi" w:hAnsiTheme="majorBidi" w:cstheme="majorBidi"/>
          <w:color w:val="000000"/>
          <w:sz w:val="22"/>
          <w:szCs w:val="22"/>
        </w:rPr>
      </w:pPr>
      <w:r w:rsidRPr="00C9561A">
        <w:rPr>
          <w:rFonts w:asciiTheme="majorBidi" w:hAnsiTheme="majorBidi"/>
          <w:sz w:val="22"/>
          <w:szCs w:val="22"/>
        </w:rPr>
        <w:t>b)</w:t>
      </w:r>
      <w:r w:rsidRPr="00C9561A">
        <w:rPr>
          <w:rFonts w:asciiTheme="majorBidi" w:hAnsiTheme="majorBidi"/>
          <w:sz w:val="22"/>
          <w:szCs w:val="22"/>
        </w:rPr>
        <w:tab/>
        <w:t>La brecha de capacidad, especialmente entre los países desarrollados y los países en desarrollo y en particular con respecto a la capacidad para generar información digital sobre secuencias de recursos genéticos, acceder a ella, utilizarla, analizarla y almacenarla;</w:t>
      </w:r>
    </w:p>
    <w:p w14:paraId="0A93761B" w14:textId="77777777" w:rsidR="00962A8B" w:rsidRPr="00C9561A" w:rsidRDefault="00962A8B" w:rsidP="007661D0">
      <w:pPr>
        <w:pStyle w:val="NormalWeb"/>
        <w:keepNext/>
        <w:keepLines/>
        <w:spacing w:before="120" w:beforeAutospacing="0" w:after="120" w:afterAutospacing="0" w:line="259" w:lineRule="auto"/>
        <w:ind w:left="1701" w:hanging="567"/>
        <w:jc w:val="both"/>
        <w:textAlignment w:val="baseline"/>
        <w:rPr>
          <w:rFonts w:asciiTheme="majorBidi" w:hAnsiTheme="majorBidi" w:cstheme="majorBidi"/>
          <w:color w:val="000000"/>
          <w:sz w:val="22"/>
          <w:szCs w:val="22"/>
        </w:rPr>
      </w:pPr>
      <w:r w:rsidRPr="00C9561A">
        <w:rPr>
          <w:rFonts w:asciiTheme="majorBidi" w:hAnsiTheme="majorBidi"/>
          <w:sz w:val="22"/>
          <w:szCs w:val="22"/>
        </w:rPr>
        <w:t>c)</w:t>
      </w:r>
      <w:r w:rsidRPr="00C9561A">
        <w:rPr>
          <w:rFonts w:asciiTheme="majorBidi" w:hAnsiTheme="majorBidi"/>
          <w:sz w:val="22"/>
          <w:szCs w:val="22"/>
        </w:rPr>
        <w:tab/>
        <w:t>Las necesidades autodefinidas de los pueblos indígenas y las comunidades locales, las mujeres y la juventud, teniendo en cuenta sus grandes contribuciones a la conservación y la utilización sostenible de la diversidad biológica;</w:t>
      </w:r>
    </w:p>
    <w:p w14:paraId="562692CB" w14:textId="0A9FA542" w:rsidR="00962A8B" w:rsidRPr="00C9561A" w:rsidRDefault="002917EA" w:rsidP="00D34E57">
      <w:pPr>
        <w:pStyle w:val="NormalWeb"/>
        <w:spacing w:before="120" w:beforeAutospacing="0" w:after="120" w:afterAutospacing="0" w:line="259" w:lineRule="auto"/>
        <w:ind w:left="1701" w:hanging="567"/>
        <w:jc w:val="both"/>
        <w:textAlignment w:val="baseline"/>
        <w:rPr>
          <w:rFonts w:asciiTheme="majorBidi" w:hAnsiTheme="majorBidi" w:cstheme="majorBidi"/>
          <w:color w:val="000000"/>
          <w:sz w:val="22"/>
          <w:szCs w:val="22"/>
        </w:rPr>
      </w:pPr>
      <w:r w:rsidRPr="00C9561A">
        <w:rPr>
          <w:rFonts w:asciiTheme="majorBidi" w:hAnsiTheme="majorBidi"/>
          <w:color w:val="000000"/>
          <w:sz w:val="22"/>
          <w:szCs w:val="22"/>
        </w:rPr>
        <w:t>d</w:t>
      </w:r>
      <w:r w:rsidR="00962A8B" w:rsidRPr="00C9561A">
        <w:rPr>
          <w:rFonts w:asciiTheme="majorBidi" w:hAnsiTheme="majorBidi"/>
          <w:color w:val="000000"/>
          <w:sz w:val="22"/>
          <w:szCs w:val="22"/>
        </w:rPr>
        <w:t>)</w:t>
      </w:r>
      <w:r w:rsidR="00962A8B" w:rsidRPr="00C9561A">
        <w:rPr>
          <w:rFonts w:asciiTheme="majorBidi" w:hAnsiTheme="majorBidi"/>
          <w:color w:val="000000"/>
          <w:sz w:val="22"/>
          <w:szCs w:val="22"/>
        </w:rPr>
        <w:tab/>
        <w:t>Las necesidades de los organismos e instituciones nacionales, incluidas las instituciones académicas y de investigación.</w:t>
      </w:r>
    </w:p>
    <w:p w14:paraId="20DA5D4D" w14:textId="77777777" w:rsidR="00962A8B" w:rsidRPr="00C9561A" w:rsidRDefault="00962A8B" w:rsidP="00277E47">
      <w:pPr>
        <w:pStyle w:val="Para10"/>
        <w:numPr>
          <w:ilvl w:val="0"/>
          <w:numId w:val="0"/>
        </w:numPr>
        <w:ind w:left="1170" w:hanging="603"/>
      </w:pPr>
      <w:r w:rsidRPr="00C9561A">
        <w:t>28.</w:t>
      </w:r>
      <w:r w:rsidRPr="00C9561A">
        <w:tab/>
        <w:t xml:space="preserve">El trabajo tendiente a facilitar la creación y el desarrollo de capacidad y la transferencia y el desarrollo de tecnología en materia de información digital sobre secuencias de recursos genéticos debería contribuir a la aplicación de las disposiciones pertinentes sobre cooperación científica y técnica y transferencia y desarrollo de tecnología en el contexto del Convenio, basándose, entre otras cosas, en la labor en curso en el contexto del Convenio, en particular de conformidad con la decisión 15/8 de la Conferencia de las Partes sobre creación y desarrollo de capacidad y cooperación científica y técnica, las evaluaciones de necesidades, las estrategias y planes de acción nacionales en materia de biodiversidad y los centros regionales o subregionales de apoyo científico y técnico. </w:t>
      </w:r>
    </w:p>
    <w:p w14:paraId="743A077F" w14:textId="77777777" w:rsidR="00962A8B" w:rsidRPr="00C9561A" w:rsidRDefault="00962A8B" w:rsidP="00277E47">
      <w:pPr>
        <w:pStyle w:val="Para10"/>
        <w:numPr>
          <w:ilvl w:val="0"/>
          <w:numId w:val="0"/>
        </w:numPr>
        <w:ind w:left="1170" w:hanging="603"/>
      </w:pPr>
      <w:r w:rsidRPr="00C9561A">
        <w:t>29.</w:t>
      </w:r>
      <w:r w:rsidRPr="00C9561A">
        <w:tab/>
        <w:t xml:space="preserve">El trabajo tendiente a facilitar la creación y el desarrollo de capacidad, la cooperación científica y técnica y la transferencia y el desarrollo de tecnología en materia de información digital sobre </w:t>
      </w:r>
      <w:r w:rsidRPr="00C9561A">
        <w:lastRenderedPageBreak/>
        <w:t>secuencias de recursos genéticos para su uso en la conservación y utilización sostenible de la diversidad biológica tendría los siguientes objetivos de alto nivel:</w:t>
      </w:r>
    </w:p>
    <w:p w14:paraId="713E79A3" w14:textId="77777777" w:rsidR="00962A8B" w:rsidRPr="00C9561A" w:rsidRDefault="00962A8B" w:rsidP="007173A4">
      <w:pPr>
        <w:pStyle w:val="ListParagraph"/>
        <w:spacing w:before="120" w:after="120"/>
        <w:ind w:left="1701" w:hanging="567"/>
        <w:rPr>
          <w:rFonts w:asciiTheme="majorBidi" w:hAnsiTheme="majorBidi" w:cstheme="majorBidi"/>
          <w:color w:val="000000"/>
        </w:rPr>
      </w:pPr>
      <w:r w:rsidRPr="00C9561A">
        <w:rPr>
          <w:rFonts w:asciiTheme="majorBidi" w:hAnsiTheme="majorBidi"/>
          <w:color w:val="000000" w:themeColor="text1"/>
        </w:rPr>
        <w:t>a)</w:t>
      </w:r>
      <w:r w:rsidRPr="00C9561A">
        <w:tab/>
      </w:r>
      <w:r w:rsidRPr="00C9561A">
        <w:rPr>
          <w:rFonts w:asciiTheme="majorBidi" w:hAnsiTheme="majorBidi"/>
          <w:color w:val="000000" w:themeColor="text1"/>
        </w:rPr>
        <w:t>Mejorar la capacidad de gestión y conservación de la diversidad biológica y su utilización sostenible;</w:t>
      </w:r>
    </w:p>
    <w:p w14:paraId="04CD4EA4" w14:textId="77777777" w:rsidR="00962A8B" w:rsidRPr="00C9561A" w:rsidRDefault="00962A8B" w:rsidP="007173A4">
      <w:pPr>
        <w:pStyle w:val="NormalWeb"/>
        <w:spacing w:before="120" w:beforeAutospacing="0" w:after="120" w:afterAutospacing="0"/>
        <w:ind w:left="1701" w:hanging="567"/>
        <w:jc w:val="both"/>
        <w:textAlignment w:val="baseline"/>
        <w:rPr>
          <w:rFonts w:asciiTheme="majorBidi" w:hAnsiTheme="majorBidi" w:cstheme="majorBidi"/>
          <w:color w:val="000000"/>
          <w:sz w:val="22"/>
          <w:szCs w:val="22"/>
        </w:rPr>
      </w:pPr>
      <w:r w:rsidRPr="00C9561A">
        <w:rPr>
          <w:rFonts w:asciiTheme="majorBidi" w:hAnsiTheme="majorBidi"/>
          <w:color w:val="000000"/>
          <w:sz w:val="22"/>
          <w:szCs w:val="22"/>
        </w:rPr>
        <w:t>b)</w:t>
      </w:r>
      <w:r w:rsidRPr="00C9561A">
        <w:rPr>
          <w:rFonts w:asciiTheme="majorBidi" w:hAnsiTheme="majorBidi"/>
          <w:color w:val="000000"/>
          <w:sz w:val="22"/>
          <w:szCs w:val="22"/>
        </w:rPr>
        <w:tab/>
        <w:t>Cerrar la brecha de capacidad para la generación, acceso, utilización, análisis y almacenamiento de información digital sobre secuencias de recursos genéticos, en particular entre países desarrollados y en desarrollo;</w:t>
      </w:r>
    </w:p>
    <w:p w14:paraId="534E96C2" w14:textId="0E57806C" w:rsidR="00962A8B" w:rsidRPr="00C9561A" w:rsidRDefault="00962A8B" w:rsidP="006D6A55">
      <w:pPr>
        <w:pStyle w:val="NormalWeb"/>
        <w:spacing w:before="120" w:beforeAutospacing="0" w:after="120" w:afterAutospacing="0"/>
        <w:ind w:left="1701" w:hanging="567"/>
        <w:jc w:val="both"/>
        <w:textAlignment w:val="baseline"/>
        <w:rPr>
          <w:rFonts w:asciiTheme="majorBidi" w:hAnsiTheme="majorBidi" w:cstheme="majorBidi"/>
          <w:color w:val="000000"/>
          <w:sz w:val="22"/>
          <w:szCs w:val="22"/>
        </w:rPr>
      </w:pPr>
      <w:r w:rsidRPr="00C9561A">
        <w:rPr>
          <w:rFonts w:asciiTheme="majorBidi" w:hAnsiTheme="majorBidi"/>
          <w:color w:val="000000"/>
          <w:sz w:val="22"/>
          <w:szCs w:val="22"/>
        </w:rPr>
        <w:t>c)</w:t>
      </w:r>
      <w:r w:rsidRPr="00C9561A">
        <w:rPr>
          <w:rFonts w:asciiTheme="majorBidi" w:hAnsiTheme="majorBidi"/>
          <w:color w:val="000000"/>
          <w:sz w:val="22"/>
          <w:szCs w:val="22"/>
        </w:rPr>
        <w:tab/>
        <w:t>Cumplir las prioridades nacionales en materia de creación y desarrollo de capacidad, cooperación científica y técnica y transferencia y desarrollo de tecnología mediante la creación y el desarrollo de capacidades individuales, organizativas y habilitadoras, así como de infraestructura de investigación</w:t>
      </w:r>
      <w:r w:rsidR="00934739" w:rsidRPr="00C9561A">
        <w:rPr>
          <w:rFonts w:asciiTheme="majorBidi" w:hAnsiTheme="majorBidi"/>
          <w:color w:val="000000"/>
          <w:sz w:val="22"/>
          <w:szCs w:val="22"/>
        </w:rPr>
        <w:t>.</w:t>
      </w:r>
    </w:p>
    <w:p w14:paraId="08FA7EA0" w14:textId="77777777" w:rsidR="00962A8B" w:rsidRPr="00C9561A" w:rsidRDefault="00962A8B" w:rsidP="00277E47">
      <w:pPr>
        <w:pStyle w:val="Para10"/>
        <w:numPr>
          <w:ilvl w:val="0"/>
          <w:numId w:val="0"/>
        </w:numPr>
        <w:ind w:left="1170" w:hanging="603"/>
      </w:pPr>
      <w:r w:rsidRPr="00C9561A">
        <w:t>30.</w:t>
      </w:r>
      <w:r w:rsidRPr="00C9561A">
        <w:tab/>
        <w:t xml:space="preserve">Los beneficiarios de la creación y el desarrollo de capacidad serían los pueblos indígenas y las comunidades locales, las mujeres y la juventud, así como los Gobiernos y los investigadores. </w:t>
      </w:r>
    </w:p>
    <w:p w14:paraId="0CD8740E" w14:textId="77777777" w:rsidR="00962A8B" w:rsidRPr="00C9561A" w:rsidDel="001D00AB" w:rsidRDefault="00962A8B" w:rsidP="00277E47">
      <w:pPr>
        <w:pStyle w:val="Para10"/>
        <w:numPr>
          <w:ilvl w:val="0"/>
          <w:numId w:val="0"/>
        </w:numPr>
        <w:ind w:left="1170" w:hanging="603"/>
      </w:pPr>
      <w:r w:rsidRPr="00C9561A">
        <w:t>31.</w:t>
      </w:r>
      <w:r w:rsidRPr="00C9561A">
        <w:tab/>
        <w:t>Los beneficios no monetarios ya se comparten de muchas maneras, y la futura participación en los beneficios no monetarios debería tener en cuenta las lecciones aprendidas gracias a esas experiencias.</w:t>
      </w:r>
    </w:p>
    <w:p w14:paraId="66E8EBD7" w14:textId="77777777" w:rsidR="00962A8B" w:rsidRPr="00C9561A" w:rsidRDefault="00962A8B" w:rsidP="00F346D8">
      <w:pPr>
        <w:tabs>
          <w:tab w:val="left" w:pos="1134"/>
        </w:tabs>
        <w:spacing w:before="120" w:after="120"/>
        <w:rPr>
          <w:rFonts w:asciiTheme="majorBidi" w:eastAsia="Calibri" w:hAnsiTheme="majorBidi" w:cstheme="majorBidi"/>
          <w:i/>
          <w:szCs w:val="22"/>
        </w:rPr>
      </w:pPr>
      <w:r w:rsidRPr="00C9561A">
        <w:rPr>
          <w:rFonts w:asciiTheme="majorBidi" w:hAnsiTheme="majorBidi"/>
          <w:i/>
        </w:rPr>
        <w:t>Elementos sobre los que es necesario seguir deliberando</w:t>
      </w:r>
      <w:r w:rsidRPr="00C9561A">
        <w:rPr>
          <w:rFonts w:asciiTheme="majorBidi" w:hAnsiTheme="majorBidi"/>
          <w:i/>
          <w:strike/>
        </w:rPr>
        <w:t xml:space="preserve"> </w:t>
      </w:r>
    </w:p>
    <w:p w14:paraId="10AC7E23" w14:textId="77777777" w:rsidR="00962A8B" w:rsidRPr="00C9561A" w:rsidRDefault="00962A8B" w:rsidP="00277E47">
      <w:pPr>
        <w:pStyle w:val="Para10"/>
        <w:numPr>
          <w:ilvl w:val="0"/>
          <w:numId w:val="0"/>
        </w:numPr>
        <w:ind w:left="1170" w:hanging="603"/>
      </w:pPr>
      <w:r w:rsidRPr="00C9561A">
        <w:t>32.</w:t>
      </w:r>
      <w:r w:rsidRPr="00C9561A">
        <w:tab/>
        <w:t>Si existe la necesidad de una nueva plataforma o mecanismo para la participación en beneficios no monetarios, tales como tecnologías y capacidades que se desarrollen utilizando información digital sobre secuencias de recursos genéticos, y cuáles serían las posibles modalidades.</w:t>
      </w:r>
    </w:p>
    <w:p w14:paraId="446FAED3" w14:textId="74E4ACDA" w:rsidR="00962A8B" w:rsidRPr="00C9561A" w:rsidRDefault="00962A8B" w:rsidP="00277E47">
      <w:pPr>
        <w:pStyle w:val="Para10"/>
        <w:numPr>
          <w:ilvl w:val="0"/>
          <w:numId w:val="0"/>
        </w:numPr>
        <w:ind w:left="1170" w:hanging="603"/>
      </w:pPr>
      <w:r w:rsidRPr="00C9561A">
        <w:t>33.</w:t>
      </w:r>
      <w:r w:rsidRPr="00C9561A">
        <w:tab/>
        <w:t>Si las necesidades de los interesados podrían ser un criterio para la participación en los beneficios no monetarios y, en ese caso, de cuáles interesados</w:t>
      </w:r>
      <w:r w:rsidR="00934739" w:rsidRPr="00C9561A">
        <w:t>.</w:t>
      </w:r>
    </w:p>
    <w:p w14:paraId="0B92B1A4" w14:textId="0258A7DE" w:rsidR="00962A8B" w:rsidRPr="00C9561A" w:rsidRDefault="00962A8B" w:rsidP="00277E47">
      <w:pPr>
        <w:pStyle w:val="Para10"/>
        <w:numPr>
          <w:ilvl w:val="0"/>
          <w:numId w:val="0"/>
        </w:numPr>
        <w:ind w:left="1170" w:hanging="603"/>
      </w:pPr>
      <w:r w:rsidRPr="00C9561A">
        <w:t>34.</w:t>
      </w:r>
      <w:r w:rsidRPr="00C9561A">
        <w:tab/>
        <w:t>Si entre los beneficios no monetarios que se deriv</w:t>
      </w:r>
      <w:r w:rsidR="00934739" w:rsidRPr="00C9561A">
        <w:t>e</w:t>
      </w:r>
      <w:r w:rsidRPr="00C9561A">
        <w:t>n de la utilización de información digital sobre secuencias de recursos genéticos podrían figurar los siguientes:</w:t>
      </w:r>
    </w:p>
    <w:p w14:paraId="15B5A404" w14:textId="77777777" w:rsidR="00962A8B" w:rsidRPr="00C9561A" w:rsidRDefault="00962A8B" w:rsidP="00277E47">
      <w:pPr>
        <w:pStyle w:val="Para20"/>
        <w:numPr>
          <w:ilvl w:val="0"/>
          <w:numId w:val="0"/>
        </w:numPr>
        <w:ind w:left="1710" w:hanging="630"/>
      </w:pPr>
      <w:r w:rsidRPr="00C9561A">
        <w:t>a)</w:t>
      </w:r>
      <w:r w:rsidRPr="00C9561A">
        <w:tab/>
        <w:t>Proyectos para la conservación o la utilización sostenible de la diversidad biológica o para la protección y el mantenimiento de los conocimientos, las innovaciones o las prácticas de los pueblos indígenas y las comunidades locales, los agricultores tradicionales, las mujeres y la juventud preferentemente en el país de origen del recurso genético que dio lugar a la información digital sobre secuencias, cuando sea identificable;</w:t>
      </w:r>
    </w:p>
    <w:p w14:paraId="7461F335" w14:textId="77777777" w:rsidR="00962A8B" w:rsidRPr="00C9561A" w:rsidRDefault="00962A8B" w:rsidP="00277E47">
      <w:pPr>
        <w:pStyle w:val="Para20"/>
        <w:numPr>
          <w:ilvl w:val="0"/>
          <w:numId w:val="0"/>
        </w:numPr>
        <w:ind w:left="1710" w:hanging="630"/>
      </w:pPr>
      <w:r w:rsidRPr="00C9561A">
        <w:t>b)</w:t>
      </w:r>
      <w:r w:rsidRPr="00C9561A">
        <w:tab/>
        <w:t>Transferencia de tecnología y desarrollo de tecnología;</w:t>
      </w:r>
    </w:p>
    <w:p w14:paraId="6CBC3C93" w14:textId="77777777" w:rsidR="00962A8B" w:rsidRPr="00C9561A" w:rsidRDefault="00962A8B" w:rsidP="00277E47">
      <w:pPr>
        <w:pStyle w:val="Para20"/>
        <w:numPr>
          <w:ilvl w:val="0"/>
          <w:numId w:val="0"/>
        </w:numPr>
        <w:ind w:left="1710" w:hanging="630"/>
      </w:pPr>
      <w:r w:rsidRPr="00C9561A">
        <w:t>c)</w:t>
      </w:r>
      <w:r w:rsidRPr="00C9561A">
        <w:tab/>
        <w:t>Poner el producto a disposición del público;</w:t>
      </w:r>
    </w:p>
    <w:p w14:paraId="0C6CCB37" w14:textId="77777777" w:rsidR="00962A8B" w:rsidRPr="00C9561A" w:rsidRDefault="00962A8B" w:rsidP="00277E47">
      <w:pPr>
        <w:pStyle w:val="Para20"/>
        <w:numPr>
          <w:ilvl w:val="0"/>
          <w:numId w:val="0"/>
        </w:numPr>
        <w:ind w:left="1710" w:hanging="630"/>
      </w:pPr>
      <w:r w:rsidRPr="00C9561A">
        <w:t>d)</w:t>
      </w:r>
      <w:r w:rsidRPr="00C9561A">
        <w:tab/>
        <w:t>Concesión gratuita de licencias de productos;</w:t>
      </w:r>
    </w:p>
    <w:p w14:paraId="44BCC18A" w14:textId="77777777" w:rsidR="00962A8B" w:rsidRPr="00C9561A" w:rsidRDefault="00962A8B" w:rsidP="00277E47">
      <w:pPr>
        <w:pStyle w:val="Para20"/>
        <w:numPr>
          <w:ilvl w:val="0"/>
          <w:numId w:val="0"/>
        </w:numPr>
        <w:ind w:left="1710" w:hanging="630"/>
      </w:pPr>
      <w:r w:rsidRPr="00C9561A">
        <w:t>e)</w:t>
      </w:r>
      <w:r w:rsidRPr="00C9561A">
        <w:tab/>
        <w:t>Capacitación de recursos humanos en temas relacionados con la conservación y la utilización sostenible de la diversidad genética o de los conocimientos tradicionales asociados;</w:t>
      </w:r>
    </w:p>
    <w:p w14:paraId="1859ACB1" w14:textId="77777777" w:rsidR="00962A8B" w:rsidRPr="00C9561A" w:rsidRDefault="00962A8B" w:rsidP="00277E47">
      <w:pPr>
        <w:pStyle w:val="Para20"/>
        <w:numPr>
          <w:ilvl w:val="0"/>
          <w:numId w:val="0"/>
        </w:numPr>
        <w:ind w:left="1710" w:hanging="630"/>
      </w:pPr>
      <w:r w:rsidRPr="00C9561A">
        <w:t>f)</w:t>
      </w:r>
      <w:r w:rsidRPr="00C9561A">
        <w:tab/>
        <w:t>Distribución gratuita de productos en programas de interés social;</w:t>
      </w:r>
    </w:p>
    <w:p w14:paraId="4342C8CF" w14:textId="77777777" w:rsidR="00962A8B" w:rsidRPr="00C9561A" w:rsidRDefault="00962A8B" w:rsidP="00277E47">
      <w:pPr>
        <w:pStyle w:val="Para20"/>
        <w:numPr>
          <w:ilvl w:val="0"/>
          <w:numId w:val="0"/>
        </w:numPr>
        <w:ind w:left="1710" w:hanging="630"/>
      </w:pPr>
      <w:r w:rsidRPr="00C9561A">
        <w:t>g)</w:t>
      </w:r>
      <w:r w:rsidRPr="00C9561A">
        <w:tab/>
        <w:t>Establecimiento de bases de datos nacionales;</w:t>
      </w:r>
    </w:p>
    <w:p w14:paraId="741E841D" w14:textId="77777777" w:rsidR="00962A8B" w:rsidRPr="00C9561A" w:rsidRDefault="00962A8B" w:rsidP="00277E47">
      <w:pPr>
        <w:pStyle w:val="Para20"/>
        <w:numPr>
          <w:ilvl w:val="0"/>
          <w:numId w:val="0"/>
        </w:numPr>
        <w:ind w:left="1710" w:hanging="630"/>
      </w:pPr>
      <w:r w:rsidRPr="00C9561A">
        <w:t>h)</w:t>
      </w:r>
      <w:r w:rsidRPr="00C9561A">
        <w:tab/>
        <w:t>Fomento de asociaciones de investigación conjunta;</w:t>
      </w:r>
    </w:p>
    <w:p w14:paraId="51BF4159" w14:textId="77777777" w:rsidR="00962A8B" w:rsidRPr="00C9561A" w:rsidRDefault="00962A8B" w:rsidP="00172054">
      <w:pPr>
        <w:pStyle w:val="Para20"/>
        <w:numPr>
          <w:ilvl w:val="0"/>
          <w:numId w:val="0"/>
        </w:numPr>
        <w:ind w:left="1710" w:hanging="630"/>
      </w:pPr>
      <w:r w:rsidRPr="00C9561A">
        <w:t>i)</w:t>
      </w:r>
      <w:r w:rsidRPr="00C9561A">
        <w:tab/>
        <w:t xml:space="preserve">Empresas conjuntas. </w:t>
      </w:r>
    </w:p>
    <w:p w14:paraId="313AD411" w14:textId="0F03FCE8" w:rsidR="00962A8B" w:rsidRPr="00C9561A" w:rsidRDefault="00962A8B" w:rsidP="00D91981">
      <w:pPr>
        <w:pStyle w:val="Para10"/>
        <w:widowControl w:val="0"/>
        <w:numPr>
          <w:ilvl w:val="0"/>
          <w:numId w:val="0"/>
        </w:numPr>
        <w:ind w:left="1167" w:hanging="605"/>
      </w:pPr>
      <w:r w:rsidRPr="00C9561A">
        <w:t>35.</w:t>
      </w:r>
      <w:r w:rsidRPr="00C9561A">
        <w:tab/>
        <w:t xml:space="preserve">Si el debate sobre la participación en los beneficios no monetarios debería tener en cuenta los resultados de la reunión celebrada en 2020 por el Grupo Especial de Expertos Técnicos sobre Información Digital sobre Secuencias de Recursos Genéticos con respecto a las áreas clave para </w:t>
      </w:r>
      <w:r w:rsidRPr="00C9561A">
        <w:lastRenderedPageBreak/>
        <w:t>la creación y el desarrollo de capacidad</w:t>
      </w:r>
      <w:r w:rsidRPr="00C9561A">
        <w:rPr>
          <w:vertAlign w:val="superscript"/>
        </w:rPr>
        <w:footnoteReference w:id="12"/>
      </w:r>
      <w:r w:rsidRPr="00C9561A">
        <w:t>.</w:t>
      </w:r>
    </w:p>
    <w:p w14:paraId="38E656C2" w14:textId="77777777" w:rsidR="00962A8B" w:rsidRPr="00C9561A" w:rsidRDefault="00962A8B" w:rsidP="00277E47">
      <w:pPr>
        <w:pStyle w:val="Para10"/>
        <w:numPr>
          <w:ilvl w:val="0"/>
          <w:numId w:val="0"/>
        </w:numPr>
        <w:ind w:left="1170" w:hanging="603"/>
      </w:pPr>
      <w:r w:rsidRPr="00C9561A">
        <w:t>36.</w:t>
      </w:r>
      <w:r w:rsidRPr="00C9561A">
        <w:tab/>
        <w:t>Si la utilización de información digital sobre secuencias de recursos genéticos podría servir de punto de activación para la participación en los beneficios no monetarios.</w:t>
      </w:r>
    </w:p>
    <w:p w14:paraId="779B2E5C" w14:textId="77777777" w:rsidR="00962A8B" w:rsidRPr="00C9561A" w:rsidRDefault="00962A8B" w:rsidP="000A5AC4">
      <w:pPr>
        <w:keepNext/>
        <w:spacing w:before="240" w:after="120"/>
        <w:rPr>
          <w:rFonts w:asciiTheme="majorBidi" w:hAnsiTheme="majorBidi" w:cstheme="majorBidi"/>
          <w:b/>
          <w:sz w:val="28"/>
          <w:szCs w:val="28"/>
        </w:rPr>
      </w:pPr>
      <w:r w:rsidRPr="00C9561A">
        <w:rPr>
          <w:rFonts w:asciiTheme="majorBidi" w:hAnsiTheme="majorBidi"/>
          <w:b/>
          <w:sz w:val="28"/>
          <w:szCs w:val="28"/>
        </w:rPr>
        <w:t>D.</w:t>
      </w:r>
      <w:r w:rsidRPr="00C9561A">
        <w:rPr>
          <w:rFonts w:asciiTheme="majorBidi" w:hAnsiTheme="majorBidi"/>
          <w:b/>
          <w:sz w:val="28"/>
          <w:szCs w:val="28"/>
        </w:rPr>
        <w:tab/>
        <w:t xml:space="preserve">Gobernanza </w:t>
      </w:r>
    </w:p>
    <w:p w14:paraId="174E701E" w14:textId="77777777" w:rsidR="00962A8B" w:rsidRPr="00C9561A" w:rsidRDefault="00962A8B" w:rsidP="00E734FC">
      <w:pPr>
        <w:tabs>
          <w:tab w:val="left" w:pos="1701"/>
        </w:tabs>
        <w:spacing w:before="120" w:after="120"/>
        <w:ind w:left="1134" w:hanging="567"/>
        <w:rPr>
          <w:rFonts w:asciiTheme="majorBidi" w:eastAsia="Calibri" w:hAnsiTheme="majorBidi" w:cstheme="majorBidi"/>
          <w:i/>
        </w:rPr>
      </w:pPr>
      <w:r w:rsidRPr="00C9561A">
        <w:rPr>
          <w:rFonts w:asciiTheme="majorBidi" w:hAnsiTheme="majorBidi"/>
          <w:i/>
          <w:iCs/>
        </w:rPr>
        <w:t xml:space="preserve">Elementos en los que hay posible convergencia </w:t>
      </w:r>
    </w:p>
    <w:p w14:paraId="372FE991" w14:textId="77777777" w:rsidR="00962A8B" w:rsidRPr="00C9561A" w:rsidRDefault="00962A8B" w:rsidP="00E734FC">
      <w:pPr>
        <w:tabs>
          <w:tab w:val="left" w:pos="1701"/>
        </w:tabs>
        <w:spacing w:before="120" w:after="120"/>
        <w:ind w:left="1134" w:hanging="567"/>
        <w:rPr>
          <w:rFonts w:asciiTheme="majorBidi" w:eastAsia="Calibri" w:hAnsiTheme="majorBidi" w:cstheme="majorBidi"/>
        </w:rPr>
      </w:pPr>
      <w:r w:rsidRPr="00C9561A">
        <w:rPr>
          <w:rFonts w:asciiTheme="majorBidi" w:hAnsiTheme="majorBidi"/>
        </w:rPr>
        <w:t>37.</w:t>
      </w:r>
      <w:r w:rsidRPr="00C9561A">
        <w:rPr>
          <w:rFonts w:asciiTheme="majorBidi" w:hAnsiTheme="majorBidi"/>
        </w:rPr>
        <w:tab/>
        <w:t>El mecanismo multilateral estará guiado por los principios estratégicos establecidos por las Partes en el Convenio, incluidos los de la decisión 15/9, en particular en los párrafos 9 y 10;</w:t>
      </w:r>
    </w:p>
    <w:p w14:paraId="44204222" w14:textId="77777777" w:rsidR="00962A8B" w:rsidRPr="00C9561A" w:rsidRDefault="00962A8B" w:rsidP="00E734FC">
      <w:pPr>
        <w:tabs>
          <w:tab w:val="left" w:pos="1701"/>
        </w:tabs>
        <w:spacing w:before="120" w:after="120"/>
        <w:ind w:left="1134" w:hanging="567"/>
        <w:rPr>
          <w:rFonts w:asciiTheme="majorBidi" w:eastAsia="Calibri" w:hAnsiTheme="majorBidi" w:cstheme="majorBidi"/>
        </w:rPr>
      </w:pPr>
      <w:r w:rsidRPr="00C9561A">
        <w:rPr>
          <w:rFonts w:asciiTheme="majorBidi" w:hAnsiTheme="majorBidi"/>
        </w:rPr>
        <w:t>38.</w:t>
      </w:r>
      <w:r w:rsidRPr="00C9561A">
        <w:rPr>
          <w:rFonts w:asciiTheme="majorBidi" w:hAnsiTheme="majorBidi"/>
        </w:rPr>
        <w:tab/>
        <w:t>El fondo mundial debería funcionar bajo la supervisión y orientación de la Conferencia de las Partes;</w:t>
      </w:r>
    </w:p>
    <w:p w14:paraId="2495DFC1" w14:textId="77777777" w:rsidR="00962A8B" w:rsidRPr="00C9561A" w:rsidRDefault="00962A8B" w:rsidP="00E734FC">
      <w:pPr>
        <w:tabs>
          <w:tab w:val="left" w:pos="1701"/>
        </w:tabs>
        <w:spacing w:before="120" w:after="120"/>
        <w:ind w:left="1134" w:hanging="567"/>
        <w:rPr>
          <w:rFonts w:asciiTheme="majorBidi" w:eastAsia="Calibri" w:hAnsiTheme="majorBidi" w:cstheme="majorBidi"/>
        </w:rPr>
      </w:pPr>
      <w:r w:rsidRPr="00C9561A">
        <w:rPr>
          <w:rFonts w:asciiTheme="majorBidi" w:hAnsiTheme="majorBidi"/>
        </w:rPr>
        <w:t>39.</w:t>
      </w:r>
      <w:r w:rsidRPr="00C9561A">
        <w:rPr>
          <w:rFonts w:asciiTheme="majorBidi" w:hAnsiTheme="majorBidi"/>
        </w:rPr>
        <w:tab/>
        <w:t>El fondo mundial debería contar con un órgano rector que actúe con transparencia;</w:t>
      </w:r>
    </w:p>
    <w:p w14:paraId="24B5BAF1" w14:textId="77777777" w:rsidR="00962A8B" w:rsidRPr="00C9561A" w:rsidRDefault="00962A8B" w:rsidP="00F346D8">
      <w:pPr>
        <w:tabs>
          <w:tab w:val="left" w:pos="1701"/>
        </w:tabs>
        <w:spacing w:before="120" w:after="120"/>
        <w:ind w:left="1134" w:hanging="567"/>
        <w:rPr>
          <w:rFonts w:asciiTheme="majorBidi" w:eastAsia="Calibri" w:hAnsiTheme="majorBidi" w:cstheme="majorBidi"/>
        </w:rPr>
      </w:pPr>
      <w:r w:rsidRPr="00C9561A">
        <w:rPr>
          <w:rFonts w:asciiTheme="majorBidi" w:hAnsiTheme="majorBidi"/>
        </w:rPr>
        <w:t>40.</w:t>
      </w:r>
      <w:r w:rsidRPr="00C9561A">
        <w:rPr>
          <w:rFonts w:asciiTheme="majorBidi" w:hAnsiTheme="majorBidi"/>
        </w:rPr>
        <w:tab/>
        <w:t>El órgano rector del fondo debería incluir representantes de las Partes;</w:t>
      </w:r>
    </w:p>
    <w:p w14:paraId="6AD1827E" w14:textId="77777777" w:rsidR="00962A8B" w:rsidRPr="00C9561A" w:rsidRDefault="00962A8B" w:rsidP="00122481">
      <w:pPr>
        <w:tabs>
          <w:tab w:val="left" w:pos="1701"/>
        </w:tabs>
        <w:spacing w:before="120" w:after="120"/>
        <w:ind w:left="1134" w:hanging="567"/>
        <w:rPr>
          <w:rFonts w:asciiTheme="majorBidi" w:eastAsia="Calibri" w:hAnsiTheme="majorBidi" w:cstheme="majorBidi"/>
        </w:rPr>
      </w:pPr>
      <w:r w:rsidRPr="00C9561A">
        <w:rPr>
          <w:rFonts w:asciiTheme="majorBidi" w:hAnsiTheme="majorBidi"/>
        </w:rPr>
        <w:t>41.</w:t>
      </w:r>
      <w:r w:rsidRPr="00C9561A">
        <w:rPr>
          <w:rFonts w:asciiTheme="majorBidi" w:hAnsiTheme="majorBidi"/>
        </w:rPr>
        <w:tab/>
        <w:t>El sector privado y otros contribuyentes deberían poder contribuir al fondo sin cargas administrativas significativas;</w:t>
      </w:r>
    </w:p>
    <w:p w14:paraId="02881EE7" w14:textId="77777777" w:rsidR="00962A8B" w:rsidRPr="00C9561A" w:rsidRDefault="00962A8B" w:rsidP="00F665D7">
      <w:pPr>
        <w:tabs>
          <w:tab w:val="left" w:pos="1701"/>
        </w:tabs>
        <w:spacing w:before="120" w:after="120"/>
        <w:ind w:left="1134" w:hanging="567"/>
        <w:rPr>
          <w:rFonts w:asciiTheme="majorBidi" w:eastAsia="Calibri" w:hAnsiTheme="majorBidi" w:cstheme="majorBidi"/>
          <w:i/>
        </w:rPr>
      </w:pPr>
      <w:r w:rsidRPr="00C9561A">
        <w:rPr>
          <w:rFonts w:asciiTheme="majorBidi" w:hAnsiTheme="majorBidi"/>
        </w:rPr>
        <w:t>42.</w:t>
      </w:r>
      <w:r w:rsidRPr="00C9561A">
        <w:rPr>
          <w:rFonts w:asciiTheme="majorBidi" w:hAnsiTheme="majorBidi"/>
        </w:rPr>
        <w:tab/>
        <w:t>El fondo debería poder recibir y desembolsar fondos poco después de que la Conferencia de las Partes tome una decisión en su 16ª reunión;</w:t>
      </w:r>
    </w:p>
    <w:p w14:paraId="3B163299" w14:textId="77777777" w:rsidR="00962A8B" w:rsidRPr="00C9561A" w:rsidRDefault="00962A8B" w:rsidP="00F665D7">
      <w:pPr>
        <w:tabs>
          <w:tab w:val="left" w:pos="1701"/>
        </w:tabs>
        <w:spacing w:before="120" w:after="120"/>
        <w:ind w:left="1134" w:hanging="567"/>
        <w:rPr>
          <w:rFonts w:asciiTheme="majorBidi" w:eastAsia="Calibri" w:hAnsiTheme="majorBidi" w:cstheme="majorBidi"/>
        </w:rPr>
      </w:pPr>
      <w:r w:rsidRPr="00C9561A">
        <w:rPr>
          <w:rFonts w:asciiTheme="majorBidi" w:hAnsiTheme="majorBidi"/>
        </w:rPr>
        <w:t>43.</w:t>
      </w:r>
      <w:r w:rsidRPr="00C9561A">
        <w:rPr>
          <w:rFonts w:asciiTheme="majorBidi" w:hAnsiTheme="majorBidi"/>
        </w:rPr>
        <w:tab/>
        <w:t>El funcionamiento del mecanismo multilateral debería supervisarse con arreglo a los principios establecidos en los párrafos 9 y 10 de la decisión 15/9;</w:t>
      </w:r>
    </w:p>
    <w:p w14:paraId="5D9FF7A4" w14:textId="77777777" w:rsidR="00962A8B" w:rsidRPr="00C9561A" w:rsidRDefault="00962A8B" w:rsidP="00F346D8">
      <w:pPr>
        <w:tabs>
          <w:tab w:val="left" w:pos="1701"/>
        </w:tabs>
        <w:spacing w:before="120" w:after="120"/>
        <w:ind w:left="1134" w:hanging="567"/>
        <w:rPr>
          <w:rFonts w:asciiTheme="majorBidi" w:eastAsia="Calibri" w:hAnsiTheme="majorBidi" w:cstheme="majorBidi"/>
        </w:rPr>
      </w:pPr>
      <w:r w:rsidRPr="00C9561A">
        <w:rPr>
          <w:rFonts w:asciiTheme="majorBidi" w:hAnsiTheme="majorBidi"/>
        </w:rPr>
        <w:t>44.</w:t>
      </w:r>
      <w:r w:rsidRPr="00C9561A">
        <w:rPr>
          <w:rFonts w:asciiTheme="majorBidi" w:hAnsiTheme="majorBidi"/>
        </w:rPr>
        <w:tab/>
      </w:r>
      <w:r w:rsidRPr="00C9561A">
        <w:t>El marco de seguimiento y evaluación del fondo podría desarrollarse en coordinación con el marco de seguimiento del Marco Mundial de Biodiversidad de Kunming-Montreal, en particular para la meta 13 y el objetivo C, y deberían establecerse un sistema y la capacidad asociada para su revisión periódica;</w:t>
      </w:r>
    </w:p>
    <w:p w14:paraId="5CEC3A2C" w14:textId="77777777" w:rsidR="00962A8B" w:rsidRPr="00C9561A" w:rsidRDefault="00962A8B" w:rsidP="00F665D7">
      <w:pPr>
        <w:tabs>
          <w:tab w:val="left" w:pos="1701"/>
        </w:tabs>
        <w:spacing w:before="120" w:after="120"/>
        <w:ind w:left="1134" w:hanging="567"/>
        <w:rPr>
          <w:rFonts w:asciiTheme="majorBidi" w:eastAsia="Calibri" w:hAnsiTheme="majorBidi" w:cstheme="majorBidi"/>
        </w:rPr>
      </w:pPr>
      <w:r w:rsidRPr="00C9561A">
        <w:rPr>
          <w:rFonts w:asciiTheme="majorBidi" w:hAnsiTheme="majorBidi"/>
        </w:rPr>
        <w:t>45.</w:t>
      </w:r>
      <w:r w:rsidRPr="00C9561A">
        <w:rPr>
          <w:rFonts w:asciiTheme="majorBidi" w:hAnsiTheme="majorBidi"/>
        </w:rPr>
        <w:tab/>
        <w:t>El mecanismo multilateral debería evaluarse y revisarse con arreglo a una metodología acordada de forma transparente;</w:t>
      </w:r>
    </w:p>
    <w:p w14:paraId="6D80A3E4" w14:textId="77777777" w:rsidR="00962A8B" w:rsidRPr="00C9561A" w:rsidRDefault="00962A8B" w:rsidP="00BF0D8B">
      <w:pPr>
        <w:tabs>
          <w:tab w:val="left" w:pos="1701"/>
        </w:tabs>
        <w:spacing w:before="120" w:after="120"/>
        <w:ind w:left="1134" w:hanging="567"/>
        <w:rPr>
          <w:rFonts w:asciiTheme="majorBidi" w:eastAsia="Calibri" w:hAnsiTheme="majorBidi" w:cstheme="majorBidi"/>
        </w:rPr>
      </w:pPr>
      <w:r w:rsidRPr="00C9561A">
        <w:rPr>
          <w:rFonts w:asciiTheme="majorBidi" w:hAnsiTheme="majorBidi"/>
        </w:rPr>
        <w:t>46.</w:t>
      </w:r>
      <w:r w:rsidRPr="00C9561A">
        <w:rPr>
          <w:rFonts w:asciiTheme="majorBidi" w:hAnsiTheme="majorBidi"/>
        </w:rPr>
        <w:tab/>
        <w:t>El mecanismo multilateral debe respetar los derechos de los pueblos indígenas y las comunidades locales sobre sus conocimientos tradicionales, los conocimientos tradicionales asociados a los recursos genéticos, y los recursos genéticos y los datos relacionados con ellos.</w:t>
      </w:r>
    </w:p>
    <w:p w14:paraId="7B1C4FF8" w14:textId="77777777" w:rsidR="00962A8B" w:rsidRPr="00C9561A" w:rsidRDefault="00962A8B" w:rsidP="00F346D8">
      <w:pPr>
        <w:tabs>
          <w:tab w:val="left" w:pos="1701"/>
        </w:tabs>
        <w:spacing w:before="120" w:after="120"/>
        <w:rPr>
          <w:rFonts w:asciiTheme="majorBidi" w:eastAsia="Calibri" w:hAnsiTheme="majorBidi" w:cstheme="majorBidi"/>
          <w:i/>
        </w:rPr>
      </w:pPr>
      <w:r w:rsidRPr="00C9561A">
        <w:rPr>
          <w:rFonts w:asciiTheme="majorBidi" w:hAnsiTheme="majorBidi"/>
          <w:i/>
        </w:rPr>
        <w:t>Elementos sobre los que es necesario seguir deliberando</w:t>
      </w:r>
      <w:r w:rsidRPr="00C9561A">
        <w:rPr>
          <w:rFonts w:asciiTheme="majorBidi" w:hAnsiTheme="majorBidi"/>
          <w:i/>
          <w:strike/>
        </w:rPr>
        <w:t xml:space="preserve"> </w:t>
      </w:r>
    </w:p>
    <w:p w14:paraId="0834DDE6" w14:textId="22899863" w:rsidR="00962A8B" w:rsidRPr="00C9561A" w:rsidRDefault="00962A8B" w:rsidP="00A81AAF">
      <w:pPr>
        <w:spacing w:line="259" w:lineRule="auto"/>
        <w:ind w:left="1134" w:hanging="567"/>
        <w:jc w:val="left"/>
        <w:rPr>
          <w:rFonts w:asciiTheme="majorBidi" w:eastAsia="Calibri" w:hAnsiTheme="majorBidi" w:cstheme="majorBidi"/>
        </w:rPr>
      </w:pPr>
      <w:r w:rsidRPr="00C9561A">
        <w:rPr>
          <w:rFonts w:asciiTheme="majorBidi" w:hAnsiTheme="majorBidi"/>
        </w:rPr>
        <w:t>47.</w:t>
      </w:r>
      <w:r w:rsidRPr="00C9561A">
        <w:rPr>
          <w:rFonts w:asciiTheme="majorBidi" w:hAnsiTheme="majorBidi"/>
        </w:rPr>
        <w:tab/>
        <w:t>Si la gobernanza del fondo debería incluir la participación de los siguientes</w:t>
      </w:r>
      <w:r w:rsidR="00A76C7D" w:rsidRPr="00C9561A">
        <w:rPr>
          <w:rFonts w:asciiTheme="majorBidi" w:hAnsiTheme="majorBidi"/>
        </w:rPr>
        <w:t xml:space="preserve"> representantes y de qué manera</w:t>
      </w:r>
      <w:r w:rsidRPr="00C9561A">
        <w:rPr>
          <w:rFonts w:asciiTheme="majorBidi" w:hAnsiTheme="majorBidi"/>
        </w:rPr>
        <w:t>:</w:t>
      </w:r>
    </w:p>
    <w:p w14:paraId="6F317D52" w14:textId="77777777" w:rsidR="00962A8B" w:rsidRPr="00C9561A" w:rsidRDefault="00962A8B" w:rsidP="00F346D8">
      <w:pPr>
        <w:spacing w:before="120" w:after="120" w:line="259" w:lineRule="auto"/>
        <w:ind w:left="1701" w:hanging="567"/>
        <w:jc w:val="left"/>
        <w:rPr>
          <w:rFonts w:asciiTheme="majorBidi" w:eastAsia="Calibri" w:hAnsiTheme="majorBidi" w:cstheme="majorBidi"/>
        </w:rPr>
      </w:pPr>
      <w:r w:rsidRPr="00C9561A">
        <w:rPr>
          <w:rFonts w:asciiTheme="majorBidi" w:hAnsiTheme="majorBidi"/>
        </w:rPr>
        <w:t>a)</w:t>
      </w:r>
      <w:r w:rsidRPr="00C9561A">
        <w:tab/>
      </w:r>
      <w:r w:rsidRPr="00C9561A">
        <w:rPr>
          <w:rFonts w:asciiTheme="majorBidi" w:hAnsiTheme="majorBidi"/>
        </w:rPr>
        <w:t>Pueblos indígenas y comunidades locales;</w:t>
      </w:r>
    </w:p>
    <w:p w14:paraId="58A1988A" w14:textId="77777777" w:rsidR="00962A8B" w:rsidRPr="00C9561A" w:rsidRDefault="00962A8B" w:rsidP="00F346D8">
      <w:pPr>
        <w:spacing w:before="120" w:after="120" w:line="259" w:lineRule="auto"/>
        <w:ind w:left="1701" w:hanging="567"/>
        <w:jc w:val="left"/>
        <w:rPr>
          <w:rFonts w:asciiTheme="majorBidi" w:eastAsia="Calibri" w:hAnsiTheme="majorBidi" w:cstheme="majorBidi"/>
        </w:rPr>
      </w:pPr>
      <w:r w:rsidRPr="00C9561A">
        <w:rPr>
          <w:rFonts w:asciiTheme="majorBidi" w:hAnsiTheme="majorBidi"/>
        </w:rPr>
        <w:t>b)</w:t>
      </w:r>
      <w:r w:rsidRPr="00C9561A">
        <w:rPr>
          <w:rFonts w:asciiTheme="majorBidi" w:hAnsiTheme="majorBidi"/>
        </w:rPr>
        <w:tab/>
        <w:t>El sector privado;</w:t>
      </w:r>
    </w:p>
    <w:p w14:paraId="4A65D9BF" w14:textId="77777777" w:rsidR="00962A8B" w:rsidRPr="00C9561A" w:rsidRDefault="00962A8B" w:rsidP="00F346D8">
      <w:pPr>
        <w:spacing w:before="120" w:after="120" w:line="259" w:lineRule="auto"/>
        <w:ind w:left="1701" w:hanging="567"/>
        <w:jc w:val="left"/>
        <w:rPr>
          <w:rFonts w:asciiTheme="majorBidi" w:eastAsia="Calibri" w:hAnsiTheme="majorBidi" w:cstheme="majorBidi"/>
        </w:rPr>
      </w:pPr>
      <w:r w:rsidRPr="00C9561A">
        <w:rPr>
          <w:rFonts w:asciiTheme="majorBidi" w:hAnsiTheme="majorBidi"/>
        </w:rPr>
        <w:t>c)</w:t>
      </w:r>
      <w:r w:rsidRPr="00C9561A">
        <w:rPr>
          <w:rFonts w:asciiTheme="majorBidi" w:hAnsiTheme="majorBidi"/>
        </w:rPr>
        <w:tab/>
        <w:t>La sociedad civil;</w:t>
      </w:r>
    </w:p>
    <w:p w14:paraId="405F58A4" w14:textId="20E4F1DF" w:rsidR="00962A8B" w:rsidRPr="00C9561A" w:rsidRDefault="00962A8B" w:rsidP="00F346D8">
      <w:pPr>
        <w:spacing w:before="120" w:after="120" w:line="259" w:lineRule="auto"/>
        <w:ind w:left="1701" w:hanging="567"/>
        <w:jc w:val="left"/>
        <w:rPr>
          <w:rFonts w:asciiTheme="majorBidi" w:eastAsia="Calibri" w:hAnsiTheme="majorBidi" w:cstheme="majorBidi"/>
        </w:rPr>
      </w:pPr>
      <w:r w:rsidRPr="00C9561A">
        <w:rPr>
          <w:rFonts w:asciiTheme="majorBidi" w:hAnsiTheme="majorBidi"/>
        </w:rPr>
        <w:t>d)</w:t>
      </w:r>
      <w:r w:rsidRPr="00C9561A">
        <w:rPr>
          <w:rFonts w:asciiTheme="majorBidi" w:hAnsiTheme="majorBidi"/>
        </w:rPr>
        <w:tab/>
        <w:t>La juventud;</w:t>
      </w:r>
    </w:p>
    <w:p w14:paraId="24D866C5" w14:textId="77777777" w:rsidR="00962A8B" w:rsidRPr="00C9561A" w:rsidRDefault="00962A8B" w:rsidP="00F346D8">
      <w:pPr>
        <w:spacing w:before="120" w:after="120" w:line="259" w:lineRule="auto"/>
        <w:ind w:left="1701" w:hanging="567"/>
        <w:jc w:val="left"/>
        <w:rPr>
          <w:rFonts w:asciiTheme="majorBidi" w:eastAsia="Calibri" w:hAnsiTheme="majorBidi" w:cstheme="majorBidi"/>
        </w:rPr>
      </w:pPr>
      <w:r w:rsidRPr="00C9561A">
        <w:rPr>
          <w:rFonts w:asciiTheme="majorBidi" w:hAnsiTheme="majorBidi"/>
        </w:rPr>
        <w:t>e)</w:t>
      </w:r>
      <w:r w:rsidRPr="00C9561A">
        <w:rPr>
          <w:rFonts w:asciiTheme="majorBidi" w:hAnsiTheme="majorBidi"/>
        </w:rPr>
        <w:tab/>
        <w:t>Las mujeres;</w:t>
      </w:r>
    </w:p>
    <w:p w14:paraId="1CEB4938" w14:textId="77777777" w:rsidR="00962A8B" w:rsidRPr="00C9561A" w:rsidRDefault="00962A8B" w:rsidP="00F346D8">
      <w:pPr>
        <w:spacing w:before="120" w:after="120" w:line="259" w:lineRule="auto"/>
        <w:ind w:left="1701" w:hanging="567"/>
        <w:jc w:val="left"/>
        <w:rPr>
          <w:rFonts w:asciiTheme="majorBidi" w:eastAsia="Calibri" w:hAnsiTheme="majorBidi" w:cstheme="majorBidi"/>
        </w:rPr>
      </w:pPr>
      <w:r w:rsidRPr="00C9561A">
        <w:rPr>
          <w:rFonts w:asciiTheme="majorBidi" w:hAnsiTheme="majorBidi"/>
        </w:rPr>
        <w:t>f)</w:t>
      </w:r>
      <w:r w:rsidRPr="00C9561A">
        <w:rPr>
          <w:rFonts w:asciiTheme="majorBidi" w:hAnsiTheme="majorBidi"/>
        </w:rPr>
        <w:tab/>
        <w:t>El mundo académico;</w:t>
      </w:r>
    </w:p>
    <w:p w14:paraId="09649EEC" w14:textId="77777777" w:rsidR="00962A8B" w:rsidRPr="00C9561A" w:rsidRDefault="00962A8B" w:rsidP="00F346D8">
      <w:pPr>
        <w:spacing w:before="120" w:after="120" w:line="259" w:lineRule="auto"/>
        <w:ind w:left="1701" w:hanging="567"/>
        <w:jc w:val="left"/>
        <w:rPr>
          <w:rFonts w:asciiTheme="majorBidi" w:eastAsia="Calibri" w:hAnsiTheme="majorBidi" w:cstheme="majorBidi"/>
        </w:rPr>
      </w:pPr>
      <w:r w:rsidRPr="00C9561A">
        <w:t>g)</w:t>
      </w:r>
      <w:r w:rsidRPr="00C9561A">
        <w:tab/>
        <w:t>Estados que no son Partes;</w:t>
      </w:r>
    </w:p>
    <w:p w14:paraId="74317256" w14:textId="0A1FB4D2" w:rsidR="00962A8B" w:rsidRPr="00C9561A" w:rsidRDefault="00962A8B" w:rsidP="00F84A8D">
      <w:pPr>
        <w:spacing w:before="120" w:after="120" w:line="259" w:lineRule="auto"/>
        <w:ind w:left="1701" w:hanging="567"/>
        <w:jc w:val="left"/>
        <w:rPr>
          <w:rFonts w:asciiTheme="majorBidi" w:eastAsia="Calibri" w:hAnsiTheme="majorBidi" w:cstheme="majorBidi"/>
        </w:rPr>
      </w:pPr>
      <w:r w:rsidRPr="00C9561A">
        <w:rPr>
          <w:rFonts w:asciiTheme="majorBidi" w:hAnsiTheme="majorBidi"/>
        </w:rPr>
        <w:t>h)</w:t>
      </w:r>
      <w:r w:rsidRPr="00C9561A">
        <w:rPr>
          <w:rFonts w:asciiTheme="majorBidi" w:hAnsiTheme="majorBidi"/>
        </w:rPr>
        <w:tab/>
        <w:t>Proveedores de infraestructura y bases de datos;</w:t>
      </w:r>
    </w:p>
    <w:p w14:paraId="27FC4CB2" w14:textId="55693E53" w:rsidR="00962A8B" w:rsidRPr="00C9561A" w:rsidRDefault="00962A8B" w:rsidP="006640F7">
      <w:pPr>
        <w:tabs>
          <w:tab w:val="left" w:pos="1701"/>
        </w:tabs>
        <w:spacing w:before="120" w:after="120" w:line="259" w:lineRule="auto"/>
        <w:ind w:left="414" w:firstLine="720"/>
        <w:jc w:val="left"/>
        <w:rPr>
          <w:rFonts w:asciiTheme="majorBidi" w:eastAsia="Calibri" w:hAnsiTheme="majorBidi" w:cstheme="majorBidi"/>
          <w:b/>
          <w:bCs/>
        </w:rPr>
      </w:pPr>
      <w:r w:rsidRPr="00C9561A">
        <w:rPr>
          <w:rFonts w:asciiTheme="majorBidi" w:hAnsiTheme="majorBidi"/>
        </w:rPr>
        <w:t>i)</w:t>
      </w:r>
      <w:r w:rsidRPr="00C9561A">
        <w:rPr>
          <w:rFonts w:asciiTheme="majorBidi" w:hAnsiTheme="majorBidi"/>
        </w:rPr>
        <w:tab/>
        <w:t>Otros instrumentos de acceso y participación en los beneficios.</w:t>
      </w:r>
    </w:p>
    <w:p w14:paraId="15172175" w14:textId="4188C820" w:rsidR="00962A8B" w:rsidRPr="00C9561A" w:rsidRDefault="00962A8B" w:rsidP="00F346D8">
      <w:pPr>
        <w:tabs>
          <w:tab w:val="left" w:pos="1701"/>
        </w:tabs>
        <w:spacing w:before="120" w:after="120"/>
        <w:ind w:left="1134" w:hanging="567"/>
        <w:rPr>
          <w:rFonts w:asciiTheme="majorBidi" w:eastAsia="Calibri" w:hAnsiTheme="majorBidi" w:cstheme="majorBidi"/>
        </w:rPr>
      </w:pPr>
      <w:r w:rsidRPr="00C9561A">
        <w:rPr>
          <w:rFonts w:asciiTheme="majorBidi" w:hAnsiTheme="majorBidi"/>
        </w:rPr>
        <w:lastRenderedPageBreak/>
        <w:t>48.</w:t>
      </w:r>
      <w:r w:rsidRPr="00C9561A">
        <w:rPr>
          <w:rFonts w:asciiTheme="majorBidi" w:hAnsiTheme="majorBidi"/>
        </w:rPr>
        <w:tab/>
        <w:t>Opciones de fondos nuevos o existentes que podrían albergar el fondo mundial, incluida la rapidez con que podrían ponerse en funcionamiento;</w:t>
      </w:r>
    </w:p>
    <w:p w14:paraId="336B4259" w14:textId="77777777" w:rsidR="00962A8B" w:rsidRPr="00C9561A" w:rsidRDefault="00962A8B" w:rsidP="00F346D8">
      <w:pPr>
        <w:tabs>
          <w:tab w:val="left" w:pos="1701"/>
        </w:tabs>
        <w:spacing w:before="120" w:after="120"/>
        <w:ind w:left="1134" w:hanging="567"/>
        <w:rPr>
          <w:rFonts w:asciiTheme="majorBidi" w:eastAsia="Calibri" w:hAnsiTheme="majorBidi" w:cstheme="majorBidi"/>
        </w:rPr>
      </w:pPr>
      <w:r w:rsidRPr="00C9561A">
        <w:rPr>
          <w:rFonts w:asciiTheme="majorBidi" w:hAnsiTheme="majorBidi"/>
        </w:rPr>
        <w:t>49.</w:t>
      </w:r>
      <w:r w:rsidRPr="00C9561A">
        <w:rPr>
          <w:rFonts w:asciiTheme="majorBidi" w:hAnsiTheme="majorBidi"/>
        </w:rPr>
        <w:tab/>
        <w:t>Opciones de revisión de las modalidades de funcionamiento del Fondo para el Medio Ambiente Mundial o del Fondo para el Marco Mundial de Biodiversidad, a petición de la Conferencia de las Partes, para que puedan actuar como anfitriones del fondo mundial;</w:t>
      </w:r>
    </w:p>
    <w:p w14:paraId="34DD16B1" w14:textId="37724286" w:rsidR="00962A8B" w:rsidRPr="00C9561A" w:rsidRDefault="00962A8B" w:rsidP="00F346D8">
      <w:pPr>
        <w:tabs>
          <w:tab w:val="left" w:pos="1701"/>
        </w:tabs>
        <w:spacing w:before="120" w:after="120"/>
        <w:ind w:left="1134" w:hanging="567"/>
        <w:rPr>
          <w:rFonts w:asciiTheme="majorBidi" w:eastAsia="Calibri" w:hAnsiTheme="majorBidi" w:cstheme="majorBidi"/>
        </w:rPr>
      </w:pPr>
      <w:r w:rsidRPr="00C9561A">
        <w:rPr>
          <w:rFonts w:asciiTheme="majorBidi" w:hAnsiTheme="majorBidi"/>
        </w:rPr>
        <w:t>50.</w:t>
      </w:r>
      <w:r w:rsidRPr="00C9561A">
        <w:rPr>
          <w:rFonts w:asciiTheme="majorBidi" w:hAnsiTheme="majorBidi"/>
        </w:rPr>
        <w:tab/>
        <w:t>Si la labor de los comités asesores y grupos asesores pertinentes establecidos en el contexto del Convenio se podría tener en cuenta y, en ese caso, de qué manera, en la labor del Grupo de Trabajo sobre Participación en los Beneficios que se Deriven de la Utilización de Información Digital sobre Secuencias de Recursos Genéticos, y viceversa;</w:t>
      </w:r>
    </w:p>
    <w:p w14:paraId="20BC4D48" w14:textId="356EF2C9" w:rsidR="00962A8B" w:rsidRPr="00C9561A" w:rsidRDefault="00962A8B" w:rsidP="00F346D8">
      <w:pPr>
        <w:tabs>
          <w:tab w:val="left" w:pos="1701"/>
        </w:tabs>
        <w:spacing w:before="120" w:after="120"/>
        <w:ind w:left="1134" w:hanging="567"/>
        <w:rPr>
          <w:rFonts w:asciiTheme="majorBidi" w:eastAsia="Calibri" w:hAnsiTheme="majorBidi" w:cstheme="majorBidi"/>
        </w:rPr>
      </w:pPr>
      <w:r w:rsidRPr="00C9561A">
        <w:rPr>
          <w:rFonts w:asciiTheme="majorBidi" w:hAnsiTheme="majorBidi"/>
        </w:rPr>
        <w:t>51.</w:t>
      </w:r>
      <w:r w:rsidRPr="00C9561A">
        <w:rPr>
          <w:rFonts w:asciiTheme="majorBidi" w:hAnsiTheme="majorBidi"/>
        </w:rPr>
        <w:tab/>
        <w:t>Cómo garantizar que el fondo mundial sea coherente con los principios de inclusión, equidad y transparencia;</w:t>
      </w:r>
    </w:p>
    <w:p w14:paraId="72ED99D8" w14:textId="77777777" w:rsidR="00962A8B" w:rsidRPr="00C9561A" w:rsidRDefault="00962A8B" w:rsidP="00155DC8">
      <w:pPr>
        <w:tabs>
          <w:tab w:val="left" w:pos="1701"/>
        </w:tabs>
        <w:spacing w:before="120" w:after="120"/>
        <w:ind w:left="1134" w:hanging="567"/>
        <w:rPr>
          <w:rFonts w:asciiTheme="majorBidi" w:eastAsia="Calibri" w:hAnsiTheme="majorBidi" w:cstheme="majorBidi"/>
        </w:rPr>
      </w:pPr>
      <w:r w:rsidRPr="00C9561A">
        <w:rPr>
          <w:rFonts w:asciiTheme="majorBidi" w:hAnsiTheme="majorBidi"/>
        </w:rPr>
        <w:t>52.</w:t>
      </w:r>
      <w:r w:rsidRPr="00C9561A">
        <w:rPr>
          <w:rFonts w:asciiTheme="majorBidi" w:hAnsiTheme="majorBidi"/>
        </w:rPr>
        <w:tab/>
        <w:t>La diferencia, si la hubiera, entre la gobernanza del mecanismo en su conjunto y la gobernanza del fondo y la necesidad de coherencia entre ambas;</w:t>
      </w:r>
    </w:p>
    <w:p w14:paraId="2033F9BE" w14:textId="765FBE6B" w:rsidR="00962A8B" w:rsidRPr="00C9561A" w:rsidRDefault="00962A8B" w:rsidP="00155DC8">
      <w:pPr>
        <w:tabs>
          <w:tab w:val="left" w:pos="1701"/>
        </w:tabs>
        <w:spacing w:before="120" w:after="120"/>
        <w:ind w:left="1134" w:hanging="567"/>
        <w:rPr>
          <w:rFonts w:asciiTheme="majorBidi" w:eastAsia="Calibri" w:hAnsiTheme="majorBidi" w:cstheme="majorBidi"/>
        </w:rPr>
      </w:pPr>
      <w:r w:rsidRPr="00C9561A">
        <w:rPr>
          <w:rFonts w:asciiTheme="majorBidi" w:hAnsiTheme="majorBidi"/>
        </w:rPr>
        <w:t>53.</w:t>
      </w:r>
      <w:r w:rsidRPr="00C9561A">
        <w:rPr>
          <w:rFonts w:asciiTheme="majorBidi" w:hAnsiTheme="majorBidi"/>
        </w:rPr>
        <w:tab/>
        <w:t>Si debe crearse una familia de bases de datos vinculadas en virtud del mecanismo y, en caso afirmativo, de qué manera, y si ello podría tener consecuencias, como la posible fragmentación de las bases de datos;</w:t>
      </w:r>
    </w:p>
    <w:p w14:paraId="0500B4AF" w14:textId="77777777" w:rsidR="00962A8B" w:rsidRPr="00C9561A" w:rsidRDefault="00962A8B" w:rsidP="006640F7">
      <w:pPr>
        <w:tabs>
          <w:tab w:val="left" w:pos="1701"/>
        </w:tabs>
        <w:spacing w:before="120" w:after="120"/>
        <w:ind w:left="1134" w:hanging="567"/>
        <w:rPr>
          <w:rFonts w:asciiTheme="majorBidi" w:eastAsia="Calibri" w:hAnsiTheme="majorBidi" w:cstheme="majorBidi"/>
        </w:rPr>
      </w:pPr>
      <w:r w:rsidRPr="00C9561A">
        <w:rPr>
          <w:rFonts w:asciiTheme="majorBidi" w:hAnsiTheme="majorBidi"/>
        </w:rPr>
        <w:t>54.</w:t>
      </w:r>
      <w:r w:rsidRPr="00C9561A">
        <w:rPr>
          <w:rFonts w:asciiTheme="majorBidi" w:hAnsiTheme="majorBidi"/>
        </w:rPr>
        <w:tab/>
        <w:t>Los factores que deben tenerse en cuenta en la supervisión periódica del funcionamiento y el rendimiento del mecanismo;</w:t>
      </w:r>
    </w:p>
    <w:p w14:paraId="07205C11" w14:textId="77777777" w:rsidR="00962A8B" w:rsidRPr="00C9561A" w:rsidRDefault="00962A8B" w:rsidP="003C1E26">
      <w:pPr>
        <w:tabs>
          <w:tab w:val="left" w:pos="1701"/>
        </w:tabs>
        <w:spacing w:before="120" w:after="120"/>
        <w:ind w:left="1134" w:hanging="567"/>
        <w:rPr>
          <w:rFonts w:asciiTheme="majorBidi" w:eastAsia="Calibri" w:hAnsiTheme="majorBidi" w:cstheme="majorBidi"/>
        </w:rPr>
      </w:pPr>
      <w:r w:rsidRPr="00C9561A">
        <w:rPr>
          <w:rFonts w:asciiTheme="majorBidi" w:hAnsiTheme="majorBidi"/>
        </w:rPr>
        <w:t>55.</w:t>
      </w:r>
      <w:r w:rsidRPr="00C9561A">
        <w:rPr>
          <w:rFonts w:asciiTheme="majorBidi" w:hAnsiTheme="majorBidi"/>
        </w:rPr>
        <w:tab/>
        <w:t>Si el mecanismo multilateral tiene implicaciones para la gobernanza de datos;</w:t>
      </w:r>
    </w:p>
    <w:p w14:paraId="7F78BE61" w14:textId="77777777" w:rsidR="00962A8B" w:rsidRPr="00C9561A" w:rsidRDefault="00962A8B" w:rsidP="003C1E26">
      <w:pPr>
        <w:tabs>
          <w:tab w:val="left" w:pos="1701"/>
        </w:tabs>
        <w:spacing w:before="120" w:after="120"/>
        <w:ind w:left="1134" w:hanging="567"/>
        <w:rPr>
          <w:rFonts w:asciiTheme="majorBidi" w:eastAsia="Calibri" w:hAnsiTheme="majorBidi" w:cstheme="majorBidi"/>
        </w:rPr>
      </w:pPr>
      <w:r w:rsidRPr="00C9561A">
        <w:rPr>
          <w:rFonts w:asciiTheme="majorBidi" w:hAnsiTheme="majorBidi"/>
        </w:rPr>
        <w:t>56.</w:t>
      </w:r>
      <w:r w:rsidRPr="00C9561A">
        <w:rPr>
          <w:rFonts w:asciiTheme="majorBidi" w:hAnsiTheme="majorBidi"/>
        </w:rPr>
        <w:tab/>
        <w:t>Cómo podría funcionar el mecanismo de manera compatible con el acceso abierto a los datos de las bases de datos públicas;</w:t>
      </w:r>
    </w:p>
    <w:p w14:paraId="562C9702" w14:textId="0AC4EC7D" w:rsidR="00962A8B" w:rsidRPr="00C9561A" w:rsidRDefault="00962A8B" w:rsidP="003C1E26">
      <w:pPr>
        <w:tabs>
          <w:tab w:val="left" w:pos="1701"/>
        </w:tabs>
        <w:spacing w:before="120" w:after="120"/>
        <w:ind w:left="1134" w:hanging="567"/>
        <w:rPr>
          <w:rFonts w:asciiTheme="majorBidi" w:eastAsia="Calibri" w:hAnsiTheme="majorBidi" w:cstheme="majorBidi"/>
        </w:rPr>
      </w:pPr>
      <w:r w:rsidRPr="00C9561A">
        <w:rPr>
          <w:rFonts w:asciiTheme="majorBidi" w:hAnsiTheme="majorBidi"/>
        </w:rPr>
        <w:t>57.</w:t>
      </w:r>
      <w:r w:rsidRPr="00C9561A">
        <w:rPr>
          <w:rFonts w:asciiTheme="majorBidi" w:hAnsiTheme="majorBidi"/>
        </w:rPr>
        <w:tab/>
        <w:t>Si el mecanismo multilateral debe funcionar de forma que no afecte las operaciones o prácticas de trabajo actuales de las bases de datos públicas y, en caso afirmativo, cómo;</w:t>
      </w:r>
    </w:p>
    <w:p w14:paraId="07AA06AA" w14:textId="437CF952" w:rsidR="00962A8B" w:rsidRPr="00C9561A" w:rsidRDefault="00962A8B" w:rsidP="003C1E26">
      <w:pPr>
        <w:tabs>
          <w:tab w:val="left" w:pos="1701"/>
        </w:tabs>
        <w:spacing w:before="120" w:after="120"/>
        <w:ind w:left="1134" w:hanging="567"/>
        <w:rPr>
          <w:rFonts w:asciiTheme="majorBidi" w:eastAsia="Calibri" w:hAnsiTheme="majorBidi" w:cstheme="majorBidi"/>
        </w:rPr>
      </w:pPr>
      <w:r w:rsidRPr="00C9561A">
        <w:rPr>
          <w:rFonts w:asciiTheme="majorBidi" w:hAnsiTheme="majorBidi"/>
        </w:rPr>
        <w:t>58.</w:t>
      </w:r>
      <w:r w:rsidRPr="00C9561A">
        <w:rPr>
          <w:rFonts w:asciiTheme="majorBidi" w:hAnsiTheme="majorBidi"/>
        </w:rPr>
        <w:tab/>
      </w:r>
      <w:r w:rsidRPr="00C9561A">
        <w:t>Si el mecanismo debería acordar y fomentar el uso de directrices de gobernanza de datos que promuevan la aplicación de los principios FAIR (datos fáciles de encontrar, accesibles, interoperables y reutilizables), y los principios CARE (beneficio colectivo, autoridad para controlar, responsabilidad y ética) de forma integrada y equilibrada;</w:t>
      </w:r>
    </w:p>
    <w:p w14:paraId="20CE608E" w14:textId="2C759A21" w:rsidR="00962A8B" w:rsidRPr="00C9561A" w:rsidRDefault="00962A8B" w:rsidP="006640F7">
      <w:pPr>
        <w:tabs>
          <w:tab w:val="left" w:pos="1701"/>
        </w:tabs>
        <w:spacing w:before="120" w:after="120"/>
        <w:ind w:left="1134" w:hanging="567"/>
        <w:rPr>
          <w:rFonts w:asciiTheme="majorBidi" w:eastAsia="Calibri" w:hAnsiTheme="majorBidi" w:cstheme="majorBidi"/>
        </w:rPr>
      </w:pPr>
      <w:r w:rsidRPr="00C9561A">
        <w:rPr>
          <w:rFonts w:asciiTheme="majorBidi" w:hAnsiTheme="majorBidi"/>
        </w:rPr>
        <w:t>59.</w:t>
      </w:r>
      <w:r w:rsidRPr="00C9561A">
        <w:rPr>
          <w:rFonts w:asciiTheme="majorBidi" w:hAnsiTheme="majorBidi"/>
        </w:rPr>
        <w:tab/>
        <w:t>Cómo funcionará el mecanismo multilateral de forma que respete los derechos de los pueblos indígenas y las comunidades locales sobre sus conocimientos tradicionales, los conocimientos tradicionales asociados a los recursos genéticos y los recursos genéticos;</w:t>
      </w:r>
    </w:p>
    <w:p w14:paraId="285AF54A" w14:textId="77777777" w:rsidR="00962A8B" w:rsidRPr="00C9561A" w:rsidRDefault="00962A8B" w:rsidP="00C2361D">
      <w:pPr>
        <w:keepNext/>
        <w:keepLines/>
        <w:spacing w:before="360" w:after="120"/>
        <w:rPr>
          <w:rFonts w:asciiTheme="majorBidi" w:hAnsiTheme="majorBidi" w:cstheme="majorBidi"/>
          <w:b/>
          <w:sz w:val="28"/>
          <w:szCs w:val="28"/>
        </w:rPr>
      </w:pPr>
      <w:r w:rsidRPr="00C9561A">
        <w:rPr>
          <w:rFonts w:asciiTheme="majorBidi" w:hAnsiTheme="majorBidi"/>
          <w:b/>
          <w:sz w:val="28"/>
          <w:szCs w:val="28"/>
        </w:rPr>
        <w:t>E.</w:t>
      </w:r>
      <w:r w:rsidRPr="00C9561A">
        <w:rPr>
          <w:rFonts w:asciiTheme="majorBidi" w:hAnsiTheme="majorBidi"/>
          <w:b/>
          <w:sz w:val="28"/>
          <w:szCs w:val="28"/>
        </w:rPr>
        <w:tab/>
        <w:t>Relación con otros enfoques y sistemas</w:t>
      </w:r>
    </w:p>
    <w:p w14:paraId="4480D938" w14:textId="77777777" w:rsidR="00962A8B" w:rsidRPr="00C9561A" w:rsidRDefault="00962A8B" w:rsidP="00C2361D">
      <w:pPr>
        <w:keepNext/>
        <w:keepLines/>
        <w:tabs>
          <w:tab w:val="left" w:pos="1134"/>
        </w:tabs>
        <w:spacing w:line="276" w:lineRule="auto"/>
        <w:ind w:left="567"/>
        <w:jc w:val="left"/>
        <w:rPr>
          <w:rFonts w:asciiTheme="majorBidi" w:eastAsia="Calibri" w:hAnsiTheme="majorBidi" w:cstheme="majorBidi"/>
          <w:i/>
          <w:iCs/>
        </w:rPr>
      </w:pPr>
      <w:r w:rsidRPr="00C9561A">
        <w:rPr>
          <w:rFonts w:asciiTheme="majorBidi" w:hAnsiTheme="majorBidi"/>
          <w:i/>
          <w:iCs/>
        </w:rPr>
        <w:t xml:space="preserve">Elementos en los que hay posible convergencia </w:t>
      </w:r>
    </w:p>
    <w:p w14:paraId="1E1A222C" w14:textId="77777777" w:rsidR="00962A8B" w:rsidRPr="00C9561A" w:rsidRDefault="00962A8B" w:rsidP="00CA05E7">
      <w:pPr>
        <w:tabs>
          <w:tab w:val="left" w:pos="1701"/>
        </w:tabs>
        <w:spacing w:before="120" w:after="120"/>
        <w:ind w:left="1134" w:hanging="567"/>
        <w:rPr>
          <w:rFonts w:asciiTheme="majorBidi" w:eastAsia="Calibri" w:hAnsiTheme="majorBidi" w:cstheme="majorBidi"/>
        </w:rPr>
      </w:pPr>
      <w:r w:rsidRPr="00C9561A">
        <w:rPr>
          <w:rFonts w:asciiTheme="majorBidi" w:hAnsiTheme="majorBidi"/>
        </w:rPr>
        <w:t>60.</w:t>
      </w:r>
      <w:r w:rsidRPr="00C9561A">
        <w:rPr>
          <w:rFonts w:asciiTheme="majorBidi" w:hAnsiTheme="majorBidi"/>
        </w:rPr>
        <w:tab/>
        <w:t>Dependiendo de su forma definitiva, el mecanismo multilateral podría aprender de una serie de enfoques y sistemas existentes, como los protocolos comunitarios y ejemplos de beneficios monetarios y no monetarios;</w:t>
      </w:r>
    </w:p>
    <w:p w14:paraId="6B9DA9E1" w14:textId="3F0998C6" w:rsidR="00962A8B" w:rsidRPr="00C9561A" w:rsidRDefault="00962A8B" w:rsidP="00CA05E7">
      <w:pPr>
        <w:tabs>
          <w:tab w:val="left" w:pos="1701"/>
        </w:tabs>
        <w:spacing w:before="120" w:after="120"/>
        <w:ind w:left="1134" w:hanging="567"/>
        <w:rPr>
          <w:rFonts w:asciiTheme="majorBidi" w:eastAsia="Calibri" w:hAnsiTheme="majorBidi" w:cstheme="majorBidi"/>
        </w:rPr>
      </w:pPr>
      <w:r w:rsidRPr="00C9561A">
        <w:rPr>
          <w:rFonts w:asciiTheme="majorBidi" w:hAnsiTheme="majorBidi"/>
        </w:rPr>
        <w:t>61.</w:t>
      </w:r>
      <w:r w:rsidRPr="00C9561A">
        <w:rPr>
          <w:rFonts w:asciiTheme="majorBidi" w:hAnsiTheme="majorBidi"/>
        </w:rPr>
        <w:tab/>
      </w:r>
      <w:r w:rsidRPr="00C9561A">
        <w:t xml:space="preserve">Se requieren coordinación y cooperación permanentes con los demás foros que están estudiando la participación en los beneficios que se deriven de la utilización de la información digital sobre secuencias de recursos genéticos o cuestiones relacionadas (por ejemplo, el Tratado Internacional sobre los Recursos Fitogenéticos para la Alimentación y la Agricultura, la Comisión de Recursos Genéticos para la Alimentación y la Agricultura de la Organización de las Naciones Unidas para la Alimentación y la Agricultura, la Organización Mundial de la Salud, el Acuerdo en el marco de la Convención de las Naciones Unidas sobre el Derecho del Mar relativo a la conservación y el uso sostenible de la diversidad biológica marina de las zonas situadas fuera de la jurisdicción nacional, </w:t>
      </w:r>
      <w:r w:rsidR="00F34849" w:rsidRPr="00C9561A">
        <w:t xml:space="preserve">y </w:t>
      </w:r>
      <w:r w:rsidRPr="00C9561A">
        <w:t xml:space="preserve">la Organización Mundial de la Propiedad Intelectual) para garantizar la claridad jurídica y permitir que el mecanismo multilateral se apoye </w:t>
      </w:r>
      <w:r w:rsidRPr="00C9561A">
        <w:lastRenderedPageBreak/>
        <w:t>mutuamente con los demás instrumentos y se adapte a ellos, reconociendo al mismo tiempo que otros foros pueden desarrollar enfoques especializados;</w:t>
      </w:r>
    </w:p>
    <w:p w14:paraId="1A8B09E9" w14:textId="2E6042CD" w:rsidR="00962A8B" w:rsidRPr="00C9561A" w:rsidRDefault="00962A8B" w:rsidP="00F346D8">
      <w:pPr>
        <w:keepNext/>
        <w:tabs>
          <w:tab w:val="left" w:pos="1134"/>
        </w:tabs>
        <w:spacing w:line="276" w:lineRule="auto"/>
        <w:jc w:val="left"/>
        <w:rPr>
          <w:rFonts w:asciiTheme="majorBidi" w:eastAsia="Calibri" w:hAnsiTheme="majorBidi" w:cstheme="majorBidi"/>
        </w:rPr>
      </w:pPr>
      <w:r w:rsidRPr="00C9561A">
        <w:rPr>
          <w:rFonts w:asciiTheme="majorBidi" w:hAnsiTheme="majorBidi"/>
          <w:i/>
        </w:rPr>
        <w:t>Elementos sobre los que es necesario seguir deliberando</w:t>
      </w:r>
      <w:r w:rsidRPr="00C9561A">
        <w:rPr>
          <w:rFonts w:asciiTheme="majorBidi" w:hAnsiTheme="majorBidi"/>
          <w:i/>
          <w:strike/>
        </w:rPr>
        <w:t xml:space="preserve"> </w:t>
      </w:r>
    </w:p>
    <w:p w14:paraId="6307FC25" w14:textId="77777777" w:rsidR="00962A8B" w:rsidRPr="00C9561A" w:rsidRDefault="00962A8B" w:rsidP="00F346D8">
      <w:pPr>
        <w:tabs>
          <w:tab w:val="left" w:pos="1701"/>
        </w:tabs>
        <w:spacing w:before="120" w:after="120"/>
        <w:ind w:left="1134" w:hanging="567"/>
        <w:rPr>
          <w:rFonts w:asciiTheme="majorBidi" w:eastAsia="Calibri" w:hAnsiTheme="majorBidi" w:cstheme="majorBidi"/>
        </w:rPr>
      </w:pPr>
      <w:r w:rsidRPr="00C9561A">
        <w:rPr>
          <w:rFonts w:asciiTheme="majorBidi" w:hAnsiTheme="majorBidi"/>
        </w:rPr>
        <w:t>62.</w:t>
      </w:r>
      <w:r w:rsidRPr="00C9561A">
        <w:rPr>
          <w:rFonts w:asciiTheme="majorBidi" w:hAnsiTheme="majorBidi"/>
        </w:rPr>
        <w:tab/>
        <w:t>Si la creación de un órgano o proceso inter-foros sobre acceso y participación en los beneficios para la información digital sobre secuencias de recursos genéticos podría facilitar la coordinación entre los foros que estudian la información digital sobre secuencias de recursos genéticos y, en ese caso, de qué manera;</w:t>
      </w:r>
    </w:p>
    <w:p w14:paraId="446102BD" w14:textId="092F7BFC" w:rsidR="00962A8B" w:rsidRPr="00C9561A" w:rsidRDefault="00962A8B" w:rsidP="00F346D8">
      <w:pPr>
        <w:tabs>
          <w:tab w:val="left" w:pos="1701"/>
        </w:tabs>
        <w:spacing w:before="120" w:after="120"/>
        <w:ind w:left="1134" w:hanging="567"/>
        <w:rPr>
          <w:rFonts w:asciiTheme="majorBidi" w:hAnsiTheme="majorBidi" w:cstheme="majorBidi"/>
        </w:rPr>
      </w:pPr>
      <w:r w:rsidRPr="00C9561A">
        <w:rPr>
          <w:rFonts w:asciiTheme="majorBidi" w:hAnsiTheme="majorBidi"/>
        </w:rPr>
        <w:t>63.</w:t>
      </w:r>
      <w:r w:rsidRPr="00C9561A">
        <w:rPr>
          <w:rFonts w:asciiTheme="majorBidi" w:hAnsiTheme="majorBidi"/>
        </w:rPr>
        <w:tab/>
        <w:t xml:space="preserve">En el caso de modelos en los que el mecanismo multilateral funciona junto con acuerdos bilaterales para el acceso y la participación en los beneficios que se deriven de la información digital sobre secuencias de recursos genéticos, las cuestiones que deben debatirse más a fondo incluyen: </w:t>
      </w:r>
    </w:p>
    <w:p w14:paraId="58B2EAB2" w14:textId="6B6680BA" w:rsidR="00962A8B" w:rsidRPr="00C9561A" w:rsidRDefault="00962A8B" w:rsidP="00F346D8">
      <w:pPr>
        <w:pStyle w:val="ListParagraph"/>
        <w:spacing w:before="120" w:after="120"/>
        <w:ind w:left="1701" w:hanging="567"/>
        <w:rPr>
          <w:rFonts w:asciiTheme="majorBidi" w:hAnsiTheme="majorBidi" w:cstheme="majorBidi"/>
        </w:rPr>
      </w:pPr>
      <w:r w:rsidRPr="00C9561A">
        <w:rPr>
          <w:rFonts w:asciiTheme="majorBidi" w:hAnsiTheme="majorBidi"/>
        </w:rPr>
        <w:t>a)</w:t>
      </w:r>
      <w:r w:rsidRPr="00C9561A">
        <w:rPr>
          <w:rFonts w:asciiTheme="majorBidi" w:hAnsiTheme="majorBidi"/>
        </w:rPr>
        <w:tab/>
        <w:t xml:space="preserve">Si cualquiera de estos modelos se podría diseñar, y </w:t>
      </w:r>
      <w:r w:rsidR="00445C8A" w:rsidRPr="00C9561A">
        <w:rPr>
          <w:rFonts w:asciiTheme="majorBidi" w:hAnsiTheme="majorBidi"/>
        </w:rPr>
        <w:t>de qué manera</w:t>
      </w:r>
      <w:r w:rsidRPr="00C9561A">
        <w:rPr>
          <w:rFonts w:asciiTheme="majorBidi" w:hAnsiTheme="majorBidi"/>
        </w:rPr>
        <w:t xml:space="preserve">, a fin de cumplir los criterios establecidos en los párrafos 6 a 10 de la decisión 15/9 y el mandato establecido para el Grupo de Trabajo Especial de Composición Abierta sobre Participación en los Beneficios que se Deriven de la Utilización de Información Digital sobre Secuencias de Recursos Genéticos; </w:t>
      </w:r>
    </w:p>
    <w:p w14:paraId="62E286EE" w14:textId="77777777" w:rsidR="00962A8B" w:rsidRPr="00C9561A" w:rsidRDefault="00962A8B" w:rsidP="00F346D8">
      <w:pPr>
        <w:pStyle w:val="ListParagraph"/>
        <w:spacing w:before="120" w:after="120"/>
        <w:ind w:left="1701" w:hanging="567"/>
        <w:rPr>
          <w:rFonts w:asciiTheme="majorBidi" w:eastAsia="Calibri" w:hAnsiTheme="majorBidi" w:cstheme="majorBidi"/>
        </w:rPr>
      </w:pPr>
      <w:r w:rsidRPr="00C9561A">
        <w:rPr>
          <w:rFonts w:asciiTheme="majorBidi" w:hAnsiTheme="majorBidi"/>
        </w:rPr>
        <w:t>b)</w:t>
      </w:r>
      <w:r w:rsidRPr="00C9561A">
        <w:rPr>
          <w:rFonts w:asciiTheme="majorBidi" w:hAnsiTheme="majorBidi"/>
        </w:rPr>
        <w:tab/>
        <w:t>Los medios prácticos para implementar estos modelos;</w:t>
      </w:r>
    </w:p>
    <w:p w14:paraId="275F3141" w14:textId="2B4E3FB9" w:rsidR="00962A8B" w:rsidRPr="00C9561A" w:rsidRDefault="00962A8B" w:rsidP="00F346D8">
      <w:pPr>
        <w:pStyle w:val="ListParagraph"/>
        <w:spacing w:before="120" w:after="120"/>
        <w:ind w:left="1701" w:hanging="567"/>
      </w:pPr>
      <w:r w:rsidRPr="00C9561A">
        <w:rPr>
          <w:rFonts w:asciiTheme="majorBidi" w:hAnsiTheme="majorBidi"/>
        </w:rPr>
        <w:t>c)</w:t>
      </w:r>
      <w:r w:rsidRPr="00C9561A">
        <w:rPr>
          <w:rFonts w:asciiTheme="majorBidi" w:hAnsiTheme="majorBidi"/>
        </w:rPr>
        <w:tab/>
        <w:t>Si el riesgo de duplicación de pagos es significativo o problemático;</w:t>
      </w:r>
      <w:r w:rsidRPr="00C9561A">
        <w:t xml:space="preserve"> </w:t>
      </w:r>
    </w:p>
    <w:p w14:paraId="09F14775" w14:textId="77777777" w:rsidR="00962A8B" w:rsidRPr="00C9561A" w:rsidRDefault="00962A8B" w:rsidP="00F346D8">
      <w:pPr>
        <w:pStyle w:val="ListParagraph"/>
        <w:spacing w:before="120" w:after="120"/>
        <w:ind w:left="1701" w:hanging="567"/>
        <w:rPr>
          <w:rFonts w:asciiTheme="majorBidi" w:eastAsia="Calibri" w:hAnsiTheme="majorBidi" w:cstheme="majorBidi"/>
        </w:rPr>
      </w:pPr>
      <w:r w:rsidRPr="00C9561A">
        <w:rPr>
          <w:rFonts w:asciiTheme="majorBidi" w:hAnsiTheme="majorBidi"/>
        </w:rPr>
        <w:t>d)</w:t>
      </w:r>
      <w:r w:rsidRPr="00C9561A">
        <w:rPr>
          <w:rFonts w:asciiTheme="majorBidi" w:hAnsiTheme="majorBidi"/>
        </w:rPr>
        <w:tab/>
        <w:t>Si sería necesario disponer arreglos para prevenir la búsqueda de la jurisdicción más favorable;</w:t>
      </w:r>
    </w:p>
    <w:p w14:paraId="084F19DE" w14:textId="355690B1" w:rsidR="00962A8B" w:rsidRPr="00C9561A" w:rsidRDefault="00962A8B" w:rsidP="00F346D8">
      <w:pPr>
        <w:pStyle w:val="ListParagraph"/>
        <w:spacing w:before="120" w:after="120"/>
        <w:ind w:left="1701" w:hanging="567"/>
        <w:rPr>
          <w:rFonts w:asciiTheme="majorBidi" w:eastAsia="Calibri" w:hAnsiTheme="majorBidi" w:cstheme="majorBidi"/>
        </w:rPr>
      </w:pPr>
      <w:r w:rsidRPr="00C9561A">
        <w:rPr>
          <w:rFonts w:asciiTheme="majorBidi" w:hAnsiTheme="majorBidi"/>
        </w:rPr>
        <w:t>e)</w:t>
      </w:r>
      <w:r w:rsidRPr="00C9561A">
        <w:rPr>
          <w:rFonts w:asciiTheme="majorBidi" w:hAnsiTheme="majorBidi"/>
        </w:rPr>
        <w:tab/>
        <w:t>Las ventajas y desventajas de utilizar estos modelos de forma limitada en el tiempo;</w:t>
      </w:r>
    </w:p>
    <w:p w14:paraId="5D9FFC44" w14:textId="77777777" w:rsidR="00962A8B" w:rsidRPr="00C9561A" w:rsidRDefault="00962A8B" w:rsidP="00E322A5">
      <w:pPr>
        <w:pStyle w:val="ListParagraph"/>
        <w:spacing w:before="120" w:after="120"/>
        <w:ind w:left="1701" w:hanging="567"/>
        <w:rPr>
          <w:rFonts w:asciiTheme="majorBidi" w:eastAsia="Calibri" w:hAnsiTheme="majorBidi" w:cstheme="majorBidi"/>
        </w:rPr>
      </w:pPr>
      <w:r w:rsidRPr="00C9561A">
        <w:rPr>
          <w:rFonts w:asciiTheme="majorBidi" w:hAnsiTheme="majorBidi"/>
        </w:rPr>
        <w:t>f)</w:t>
      </w:r>
      <w:r w:rsidRPr="00C9561A">
        <w:rPr>
          <w:rFonts w:asciiTheme="majorBidi" w:hAnsiTheme="majorBidi"/>
        </w:rPr>
        <w:tab/>
        <w:t xml:space="preserve">Si sería apropiado que las Partes que aplican medidas nacionales de acceso y participación en los beneficios en relación con la información digital sobre secuencias de recursos genéticos y las Partes que no las aplican se beneficiaran del mecanismo multilateral en la misma medida. </w:t>
      </w:r>
    </w:p>
    <w:p w14:paraId="5D9D9365" w14:textId="77777777" w:rsidR="00962A8B" w:rsidRPr="00C9561A" w:rsidRDefault="00962A8B" w:rsidP="00D76609">
      <w:pPr>
        <w:spacing w:before="120" w:after="120"/>
        <w:ind w:left="1134" w:hanging="567"/>
        <w:rPr>
          <w:rFonts w:asciiTheme="majorBidi" w:eastAsia="Calibri" w:hAnsiTheme="majorBidi" w:cstheme="majorBidi"/>
        </w:rPr>
      </w:pPr>
      <w:r w:rsidRPr="00C9561A">
        <w:rPr>
          <w:rFonts w:asciiTheme="majorBidi" w:hAnsiTheme="majorBidi"/>
        </w:rPr>
        <w:t>64.</w:t>
      </w:r>
      <w:r w:rsidRPr="00C9561A">
        <w:rPr>
          <w:rFonts w:asciiTheme="majorBidi" w:hAnsiTheme="majorBidi"/>
        </w:rPr>
        <w:tab/>
        <w:t>Cómo garantizar que el mecanismo multilateral no sea contrario a los artículos 15.1 y 15.7 del Convenio.</w:t>
      </w:r>
    </w:p>
    <w:p w14:paraId="012C699B" w14:textId="72DE0B11" w:rsidR="00962A8B" w:rsidRPr="00C9561A" w:rsidRDefault="00962A8B" w:rsidP="00D76609">
      <w:pPr>
        <w:spacing w:before="120" w:after="120"/>
        <w:ind w:left="1134" w:hanging="567"/>
        <w:rPr>
          <w:rFonts w:asciiTheme="majorBidi" w:eastAsia="Calibri" w:hAnsiTheme="majorBidi" w:cstheme="majorBidi"/>
        </w:rPr>
      </w:pPr>
      <w:r w:rsidRPr="00C9561A">
        <w:rPr>
          <w:rFonts w:asciiTheme="majorBidi" w:hAnsiTheme="majorBidi"/>
        </w:rPr>
        <w:t>65.</w:t>
      </w:r>
      <w:r w:rsidRPr="00C9561A">
        <w:rPr>
          <w:rFonts w:asciiTheme="majorBidi" w:hAnsiTheme="majorBidi"/>
        </w:rPr>
        <w:tab/>
        <w:t>Si el ámbito de aplicación del mecanismo multilateral, inicialmente o en el futuro, debería ampliarse para incluir los recursos genéticos</w:t>
      </w:r>
      <w:r w:rsidR="00FD1224" w:rsidRPr="00C9561A">
        <w:rPr>
          <w:rFonts w:asciiTheme="majorBidi" w:hAnsiTheme="majorBidi"/>
        </w:rPr>
        <w:t>.</w:t>
      </w:r>
    </w:p>
    <w:p w14:paraId="1FDBFF9B" w14:textId="77777777" w:rsidR="00962A8B" w:rsidRPr="00C9561A" w:rsidRDefault="00962A8B" w:rsidP="00D76609">
      <w:pPr>
        <w:spacing w:before="120" w:after="120"/>
        <w:ind w:left="1134" w:hanging="567"/>
        <w:rPr>
          <w:rFonts w:asciiTheme="majorBidi" w:eastAsia="Calibri" w:hAnsiTheme="majorBidi" w:cstheme="majorBidi"/>
        </w:rPr>
      </w:pPr>
      <w:r w:rsidRPr="00C9561A">
        <w:rPr>
          <w:rFonts w:asciiTheme="majorBidi" w:hAnsiTheme="majorBidi"/>
        </w:rPr>
        <w:t>66.</w:t>
      </w:r>
      <w:r w:rsidRPr="00C9561A">
        <w:rPr>
          <w:rFonts w:asciiTheme="majorBidi" w:hAnsiTheme="majorBidi"/>
        </w:rPr>
        <w:tab/>
        <w:t>Si el mecanismo multilateral podría ser contrario a las condiciones mutuamente acordadas sobre acceso y participación en los beneficios en virtud del Protocolo de Nagoya que incluyen la información digital sobre secuencias de recursos genéticos y, en tal caso, cómo podrían conciliarse.</w:t>
      </w:r>
    </w:p>
    <w:p w14:paraId="55E99BCD" w14:textId="77777777" w:rsidR="00962A8B" w:rsidRPr="00C9561A" w:rsidRDefault="00962A8B" w:rsidP="00D76609">
      <w:pPr>
        <w:spacing w:before="120" w:after="120"/>
        <w:ind w:left="1134" w:hanging="567"/>
        <w:rPr>
          <w:rFonts w:asciiTheme="majorBidi" w:eastAsia="Calibri" w:hAnsiTheme="majorBidi" w:cstheme="majorBidi"/>
        </w:rPr>
      </w:pPr>
      <w:r w:rsidRPr="00C9561A">
        <w:rPr>
          <w:rFonts w:asciiTheme="majorBidi" w:hAnsiTheme="majorBidi"/>
        </w:rPr>
        <w:t>67.</w:t>
      </w:r>
      <w:r w:rsidRPr="00C9561A">
        <w:rPr>
          <w:rFonts w:asciiTheme="majorBidi" w:hAnsiTheme="majorBidi"/>
        </w:rPr>
        <w:tab/>
        <w:t>Si el mecanismo multilateral podría aprender de los enfoques adoptados en el marco del Protocolo de Nagoya, como el derecho consuetudinario y los protocolos y procedimientos comunitarios.</w:t>
      </w:r>
    </w:p>
    <w:p w14:paraId="7E0AD92E" w14:textId="77777777" w:rsidR="00962A8B" w:rsidRPr="00C9561A" w:rsidRDefault="00962A8B" w:rsidP="006640F7">
      <w:pPr>
        <w:spacing w:before="120" w:after="120"/>
        <w:ind w:left="1134" w:hanging="567"/>
        <w:rPr>
          <w:rFonts w:asciiTheme="majorBidi" w:eastAsia="Calibri" w:hAnsiTheme="majorBidi" w:cstheme="majorBidi"/>
        </w:rPr>
      </w:pPr>
      <w:r w:rsidRPr="00C9561A">
        <w:rPr>
          <w:rFonts w:asciiTheme="majorBidi" w:hAnsiTheme="majorBidi"/>
        </w:rPr>
        <w:t>68.</w:t>
      </w:r>
      <w:r w:rsidRPr="00C9561A">
        <w:rPr>
          <w:rFonts w:asciiTheme="majorBidi" w:hAnsiTheme="majorBidi"/>
        </w:rPr>
        <w:tab/>
        <w:t>Cómo podría diseñarse el mecanismo multilateral para no socavar los derechos y responsabilidades que existen en virtud del Protocolo y para que este no vaya en detrimento de las medidas nacionales de acceso y participación en los beneficios.</w:t>
      </w:r>
    </w:p>
    <w:p w14:paraId="013AA9CF" w14:textId="20A69544" w:rsidR="00962A8B" w:rsidRPr="00C9561A" w:rsidRDefault="00962A8B" w:rsidP="006640F7">
      <w:pPr>
        <w:spacing w:before="120" w:after="120"/>
        <w:ind w:left="1134" w:hanging="567"/>
        <w:rPr>
          <w:rFonts w:asciiTheme="majorBidi" w:eastAsia="Calibri" w:hAnsiTheme="majorBidi" w:cstheme="majorBidi"/>
        </w:rPr>
      </w:pPr>
      <w:r w:rsidRPr="00C9561A">
        <w:rPr>
          <w:rFonts w:asciiTheme="majorBidi" w:hAnsiTheme="majorBidi"/>
        </w:rPr>
        <w:t>69.</w:t>
      </w:r>
      <w:r w:rsidRPr="00C9561A">
        <w:rPr>
          <w:rFonts w:asciiTheme="majorBidi" w:hAnsiTheme="majorBidi"/>
        </w:rPr>
        <w:tab/>
        <w:t>Si cualquier coordinación y cooperación con otros foros debería incluir también a la Organización de las Naciones Unidas para la Educación, la Ciencia y la Cultura</w:t>
      </w:r>
      <w:r w:rsidR="003C602B" w:rsidRPr="00C9561A">
        <w:rPr>
          <w:rFonts w:asciiTheme="majorBidi" w:hAnsiTheme="majorBidi"/>
        </w:rPr>
        <w:t>,</w:t>
      </w:r>
      <w:r w:rsidRPr="00C9561A">
        <w:rPr>
          <w:rFonts w:asciiTheme="majorBidi" w:hAnsiTheme="majorBidi"/>
        </w:rPr>
        <w:t xml:space="preserve"> y </w:t>
      </w:r>
      <w:r w:rsidR="00696D8F" w:rsidRPr="00C9561A">
        <w:rPr>
          <w:rFonts w:asciiTheme="majorBidi" w:hAnsiTheme="majorBidi"/>
        </w:rPr>
        <w:t>tal vez</w:t>
      </w:r>
      <w:r w:rsidRPr="00C9561A">
        <w:rPr>
          <w:rFonts w:asciiTheme="majorBidi" w:hAnsiTheme="majorBidi"/>
        </w:rPr>
        <w:t xml:space="preserve"> otros.</w:t>
      </w:r>
    </w:p>
    <w:p w14:paraId="4291137C" w14:textId="77777777" w:rsidR="00962A8B" w:rsidRPr="00C9561A" w:rsidRDefault="00962A8B" w:rsidP="006640F7">
      <w:pPr>
        <w:spacing w:before="120" w:after="120"/>
        <w:ind w:left="1134" w:hanging="567"/>
        <w:rPr>
          <w:rFonts w:asciiTheme="majorBidi" w:eastAsia="Calibri" w:hAnsiTheme="majorBidi" w:cstheme="majorBidi"/>
        </w:rPr>
      </w:pPr>
      <w:r w:rsidRPr="00C9561A">
        <w:rPr>
          <w:rFonts w:asciiTheme="majorBidi" w:hAnsiTheme="majorBidi"/>
        </w:rPr>
        <w:t>70.</w:t>
      </w:r>
      <w:r w:rsidRPr="00C9561A">
        <w:rPr>
          <w:rFonts w:asciiTheme="majorBidi" w:hAnsiTheme="majorBidi"/>
        </w:rPr>
        <w:tab/>
        <w:t>Cómo garantizar que el mecanismo esté preparado para el futuro y contemple, entre otras cosas, los resultados de la inteligencia artificial aplicados a la información digital sobre secuencias de recursos genéticos.</w:t>
      </w:r>
    </w:p>
    <w:p w14:paraId="3AACAA84" w14:textId="52CF088B" w:rsidR="002C3E4B" w:rsidRPr="00C9561A" w:rsidRDefault="00962A8B" w:rsidP="002C3E4B">
      <w:pPr>
        <w:jc w:val="center"/>
      </w:pPr>
      <w:r w:rsidRPr="00C9561A">
        <w:t>_________________</w:t>
      </w:r>
    </w:p>
    <w:sectPr w:rsidR="002C3E4B" w:rsidRPr="00C9561A" w:rsidSect="00D923A6">
      <w:footnotePr>
        <w:numRestart w:val="eachSect"/>
      </w:footnotePr>
      <w:pgSz w:w="12240" w:h="15840" w:code="1"/>
      <w:pgMar w:top="1022" w:right="1325" w:bottom="1138" w:left="1418" w:header="461"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B7454A" w14:textId="77777777" w:rsidR="0061461F" w:rsidRDefault="0061461F">
      <w:r>
        <w:separator/>
      </w:r>
    </w:p>
  </w:endnote>
  <w:endnote w:type="continuationSeparator" w:id="0">
    <w:p w14:paraId="3C476ECB" w14:textId="77777777" w:rsidR="0061461F" w:rsidRDefault="0061461F">
      <w:r>
        <w:continuationSeparator/>
      </w:r>
    </w:p>
  </w:endnote>
  <w:endnote w:type="continuationNotice" w:id="1">
    <w:p w14:paraId="069BAFBB" w14:textId="77777777" w:rsidR="0061461F" w:rsidRDefault="00614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3716841"/>
      <w:docPartObj>
        <w:docPartGallery w:val="Page Numbers (Bottom of Page)"/>
        <w:docPartUnique/>
      </w:docPartObj>
    </w:sdtPr>
    <w:sdtEndPr/>
    <w:sdtContent>
      <w:sdt>
        <w:sdtPr>
          <w:id w:val="-1705238520"/>
          <w:docPartObj>
            <w:docPartGallery w:val="Page Numbers (Top of Page)"/>
            <w:docPartUnique/>
          </w:docPartObj>
        </w:sdtPr>
        <w:sdtEndPr/>
        <w:sdtContent>
          <w:p w14:paraId="10ACB4BA" w14:textId="587B1FF0" w:rsidR="008B4E2C" w:rsidRPr="00B60D17" w:rsidRDefault="00A4301B" w:rsidP="001A7B71">
            <w:pPr>
              <w:pStyle w:val="Footer"/>
            </w:pPr>
            <w:r w:rsidRPr="00B60D17">
              <w:rPr>
                <w:sz w:val="20"/>
                <w:szCs w:val="20"/>
              </w:rPr>
              <w:fldChar w:fldCharType="begin"/>
            </w:r>
            <w:r w:rsidRPr="00B60D17">
              <w:rPr>
                <w:sz w:val="20"/>
                <w:szCs w:val="20"/>
              </w:rPr>
              <w:instrText xml:space="preserve"> PAGE </w:instrText>
            </w:r>
            <w:r w:rsidRPr="00B60D17">
              <w:rPr>
                <w:sz w:val="20"/>
                <w:szCs w:val="20"/>
              </w:rPr>
              <w:fldChar w:fldCharType="separate"/>
            </w:r>
            <w:r w:rsidR="00C9561A">
              <w:rPr>
                <w:noProof/>
                <w:sz w:val="20"/>
                <w:szCs w:val="20"/>
              </w:rPr>
              <w:t>6</w:t>
            </w:r>
            <w:r w:rsidRPr="00B60D17">
              <w:rPr>
                <w:sz w:val="20"/>
                <w:szCs w:val="20"/>
              </w:rPr>
              <w:fldChar w:fldCharType="end"/>
            </w:r>
            <w:r>
              <w:rPr>
                <w:sz w:val="20"/>
                <w:szCs w:val="20"/>
              </w:rPr>
              <w:t>/</w:t>
            </w:r>
            <w:r w:rsidRPr="00B60D17">
              <w:rPr>
                <w:sz w:val="20"/>
                <w:szCs w:val="20"/>
              </w:rPr>
              <w:fldChar w:fldCharType="begin"/>
            </w:r>
            <w:r w:rsidRPr="00B60D17">
              <w:rPr>
                <w:sz w:val="20"/>
                <w:szCs w:val="20"/>
              </w:rPr>
              <w:instrText xml:space="preserve"> NUMPAGES  </w:instrText>
            </w:r>
            <w:r w:rsidRPr="00B60D17">
              <w:rPr>
                <w:sz w:val="20"/>
                <w:szCs w:val="20"/>
              </w:rPr>
              <w:fldChar w:fldCharType="separate"/>
            </w:r>
            <w:r w:rsidR="00C9561A">
              <w:rPr>
                <w:noProof/>
                <w:sz w:val="20"/>
                <w:szCs w:val="20"/>
              </w:rPr>
              <w:t>14</w:t>
            </w:r>
            <w:r w:rsidRPr="00B60D17">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040428"/>
      <w:docPartObj>
        <w:docPartGallery w:val="Page Numbers (Bottom of Page)"/>
        <w:docPartUnique/>
      </w:docPartObj>
    </w:sdtPr>
    <w:sdtEndPr/>
    <w:sdtContent>
      <w:sdt>
        <w:sdtPr>
          <w:id w:val="-1769616900"/>
          <w:docPartObj>
            <w:docPartGallery w:val="Page Numbers (Top of Page)"/>
            <w:docPartUnique/>
          </w:docPartObj>
        </w:sdtPr>
        <w:sdtEndPr/>
        <w:sdtContent>
          <w:p w14:paraId="372247D6" w14:textId="3113BC08" w:rsidR="00CE58D9" w:rsidRDefault="00A4301B" w:rsidP="001A7B71">
            <w:pPr>
              <w:pStyle w:val="Footer"/>
              <w:jc w:val="right"/>
            </w:pPr>
            <w:r w:rsidRPr="00B60D17">
              <w:rPr>
                <w:sz w:val="20"/>
                <w:szCs w:val="20"/>
              </w:rPr>
              <w:fldChar w:fldCharType="begin"/>
            </w:r>
            <w:r w:rsidRPr="00B60D17">
              <w:rPr>
                <w:sz w:val="20"/>
                <w:szCs w:val="20"/>
              </w:rPr>
              <w:instrText xml:space="preserve"> PAGE </w:instrText>
            </w:r>
            <w:r w:rsidRPr="00B60D17">
              <w:rPr>
                <w:sz w:val="20"/>
                <w:szCs w:val="20"/>
              </w:rPr>
              <w:fldChar w:fldCharType="separate"/>
            </w:r>
            <w:r w:rsidR="00C9561A">
              <w:rPr>
                <w:noProof/>
                <w:sz w:val="20"/>
                <w:szCs w:val="20"/>
              </w:rPr>
              <w:t>5</w:t>
            </w:r>
            <w:r w:rsidRPr="00B60D17">
              <w:rPr>
                <w:sz w:val="20"/>
                <w:szCs w:val="20"/>
              </w:rPr>
              <w:fldChar w:fldCharType="end"/>
            </w:r>
            <w:r>
              <w:rPr>
                <w:sz w:val="20"/>
                <w:szCs w:val="20"/>
              </w:rPr>
              <w:t>/</w:t>
            </w:r>
            <w:r w:rsidRPr="00B60D17">
              <w:rPr>
                <w:sz w:val="20"/>
                <w:szCs w:val="20"/>
              </w:rPr>
              <w:fldChar w:fldCharType="begin"/>
            </w:r>
            <w:r w:rsidRPr="00B60D17">
              <w:rPr>
                <w:sz w:val="20"/>
                <w:szCs w:val="20"/>
              </w:rPr>
              <w:instrText xml:space="preserve"> NUMPAGES  </w:instrText>
            </w:r>
            <w:r w:rsidRPr="00B60D17">
              <w:rPr>
                <w:sz w:val="20"/>
                <w:szCs w:val="20"/>
              </w:rPr>
              <w:fldChar w:fldCharType="separate"/>
            </w:r>
            <w:r w:rsidR="00C9561A">
              <w:rPr>
                <w:noProof/>
                <w:sz w:val="20"/>
                <w:szCs w:val="20"/>
              </w:rPr>
              <w:t>14</w:t>
            </w:r>
            <w:r w:rsidRPr="00B60D17">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900931" w14:textId="77777777" w:rsidR="0061461F" w:rsidRDefault="0061461F">
      <w:r>
        <w:separator/>
      </w:r>
    </w:p>
  </w:footnote>
  <w:footnote w:type="continuationSeparator" w:id="0">
    <w:p w14:paraId="0A7989D5" w14:textId="77777777" w:rsidR="0061461F" w:rsidRDefault="0061461F">
      <w:r>
        <w:continuationSeparator/>
      </w:r>
    </w:p>
  </w:footnote>
  <w:footnote w:type="continuationNotice" w:id="1">
    <w:p w14:paraId="4617C6D5" w14:textId="77777777" w:rsidR="0061461F" w:rsidRDefault="0061461F"/>
  </w:footnote>
  <w:footnote w:id="2">
    <w:p w14:paraId="65126C93" w14:textId="18CE9914" w:rsidR="001F513F" w:rsidRPr="00372040" w:rsidRDefault="001F513F">
      <w:pPr>
        <w:pStyle w:val="FootnoteText"/>
        <w:rPr>
          <w:sz w:val="18"/>
          <w:szCs w:val="18"/>
        </w:rPr>
      </w:pPr>
      <w:r w:rsidRPr="00372040">
        <w:rPr>
          <w:rStyle w:val="FootnoteReference"/>
          <w:sz w:val="18"/>
          <w:szCs w:val="18"/>
        </w:rPr>
        <w:footnoteRef/>
      </w:r>
      <w:r w:rsidRPr="00372040">
        <w:rPr>
          <w:sz w:val="18"/>
          <w:szCs w:val="18"/>
        </w:rPr>
        <w:t xml:space="preserve"> Para consultar la lista de participantes, véase el documento CBD/WGDSI/3/Add.1.</w:t>
      </w:r>
    </w:p>
  </w:footnote>
  <w:footnote w:id="3">
    <w:p w14:paraId="547241AF" w14:textId="18059D75" w:rsidR="009867A0" w:rsidRPr="009867A0" w:rsidRDefault="009867A0" w:rsidP="009867A0">
      <w:pPr>
        <w:pStyle w:val="FootnoteText"/>
        <w:rPr>
          <w:lang w:val="es-MX"/>
        </w:rPr>
      </w:pPr>
      <w:r>
        <w:rPr>
          <w:rStyle w:val="FootnoteReference"/>
        </w:rPr>
        <w:footnoteRef/>
      </w:r>
      <w:r w:rsidRPr="009867A0">
        <w:rPr>
          <w:lang w:val="es-MX"/>
        </w:rPr>
        <w:t xml:space="preserve"> Las declaraciones enviadas a la Secretaría pueden consultarse en </w:t>
      </w:r>
      <w:hyperlink r:id="rId1" w:history="1">
        <w:r w:rsidRPr="009867A0">
          <w:rPr>
            <w:rStyle w:val="Hyperlink"/>
            <w:lang w:val="es-MX"/>
          </w:rPr>
          <w:t>www.cbd.int/meetings/WGDSI-01</w:t>
        </w:r>
      </w:hyperlink>
      <w:r w:rsidRPr="009867A0">
        <w:rPr>
          <w:lang w:val="es-MX"/>
        </w:rPr>
        <w:t>.</w:t>
      </w:r>
    </w:p>
  </w:footnote>
  <w:footnote w:id="4">
    <w:p w14:paraId="67636EF1" w14:textId="515525E6" w:rsidR="00260254" w:rsidRPr="00C9561A" w:rsidRDefault="00260254">
      <w:pPr>
        <w:pStyle w:val="FootnoteText"/>
        <w:rPr>
          <w:sz w:val="18"/>
          <w:szCs w:val="18"/>
          <w:lang w:val="es-MX"/>
        </w:rPr>
      </w:pPr>
      <w:r>
        <w:rPr>
          <w:rStyle w:val="FootnoteReference"/>
          <w:sz w:val="18"/>
          <w:szCs w:val="18"/>
        </w:rPr>
        <w:footnoteRef/>
      </w:r>
      <w:r w:rsidRPr="00C9561A">
        <w:rPr>
          <w:sz w:val="18"/>
          <w:szCs w:val="18"/>
          <w:lang w:val="es-MX"/>
        </w:rPr>
        <w:t xml:space="preserve"> CBD/WGDSI/1/1.</w:t>
      </w:r>
    </w:p>
  </w:footnote>
  <w:footnote w:id="5">
    <w:p w14:paraId="479E171F" w14:textId="78C46304" w:rsidR="00C44816" w:rsidRPr="00C9561A" w:rsidRDefault="00C44816" w:rsidP="00C44816">
      <w:pPr>
        <w:pStyle w:val="FootnoteText"/>
        <w:rPr>
          <w:sz w:val="18"/>
          <w:szCs w:val="18"/>
          <w:lang w:val="es-MX"/>
        </w:rPr>
      </w:pPr>
      <w:r>
        <w:rPr>
          <w:rStyle w:val="FootnoteReference"/>
          <w:sz w:val="18"/>
          <w:szCs w:val="18"/>
        </w:rPr>
        <w:footnoteRef/>
      </w:r>
      <w:r w:rsidRPr="00C9561A">
        <w:rPr>
          <w:sz w:val="18"/>
          <w:szCs w:val="18"/>
          <w:lang w:val="es-MX"/>
        </w:rPr>
        <w:t xml:space="preserve"> CBD/WGDSI/1/1/Add.1.</w:t>
      </w:r>
    </w:p>
  </w:footnote>
  <w:footnote w:id="6">
    <w:p w14:paraId="5987462E" w14:textId="77777777" w:rsidR="00A806F1" w:rsidRPr="00C9561A" w:rsidRDefault="00A806F1">
      <w:pPr>
        <w:pStyle w:val="FootnoteText"/>
        <w:rPr>
          <w:sz w:val="18"/>
          <w:szCs w:val="18"/>
          <w:lang w:val="es-MX"/>
        </w:rPr>
      </w:pPr>
      <w:r>
        <w:rPr>
          <w:rStyle w:val="FootnoteReference"/>
          <w:sz w:val="18"/>
          <w:szCs w:val="18"/>
        </w:rPr>
        <w:footnoteRef/>
      </w:r>
      <w:r w:rsidRPr="00C9561A">
        <w:rPr>
          <w:sz w:val="18"/>
          <w:szCs w:val="18"/>
          <w:lang w:val="es-MX"/>
        </w:rPr>
        <w:t xml:space="preserve"> </w:t>
      </w:r>
      <w:r w:rsidRPr="00C9561A">
        <w:rPr>
          <w:snapToGrid w:val="0"/>
          <w:sz w:val="18"/>
          <w:szCs w:val="18"/>
          <w:lang w:val="es-MX"/>
        </w:rPr>
        <w:t>CBD/WGDSI/1/2.</w:t>
      </w:r>
    </w:p>
  </w:footnote>
  <w:footnote w:id="7">
    <w:p w14:paraId="359C27E8" w14:textId="77777777" w:rsidR="00A806F1" w:rsidRPr="00C9561A" w:rsidRDefault="00A806F1">
      <w:pPr>
        <w:pStyle w:val="FootnoteText"/>
        <w:rPr>
          <w:lang w:val="es-MX"/>
        </w:rPr>
      </w:pPr>
      <w:r>
        <w:rPr>
          <w:rStyle w:val="FootnoteReference"/>
          <w:sz w:val="18"/>
          <w:szCs w:val="18"/>
        </w:rPr>
        <w:footnoteRef/>
      </w:r>
      <w:r w:rsidRPr="00C9561A">
        <w:rPr>
          <w:sz w:val="18"/>
          <w:szCs w:val="18"/>
          <w:lang w:val="es-MX"/>
        </w:rPr>
        <w:t xml:space="preserve"> </w:t>
      </w:r>
      <w:r w:rsidRPr="00C9561A">
        <w:rPr>
          <w:snapToGrid w:val="0"/>
          <w:sz w:val="18"/>
          <w:szCs w:val="18"/>
          <w:lang w:val="es-MX"/>
        </w:rPr>
        <w:t>CBD/WGDSI/1/2/Add.1.</w:t>
      </w:r>
    </w:p>
  </w:footnote>
  <w:footnote w:id="8">
    <w:p w14:paraId="42B3B6EA" w14:textId="77777777" w:rsidR="00A806F1" w:rsidRPr="00C9561A" w:rsidRDefault="00A806F1">
      <w:pPr>
        <w:pStyle w:val="FootnoteText"/>
        <w:rPr>
          <w:sz w:val="18"/>
          <w:szCs w:val="18"/>
          <w:lang w:val="es-MX"/>
        </w:rPr>
      </w:pPr>
      <w:r>
        <w:rPr>
          <w:rStyle w:val="FootnoteReference"/>
          <w:sz w:val="18"/>
          <w:szCs w:val="18"/>
        </w:rPr>
        <w:footnoteRef/>
      </w:r>
      <w:r w:rsidRPr="00C9561A">
        <w:rPr>
          <w:sz w:val="18"/>
          <w:szCs w:val="18"/>
          <w:lang w:val="es-MX"/>
        </w:rPr>
        <w:t xml:space="preserve"> </w:t>
      </w:r>
      <w:r w:rsidRPr="00C9561A">
        <w:rPr>
          <w:snapToGrid w:val="0"/>
          <w:sz w:val="18"/>
          <w:szCs w:val="18"/>
          <w:lang w:val="es-MX"/>
        </w:rPr>
        <w:t>CBD/WGDSI/1/2/Add.2/Rev.1.</w:t>
      </w:r>
    </w:p>
  </w:footnote>
  <w:footnote w:id="9">
    <w:p w14:paraId="037CFB5D" w14:textId="77777777" w:rsidR="00A806F1" w:rsidRPr="00C9561A" w:rsidRDefault="00A806F1">
      <w:pPr>
        <w:pStyle w:val="FootnoteText"/>
        <w:rPr>
          <w:sz w:val="18"/>
          <w:szCs w:val="18"/>
          <w:lang w:val="es-MX"/>
        </w:rPr>
      </w:pPr>
      <w:r>
        <w:rPr>
          <w:rStyle w:val="FootnoteReference"/>
          <w:sz w:val="18"/>
          <w:szCs w:val="18"/>
        </w:rPr>
        <w:footnoteRef/>
      </w:r>
      <w:r w:rsidRPr="00C9561A">
        <w:rPr>
          <w:sz w:val="18"/>
          <w:szCs w:val="18"/>
          <w:lang w:val="es-MX"/>
        </w:rPr>
        <w:t xml:space="preserve"> </w:t>
      </w:r>
      <w:r w:rsidRPr="00C9561A">
        <w:rPr>
          <w:snapToGrid w:val="0"/>
          <w:sz w:val="18"/>
          <w:szCs w:val="18"/>
          <w:lang w:val="es-MX"/>
        </w:rPr>
        <w:t>CBD/WGDSI/1/2/Add.3.</w:t>
      </w:r>
    </w:p>
  </w:footnote>
  <w:footnote w:id="10">
    <w:p w14:paraId="6CC3D5C8" w14:textId="77777777" w:rsidR="00A806F1" w:rsidRPr="000C5112" w:rsidRDefault="00A806F1">
      <w:pPr>
        <w:pStyle w:val="FootnoteText"/>
      </w:pPr>
      <w:r>
        <w:rPr>
          <w:rStyle w:val="FootnoteReference"/>
          <w:sz w:val="18"/>
          <w:szCs w:val="18"/>
        </w:rPr>
        <w:footnoteRef/>
      </w:r>
      <w:r>
        <w:rPr>
          <w:sz w:val="18"/>
          <w:szCs w:val="18"/>
        </w:rPr>
        <w:t xml:space="preserve"> </w:t>
      </w:r>
      <w:r>
        <w:rPr>
          <w:snapToGrid w:val="0"/>
          <w:sz w:val="18"/>
          <w:szCs w:val="18"/>
        </w:rPr>
        <w:t>CBD/WGDSI/1/INF/1.</w:t>
      </w:r>
    </w:p>
  </w:footnote>
  <w:footnote w:id="11">
    <w:p w14:paraId="54F6289D" w14:textId="77777777" w:rsidR="00962A8B" w:rsidRPr="00EF6869" w:rsidRDefault="00962A8B">
      <w:pPr>
        <w:pStyle w:val="FootnoteText"/>
        <w:rPr>
          <w:sz w:val="18"/>
          <w:szCs w:val="18"/>
        </w:rPr>
      </w:pPr>
      <w:r>
        <w:rPr>
          <w:rStyle w:val="FootnoteReference"/>
          <w:sz w:val="18"/>
          <w:szCs w:val="18"/>
        </w:rPr>
        <w:t>*</w:t>
      </w:r>
      <w:r>
        <w:rPr>
          <w:sz w:val="18"/>
          <w:szCs w:val="18"/>
        </w:rPr>
        <w:t xml:space="preserve"> Los elementos expuestos en el presente documento constituyen una enumeración no exhaustiva de elementos que las Partes podrían estimar oportuno considerar como prioritarios en la labor futura. Las Partes se reservan el derecho a plantear y considerar otros elementos en consonancia con el anexo de la decisión 15/9. En aquellos casos en que se presentan listas, el orden no implica jerarquía o precedencia alguna entre los distintos ítems enumerados.</w:t>
      </w:r>
    </w:p>
  </w:footnote>
  <w:footnote w:id="12">
    <w:p w14:paraId="02810307" w14:textId="07A78898" w:rsidR="00962A8B" w:rsidRPr="00F7438C" w:rsidRDefault="00962A8B">
      <w:pPr>
        <w:pStyle w:val="NormalWeb"/>
        <w:spacing w:before="0" w:beforeAutospacing="0" w:after="0" w:afterAutospacing="0"/>
        <w:rPr>
          <w:rFonts w:asciiTheme="majorBidi" w:hAnsiTheme="majorBidi" w:cstheme="majorBidi"/>
          <w:sz w:val="18"/>
          <w:szCs w:val="18"/>
        </w:rPr>
      </w:pPr>
      <w:r w:rsidRPr="00F7438C">
        <w:rPr>
          <w:rStyle w:val="FootnoteReference"/>
          <w:rFonts w:asciiTheme="majorBidi" w:eastAsiaTheme="minorEastAsia" w:hAnsiTheme="majorBidi" w:cstheme="majorBidi"/>
          <w:sz w:val="18"/>
          <w:szCs w:val="18"/>
        </w:rPr>
        <w:footnoteRef/>
      </w:r>
      <w:r w:rsidRPr="00F7438C">
        <w:rPr>
          <w:rFonts w:asciiTheme="majorBidi" w:hAnsiTheme="majorBidi"/>
          <w:sz w:val="18"/>
          <w:szCs w:val="18"/>
        </w:rPr>
        <w:t xml:space="preserve">Véase </w:t>
      </w:r>
      <w:hyperlink r:id="rId2" w:tgtFrame="_blank" w:tooltip="https://www.cbd.int/doc/c/ba60/7272/3260b5e396821d42bc21035a/dsi-ahteg-2020-01-07-en.pdf" w:history="1">
        <w:r w:rsidRPr="00F7438C">
          <w:rPr>
            <w:rStyle w:val="Hyperlink"/>
            <w:rFonts w:asciiTheme="majorBidi" w:hAnsiTheme="majorBidi"/>
            <w:sz w:val="18"/>
            <w:szCs w:val="18"/>
          </w:rPr>
          <w:t>CBD/DSI/AHTEG/2020/1/7</w:t>
        </w:r>
      </w:hyperlink>
      <w:r w:rsidR="00F7438C" w:rsidRPr="00F7438C">
        <w:rPr>
          <w:rFonts w:asciiTheme="majorBidi" w:hAnsiTheme="majorBidi"/>
          <w:sz w:val="18"/>
          <w:szCs w:val="18"/>
        </w:rPr>
        <w:t>, a</w:t>
      </w:r>
      <w:r w:rsidRPr="00F7438C">
        <w:rPr>
          <w:rFonts w:asciiTheme="majorBidi" w:hAnsiTheme="majorBidi"/>
          <w:sz w:val="18"/>
          <w:szCs w:val="18"/>
        </w:rPr>
        <w:t>nexo I, sección III.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EAF79" w14:textId="5C63E190" w:rsidR="00BF537D" w:rsidRPr="00C63A63" w:rsidRDefault="0061461F" w:rsidP="001A7B71">
    <w:pPr>
      <w:pBdr>
        <w:bottom w:val="single" w:sz="4" w:space="1" w:color="auto"/>
      </w:pBdr>
      <w:spacing w:after="240"/>
      <w:rPr>
        <w:noProof/>
      </w:rPr>
    </w:pPr>
    <w:sdt>
      <w:sdtPr>
        <w:rPr>
          <w:sz w:val="20"/>
          <w:szCs w:val="20"/>
        </w:rPr>
        <w:alias w:val="Subject"/>
        <w:tag w:val=""/>
        <w:id w:val="-202255321"/>
        <w:placeholder>
          <w:docPart w:val="06CE349F1A2F4EE582B599AAFFD84FFE"/>
        </w:placeholder>
        <w:dataBinding w:prefixMappings="xmlns:ns0='http://purl.org/dc/elements/1.1/' xmlns:ns1='http://schemas.openxmlformats.org/package/2006/metadata/core-properties' " w:xpath="/ns1:coreProperties[1]/ns0:subject[1]" w:storeItemID="{6C3C8BC8-F283-45AE-878A-BAB7291924A1}"/>
        <w:text/>
      </w:sdtPr>
      <w:sdtEndPr/>
      <w:sdtContent>
        <w:r w:rsidR="001C5C77">
          <w:rPr>
            <w:sz w:val="20"/>
            <w:szCs w:val="20"/>
            <w:lang w:val="en-US"/>
          </w:rPr>
          <w:t>CBD/WGDSI/1/3</w:t>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aps w:val="0"/>
        <w:noProof/>
        <w:kern w:val="22"/>
      </w:rPr>
      <w:alias w:val="Subject"/>
      <w:tag w:val=""/>
      <w:id w:val="-983232686"/>
      <w:placeholder>
        <w:docPart w:val="C293648AB81A42EFB56937316E4F3396"/>
      </w:placeholder>
      <w:dataBinding w:prefixMappings="xmlns:ns0='http://purl.org/dc/elements/1.1/' xmlns:ns1='http://schemas.openxmlformats.org/package/2006/metadata/core-properties' " w:xpath="/ns1:coreProperties[1]/ns0:subject[1]" w:storeItemID="{6C3C8BC8-F283-45AE-878A-BAB7291924A1}"/>
      <w:text/>
    </w:sdtPr>
    <w:sdtEndPr/>
    <w:sdtContent>
      <w:p w14:paraId="2228A73A" w14:textId="2A9D0FC5" w:rsidR="00BF537D" w:rsidRDefault="001C5C77" w:rsidP="001A7B71">
        <w:pPr>
          <w:pStyle w:val="Header"/>
          <w:pBdr>
            <w:bottom w:val="single" w:sz="4" w:space="1" w:color="auto"/>
          </w:pBdr>
          <w:spacing w:after="240"/>
          <w:jc w:val="right"/>
        </w:pPr>
        <w:r>
          <w:rPr>
            <w:caps w:val="0"/>
            <w:noProof/>
            <w:kern w:val="22"/>
          </w:rPr>
          <w:t>CBD/WGDSI/1/3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F5D60"/>
    <w:multiLevelType w:val="hybridMultilevel"/>
    <w:tmpl w:val="FE86116E"/>
    <w:lvl w:ilvl="0" w:tplc="6FDA5E24">
      <w:start w:val="1"/>
      <w:numFmt w:val="lowerRoman"/>
      <w:lvlText w:val="(%1)"/>
      <w:lvlJc w:val="left"/>
      <w:pPr>
        <w:ind w:left="1440" w:hanging="720"/>
      </w:pPr>
      <w:rPr>
        <w:rFonts w:eastAsia="MS Mincho"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2D728E4"/>
    <w:multiLevelType w:val="hybridMultilevel"/>
    <w:tmpl w:val="06BCDBB8"/>
    <w:lvl w:ilvl="0" w:tplc="70E6B980">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6073566"/>
    <w:multiLevelType w:val="hybridMultilevel"/>
    <w:tmpl w:val="BDD2A016"/>
    <w:lvl w:ilvl="0" w:tplc="9614E48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BD313E"/>
    <w:multiLevelType w:val="multilevel"/>
    <w:tmpl w:val="C1F6A470"/>
    <w:lvl w:ilvl="0">
      <w:start w:val="1"/>
      <w:numFmt w:val="decimal"/>
      <w:lvlText w:val="%1."/>
      <w:lvlJc w:val="left"/>
      <w:pPr>
        <w:tabs>
          <w:tab w:val="num" w:pos="360"/>
        </w:tabs>
        <w:ind w:left="0" w:firstLine="0"/>
      </w:pPr>
      <w:rPr>
        <w:rFonts w:ascii="Times New Roman" w:eastAsia="Times New Roman" w:hAnsi="Times New Roman" w:cs="Times New Roman"/>
        <w:b w:val="0"/>
        <w:i w:val="0"/>
        <w:sz w:val="22"/>
        <w:lang w:val="en-GB"/>
      </w:rPr>
    </w:lvl>
    <w:lvl w:ilvl="1">
      <w:start w:val="1"/>
      <w:numFmt w:val="lowerLetter"/>
      <w:lvlText w:val="(%2)"/>
      <w:lvlJc w:val="left"/>
      <w:pPr>
        <w:tabs>
          <w:tab w:val="num" w:pos="1440"/>
        </w:tabs>
        <w:ind w:left="0" w:firstLine="720"/>
      </w:pPr>
      <w:rPr>
        <w:rFonts w:hint="default"/>
        <w:b/>
        <w:i/>
      </w:rPr>
    </w:lvl>
    <w:lvl w:ilvl="2">
      <w:start w:val="1"/>
      <w:numFmt w:val="lowerLetter"/>
      <w:lvlText w:val="(%3)"/>
      <w:lvlJc w:val="left"/>
      <w:pPr>
        <w:tabs>
          <w:tab w:val="num" w:pos="1440"/>
        </w:tabs>
        <w:ind w:left="1440" w:hanging="360"/>
      </w:pPr>
      <w:rPr>
        <w:rFonts w:hint="default"/>
        <w:b w:val="0"/>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6256ED8"/>
    <w:multiLevelType w:val="hybridMultilevel"/>
    <w:tmpl w:val="D6FC35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9B0521"/>
    <w:multiLevelType w:val="hybridMultilevel"/>
    <w:tmpl w:val="B1EAEC66"/>
    <w:lvl w:ilvl="0" w:tplc="A42EEB74">
      <w:start w:val="1"/>
      <w:numFmt w:val="lowerLetter"/>
      <w:lvlText w:val=" %1)"/>
      <w:lvlJc w:val="left"/>
      <w:pPr>
        <w:tabs>
          <w:tab w:val="num" w:pos="1512"/>
        </w:tabs>
        <w:ind w:left="1152" w:firstLine="0"/>
      </w:pPr>
      <w:rPr>
        <w:rFonts w:hint="default"/>
        <w:b w:val="0"/>
        <w:i w:val="0"/>
        <w:caps w:val="0"/>
        <w:strike w:val="0"/>
        <w:dstrike w:val="0"/>
        <w:vanish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DB18AF"/>
    <w:multiLevelType w:val="hybridMultilevel"/>
    <w:tmpl w:val="06A41292"/>
    <w:lvl w:ilvl="0" w:tplc="B3A43600">
      <w:start w:val="1"/>
      <w:numFmt w:val="lowerRoman"/>
      <w:lvlText w:val="(%1)"/>
      <w:lvlJc w:val="left"/>
      <w:pPr>
        <w:tabs>
          <w:tab w:val="num" w:pos="2160"/>
        </w:tabs>
        <w:ind w:left="1440" w:firstLine="0"/>
      </w:pPr>
      <w:rPr>
        <w:rFonts w:ascii="Times New Roman" w:hAnsi="Times New Roman"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0"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E0442B4"/>
    <w:multiLevelType w:val="multilevel"/>
    <w:tmpl w:val="5D6EDC52"/>
    <w:lvl w:ilvl="0">
      <w:start w:val="1"/>
      <w:numFmt w:val="decimal"/>
      <w:pStyle w:val="Para1"/>
      <w:lvlText w:val="%1."/>
      <w:lvlJc w:val="left"/>
      <w:pPr>
        <w:tabs>
          <w:tab w:val="num" w:pos="450"/>
        </w:tabs>
        <w:ind w:left="90" w:firstLine="0"/>
      </w:pPr>
      <w:rPr>
        <w:b w:val="0"/>
        <w:i w:val="0"/>
        <w:sz w:val="22"/>
        <w:lang w:val="en-GB"/>
      </w:rPr>
    </w:lvl>
    <w:lvl w:ilvl="1">
      <w:start w:val="1"/>
      <w:numFmt w:val="lowerLetter"/>
      <w:lvlText w:val="(%2)"/>
      <w:lvlJc w:val="left"/>
      <w:pPr>
        <w:tabs>
          <w:tab w:val="num" w:pos="1440"/>
        </w:tabs>
        <w:ind w:left="0" w:firstLine="720"/>
      </w:pPr>
      <w:rPr>
        <w:rFonts w:hint="default"/>
        <w:b w:val="0"/>
        <w:bCs/>
        <w:i w:val="0"/>
        <w:iCs/>
      </w:rPr>
    </w:lvl>
    <w:lvl w:ilvl="2">
      <w:start w:val="1"/>
      <w:numFmt w:val="lowerRoman"/>
      <w:pStyle w:val="TOC9"/>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5AD0FE7"/>
    <w:multiLevelType w:val="hybridMultilevel"/>
    <w:tmpl w:val="8B187F98"/>
    <w:lvl w:ilvl="0" w:tplc="CAB40D4C">
      <w:start w:val="1"/>
      <w:numFmt w:val="lowerLetter"/>
      <w:lvlText w:val="(%1)"/>
      <w:lvlJc w:val="left"/>
      <w:pPr>
        <w:ind w:left="1440" w:hanging="72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8131266"/>
    <w:multiLevelType w:val="hybridMultilevel"/>
    <w:tmpl w:val="B7DA96D2"/>
    <w:lvl w:ilvl="0" w:tplc="04548730">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E180578"/>
    <w:multiLevelType w:val="hybridMultilevel"/>
    <w:tmpl w:val="251AB796"/>
    <w:lvl w:ilvl="0" w:tplc="8862B882">
      <w:start w:val="1"/>
      <w:numFmt w:val="lowerLetter"/>
      <w:pStyle w:val="Para20"/>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8"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9" w15:restartNumberingAfterBreak="0">
    <w:nsid w:val="68B70991"/>
    <w:multiLevelType w:val="hybridMultilevel"/>
    <w:tmpl w:val="13063EEC"/>
    <w:lvl w:ilvl="0" w:tplc="35A67352">
      <w:start w:val="1"/>
      <w:numFmt w:val="decimal"/>
      <w:pStyle w:val="Para10"/>
      <w:lvlText w:val="%1."/>
      <w:lvlJc w:val="left"/>
      <w:pPr>
        <w:ind w:left="927" w:hanging="360"/>
      </w:pPr>
      <w:rPr>
        <w:rFonts w:hint="default"/>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771A7659"/>
    <w:multiLevelType w:val="hybridMultilevel"/>
    <w:tmpl w:val="3A681E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5"/>
  </w:num>
  <w:num w:numId="3">
    <w:abstractNumId w:val="13"/>
  </w:num>
  <w:num w:numId="4">
    <w:abstractNumId w:val="10"/>
  </w:num>
  <w:num w:numId="5">
    <w:abstractNumId w:val="12"/>
  </w:num>
  <w:num w:numId="6">
    <w:abstractNumId w:val="15"/>
  </w:num>
  <w:num w:numId="7">
    <w:abstractNumId w:val="2"/>
  </w:num>
  <w:num w:numId="8">
    <w:abstractNumId w:val="18"/>
  </w:num>
  <w:num w:numId="9">
    <w:abstractNumId w:val="0"/>
  </w:num>
  <w:num w:numId="10">
    <w:abstractNumId w:val="9"/>
  </w:num>
  <w:num w:numId="11">
    <w:abstractNumId w:val="20"/>
  </w:num>
  <w:num w:numId="12">
    <w:abstractNumId w:val="13"/>
    <w:lvlOverride w:ilvl="0">
      <w:startOverride w:val="1"/>
    </w:lvlOverride>
  </w:num>
  <w:num w:numId="13">
    <w:abstractNumId w:val="3"/>
  </w:num>
  <w:num w:numId="14">
    <w:abstractNumId w:val="14"/>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3"/>
  </w:num>
  <w:num w:numId="22">
    <w:abstractNumId w:val="13"/>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3"/>
  </w:num>
  <w:num w:numId="30">
    <w:abstractNumId w:val="13"/>
  </w:num>
  <w:num w:numId="31">
    <w:abstractNumId w:val="13"/>
  </w:num>
  <w:num w:numId="32">
    <w:abstractNumId w:val="13"/>
  </w:num>
  <w:num w:numId="33">
    <w:abstractNumId w:val="13"/>
  </w:num>
  <w:num w:numId="34">
    <w:abstractNumId w:val="13"/>
  </w:num>
  <w:num w:numId="35">
    <w:abstractNumId w:val="13"/>
  </w:num>
  <w:num w:numId="36">
    <w:abstractNumId w:val="13"/>
  </w:num>
  <w:num w:numId="37">
    <w:abstractNumId w:val="13"/>
  </w:num>
  <w:num w:numId="38">
    <w:abstractNumId w:val="13"/>
  </w:num>
  <w:num w:numId="39">
    <w:abstractNumId w:val="13"/>
  </w:num>
  <w:num w:numId="40">
    <w:abstractNumId w:val="13"/>
    <w:lvlOverride w:ilvl="0">
      <w:startOverride w:val="5"/>
    </w:lvlOverride>
  </w:num>
  <w:num w:numId="41">
    <w:abstractNumId w:val="13"/>
  </w:num>
  <w:num w:numId="42">
    <w:abstractNumId w:val="13"/>
  </w:num>
  <w:num w:numId="43">
    <w:abstractNumId w:val="6"/>
  </w:num>
  <w:num w:numId="44">
    <w:abstractNumId w:val="11"/>
  </w:num>
  <w:num w:numId="45">
    <w:abstractNumId w:val="16"/>
  </w:num>
  <w:num w:numId="46">
    <w:abstractNumId w:val="19"/>
  </w:num>
  <w:num w:numId="47">
    <w:abstractNumId w:val="17"/>
  </w:num>
  <w:num w:numId="48">
    <w:abstractNumId w:val="21"/>
  </w:num>
  <w:num w:numId="49">
    <w:abstractNumId w:val="19"/>
  </w:num>
  <w:num w:numId="50">
    <w:abstractNumId w:val="19"/>
  </w:num>
  <w:num w:numId="51">
    <w:abstractNumId w:val="19"/>
  </w:num>
  <w:num w:numId="52">
    <w:abstractNumId w:val="19"/>
  </w:num>
  <w:num w:numId="53">
    <w:abstractNumId w:val="19"/>
  </w:num>
  <w:num w:numId="54">
    <w:abstractNumId w:val="19"/>
  </w:num>
  <w:num w:numId="55">
    <w:abstractNumId w:val="19"/>
  </w:num>
  <w:num w:numId="56">
    <w:abstractNumId w:val="19"/>
  </w:num>
  <w:num w:numId="57">
    <w:abstractNumId w:val="19"/>
  </w:num>
  <w:num w:numId="58">
    <w:abstractNumId w:val="19"/>
  </w:num>
  <w:num w:numId="59">
    <w:abstractNumId w:val="19"/>
  </w:num>
  <w:num w:numId="60">
    <w:abstractNumId w:val="19"/>
  </w:num>
  <w:num w:numId="61">
    <w:abstractNumId w:val="19"/>
  </w:num>
  <w:num w:numId="62">
    <w:abstractNumId w:val="19"/>
  </w:num>
  <w:num w:numId="63">
    <w:abstractNumId w:val="19"/>
  </w:num>
  <w:num w:numId="64">
    <w:abstractNumId w:val="19"/>
  </w:num>
  <w:num w:numId="65">
    <w:abstractNumId w:val="19"/>
  </w:num>
  <w:num w:numId="66">
    <w:abstractNumId w:val="19"/>
  </w:num>
  <w:num w:numId="67">
    <w:abstractNumId w:val="19"/>
  </w:num>
  <w:num w:numId="68">
    <w:abstractNumId w:val="19"/>
  </w:num>
  <w:num w:numId="69">
    <w:abstractNumId w:val="19"/>
  </w:num>
  <w:num w:numId="70">
    <w:abstractNumId w:val="19"/>
  </w:num>
  <w:num w:numId="71">
    <w:abstractNumId w:val="19"/>
  </w:num>
  <w:num w:numId="72">
    <w:abstractNumId w:val="19"/>
  </w:num>
  <w:num w:numId="73">
    <w:abstractNumId w:val="19"/>
  </w:num>
  <w:num w:numId="74">
    <w:abstractNumId w:val="19"/>
  </w:num>
  <w:num w:numId="75">
    <w:abstractNumId w:val="19"/>
  </w:num>
  <w:num w:numId="76">
    <w:abstractNumId w:val="19"/>
  </w:num>
  <w:num w:numId="77">
    <w:abstractNumId w:val="19"/>
  </w:num>
  <w:num w:numId="78">
    <w:abstractNumId w:val="19"/>
  </w:num>
  <w:num w:numId="79">
    <w:abstractNumId w:val="11"/>
  </w:num>
  <w:num w:numId="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3"/>
  </w:num>
  <w:num w:numId="82">
    <w:abstractNumId w:val="19"/>
  </w:num>
  <w:num w:numId="83">
    <w:abstractNumId w:val="19"/>
  </w:num>
  <w:num w:numId="84">
    <w:abstractNumId w:val="19"/>
    <w:lvlOverride w:ilvl="0">
      <w:startOverride w:val="1"/>
    </w:lvlOverride>
  </w:num>
  <w:num w:numId="85">
    <w:abstractNumId w:val="19"/>
    <w:lvlOverride w:ilvl="0">
      <w:startOverride w:val="1"/>
    </w:lvlOverride>
  </w:num>
  <w:num w:numId="86">
    <w:abstractNumId w:val="1"/>
  </w:num>
  <w:num w:numId="87">
    <w:abstractNumId w:val="8"/>
  </w:num>
  <w:num w:numId="88">
    <w:abstractNumId w:val="7"/>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evenAndOddHeaders/>
  <w:characterSpacingControl w:val="doNotCompress"/>
  <w:hdrShapeDefaults>
    <o:shapedefaults v:ext="edit" spidmax="2049"/>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jcwNDUws7S0tDAwtTRW0lEKTi0uzszPAykwrwUAeXfldywAAAA="/>
  </w:docVars>
  <w:rsids>
    <w:rsidRoot w:val="00514980"/>
    <w:rsid w:val="000004B8"/>
    <w:rsid w:val="00000A87"/>
    <w:rsid w:val="00001113"/>
    <w:rsid w:val="00001CB9"/>
    <w:rsid w:val="000033AD"/>
    <w:rsid w:val="0000390D"/>
    <w:rsid w:val="00003B37"/>
    <w:rsid w:val="00005B84"/>
    <w:rsid w:val="00005F47"/>
    <w:rsid w:val="000063A7"/>
    <w:rsid w:val="000067B1"/>
    <w:rsid w:val="00006BB9"/>
    <w:rsid w:val="00007DDE"/>
    <w:rsid w:val="0001019F"/>
    <w:rsid w:val="00011C9A"/>
    <w:rsid w:val="00011F84"/>
    <w:rsid w:val="000122AB"/>
    <w:rsid w:val="0001397B"/>
    <w:rsid w:val="000142BD"/>
    <w:rsid w:val="00014461"/>
    <w:rsid w:val="00014A52"/>
    <w:rsid w:val="000151C5"/>
    <w:rsid w:val="0001539B"/>
    <w:rsid w:val="000157E9"/>
    <w:rsid w:val="0001588D"/>
    <w:rsid w:val="0001674A"/>
    <w:rsid w:val="00016A1A"/>
    <w:rsid w:val="0001724F"/>
    <w:rsid w:val="000206D8"/>
    <w:rsid w:val="000207A1"/>
    <w:rsid w:val="00020911"/>
    <w:rsid w:val="0002155E"/>
    <w:rsid w:val="00021D21"/>
    <w:rsid w:val="00022595"/>
    <w:rsid w:val="0002310D"/>
    <w:rsid w:val="000235BC"/>
    <w:rsid w:val="0002371B"/>
    <w:rsid w:val="00024BE9"/>
    <w:rsid w:val="00024E50"/>
    <w:rsid w:val="00025701"/>
    <w:rsid w:val="0002708F"/>
    <w:rsid w:val="0003139B"/>
    <w:rsid w:val="00031514"/>
    <w:rsid w:val="000327BF"/>
    <w:rsid w:val="0003300F"/>
    <w:rsid w:val="00033BEF"/>
    <w:rsid w:val="0003448A"/>
    <w:rsid w:val="00034971"/>
    <w:rsid w:val="000350BB"/>
    <w:rsid w:val="000356DD"/>
    <w:rsid w:val="00035D1E"/>
    <w:rsid w:val="00036CE1"/>
    <w:rsid w:val="00037127"/>
    <w:rsid w:val="00037408"/>
    <w:rsid w:val="00037665"/>
    <w:rsid w:val="00040D62"/>
    <w:rsid w:val="00040D68"/>
    <w:rsid w:val="0004108A"/>
    <w:rsid w:val="00041F0E"/>
    <w:rsid w:val="000423C5"/>
    <w:rsid w:val="00042808"/>
    <w:rsid w:val="00042A8B"/>
    <w:rsid w:val="00042BBD"/>
    <w:rsid w:val="00042D99"/>
    <w:rsid w:val="00042F7E"/>
    <w:rsid w:val="00043831"/>
    <w:rsid w:val="000438D8"/>
    <w:rsid w:val="000438DF"/>
    <w:rsid w:val="00043A47"/>
    <w:rsid w:val="00043A53"/>
    <w:rsid w:val="00044C1E"/>
    <w:rsid w:val="00046F72"/>
    <w:rsid w:val="00046FAD"/>
    <w:rsid w:val="00047529"/>
    <w:rsid w:val="0004786D"/>
    <w:rsid w:val="000511C0"/>
    <w:rsid w:val="0005130C"/>
    <w:rsid w:val="00051F2E"/>
    <w:rsid w:val="0005211E"/>
    <w:rsid w:val="000525EE"/>
    <w:rsid w:val="00052BEA"/>
    <w:rsid w:val="00054361"/>
    <w:rsid w:val="00056F10"/>
    <w:rsid w:val="00057A39"/>
    <w:rsid w:val="00057C23"/>
    <w:rsid w:val="00057F13"/>
    <w:rsid w:val="000600B3"/>
    <w:rsid w:val="000615F0"/>
    <w:rsid w:val="000616A3"/>
    <w:rsid w:val="00061883"/>
    <w:rsid w:val="00061926"/>
    <w:rsid w:val="00062389"/>
    <w:rsid w:val="00062BBF"/>
    <w:rsid w:val="00062C2B"/>
    <w:rsid w:val="000634F7"/>
    <w:rsid w:val="00063551"/>
    <w:rsid w:val="00063C1B"/>
    <w:rsid w:val="000644CF"/>
    <w:rsid w:val="00064C89"/>
    <w:rsid w:val="00064E64"/>
    <w:rsid w:val="00066DB3"/>
    <w:rsid w:val="00067C95"/>
    <w:rsid w:val="000700C2"/>
    <w:rsid w:val="000705C5"/>
    <w:rsid w:val="00070CEB"/>
    <w:rsid w:val="000712CE"/>
    <w:rsid w:val="00071E37"/>
    <w:rsid w:val="00072558"/>
    <w:rsid w:val="0007321A"/>
    <w:rsid w:val="00073F23"/>
    <w:rsid w:val="00076A3C"/>
    <w:rsid w:val="00076B69"/>
    <w:rsid w:val="00076CEE"/>
    <w:rsid w:val="00076E69"/>
    <w:rsid w:val="00080301"/>
    <w:rsid w:val="00081F05"/>
    <w:rsid w:val="000821EB"/>
    <w:rsid w:val="000826C4"/>
    <w:rsid w:val="0008278B"/>
    <w:rsid w:val="00082932"/>
    <w:rsid w:val="000829C0"/>
    <w:rsid w:val="00082DE3"/>
    <w:rsid w:val="00084458"/>
    <w:rsid w:val="000848C2"/>
    <w:rsid w:val="00085398"/>
    <w:rsid w:val="00086FB9"/>
    <w:rsid w:val="00087492"/>
    <w:rsid w:val="000908DF"/>
    <w:rsid w:val="0009136F"/>
    <w:rsid w:val="00091ABF"/>
    <w:rsid w:val="00091B7B"/>
    <w:rsid w:val="00091FA4"/>
    <w:rsid w:val="000923D7"/>
    <w:rsid w:val="00092FFF"/>
    <w:rsid w:val="00093831"/>
    <w:rsid w:val="00093DDE"/>
    <w:rsid w:val="000953A2"/>
    <w:rsid w:val="000960F8"/>
    <w:rsid w:val="00097731"/>
    <w:rsid w:val="00097837"/>
    <w:rsid w:val="000A072F"/>
    <w:rsid w:val="000A0C20"/>
    <w:rsid w:val="000A0C7D"/>
    <w:rsid w:val="000A1639"/>
    <w:rsid w:val="000A2835"/>
    <w:rsid w:val="000A2BBC"/>
    <w:rsid w:val="000A2BF2"/>
    <w:rsid w:val="000A2EDB"/>
    <w:rsid w:val="000A4986"/>
    <w:rsid w:val="000A54B5"/>
    <w:rsid w:val="000A57BC"/>
    <w:rsid w:val="000A5E32"/>
    <w:rsid w:val="000A628F"/>
    <w:rsid w:val="000A6860"/>
    <w:rsid w:val="000A6A50"/>
    <w:rsid w:val="000A6B9A"/>
    <w:rsid w:val="000A6E48"/>
    <w:rsid w:val="000B1BBB"/>
    <w:rsid w:val="000B1C71"/>
    <w:rsid w:val="000B1EE0"/>
    <w:rsid w:val="000B1FF0"/>
    <w:rsid w:val="000B2581"/>
    <w:rsid w:val="000B411C"/>
    <w:rsid w:val="000B4ECD"/>
    <w:rsid w:val="000B586A"/>
    <w:rsid w:val="000B596D"/>
    <w:rsid w:val="000B5C0F"/>
    <w:rsid w:val="000B5C1B"/>
    <w:rsid w:val="000B68FB"/>
    <w:rsid w:val="000B6A96"/>
    <w:rsid w:val="000B756F"/>
    <w:rsid w:val="000B7FB2"/>
    <w:rsid w:val="000C13D8"/>
    <w:rsid w:val="000C24C8"/>
    <w:rsid w:val="000C46B5"/>
    <w:rsid w:val="000C4D2B"/>
    <w:rsid w:val="000C5601"/>
    <w:rsid w:val="000C56CB"/>
    <w:rsid w:val="000C5FD4"/>
    <w:rsid w:val="000C6293"/>
    <w:rsid w:val="000C7DF2"/>
    <w:rsid w:val="000D0EF9"/>
    <w:rsid w:val="000D292B"/>
    <w:rsid w:val="000D34D0"/>
    <w:rsid w:val="000D3B56"/>
    <w:rsid w:val="000D49D6"/>
    <w:rsid w:val="000D4BBA"/>
    <w:rsid w:val="000D4F73"/>
    <w:rsid w:val="000D5BC0"/>
    <w:rsid w:val="000D6352"/>
    <w:rsid w:val="000D6ABD"/>
    <w:rsid w:val="000D6B8C"/>
    <w:rsid w:val="000D7B93"/>
    <w:rsid w:val="000E0517"/>
    <w:rsid w:val="000E062F"/>
    <w:rsid w:val="000E1DE5"/>
    <w:rsid w:val="000E3ECF"/>
    <w:rsid w:val="000E47B2"/>
    <w:rsid w:val="000E6476"/>
    <w:rsid w:val="000E7E86"/>
    <w:rsid w:val="000E7F36"/>
    <w:rsid w:val="000F000F"/>
    <w:rsid w:val="000F089F"/>
    <w:rsid w:val="000F0B55"/>
    <w:rsid w:val="000F1008"/>
    <w:rsid w:val="000F1B07"/>
    <w:rsid w:val="000F2B0A"/>
    <w:rsid w:val="000F5276"/>
    <w:rsid w:val="000F63D0"/>
    <w:rsid w:val="000F6653"/>
    <w:rsid w:val="000F6913"/>
    <w:rsid w:val="000F749E"/>
    <w:rsid w:val="000F7A82"/>
    <w:rsid w:val="000F7F3F"/>
    <w:rsid w:val="0010203B"/>
    <w:rsid w:val="00103262"/>
    <w:rsid w:val="00103BB2"/>
    <w:rsid w:val="00104058"/>
    <w:rsid w:val="001053EE"/>
    <w:rsid w:val="0010552F"/>
    <w:rsid w:val="00106732"/>
    <w:rsid w:val="00106F6B"/>
    <w:rsid w:val="001076F8"/>
    <w:rsid w:val="00107D64"/>
    <w:rsid w:val="001110BD"/>
    <w:rsid w:val="001119B8"/>
    <w:rsid w:val="00111FD1"/>
    <w:rsid w:val="001128EA"/>
    <w:rsid w:val="00112948"/>
    <w:rsid w:val="001134FE"/>
    <w:rsid w:val="00113615"/>
    <w:rsid w:val="00115A1B"/>
    <w:rsid w:val="00116E2F"/>
    <w:rsid w:val="0011725F"/>
    <w:rsid w:val="001205A5"/>
    <w:rsid w:val="00120684"/>
    <w:rsid w:val="001206EF"/>
    <w:rsid w:val="00120DF4"/>
    <w:rsid w:val="00121143"/>
    <w:rsid w:val="00121ACC"/>
    <w:rsid w:val="00121BAD"/>
    <w:rsid w:val="00121EB1"/>
    <w:rsid w:val="00122665"/>
    <w:rsid w:val="0012502E"/>
    <w:rsid w:val="00126B0E"/>
    <w:rsid w:val="00126C56"/>
    <w:rsid w:val="001270D1"/>
    <w:rsid w:val="001272B2"/>
    <w:rsid w:val="0012770C"/>
    <w:rsid w:val="00130D80"/>
    <w:rsid w:val="00131512"/>
    <w:rsid w:val="00133C74"/>
    <w:rsid w:val="001349AF"/>
    <w:rsid w:val="00134B4B"/>
    <w:rsid w:val="001376AD"/>
    <w:rsid w:val="0013793A"/>
    <w:rsid w:val="00137B61"/>
    <w:rsid w:val="0014057C"/>
    <w:rsid w:val="00141040"/>
    <w:rsid w:val="00141279"/>
    <w:rsid w:val="00143A71"/>
    <w:rsid w:val="00144C81"/>
    <w:rsid w:val="00145214"/>
    <w:rsid w:val="00146B0A"/>
    <w:rsid w:val="00146FFD"/>
    <w:rsid w:val="00147352"/>
    <w:rsid w:val="001478D2"/>
    <w:rsid w:val="001500A3"/>
    <w:rsid w:val="0015080A"/>
    <w:rsid w:val="00150A2F"/>
    <w:rsid w:val="001529B5"/>
    <w:rsid w:val="00152DBC"/>
    <w:rsid w:val="00153F7C"/>
    <w:rsid w:val="00154AA3"/>
    <w:rsid w:val="00155DD3"/>
    <w:rsid w:val="0015668D"/>
    <w:rsid w:val="00156E27"/>
    <w:rsid w:val="0015768E"/>
    <w:rsid w:val="00157CFE"/>
    <w:rsid w:val="00160002"/>
    <w:rsid w:val="0016009C"/>
    <w:rsid w:val="001608D0"/>
    <w:rsid w:val="0016137B"/>
    <w:rsid w:val="00161626"/>
    <w:rsid w:val="001618F8"/>
    <w:rsid w:val="00163279"/>
    <w:rsid w:val="001633BF"/>
    <w:rsid w:val="00165076"/>
    <w:rsid w:val="00165794"/>
    <w:rsid w:val="00165DAD"/>
    <w:rsid w:val="0016676F"/>
    <w:rsid w:val="00166876"/>
    <w:rsid w:val="00166E60"/>
    <w:rsid w:val="00167131"/>
    <w:rsid w:val="001675C8"/>
    <w:rsid w:val="00167A98"/>
    <w:rsid w:val="001704F3"/>
    <w:rsid w:val="0017089A"/>
    <w:rsid w:val="001708A7"/>
    <w:rsid w:val="00171294"/>
    <w:rsid w:val="00171726"/>
    <w:rsid w:val="001726F0"/>
    <w:rsid w:val="0017378E"/>
    <w:rsid w:val="00173A2E"/>
    <w:rsid w:val="00174501"/>
    <w:rsid w:val="00174610"/>
    <w:rsid w:val="001751A4"/>
    <w:rsid w:val="00176C5C"/>
    <w:rsid w:val="0017722E"/>
    <w:rsid w:val="00177661"/>
    <w:rsid w:val="00180279"/>
    <w:rsid w:val="001808D1"/>
    <w:rsid w:val="00180C54"/>
    <w:rsid w:val="00180D0F"/>
    <w:rsid w:val="001813E4"/>
    <w:rsid w:val="00181939"/>
    <w:rsid w:val="001823AB"/>
    <w:rsid w:val="00183DB6"/>
    <w:rsid w:val="00184B0B"/>
    <w:rsid w:val="001856B3"/>
    <w:rsid w:val="001857A3"/>
    <w:rsid w:val="00185F5A"/>
    <w:rsid w:val="00191418"/>
    <w:rsid w:val="00191955"/>
    <w:rsid w:val="0019289D"/>
    <w:rsid w:val="00192B15"/>
    <w:rsid w:val="00193845"/>
    <w:rsid w:val="00193F77"/>
    <w:rsid w:val="0019417C"/>
    <w:rsid w:val="00194695"/>
    <w:rsid w:val="00195C64"/>
    <w:rsid w:val="00195C74"/>
    <w:rsid w:val="00196F3C"/>
    <w:rsid w:val="001A0186"/>
    <w:rsid w:val="001A0662"/>
    <w:rsid w:val="001A0FB9"/>
    <w:rsid w:val="001A1264"/>
    <w:rsid w:val="001A1B90"/>
    <w:rsid w:val="001A1FEE"/>
    <w:rsid w:val="001A20AA"/>
    <w:rsid w:val="001A2932"/>
    <w:rsid w:val="001A3773"/>
    <w:rsid w:val="001A3E67"/>
    <w:rsid w:val="001A40E8"/>
    <w:rsid w:val="001A42D5"/>
    <w:rsid w:val="001A7B71"/>
    <w:rsid w:val="001B0DEF"/>
    <w:rsid w:val="001B1056"/>
    <w:rsid w:val="001B10F5"/>
    <w:rsid w:val="001B14E5"/>
    <w:rsid w:val="001B1854"/>
    <w:rsid w:val="001B1BBC"/>
    <w:rsid w:val="001B212C"/>
    <w:rsid w:val="001B2BA1"/>
    <w:rsid w:val="001B381B"/>
    <w:rsid w:val="001B3CB7"/>
    <w:rsid w:val="001B44BA"/>
    <w:rsid w:val="001B44C4"/>
    <w:rsid w:val="001B495C"/>
    <w:rsid w:val="001B52D1"/>
    <w:rsid w:val="001B59C7"/>
    <w:rsid w:val="001B5C11"/>
    <w:rsid w:val="001B62B3"/>
    <w:rsid w:val="001B6FE6"/>
    <w:rsid w:val="001B7571"/>
    <w:rsid w:val="001C055A"/>
    <w:rsid w:val="001C08A7"/>
    <w:rsid w:val="001C16FF"/>
    <w:rsid w:val="001C1B5F"/>
    <w:rsid w:val="001C2F4E"/>
    <w:rsid w:val="001C32EB"/>
    <w:rsid w:val="001C3352"/>
    <w:rsid w:val="001C33EA"/>
    <w:rsid w:val="001C38E0"/>
    <w:rsid w:val="001C3D43"/>
    <w:rsid w:val="001C3DCE"/>
    <w:rsid w:val="001C404C"/>
    <w:rsid w:val="001C51C1"/>
    <w:rsid w:val="001C5410"/>
    <w:rsid w:val="001C5479"/>
    <w:rsid w:val="001C547B"/>
    <w:rsid w:val="001C5C77"/>
    <w:rsid w:val="001C7822"/>
    <w:rsid w:val="001D0370"/>
    <w:rsid w:val="001D0885"/>
    <w:rsid w:val="001D0CAA"/>
    <w:rsid w:val="001D0FF7"/>
    <w:rsid w:val="001D10D3"/>
    <w:rsid w:val="001D175D"/>
    <w:rsid w:val="001D28E4"/>
    <w:rsid w:val="001D2FA6"/>
    <w:rsid w:val="001D3E1F"/>
    <w:rsid w:val="001D6BAA"/>
    <w:rsid w:val="001D6EFC"/>
    <w:rsid w:val="001D70E6"/>
    <w:rsid w:val="001D78B9"/>
    <w:rsid w:val="001E058E"/>
    <w:rsid w:val="001E153E"/>
    <w:rsid w:val="001E1B91"/>
    <w:rsid w:val="001E2C48"/>
    <w:rsid w:val="001E33C2"/>
    <w:rsid w:val="001E43BC"/>
    <w:rsid w:val="001E57E2"/>
    <w:rsid w:val="001E68CB"/>
    <w:rsid w:val="001E6B67"/>
    <w:rsid w:val="001E6BD2"/>
    <w:rsid w:val="001E7118"/>
    <w:rsid w:val="001F005F"/>
    <w:rsid w:val="001F0869"/>
    <w:rsid w:val="001F3E2F"/>
    <w:rsid w:val="001F513F"/>
    <w:rsid w:val="001F515E"/>
    <w:rsid w:val="001F5613"/>
    <w:rsid w:val="001F595F"/>
    <w:rsid w:val="001F663E"/>
    <w:rsid w:val="001F6BB7"/>
    <w:rsid w:val="001F7FB5"/>
    <w:rsid w:val="00200E4C"/>
    <w:rsid w:val="002013E7"/>
    <w:rsid w:val="0020216C"/>
    <w:rsid w:val="002034A5"/>
    <w:rsid w:val="002037EA"/>
    <w:rsid w:val="00203D5B"/>
    <w:rsid w:val="00203E2C"/>
    <w:rsid w:val="0020413C"/>
    <w:rsid w:val="002043E2"/>
    <w:rsid w:val="00204713"/>
    <w:rsid w:val="00204CA9"/>
    <w:rsid w:val="00205F1F"/>
    <w:rsid w:val="002074CE"/>
    <w:rsid w:val="0020755F"/>
    <w:rsid w:val="0020781C"/>
    <w:rsid w:val="002103C8"/>
    <w:rsid w:val="002107F6"/>
    <w:rsid w:val="00213927"/>
    <w:rsid w:val="00213D71"/>
    <w:rsid w:val="00215669"/>
    <w:rsid w:val="00215B59"/>
    <w:rsid w:val="00215B7C"/>
    <w:rsid w:val="00215D2D"/>
    <w:rsid w:val="00217CBD"/>
    <w:rsid w:val="00217EB7"/>
    <w:rsid w:val="0022064A"/>
    <w:rsid w:val="002209FA"/>
    <w:rsid w:val="0022185C"/>
    <w:rsid w:val="002218E9"/>
    <w:rsid w:val="00221E53"/>
    <w:rsid w:val="00221FEA"/>
    <w:rsid w:val="00222010"/>
    <w:rsid w:val="0022207D"/>
    <w:rsid w:val="002226BD"/>
    <w:rsid w:val="002230EF"/>
    <w:rsid w:val="0022338E"/>
    <w:rsid w:val="0022396D"/>
    <w:rsid w:val="002239D4"/>
    <w:rsid w:val="00224292"/>
    <w:rsid w:val="00224C2F"/>
    <w:rsid w:val="00224C57"/>
    <w:rsid w:val="00225A14"/>
    <w:rsid w:val="00225ADF"/>
    <w:rsid w:val="00225AF6"/>
    <w:rsid w:val="00225FBF"/>
    <w:rsid w:val="00226ADE"/>
    <w:rsid w:val="00226FBC"/>
    <w:rsid w:val="002271E9"/>
    <w:rsid w:val="002276B9"/>
    <w:rsid w:val="0023005C"/>
    <w:rsid w:val="0023064D"/>
    <w:rsid w:val="002306C3"/>
    <w:rsid w:val="00231748"/>
    <w:rsid w:val="00231946"/>
    <w:rsid w:val="00231F9D"/>
    <w:rsid w:val="0023227F"/>
    <w:rsid w:val="00232594"/>
    <w:rsid w:val="00232AB2"/>
    <w:rsid w:val="00232F85"/>
    <w:rsid w:val="00233062"/>
    <w:rsid w:val="00233ACE"/>
    <w:rsid w:val="00234F5D"/>
    <w:rsid w:val="00237BD7"/>
    <w:rsid w:val="00240221"/>
    <w:rsid w:val="002419F4"/>
    <w:rsid w:val="0024268E"/>
    <w:rsid w:val="002434EF"/>
    <w:rsid w:val="00243510"/>
    <w:rsid w:val="00244A1F"/>
    <w:rsid w:val="00245926"/>
    <w:rsid w:val="00245F1C"/>
    <w:rsid w:val="002464A4"/>
    <w:rsid w:val="00246533"/>
    <w:rsid w:val="00247D64"/>
    <w:rsid w:val="00250540"/>
    <w:rsid w:val="002506A3"/>
    <w:rsid w:val="00250EA3"/>
    <w:rsid w:val="0025227F"/>
    <w:rsid w:val="0025260F"/>
    <w:rsid w:val="00252920"/>
    <w:rsid w:val="00252D6A"/>
    <w:rsid w:val="00252EF5"/>
    <w:rsid w:val="00253924"/>
    <w:rsid w:val="00253A55"/>
    <w:rsid w:val="00254483"/>
    <w:rsid w:val="002545C5"/>
    <w:rsid w:val="00254735"/>
    <w:rsid w:val="00254B22"/>
    <w:rsid w:val="00255353"/>
    <w:rsid w:val="00255448"/>
    <w:rsid w:val="00255487"/>
    <w:rsid w:val="00256108"/>
    <w:rsid w:val="00256D2A"/>
    <w:rsid w:val="002578F7"/>
    <w:rsid w:val="00257B52"/>
    <w:rsid w:val="00257D95"/>
    <w:rsid w:val="00260254"/>
    <w:rsid w:val="002602C6"/>
    <w:rsid w:val="002602E6"/>
    <w:rsid w:val="0026076E"/>
    <w:rsid w:val="0026093D"/>
    <w:rsid w:val="00260E06"/>
    <w:rsid w:val="00261119"/>
    <w:rsid w:val="00261875"/>
    <w:rsid w:val="002623F0"/>
    <w:rsid w:val="00263AB6"/>
    <w:rsid w:val="00265515"/>
    <w:rsid w:val="00265BFB"/>
    <w:rsid w:val="00266464"/>
    <w:rsid w:val="0026685B"/>
    <w:rsid w:val="0027189D"/>
    <w:rsid w:val="00271921"/>
    <w:rsid w:val="00271C4C"/>
    <w:rsid w:val="00272185"/>
    <w:rsid w:val="0027255E"/>
    <w:rsid w:val="002729B4"/>
    <w:rsid w:val="00272A3F"/>
    <w:rsid w:val="0027383A"/>
    <w:rsid w:val="002740C0"/>
    <w:rsid w:val="002740E2"/>
    <w:rsid w:val="00274584"/>
    <w:rsid w:val="00276094"/>
    <w:rsid w:val="0027668D"/>
    <w:rsid w:val="00276827"/>
    <w:rsid w:val="00276AAD"/>
    <w:rsid w:val="002777F9"/>
    <w:rsid w:val="002811CC"/>
    <w:rsid w:val="00281518"/>
    <w:rsid w:val="00282262"/>
    <w:rsid w:val="00282A5B"/>
    <w:rsid w:val="00283E96"/>
    <w:rsid w:val="0028570A"/>
    <w:rsid w:val="00286A8C"/>
    <w:rsid w:val="002878C2"/>
    <w:rsid w:val="00287EE2"/>
    <w:rsid w:val="0029087D"/>
    <w:rsid w:val="002917EA"/>
    <w:rsid w:val="00291FF4"/>
    <w:rsid w:val="002933CF"/>
    <w:rsid w:val="002934B8"/>
    <w:rsid w:val="002951B3"/>
    <w:rsid w:val="00296B62"/>
    <w:rsid w:val="002A07B5"/>
    <w:rsid w:val="002A147F"/>
    <w:rsid w:val="002A17D1"/>
    <w:rsid w:val="002A27C2"/>
    <w:rsid w:val="002A2FA2"/>
    <w:rsid w:val="002A364B"/>
    <w:rsid w:val="002A45BF"/>
    <w:rsid w:val="002A4BA2"/>
    <w:rsid w:val="002A50E9"/>
    <w:rsid w:val="002A53FA"/>
    <w:rsid w:val="002A5D27"/>
    <w:rsid w:val="002B0087"/>
    <w:rsid w:val="002B09C6"/>
    <w:rsid w:val="002B127C"/>
    <w:rsid w:val="002B138F"/>
    <w:rsid w:val="002B1432"/>
    <w:rsid w:val="002B1A8A"/>
    <w:rsid w:val="002B20A3"/>
    <w:rsid w:val="002B24CA"/>
    <w:rsid w:val="002B2601"/>
    <w:rsid w:val="002B2D82"/>
    <w:rsid w:val="002B30A9"/>
    <w:rsid w:val="002B3D2E"/>
    <w:rsid w:val="002B4326"/>
    <w:rsid w:val="002B4562"/>
    <w:rsid w:val="002B4FB5"/>
    <w:rsid w:val="002B575A"/>
    <w:rsid w:val="002B5FDA"/>
    <w:rsid w:val="002B60A3"/>
    <w:rsid w:val="002B71D8"/>
    <w:rsid w:val="002C0E81"/>
    <w:rsid w:val="002C1B54"/>
    <w:rsid w:val="002C3561"/>
    <w:rsid w:val="002C38D8"/>
    <w:rsid w:val="002C3E4B"/>
    <w:rsid w:val="002C4C1E"/>
    <w:rsid w:val="002C4D1A"/>
    <w:rsid w:val="002C55FF"/>
    <w:rsid w:val="002C6B9E"/>
    <w:rsid w:val="002C7520"/>
    <w:rsid w:val="002C7DE2"/>
    <w:rsid w:val="002D0A39"/>
    <w:rsid w:val="002D139E"/>
    <w:rsid w:val="002D2274"/>
    <w:rsid w:val="002D2681"/>
    <w:rsid w:val="002D315A"/>
    <w:rsid w:val="002D4793"/>
    <w:rsid w:val="002D5B40"/>
    <w:rsid w:val="002D6F45"/>
    <w:rsid w:val="002E15FC"/>
    <w:rsid w:val="002E1C13"/>
    <w:rsid w:val="002E4312"/>
    <w:rsid w:val="002E4A40"/>
    <w:rsid w:val="002E4E3A"/>
    <w:rsid w:val="002E5612"/>
    <w:rsid w:val="002E5B37"/>
    <w:rsid w:val="002E5F0A"/>
    <w:rsid w:val="002E64EB"/>
    <w:rsid w:val="002E64F1"/>
    <w:rsid w:val="002E65C1"/>
    <w:rsid w:val="002E6722"/>
    <w:rsid w:val="002E69CE"/>
    <w:rsid w:val="002E6F72"/>
    <w:rsid w:val="002E7395"/>
    <w:rsid w:val="002E7501"/>
    <w:rsid w:val="002F0E32"/>
    <w:rsid w:val="002F12CE"/>
    <w:rsid w:val="002F15EE"/>
    <w:rsid w:val="002F1F96"/>
    <w:rsid w:val="002F20D3"/>
    <w:rsid w:val="002F3F7A"/>
    <w:rsid w:val="002F5ED1"/>
    <w:rsid w:val="002F682A"/>
    <w:rsid w:val="002F69E3"/>
    <w:rsid w:val="002F6ECF"/>
    <w:rsid w:val="00300885"/>
    <w:rsid w:val="00300F8A"/>
    <w:rsid w:val="00303733"/>
    <w:rsid w:val="00303BDF"/>
    <w:rsid w:val="00304432"/>
    <w:rsid w:val="00304735"/>
    <w:rsid w:val="00304EE3"/>
    <w:rsid w:val="0030593A"/>
    <w:rsid w:val="00305A40"/>
    <w:rsid w:val="0030652A"/>
    <w:rsid w:val="0030711F"/>
    <w:rsid w:val="0030740F"/>
    <w:rsid w:val="00307C77"/>
    <w:rsid w:val="00307EB0"/>
    <w:rsid w:val="00310EFA"/>
    <w:rsid w:val="00310F9A"/>
    <w:rsid w:val="003117EB"/>
    <w:rsid w:val="00312BD6"/>
    <w:rsid w:val="00312F4A"/>
    <w:rsid w:val="003141F1"/>
    <w:rsid w:val="00314381"/>
    <w:rsid w:val="00314BB1"/>
    <w:rsid w:val="003154E5"/>
    <w:rsid w:val="003159F1"/>
    <w:rsid w:val="003160CF"/>
    <w:rsid w:val="003166B0"/>
    <w:rsid w:val="00317A3B"/>
    <w:rsid w:val="00317AC7"/>
    <w:rsid w:val="003200F2"/>
    <w:rsid w:val="00320FC9"/>
    <w:rsid w:val="0032336E"/>
    <w:rsid w:val="00323DC7"/>
    <w:rsid w:val="003243E9"/>
    <w:rsid w:val="00324DEB"/>
    <w:rsid w:val="0032538F"/>
    <w:rsid w:val="003255B9"/>
    <w:rsid w:val="00325EA5"/>
    <w:rsid w:val="003266B3"/>
    <w:rsid w:val="00326F0A"/>
    <w:rsid w:val="00327030"/>
    <w:rsid w:val="003274DD"/>
    <w:rsid w:val="003317D2"/>
    <w:rsid w:val="00333A2C"/>
    <w:rsid w:val="00334223"/>
    <w:rsid w:val="0033529D"/>
    <w:rsid w:val="0033535A"/>
    <w:rsid w:val="003357CC"/>
    <w:rsid w:val="00335AEF"/>
    <w:rsid w:val="00336325"/>
    <w:rsid w:val="00336EC2"/>
    <w:rsid w:val="00337137"/>
    <w:rsid w:val="003372C3"/>
    <w:rsid w:val="00337EFA"/>
    <w:rsid w:val="00337F60"/>
    <w:rsid w:val="00340365"/>
    <w:rsid w:val="00340547"/>
    <w:rsid w:val="00340D53"/>
    <w:rsid w:val="0034150E"/>
    <w:rsid w:val="003416DC"/>
    <w:rsid w:val="003428B9"/>
    <w:rsid w:val="00342D67"/>
    <w:rsid w:val="00342EC4"/>
    <w:rsid w:val="0034327F"/>
    <w:rsid w:val="003444BC"/>
    <w:rsid w:val="00344837"/>
    <w:rsid w:val="00344853"/>
    <w:rsid w:val="003456F5"/>
    <w:rsid w:val="00345A87"/>
    <w:rsid w:val="003469F1"/>
    <w:rsid w:val="00346B59"/>
    <w:rsid w:val="00347BD0"/>
    <w:rsid w:val="00350750"/>
    <w:rsid w:val="003510BE"/>
    <w:rsid w:val="003522B0"/>
    <w:rsid w:val="0035281C"/>
    <w:rsid w:val="00352DBA"/>
    <w:rsid w:val="00353110"/>
    <w:rsid w:val="00353512"/>
    <w:rsid w:val="003537A5"/>
    <w:rsid w:val="00353BC9"/>
    <w:rsid w:val="00354934"/>
    <w:rsid w:val="00354F53"/>
    <w:rsid w:val="00354F74"/>
    <w:rsid w:val="00355361"/>
    <w:rsid w:val="003572B7"/>
    <w:rsid w:val="00360105"/>
    <w:rsid w:val="003608E6"/>
    <w:rsid w:val="00360B31"/>
    <w:rsid w:val="00362281"/>
    <w:rsid w:val="003623DE"/>
    <w:rsid w:val="00362A4F"/>
    <w:rsid w:val="00363ABE"/>
    <w:rsid w:val="003649D6"/>
    <w:rsid w:val="00364C72"/>
    <w:rsid w:val="00367C69"/>
    <w:rsid w:val="003705F4"/>
    <w:rsid w:val="00370EF5"/>
    <w:rsid w:val="00371E96"/>
    <w:rsid w:val="00372040"/>
    <w:rsid w:val="00372232"/>
    <w:rsid w:val="00372410"/>
    <w:rsid w:val="003728C3"/>
    <w:rsid w:val="0037375E"/>
    <w:rsid w:val="003739E9"/>
    <w:rsid w:val="0037462C"/>
    <w:rsid w:val="0037611E"/>
    <w:rsid w:val="00376559"/>
    <w:rsid w:val="0037687D"/>
    <w:rsid w:val="00376C59"/>
    <w:rsid w:val="00376F1A"/>
    <w:rsid w:val="003774BA"/>
    <w:rsid w:val="00377C1D"/>
    <w:rsid w:val="003805DC"/>
    <w:rsid w:val="003821A5"/>
    <w:rsid w:val="0038235A"/>
    <w:rsid w:val="003824BD"/>
    <w:rsid w:val="00383065"/>
    <w:rsid w:val="003835A0"/>
    <w:rsid w:val="00384CAE"/>
    <w:rsid w:val="00385347"/>
    <w:rsid w:val="00385792"/>
    <w:rsid w:val="0038592E"/>
    <w:rsid w:val="00386100"/>
    <w:rsid w:val="0038708D"/>
    <w:rsid w:val="0038790E"/>
    <w:rsid w:val="00387B3A"/>
    <w:rsid w:val="00390377"/>
    <w:rsid w:val="00390801"/>
    <w:rsid w:val="00390B0B"/>
    <w:rsid w:val="00390BB3"/>
    <w:rsid w:val="00390DDE"/>
    <w:rsid w:val="003918DF"/>
    <w:rsid w:val="003921FF"/>
    <w:rsid w:val="00392372"/>
    <w:rsid w:val="0039278A"/>
    <w:rsid w:val="0039464E"/>
    <w:rsid w:val="003948D8"/>
    <w:rsid w:val="00395105"/>
    <w:rsid w:val="00395938"/>
    <w:rsid w:val="003966EB"/>
    <w:rsid w:val="003969A8"/>
    <w:rsid w:val="00397ECE"/>
    <w:rsid w:val="003A07D4"/>
    <w:rsid w:val="003A1588"/>
    <w:rsid w:val="003A27BF"/>
    <w:rsid w:val="003A2B8E"/>
    <w:rsid w:val="003A2ECB"/>
    <w:rsid w:val="003A4D14"/>
    <w:rsid w:val="003A55D2"/>
    <w:rsid w:val="003A5B04"/>
    <w:rsid w:val="003A703A"/>
    <w:rsid w:val="003A74F8"/>
    <w:rsid w:val="003A7585"/>
    <w:rsid w:val="003A7B7B"/>
    <w:rsid w:val="003A7FF2"/>
    <w:rsid w:val="003B08F8"/>
    <w:rsid w:val="003B0CB6"/>
    <w:rsid w:val="003B1351"/>
    <w:rsid w:val="003B27E7"/>
    <w:rsid w:val="003B3618"/>
    <w:rsid w:val="003B3785"/>
    <w:rsid w:val="003B4379"/>
    <w:rsid w:val="003B4ECE"/>
    <w:rsid w:val="003B5F1C"/>
    <w:rsid w:val="003B6222"/>
    <w:rsid w:val="003B66CD"/>
    <w:rsid w:val="003B71FA"/>
    <w:rsid w:val="003B73A5"/>
    <w:rsid w:val="003B7A61"/>
    <w:rsid w:val="003B7AEB"/>
    <w:rsid w:val="003B7BCF"/>
    <w:rsid w:val="003C12DB"/>
    <w:rsid w:val="003C271E"/>
    <w:rsid w:val="003C30E1"/>
    <w:rsid w:val="003C3254"/>
    <w:rsid w:val="003C3B6B"/>
    <w:rsid w:val="003C58B9"/>
    <w:rsid w:val="003C5BC9"/>
    <w:rsid w:val="003C5F6B"/>
    <w:rsid w:val="003C5FB7"/>
    <w:rsid w:val="003C602B"/>
    <w:rsid w:val="003C6B60"/>
    <w:rsid w:val="003C6C13"/>
    <w:rsid w:val="003D003D"/>
    <w:rsid w:val="003D081A"/>
    <w:rsid w:val="003D0921"/>
    <w:rsid w:val="003D0F6A"/>
    <w:rsid w:val="003D1252"/>
    <w:rsid w:val="003D1D84"/>
    <w:rsid w:val="003D1FC5"/>
    <w:rsid w:val="003D2ABD"/>
    <w:rsid w:val="003D32F0"/>
    <w:rsid w:val="003D3822"/>
    <w:rsid w:val="003D4993"/>
    <w:rsid w:val="003D4D56"/>
    <w:rsid w:val="003D567A"/>
    <w:rsid w:val="003D5809"/>
    <w:rsid w:val="003D74BF"/>
    <w:rsid w:val="003D77E5"/>
    <w:rsid w:val="003E120D"/>
    <w:rsid w:val="003E2303"/>
    <w:rsid w:val="003E2AEB"/>
    <w:rsid w:val="003E394B"/>
    <w:rsid w:val="003E427F"/>
    <w:rsid w:val="003E699B"/>
    <w:rsid w:val="003E6CD3"/>
    <w:rsid w:val="003E6E81"/>
    <w:rsid w:val="003E7280"/>
    <w:rsid w:val="003E779E"/>
    <w:rsid w:val="003F0638"/>
    <w:rsid w:val="003F0B68"/>
    <w:rsid w:val="003F0B9C"/>
    <w:rsid w:val="003F1083"/>
    <w:rsid w:val="003F1964"/>
    <w:rsid w:val="003F1A3B"/>
    <w:rsid w:val="003F311A"/>
    <w:rsid w:val="003F3C2E"/>
    <w:rsid w:val="003F3D9C"/>
    <w:rsid w:val="003F505A"/>
    <w:rsid w:val="003F5D0B"/>
    <w:rsid w:val="003F6620"/>
    <w:rsid w:val="003F6B46"/>
    <w:rsid w:val="003F6ED0"/>
    <w:rsid w:val="003F76D9"/>
    <w:rsid w:val="003F7999"/>
    <w:rsid w:val="004003DE"/>
    <w:rsid w:val="00400606"/>
    <w:rsid w:val="00400CB8"/>
    <w:rsid w:val="00400D15"/>
    <w:rsid w:val="00400F53"/>
    <w:rsid w:val="004011B9"/>
    <w:rsid w:val="004026BE"/>
    <w:rsid w:val="00402C44"/>
    <w:rsid w:val="00402F65"/>
    <w:rsid w:val="004038DD"/>
    <w:rsid w:val="0040461A"/>
    <w:rsid w:val="004053CD"/>
    <w:rsid w:val="004053E9"/>
    <w:rsid w:val="004056B7"/>
    <w:rsid w:val="00405E8A"/>
    <w:rsid w:val="004066B3"/>
    <w:rsid w:val="004067DE"/>
    <w:rsid w:val="00407103"/>
    <w:rsid w:val="004072C4"/>
    <w:rsid w:val="00407883"/>
    <w:rsid w:val="00407C8C"/>
    <w:rsid w:val="004112BF"/>
    <w:rsid w:val="00411413"/>
    <w:rsid w:val="0041224F"/>
    <w:rsid w:val="00412784"/>
    <w:rsid w:val="00412CFB"/>
    <w:rsid w:val="00413CC9"/>
    <w:rsid w:val="00413F8F"/>
    <w:rsid w:val="00414FE8"/>
    <w:rsid w:val="00415BD2"/>
    <w:rsid w:val="00415BF3"/>
    <w:rsid w:val="00416462"/>
    <w:rsid w:val="004164D8"/>
    <w:rsid w:val="00416A3F"/>
    <w:rsid w:val="00416C5B"/>
    <w:rsid w:val="00416C69"/>
    <w:rsid w:val="004201F9"/>
    <w:rsid w:val="00420223"/>
    <w:rsid w:val="00420D33"/>
    <w:rsid w:val="00420F00"/>
    <w:rsid w:val="004214AC"/>
    <w:rsid w:val="0042172C"/>
    <w:rsid w:val="00421CCC"/>
    <w:rsid w:val="00422A63"/>
    <w:rsid w:val="00422E4B"/>
    <w:rsid w:val="00422F4C"/>
    <w:rsid w:val="004230FF"/>
    <w:rsid w:val="004233DD"/>
    <w:rsid w:val="00423862"/>
    <w:rsid w:val="00424C4B"/>
    <w:rsid w:val="0042596E"/>
    <w:rsid w:val="004260B2"/>
    <w:rsid w:val="00427D19"/>
    <w:rsid w:val="004302D2"/>
    <w:rsid w:val="004304AD"/>
    <w:rsid w:val="004307F9"/>
    <w:rsid w:val="00430AC4"/>
    <w:rsid w:val="00431A5F"/>
    <w:rsid w:val="00432560"/>
    <w:rsid w:val="00432A9D"/>
    <w:rsid w:val="00432AA0"/>
    <w:rsid w:val="00434110"/>
    <w:rsid w:val="00435509"/>
    <w:rsid w:val="00435621"/>
    <w:rsid w:val="00437D88"/>
    <w:rsid w:val="0044094D"/>
    <w:rsid w:val="004409B8"/>
    <w:rsid w:val="00440BE1"/>
    <w:rsid w:val="00440D8E"/>
    <w:rsid w:val="00440DF5"/>
    <w:rsid w:val="0044138A"/>
    <w:rsid w:val="00441D57"/>
    <w:rsid w:val="00441FC1"/>
    <w:rsid w:val="004430FB"/>
    <w:rsid w:val="0044327A"/>
    <w:rsid w:val="004438D1"/>
    <w:rsid w:val="00443F8E"/>
    <w:rsid w:val="00444FF4"/>
    <w:rsid w:val="00445AFF"/>
    <w:rsid w:val="00445C8A"/>
    <w:rsid w:val="00446E34"/>
    <w:rsid w:val="00446F17"/>
    <w:rsid w:val="00447A89"/>
    <w:rsid w:val="00447A94"/>
    <w:rsid w:val="004505D5"/>
    <w:rsid w:val="00450907"/>
    <w:rsid w:val="00450BD5"/>
    <w:rsid w:val="00450FDF"/>
    <w:rsid w:val="00451653"/>
    <w:rsid w:val="004520D9"/>
    <w:rsid w:val="004528FB"/>
    <w:rsid w:val="00452F52"/>
    <w:rsid w:val="00454457"/>
    <w:rsid w:val="00454695"/>
    <w:rsid w:val="004546F8"/>
    <w:rsid w:val="00454703"/>
    <w:rsid w:val="00455409"/>
    <w:rsid w:val="004558ED"/>
    <w:rsid w:val="00455D35"/>
    <w:rsid w:val="00455D54"/>
    <w:rsid w:val="004560E8"/>
    <w:rsid w:val="004563BD"/>
    <w:rsid w:val="00456579"/>
    <w:rsid w:val="004574AF"/>
    <w:rsid w:val="004576DF"/>
    <w:rsid w:val="00457829"/>
    <w:rsid w:val="00457C06"/>
    <w:rsid w:val="00460C52"/>
    <w:rsid w:val="004613D6"/>
    <w:rsid w:val="00462050"/>
    <w:rsid w:val="0046223A"/>
    <w:rsid w:val="00462677"/>
    <w:rsid w:val="00462968"/>
    <w:rsid w:val="004638C4"/>
    <w:rsid w:val="004641FE"/>
    <w:rsid w:val="004645BF"/>
    <w:rsid w:val="004647FF"/>
    <w:rsid w:val="00467437"/>
    <w:rsid w:val="004718B7"/>
    <w:rsid w:val="00471EF1"/>
    <w:rsid w:val="004720E4"/>
    <w:rsid w:val="00472511"/>
    <w:rsid w:val="00472968"/>
    <w:rsid w:val="0047298B"/>
    <w:rsid w:val="004730CB"/>
    <w:rsid w:val="00473A73"/>
    <w:rsid w:val="00473D97"/>
    <w:rsid w:val="00475137"/>
    <w:rsid w:val="004771EB"/>
    <w:rsid w:val="004807AF"/>
    <w:rsid w:val="00482D90"/>
    <w:rsid w:val="004846AC"/>
    <w:rsid w:val="00485E32"/>
    <w:rsid w:val="00486549"/>
    <w:rsid w:val="00490D5A"/>
    <w:rsid w:val="004916AC"/>
    <w:rsid w:val="004919DE"/>
    <w:rsid w:val="00491E7F"/>
    <w:rsid w:val="004920BA"/>
    <w:rsid w:val="00493324"/>
    <w:rsid w:val="0049380E"/>
    <w:rsid w:val="00493BFE"/>
    <w:rsid w:val="00494121"/>
    <w:rsid w:val="00494687"/>
    <w:rsid w:val="0049495B"/>
    <w:rsid w:val="00495397"/>
    <w:rsid w:val="00495BF1"/>
    <w:rsid w:val="0049702F"/>
    <w:rsid w:val="00497C0D"/>
    <w:rsid w:val="004A11C8"/>
    <w:rsid w:val="004A17E2"/>
    <w:rsid w:val="004A2798"/>
    <w:rsid w:val="004A334E"/>
    <w:rsid w:val="004A4656"/>
    <w:rsid w:val="004A525F"/>
    <w:rsid w:val="004A5279"/>
    <w:rsid w:val="004A5E9A"/>
    <w:rsid w:val="004A61C5"/>
    <w:rsid w:val="004A6386"/>
    <w:rsid w:val="004A6597"/>
    <w:rsid w:val="004A65DF"/>
    <w:rsid w:val="004A67BD"/>
    <w:rsid w:val="004A6C7B"/>
    <w:rsid w:val="004A7381"/>
    <w:rsid w:val="004A7594"/>
    <w:rsid w:val="004A7625"/>
    <w:rsid w:val="004A79B3"/>
    <w:rsid w:val="004B0755"/>
    <w:rsid w:val="004B0EC0"/>
    <w:rsid w:val="004B20DD"/>
    <w:rsid w:val="004B2D5E"/>
    <w:rsid w:val="004B3814"/>
    <w:rsid w:val="004B4237"/>
    <w:rsid w:val="004B4507"/>
    <w:rsid w:val="004B458A"/>
    <w:rsid w:val="004B50EC"/>
    <w:rsid w:val="004B553A"/>
    <w:rsid w:val="004B5B49"/>
    <w:rsid w:val="004B6960"/>
    <w:rsid w:val="004B75BF"/>
    <w:rsid w:val="004C103E"/>
    <w:rsid w:val="004C15D4"/>
    <w:rsid w:val="004C189C"/>
    <w:rsid w:val="004C3212"/>
    <w:rsid w:val="004C325E"/>
    <w:rsid w:val="004C3EC4"/>
    <w:rsid w:val="004C54E4"/>
    <w:rsid w:val="004C6B89"/>
    <w:rsid w:val="004C6D38"/>
    <w:rsid w:val="004C72ED"/>
    <w:rsid w:val="004C7FF2"/>
    <w:rsid w:val="004D0D52"/>
    <w:rsid w:val="004D1916"/>
    <w:rsid w:val="004D23BF"/>
    <w:rsid w:val="004D270A"/>
    <w:rsid w:val="004D3FFD"/>
    <w:rsid w:val="004D44CC"/>
    <w:rsid w:val="004D498B"/>
    <w:rsid w:val="004D53F0"/>
    <w:rsid w:val="004D5AFD"/>
    <w:rsid w:val="004D699E"/>
    <w:rsid w:val="004D7089"/>
    <w:rsid w:val="004D7500"/>
    <w:rsid w:val="004D76AE"/>
    <w:rsid w:val="004E01DC"/>
    <w:rsid w:val="004E1682"/>
    <w:rsid w:val="004E23E5"/>
    <w:rsid w:val="004E2A04"/>
    <w:rsid w:val="004E2F89"/>
    <w:rsid w:val="004E3639"/>
    <w:rsid w:val="004E3D95"/>
    <w:rsid w:val="004E5289"/>
    <w:rsid w:val="004E5DA6"/>
    <w:rsid w:val="004E7164"/>
    <w:rsid w:val="004E78E9"/>
    <w:rsid w:val="004F0348"/>
    <w:rsid w:val="004F04BF"/>
    <w:rsid w:val="004F0597"/>
    <w:rsid w:val="004F0A47"/>
    <w:rsid w:val="004F24A8"/>
    <w:rsid w:val="004F2BC5"/>
    <w:rsid w:val="004F3069"/>
    <w:rsid w:val="004F3AE1"/>
    <w:rsid w:val="004F40B9"/>
    <w:rsid w:val="004F502B"/>
    <w:rsid w:val="004F56A9"/>
    <w:rsid w:val="004F5F12"/>
    <w:rsid w:val="004F6494"/>
    <w:rsid w:val="004F6706"/>
    <w:rsid w:val="00500853"/>
    <w:rsid w:val="00500B67"/>
    <w:rsid w:val="00500BC3"/>
    <w:rsid w:val="00500D27"/>
    <w:rsid w:val="00500D30"/>
    <w:rsid w:val="005018BE"/>
    <w:rsid w:val="00502965"/>
    <w:rsid w:val="0050332F"/>
    <w:rsid w:val="00504E55"/>
    <w:rsid w:val="005057EE"/>
    <w:rsid w:val="00505ABC"/>
    <w:rsid w:val="005063AE"/>
    <w:rsid w:val="0050670B"/>
    <w:rsid w:val="005075E2"/>
    <w:rsid w:val="005104CD"/>
    <w:rsid w:val="00510756"/>
    <w:rsid w:val="00511C28"/>
    <w:rsid w:val="00511EAB"/>
    <w:rsid w:val="005123C9"/>
    <w:rsid w:val="005128C6"/>
    <w:rsid w:val="00513202"/>
    <w:rsid w:val="0051370F"/>
    <w:rsid w:val="00513BAD"/>
    <w:rsid w:val="00514973"/>
    <w:rsid w:val="00514980"/>
    <w:rsid w:val="00514A0F"/>
    <w:rsid w:val="00515009"/>
    <w:rsid w:val="00515367"/>
    <w:rsid w:val="00515584"/>
    <w:rsid w:val="00516778"/>
    <w:rsid w:val="00516F45"/>
    <w:rsid w:val="00516F7C"/>
    <w:rsid w:val="005206CE"/>
    <w:rsid w:val="005207EA"/>
    <w:rsid w:val="005215C3"/>
    <w:rsid w:val="005217DF"/>
    <w:rsid w:val="00521D0B"/>
    <w:rsid w:val="00522130"/>
    <w:rsid w:val="00523120"/>
    <w:rsid w:val="0052334F"/>
    <w:rsid w:val="00523A7D"/>
    <w:rsid w:val="00523C2D"/>
    <w:rsid w:val="00524BC6"/>
    <w:rsid w:val="00525DB6"/>
    <w:rsid w:val="00526064"/>
    <w:rsid w:val="0052641C"/>
    <w:rsid w:val="00526B29"/>
    <w:rsid w:val="00527A6E"/>
    <w:rsid w:val="00527AC3"/>
    <w:rsid w:val="0053002C"/>
    <w:rsid w:val="00530610"/>
    <w:rsid w:val="0053129A"/>
    <w:rsid w:val="00531943"/>
    <w:rsid w:val="005321EC"/>
    <w:rsid w:val="00532A12"/>
    <w:rsid w:val="00533673"/>
    <w:rsid w:val="00535589"/>
    <w:rsid w:val="005359A8"/>
    <w:rsid w:val="0053661B"/>
    <w:rsid w:val="00536A1B"/>
    <w:rsid w:val="00537098"/>
    <w:rsid w:val="00537243"/>
    <w:rsid w:val="0053778E"/>
    <w:rsid w:val="00541039"/>
    <w:rsid w:val="00545C7E"/>
    <w:rsid w:val="0054656B"/>
    <w:rsid w:val="005468E8"/>
    <w:rsid w:val="00546C1F"/>
    <w:rsid w:val="00546D33"/>
    <w:rsid w:val="00547081"/>
    <w:rsid w:val="0054770B"/>
    <w:rsid w:val="00550431"/>
    <w:rsid w:val="005510A8"/>
    <w:rsid w:val="005521B7"/>
    <w:rsid w:val="00552AA4"/>
    <w:rsid w:val="005534B9"/>
    <w:rsid w:val="00554BBD"/>
    <w:rsid w:val="00555A0F"/>
    <w:rsid w:val="00555B48"/>
    <w:rsid w:val="00555DB8"/>
    <w:rsid w:val="0055607D"/>
    <w:rsid w:val="005560A2"/>
    <w:rsid w:val="0055633D"/>
    <w:rsid w:val="00556A2D"/>
    <w:rsid w:val="00557048"/>
    <w:rsid w:val="00557E5A"/>
    <w:rsid w:val="005612E1"/>
    <w:rsid w:val="00561F31"/>
    <w:rsid w:val="00562297"/>
    <w:rsid w:val="0056299D"/>
    <w:rsid w:val="00563091"/>
    <w:rsid w:val="005643FE"/>
    <w:rsid w:val="00564AA9"/>
    <w:rsid w:val="005656FE"/>
    <w:rsid w:val="0056587B"/>
    <w:rsid w:val="0056593D"/>
    <w:rsid w:val="00565B30"/>
    <w:rsid w:val="00565CDD"/>
    <w:rsid w:val="00565D82"/>
    <w:rsid w:val="00565F27"/>
    <w:rsid w:val="0056620F"/>
    <w:rsid w:val="005665AA"/>
    <w:rsid w:val="005666D4"/>
    <w:rsid w:val="0057016F"/>
    <w:rsid w:val="00570397"/>
    <w:rsid w:val="005757E7"/>
    <w:rsid w:val="00576016"/>
    <w:rsid w:val="0057625E"/>
    <w:rsid w:val="0057688D"/>
    <w:rsid w:val="00582F22"/>
    <w:rsid w:val="00583106"/>
    <w:rsid w:val="00583A98"/>
    <w:rsid w:val="00585381"/>
    <w:rsid w:val="005857CE"/>
    <w:rsid w:val="00585F7A"/>
    <w:rsid w:val="00586D60"/>
    <w:rsid w:val="005876F9"/>
    <w:rsid w:val="005908C3"/>
    <w:rsid w:val="00590FC4"/>
    <w:rsid w:val="00591C5F"/>
    <w:rsid w:val="00592172"/>
    <w:rsid w:val="005927AC"/>
    <w:rsid w:val="00592A43"/>
    <w:rsid w:val="005939CB"/>
    <w:rsid w:val="0059495C"/>
    <w:rsid w:val="00594F4D"/>
    <w:rsid w:val="005954C9"/>
    <w:rsid w:val="00596A61"/>
    <w:rsid w:val="005971E0"/>
    <w:rsid w:val="005A08FA"/>
    <w:rsid w:val="005A0910"/>
    <w:rsid w:val="005A0A16"/>
    <w:rsid w:val="005A10A0"/>
    <w:rsid w:val="005A1F79"/>
    <w:rsid w:val="005A2431"/>
    <w:rsid w:val="005A3413"/>
    <w:rsid w:val="005A443E"/>
    <w:rsid w:val="005A51B0"/>
    <w:rsid w:val="005A5991"/>
    <w:rsid w:val="005A5B10"/>
    <w:rsid w:val="005A6765"/>
    <w:rsid w:val="005A683A"/>
    <w:rsid w:val="005A6966"/>
    <w:rsid w:val="005A6B19"/>
    <w:rsid w:val="005A79C8"/>
    <w:rsid w:val="005A7D1A"/>
    <w:rsid w:val="005B14FE"/>
    <w:rsid w:val="005B19CA"/>
    <w:rsid w:val="005B2306"/>
    <w:rsid w:val="005B2832"/>
    <w:rsid w:val="005B304C"/>
    <w:rsid w:val="005B336D"/>
    <w:rsid w:val="005B346C"/>
    <w:rsid w:val="005B4992"/>
    <w:rsid w:val="005B49B5"/>
    <w:rsid w:val="005B4B42"/>
    <w:rsid w:val="005B4EC2"/>
    <w:rsid w:val="005B5D2B"/>
    <w:rsid w:val="005B5FE4"/>
    <w:rsid w:val="005B6F91"/>
    <w:rsid w:val="005B7EBB"/>
    <w:rsid w:val="005C0156"/>
    <w:rsid w:val="005C0BC0"/>
    <w:rsid w:val="005C0EA4"/>
    <w:rsid w:val="005C0ED6"/>
    <w:rsid w:val="005C0F84"/>
    <w:rsid w:val="005C1F82"/>
    <w:rsid w:val="005C2608"/>
    <w:rsid w:val="005C26F4"/>
    <w:rsid w:val="005C44C2"/>
    <w:rsid w:val="005C6049"/>
    <w:rsid w:val="005C6859"/>
    <w:rsid w:val="005C6F9E"/>
    <w:rsid w:val="005C7D20"/>
    <w:rsid w:val="005D0509"/>
    <w:rsid w:val="005D099E"/>
    <w:rsid w:val="005D17B6"/>
    <w:rsid w:val="005D1B42"/>
    <w:rsid w:val="005D2364"/>
    <w:rsid w:val="005D2690"/>
    <w:rsid w:val="005D3135"/>
    <w:rsid w:val="005D4103"/>
    <w:rsid w:val="005D47A6"/>
    <w:rsid w:val="005D5045"/>
    <w:rsid w:val="005D513E"/>
    <w:rsid w:val="005D5BC6"/>
    <w:rsid w:val="005D63FF"/>
    <w:rsid w:val="005D6795"/>
    <w:rsid w:val="005D6F74"/>
    <w:rsid w:val="005D6FDF"/>
    <w:rsid w:val="005D7239"/>
    <w:rsid w:val="005D7755"/>
    <w:rsid w:val="005D7975"/>
    <w:rsid w:val="005E0A59"/>
    <w:rsid w:val="005E294C"/>
    <w:rsid w:val="005E4453"/>
    <w:rsid w:val="005E4BB8"/>
    <w:rsid w:val="005E5A70"/>
    <w:rsid w:val="005E64C6"/>
    <w:rsid w:val="005E653B"/>
    <w:rsid w:val="005E6B6B"/>
    <w:rsid w:val="005E758D"/>
    <w:rsid w:val="005F04EF"/>
    <w:rsid w:val="005F0978"/>
    <w:rsid w:val="005F0EED"/>
    <w:rsid w:val="005F1074"/>
    <w:rsid w:val="005F1685"/>
    <w:rsid w:val="005F238E"/>
    <w:rsid w:val="005F25D6"/>
    <w:rsid w:val="005F2658"/>
    <w:rsid w:val="005F378F"/>
    <w:rsid w:val="005F3BD5"/>
    <w:rsid w:val="005F3C78"/>
    <w:rsid w:val="005F4D97"/>
    <w:rsid w:val="005F5BDB"/>
    <w:rsid w:val="00600225"/>
    <w:rsid w:val="006003A5"/>
    <w:rsid w:val="006013A3"/>
    <w:rsid w:val="006015E1"/>
    <w:rsid w:val="00601D45"/>
    <w:rsid w:val="00601DB6"/>
    <w:rsid w:val="00601E1B"/>
    <w:rsid w:val="00601E8B"/>
    <w:rsid w:val="00602E8F"/>
    <w:rsid w:val="0060312B"/>
    <w:rsid w:val="006038F0"/>
    <w:rsid w:val="00603A39"/>
    <w:rsid w:val="00603A3F"/>
    <w:rsid w:val="0060419D"/>
    <w:rsid w:val="006044EA"/>
    <w:rsid w:val="00604ECA"/>
    <w:rsid w:val="00605A4D"/>
    <w:rsid w:val="00606844"/>
    <w:rsid w:val="00606F86"/>
    <w:rsid w:val="00607E12"/>
    <w:rsid w:val="00610D77"/>
    <w:rsid w:val="006119BB"/>
    <w:rsid w:val="00611CEC"/>
    <w:rsid w:val="006127D7"/>
    <w:rsid w:val="006127E1"/>
    <w:rsid w:val="006130CC"/>
    <w:rsid w:val="0061389B"/>
    <w:rsid w:val="0061390E"/>
    <w:rsid w:val="006141DD"/>
    <w:rsid w:val="006141E9"/>
    <w:rsid w:val="0061461F"/>
    <w:rsid w:val="00616FD9"/>
    <w:rsid w:val="006172B7"/>
    <w:rsid w:val="0061736F"/>
    <w:rsid w:val="00617D4A"/>
    <w:rsid w:val="00620D6F"/>
    <w:rsid w:val="00620E4B"/>
    <w:rsid w:val="00620E8D"/>
    <w:rsid w:val="00620F97"/>
    <w:rsid w:val="00621651"/>
    <w:rsid w:val="006216D2"/>
    <w:rsid w:val="00621943"/>
    <w:rsid w:val="00622185"/>
    <w:rsid w:val="006225A0"/>
    <w:rsid w:val="00622686"/>
    <w:rsid w:val="00622E8A"/>
    <w:rsid w:val="00624233"/>
    <w:rsid w:val="0062439C"/>
    <w:rsid w:val="0062476A"/>
    <w:rsid w:val="00624959"/>
    <w:rsid w:val="006250B5"/>
    <w:rsid w:val="00625B13"/>
    <w:rsid w:val="00625F89"/>
    <w:rsid w:val="00626422"/>
    <w:rsid w:val="006264E0"/>
    <w:rsid w:val="00626F8E"/>
    <w:rsid w:val="00630A70"/>
    <w:rsid w:val="006317F5"/>
    <w:rsid w:val="00631EC5"/>
    <w:rsid w:val="006332FB"/>
    <w:rsid w:val="006341B6"/>
    <w:rsid w:val="00634877"/>
    <w:rsid w:val="00635D31"/>
    <w:rsid w:val="00635DDA"/>
    <w:rsid w:val="00637039"/>
    <w:rsid w:val="00637B4F"/>
    <w:rsid w:val="00637E46"/>
    <w:rsid w:val="00641A47"/>
    <w:rsid w:val="00641CF3"/>
    <w:rsid w:val="00642AC2"/>
    <w:rsid w:val="00642B4D"/>
    <w:rsid w:val="00642F77"/>
    <w:rsid w:val="006444F1"/>
    <w:rsid w:val="006447C4"/>
    <w:rsid w:val="00644BD1"/>
    <w:rsid w:val="00646493"/>
    <w:rsid w:val="00646AB0"/>
    <w:rsid w:val="00646B15"/>
    <w:rsid w:val="006472AF"/>
    <w:rsid w:val="006474DB"/>
    <w:rsid w:val="00647B8D"/>
    <w:rsid w:val="00647C5E"/>
    <w:rsid w:val="00647E19"/>
    <w:rsid w:val="006512BA"/>
    <w:rsid w:val="00651405"/>
    <w:rsid w:val="00651A5E"/>
    <w:rsid w:val="00651F69"/>
    <w:rsid w:val="00652189"/>
    <w:rsid w:val="006528B6"/>
    <w:rsid w:val="00652AFF"/>
    <w:rsid w:val="006536CA"/>
    <w:rsid w:val="00653B9C"/>
    <w:rsid w:val="0065415F"/>
    <w:rsid w:val="00655380"/>
    <w:rsid w:val="00656CE6"/>
    <w:rsid w:val="0065711F"/>
    <w:rsid w:val="006575DC"/>
    <w:rsid w:val="00660657"/>
    <w:rsid w:val="006608D7"/>
    <w:rsid w:val="00661511"/>
    <w:rsid w:val="00663519"/>
    <w:rsid w:val="00664478"/>
    <w:rsid w:val="00665344"/>
    <w:rsid w:val="00665B22"/>
    <w:rsid w:val="00665F5E"/>
    <w:rsid w:val="006672E3"/>
    <w:rsid w:val="00667390"/>
    <w:rsid w:val="00667443"/>
    <w:rsid w:val="00670F26"/>
    <w:rsid w:val="00670F51"/>
    <w:rsid w:val="00671406"/>
    <w:rsid w:val="0067157C"/>
    <w:rsid w:val="00671A78"/>
    <w:rsid w:val="00673E03"/>
    <w:rsid w:val="00673F9A"/>
    <w:rsid w:val="00674B24"/>
    <w:rsid w:val="00674DE7"/>
    <w:rsid w:val="006800F1"/>
    <w:rsid w:val="0068248F"/>
    <w:rsid w:val="00682A39"/>
    <w:rsid w:val="006842D3"/>
    <w:rsid w:val="006850DD"/>
    <w:rsid w:val="006853F0"/>
    <w:rsid w:val="006854C8"/>
    <w:rsid w:val="006858AC"/>
    <w:rsid w:val="00685951"/>
    <w:rsid w:val="006862C5"/>
    <w:rsid w:val="00686AA7"/>
    <w:rsid w:val="00687554"/>
    <w:rsid w:val="0068799E"/>
    <w:rsid w:val="00687D3C"/>
    <w:rsid w:val="006918FA"/>
    <w:rsid w:val="006924E8"/>
    <w:rsid w:val="00692704"/>
    <w:rsid w:val="006933E2"/>
    <w:rsid w:val="0069345A"/>
    <w:rsid w:val="0069376B"/>
    <w:rsid w:val="00693862"/>
    <w:rsid w:val="00693B6F"/>
    <w:rsid w:val="006943BF"/>
    <w:rsid w:val="00694444"/>
    <w:rsid w:val="00694A0E"/>
    <w:rsid w:val="0069530E"/>
    <w:rsid w:val="00695E74"/>
    <w:rsid w:val="00696869"/>
    <w:rsid w:val="00696D8F"/>
    <w:rsid w:val="00696EDF"/>
    <w:rsid w:val="00697277"/>
    <w:rsid w:val="006976D9"/>
    <w:rsid w:val="00697B45"/>
    <w:rsid w:val="006A07EA"/>
    <w:rsid w:val="006A092D"/>
    <w:rsid w:val="006A1EB6"/>
    <w:rsid w:val="006A4434"/>
    <w:rsid w:val="006A63D1"/>
    <w:rsid w:val="006A6613"/>
    <w:rsid w:val="006A7A48"/>
    <w:rsid w:val="006A7A6E"/>
    <w:rsid w:val="006A7CCA"/>
    <w:rsid w:val="006A7E84"/>
    <w:rsid w:val="006B0063"/>
    <w:rsid w:val="006B0866"/>
    <w:rsid w:val="006B0A64"/>
    <w:rsid w:val="006B0FD5"/>
    <w:rsid w:val="006B28DF"/>
    <w:rsid w:val="006B2B8C"/>
    <w:rsid w:val="006B2C28"/>
    <w:rsid w:val="006B2E73"/>
    <w:rsid w:val="006B532F"/>
    <w:rsid w:val="006B58F8"/>
    <w:rsid w:val="006B6566"/>
    <w:rsid w:val="006B68DD"/>
    <w:rsid w:val="006B6FB8"/>
    <w:rsid w:val="006B7268"/>
    <w:rsid w:val="006B7BEC"/>
    <w:rsid w:val="006B7CC8"/>
    <w:rsid w:val="006C0239"/>
    <w:rsid w:val="006C07A3"/>
    <w:rsid w:val="006C2576"/>
    <w:rsid w:val="006C2FE2"/>
    <w:rsid w:val="006C397C"/>
    <w:rsid w:val="006C3EFC"/>
    <w:rsid w:val="006C4316"/>
    <w:rsid w:val="006C468E"/>
    <w:rsid w:val="006C503C"/>
    <w:rsid w:val="006C524E"/>
    <w:rsid w:val="006C5D6A"/>
    <w:rsid w:val="006C6109"/>
    <w:rsid w:val="006C69D7"/>
    <w:rsid w:val="006C7456"/>
    <w:rsid w:val="006C7EE9"/>
    <w:rsid w:val="006D0AA3"/>
    <w:rsid w:val="006D0DAD"/>
    <w:rsid w:val="006D1418"/>
    <w:rsid w:val="006D19A8"/>
    <w:rsid w:val="006D22EC"/>
    <w:rsid w:val="006D2F6F"/>
    <w:rsid w:val="006D327D"/>
    <w:rsid w:val="006D36DF"/>
    <w:rsid w:val="006D3C5F"/>
    <w:rsid w:val="006D60BE"/>
    <w:rsid w:val="006D7468"/>
    <w:rsid w:val="006E02AC"/>
    <w:rsid w:val="006E04AF"/>
    <w:rsid w:val="006E07B5"/>
    <w:rsid w:val="006E1746"/>
    <w:rsid w:val="006E1D3B"/>
    <w:rsid w:val="006E33FA"/>
    <w:rsid w:val="006E362F"/>
    <w:rsid w:val="006E4B28"/>
    <w:rsid w:val="006E7014"/>
    <w:rsid w:val="006E7B4C"/>
    <w:rsid w:val="006E7D1F"/>
    <w:rsid w:val="006F0E12"/>
    <w:rsid w:val="006F1195"/>
    <w:rsid w:val="006F123D"/>
    <w:rsid w:val="006F1EBF"/>
    <w:rsid w:val="006F2254"/>
    <w:rsid w:val="006F296D"/>
    <w:rsid w:val="006F3113"/>
    <w:rsid w:val="006F45A8"/>
    <w:rsid w:val="006F4AC5"/>
    <w:rsid w:val="006F5183"/>
    <w:rsid w:val="006F51A6"/>
    <w:rsid w:val="006F5CF1"/>
    <w:rsid w:val="006F6368"/>
    <w:rsid w:val="006F6A87"/>
    <w:rsid w:val="006F78A1"/>
    <w:rsid w:val="006F7F3F"/>
    <w:rsid w:val="007010F9"/>
    <w:rsid w:val="00701F21"/>
    <w:rsid w:val="00702A9D"/>
    <w:rsid w:val="00702E19"/>
    <w:rsid w:val="00703A89"/>
    <w:rsid w:val="00703CC3"/>
    <w:rsid w:val="00704C67"/>
    <w:rsid w:val="007056AE"/>
    <w:rsid w:val="00705992"/>
    <w:rsid w:val="00706A87"/>
    <w:rsid w:val="0070706D"/>
    <w:rsid w:val="00707944"/>
    <w:rsid w:val="0071079E"/>
    <w:rsid w:val="00711F2E"/>
    <w:rsid w:val="0071259C"/>
    <w:rsid w:val="00712888"/>
    <w:rsid w:val="00713280"/>
    <w:rsid w:val="0071334A"/>
    <w:rsid w:val="00714402"/>
    <w:rsid w:val="0071446F"/>
    <w:rsid w:val="007146BE"/>
    <w:rsid w:val="0071547E"/>
    <w:rsid w:val="00715BD1"/>
    <w:rsid w:val="00720582"/>
    <w:rsid w:val="0072237B"/>
    <w:rsid w:val="00722850"/>
    <w:rsid w:val="00723E49"/>
    <w:rsid w:val="007245FB"/>
    <w:rsid w:val="00724759"/>
    <w:rsid w:val="0072493C"/>
    <w:rsid w:val="00725C94"/>
    <w:rsid w:val="00726278"/>
    <w:rsid w:val="00730AE3"/>
    <w:rsid w:val="00731050"/>
    <w:rsid w:val="007314CD"/>
    <w:rsid w:val="007319BF"/>
    <w:rsid w:val="00732A90"/>
    <w:rsid w:val="00732CEC"/>
    <w:rsid w:val="00732E20"/>
    <w:rsid w:val="0073347F"/>
    <w:rsid w:val="00734320"/>
    <w:rsid w:val="00735655"/>
    <w:rsid w:val="00735EDB"/>
    <w:rsid w:val="00735FD2"/>
    <w:rsid w:val="00736BC2"/>
    <w:rsid w:val="00737C9A"/>
    <w:rsid w:val="00740081"/>
    <w:rsid w:val="0074192F"/>
    <w:rsid w:val="00741F47"/>
    <w:rsid w:val="00743C03"/>
    <w:rsid w:val="00743E95"/>
    <w:rsid w:val="0074491C"/>
    <w:rsid w:val="00744A43"/>
    <w:rsid w:val="00744F39"/>
    <w:rsid w:val="007461AC"/>
    <w:rsid w:val="00750812"/>
    <w:rsid w:val="00751324"/>
    <w:rsid w:val="007519CC"/>
    <w:rsid w:val="00751E28"/>
    <w:rsid w:val="00753FDF"/>
    <w:rsid w:val="007545BD"/>
    <w:rsid w:val="00754DEF"/>
    <w:rsid w:val="00755103"/>
    <w:rsid w:val="0075575F"/>
    <w:rsid w:val="00756C93"/>
    <w:rsid w:val="00757005"/>
    <w:rsid w:val="007574C5"/>
    <w:rsid w:val="007602D0"/>
    <w:rsid w:val="00760422"/>
    <w:rsid w:val="00762288"/>
    <w:rsid w:val="007627ED"/>
    <w:rsid w:val="00762855"/>
    <w:rsid w:val="007639FF"/>
    <w:rsid w:val="00764197"/>
    <w:rsid w:val="007642E8"/>
    <w:rsid w:val="00764E7A"/>
    <w:rsid w:val="00764FED"/>
    <w:rsid w:val="007656C1"/>
    <w:rsid w:val="00765E92"/>
    <w:rsid w:val="007663E6"/>
    <w:rsid w:val="007672D3"/>
    <w:rsid w:val="007675DD"/>
    <w:rsid w:val="007711D2"/>
    <w:rsid w:val="0077121A"/>
    <w:rsid w:val="007714A8"/>
    <w:rsid w:val="00771B3F"/>
    <w:rsid w:val="00771DE5"/>
    <w:rsid w:val="0077289F"/>
    <w:rsid w:val="00772988"/>
    <w:rsid w:val="00772ECF"/>
    <w:rsid w:val="0077324C"/>
    <w:rsid w:val="00774597"/>
    <w:rsid w:val="00774E13"/>
    <w:rsid w:val="00774F54"/>
    <w:rsid w:val="00775DC7"/>
    <w:rsid w:val="007760B4"/>
    <w:rsid w:val="00776546"/>
    <w:rsid w:val="0077661D"/>
    <w:rsid w:val="007770CD"/>
    <w:rsid w:val="0077751B"/>
    <w:rsid w:val="00780363"/>
    <w:rsid w:val="00780BCB"/>
    <w:rsid w:val="007817CF"/>
    <w:rsid w:val="0078333A"/>
    <w:rsid w:val="00784266"/>
    <w:rsid w:val="00784536"/>
    <w:rsid w:val="00784F91"/>
    <w:rsid w:val="0078502C"/>
    <w:rsid w:val="007853BE"/>
    <w:rsid w:val="007856CD"/>
    <w:rsid w:val="007879DE"/>
    <w:rsid w:val="00787DD4"/>
    <w:rsid w:val="00787ED2"/>
    <w:rsid w:val="00790BB2"/>
    <w:rsid w:val="00791698"/>
    <w:rsid w:val="00791E07"/>
    <w:rsid w:val="00791E40"/>
    <w:rsid w:val="007924BE"/>
    <w:rsid w:val="00792AB7"/>
    <w:rsid w:val="007948C0"/>
    <w:rsid w:val="007951C3"/>
    <w:rsid w:val="00795F60"/>
    <w:rsid w:val="00796E9B"/>
    <w:rsid w:val="007A0362"/>
    <w:rsid w:val="007A2880"/>
    <w:rsid w:val="007A311D"/>
    <w:rsid w:val="007A3C10"/>
    <w:rsid w:val="007A4070"/>
    <w:rsid w:val="007A5025"/>
    <w:rsid w:val="007A5B0A"/>
    <w:rsid w:val="007A614E"/>
    <w:rsid w:val="007A74E7"/>
    <w:rsid w:val="007B0954"/>
    <w:rsid w:val="007B1382"/>
    <w:rsid w:val="007B1B09"/>
    <w:rsid w:val="007B1C3F"/>
    <w:rsid w:val="007B2BAB"/>
    <w:rsid w:val="007B2EAE"/>
    <w:rsid w:val="007B2F3B"/>
    <w:rsid w:val="007B3CDB"/>
    <w:rsid w:val="007B3D78"/>
    <w:rsid w:val="007B448D"/>
    <w:rsid w:val="007B68BC"/>
    <w:rsid w:val="007B6F12"/>
    <w:rsid w:val="007C24CA"/>
    <w:rsid w:val="007C3D3F"/>
    <w:rsid w:val="007C4007"/>
    <w:rsid w:val="007C45D8"/>
    <w:rsid w:val="007C4D4A"/>
    <w:rsid w:val="007C4F51"/>
    <w:rsid w:val="007C5C76"/>
    <w:rsid w:val="007C5D0C"/>
    <w:rsid w:val="007D0109"/>
    <w:rsid w:val="007D0239"/>
    <w:rsid w:val="007D095D"/>
    <w:rsid w:val="007D0E23"/>
    <w:rsid w:val="007D38CE"/>
    <w:rsid w:val="007D3E1C"/>
    <w:rsid w:val="007D54A8"/>
    <w:rsid w:val="007D5FA5"/>
    <w:rsid w:val="007D709D"/>
    <w:rsid w:val="007D73E2"/>
    <w:rsid w:val="007D7995"/>
    <w:rsid w:val="007D7C04"/>
    <w:rsid w:val="007D7CC1"/>
    <w:rsid w:val="007E00E1"/>
    <w:rsid w:val="007E2204"/>
    <w:rsid w:val="007E29D7"/>
    <w:rsid w:val="007E307D"/>
    <w:rsid w:val="007E3585"/>
    <w:rsid w:val="007E7154"/>
    <w:rsid w:val="007E71AE"/>
    <w:rsid w:val="007F071B"/>
    <w:rsid w:val="007F092A"/>
    <w:rsid w:val="007F0B32"/>
    <w:rsid w:val="007F0DFB"/>
    <w:rsid w:val="007F0F84"/>
    <w:rsid w:val="007F11DA"/>
    <w:rsid w:val="007F148A"/>
    <w:rsid w:val="007F1E22"/>
    <w:rsid w:val="007F25B1"/>
    <w:rsid w:val="007F2C35"/>
    <w:rsid w:val="007F32A5"/>
    <w:rsid w:val="007F41E3"/>
    <w:rsid w:val="007F42AE"/>
    <w:rsid w:val="007F44B1"/>
    <w:rsid w:val="007F4BD3"/>
    <w:rsid w:val="007F4D66"/>
    <w:rsid w:val="007F7684"/>
    <w:rsid w:val="00800697"/>
    <w:rsid w:val="00800B14"/>
    <w:rsid w:val="008016CD"/>
    <w:rsid w:val="00801AAA"/>
    <w:rsid w:val="00802727"/>
    <w:rsid w:val="008037B3"/>
    <w:rsid w:val="00803DA2"/>
    <w:rsid w:val="00803F33"/>
    <w:rsid w:val="0080502A"/>
    <w:rsid w:val="0080520A"/>
    <w:rsid w:val="0080539D"/>
    <w:rsid w:val="00805AC6"/>
    <w:rsid w:val="00806F31"/>
    <w:rsid w:val="0080755E"/>
    <w:rsid w:val="008075F5"/>
    <w:rsid w:val="00807F0F"/>
    <w:rsid w:val="00810260"/>
    <w:rsid w:val="0081108F"/>
    <w:rsid w:val="00812475"/>
    <w:rsid w:val="00813070"/>
    <w:rsid w:val="00813962"/>
    <w:rsid w:val="00813F45"/>
    <w:rsid w:val="008140A3"/>
    <w:rsid w:val="008140D0"/>
    <w:rsid w:val="00814313"/>
    <w:rsid w:val="00814520"/>
    <w:rsid w:val="0081572E"/>
    <w:rsid w:val="008168CE"/>
    <w:rsid w:val="00817783"/>
    <w:rsid w:val="008209C7"/>
    <w:rsid w:val="008232F1"/>
    <w:rsid w:val="00823898"/>
    <w:rsid w:val="00824D26"/>
    <w:rsid w:val="008256BA"/>
    <w:rsid w:val="008266A9"/>
    <w:rsid w:val="008276FF"/>
    <w:rsid w:val="00830353"/>
    <w:rsid w:val="00830EC0"/>
    <w:rsid w:val="00831491"/>
    <w:rsid w:val="0083326F"/>
    <w:rsid w:val="008332DE"/>
    <w:rsid w:val="00833A43"/>
    <w:rsid w:val="0083400A"/>
    <w:rsid w:val="00834A44"/>
    <w:rsid w:val="00835872"/>
    <w:rsid w:val="00835C7A"/>
    <w:rsid w:val="00835F16"/>
    <w:rsid w:val="00837581"/>
    <w:rsid w:val="008404AA"/>
    <w:rsid w:val="00840568"/>
    <w:rsid w:val="00840DF4"/>
    <w:rsid w:val="00840E35"/>
    <w:rsid w:val="00841216"/>
    <w:rsid w:val="00841B35"/>
    <w:rsid w:val="008429C9"/>
    <w:rsid w:val="00842C08"/>
    <w:rsid w:val="00843600"/>
    <w:rsid w:val="008463A8"/>
    <w:rsid w:val="008465F9"/>
    <w:rsid w:val="00850338"/>
    <w:rsid w:val="008516E6"/>
    <w:rsid w:val="0085294A"/>
    <w:rsid w:val="00853051"/>
    <w:rsid w:val="008540EA"/>
    <w:rsid w:val="00854DAF"/>
    <w:rsid w:val="008551D2"/>
    <w:rsid w:val="00855279"/>
    <w:rsid w:val="00855B28"/>
    <w:rsid w:val="00855DA4"/>
    <w:rsid w:val="00856194"/>
    <w:rsid w:val="00857B55"/>
    <w:rsid w:val="00857F7D"/>
    <w:rsid w:val="00861053"/>
    <w:rsid w:val="008616CE"/>
    <w:rsid w:val="0086192B"/>
    <w:rsid w:val="008619FB"/>
    <w:rsid w:val="00862821"/>
    <w:rsid w:val="00862F1C"/>
    <w:rsid w:val="00862F47"/>
    <w:rsid w:val="0086351F"/>
    <w:rsid w:val="00863BE7"/>
    <w:rsid w:val="00863C15"/>
    <w:rsid w:val="00863E4A"/>
    <w:rsid w:val="00865F42"/>
    <w:rsid w:val="00866751"/>
    <w:rsid w:val="008667C0"/>
    <w:rsid w:val="00866CB2"/>
    <w:rsid w:val="00867D13"/>
    <w:rsid w:val="008717FF"/>
    <w:rsid w:val="00871C45"/>
    <w:rsid w:val="00871EEB"/>
    <w:rsid w:val="00873BFE"/>
    <w:rsid w:val="00873C98"/>
    <w:rsid w:val="008745B6"/>
    <w:rsid w:val="0087463C"/>
    <w:rsid w:val="0087623F"/>
    <w:rsid w:val="008777AF"/>
    <w:rsid w:val="00877CF6"/>
    <w:rsid w:val="00880DFD"/>
    <w:rsid w:val="00881E00"/>
    <w:rsid w:val="00883075"/>
    <w:rsid w:val="00884344"/>
    <w:rsid w:val="00884559"/>
    <w:rsid w:val="008848D2"/>
    <w:rsid w:val="0088529E"/>
    <w:rsid w:val="008865C9"/>
    <w:rsid w:val="00886C24"/>
    <w:rsid w:val="008870BB"/>
    <w:rsid w:val="00887C18"/>
    <w:rsid w:val="00890259"/>
    <w:rsid w:val="00890898"/>
    <w:rsid w:val="00890CEC"/>
    <w:rsid w:val="00891438"/>
    <w:rsid w:val="008922FA"/>
    <w:rsid w:val="008934D9"/>
    <w:rsid w:val="00893D43"/>
    <w:rsid w:val="00893DA1"/>
    <w:rsid w:val="00893E90"/>
    <w:rsid w:val="00895042"/>
    <w:rsid w:val="0089521F"/>
    <w:rsid w:val="008953B4"/>
    <w:rsid w:val="00895597"/>
    <w:rsid w:val="008956D2"/>
    <w:rsid w:val="0089570B"/>
    <w:rsid w:val="00895EEB"/>
    <w:rsid w:val="00896117"/>
    <w:rsid w:val="008964D7"/>
    <w:rsid w:val="008979AE"/>
    <w:rsid w:val="008A095B"/>
    <w:rsid w:val="008A17A1"/>
    <w:rsid w:val="008A197F"/>
    <w:rsid w:val="008A218A"/>
    <w:rsid w:val="008A2A41"/>
    <w:rsid w:val="008A3379"/>
    <w:rsid w:val="008A40D0"/>
    <w:rsid w:val="008A52E4"/>
    <w:rsid w:val="008A629F"/>
    <w:rsid w:val="008A6A9A"/>
    <w:rsid w:val="008A6D9F"/>
    <w:rsid w:val="008B0289"/>
    <w:rsid w:val="008B06A3"/>
    <w:rsid w:val="008B13C1"/>
    <w:rsid w:val="008B204B"/>
    <w:rsid w:val="008B2151"/>
    <w:rsid w:val="008B2433"/>
    <w:rsid w:val="008B2D1A"/>
    <w:rsid w:val="008B3795"/>
    <w:rsid w:val="008B4B44"/>
    <w:rsid w:val="008B4E2C"/>
    <w:rsid w:val="008B5097"/>
    <w:rsid w:val="008B5C8A"/>
    <w:rsid w:val="008B5D01"/>
    <w:rsid w:val="008B6162"/>
    <w:rsid w:val="008B6ABC"/>
    <w:rsid w:val="008B6DFC"/>
    <w:rsid w:val="008B6E14"/>
    <w:rsid w:val="008B708C"/>
    <w:rsid w:val="008B70FC"/>
    <w:rsid w:val="008B77D9"/>
    <w:rsid w:val="008B7C09"/>
    <w:rsid w:val="008C0720"/>
    <w:rsid w:val="008C0DEB"/>
    <w:rsid w:val="008C1558"/>
    <w:rsid w:val="008C2A2D"/>
    <w:rsid w:val="008C3BBD"/>
    <w:rsid w:val="008C4554"/>
    <w:rsid w:val="008C5017"/>
    <w:rsid w:val="008C53AF"/>
    <w:rsid w:val="008C68F8"/>
    <w:rsid w:val="008C79D7"/>
    <w:rsid w:val="008C7B25"/>
    <w:rsid w:val="008C7CD9"/>
    <w:rsid w:val="008D02B0"/>
    <w:rsid w:val="008D0DA0"/>
    <w:rsid w:val="008D13B3"/>
    <w:rsid w:val="008D1B14"/>
    <w:rsid w:val="008D1E30"/>
    <w:rsid w:val="008D20D9"/>
    <w:rsid w:val="008D213C"/>
    <w:rsid w:val="008D22CD"/>
    <w:rsid w:val="008D2310"/>
    <w:rsid w:val="008D4792"/>
    <w:rsid w:val="008D5447"/>
    <w:rsid w:val="008D57C7"/>
    <w:rsid w:val="008D6189"/>
    <w:rsid w:val="008D6A07"/>
    <w:rsid w:val="008D6AFD"/>
    <w:rsid w:val="008D756C"/>
    <w:rsid w:val="008D7E52"/>
    <w:rsid w:val="008E03C4"/>
    <w:rsid w:val="008E0704"/>
    <w:rsid w:val="008E1451"/>
    <w:rsid w:val="008E14DB"/>
    <w:rsid w:val="008E1E17"/>
    <w:rsid w:val="008E4EBC"/>
    <w:rsid w:val="008E5323"/>
    <w:rsid w:val="008E54F6"/>
    <w:rsid w:val="008E5B90"/>
    <w:rsid w:val="008E5C08"/>
    <w:rsid w:val="008E61F8"/>
    <w:rsid w:val="008E7465"/>
    <w:rsid w:val="008E7953"/>
    <w:rsid w:val="008F134B"/>
    <w:rsid w:val="008F1CB3"/>
    <w:rsid w:val="008F241D"/>
    <w:rsid w:val="008F25D1"/>
    <w:rsid w:val="008F3F38"/>
    <w:rsid w:val="008F44BA"/>
    <w:rsid w:val="008F4F03"/>
    <w:rsid w:val="008F54E4"/>
    <w:rsid w:val="008F6440"/>
    <w:rsid w:val="008F690B"/>
    <w:rsid w:val="008F7037"/>
    <w:rsid w:val="008F7166"/>
    <w:rsid w:val="008F7952"/>
    <w:rsid w:val="00900935"/>
    <w:rsid w:val="00900C9E"/>
    <w:rsid w:val="009020DB"/>
    <w:rsid w:val="00903E49"/>
    <w:rsid w:val="0090463B"/>
    <w:rsid w:val="009049AD"/>
    <w:rsid w:val="0090677D"/>
    <w:rsid w:val="00907FE2"/>
    <w:rsid w:val="009108AA"/>
    <w:rsid w:val="00910C1B"/>
    <w:rsid w:val="009112B5"/>
    <w:rsid w:val="0091233A"/>
    <w:rsid w:val="0091248E"/>
    <w:rsid w:val="00913E48"/>
    <w:rsid w:val="00913FA6"/>
    <w:rsid w:val="0091406C"/>
    <w:rsid w:val="009172C0"/>
    <w:rsid w:val="009174AE"/>
    <w:rsid w:val="00917605"/>
    <w:rsid w:val="00921A8D"/>
    <w:rsid w:val="00922553"/>
    <w:rsid w:val="0092427D"/>
    <w:rsid w:val="0092455E"/>
    <w:rsid w:val="00924F40"/>
    <w:rsid w:val="00925929"/>
    <w:rsid w:val="00925B37"/>
    <w:rsid w:val="00926801"/>
    <w:rsid w:val="0092704E"/>
    <w:rsid w:val="00927198"/>
    <w:rsid w:val="00930E0D"/>
    <w:rsid w:val="009320A0"/>
    <w:rsid w:val="009320FC"/>
    <w:rsid w:val="0093393A"/>
    <w:rsid w:val="00934739"/>
    <w:rsid w:val="009353F0"/>
    <w:rsid w:val="00935F23"/>
    <w:rsid w:val="00936011"/>
    <w:rsid w:val="009374A8"/>
    <w:rsid w:val="009376EA"/>
    <w:rsid w:val="00937D22"/>
    <w:rsid w:val="00942FFB"/>
    <w:rsid w:val="009435AB"/>
    <w:rsid w:val="00943C40"/>
    <w:rsid w:val="0094457C"/>
    <w:rsid w:val="0094568E"/>
    <w:rsid w:val="00945C2D"/>
    <w:rsid w:val="009464A7"/>
    <w:rsid w:val="0094722B"/>
    <w:rsid w:val="00947A5C"/>
    <w:rsid w:val="00947AC7"/>
    <w:rsid w:val="00951353"/>
    <w:rsid w:val="00951780"/>
    <w:rsid w:val="00952D18"/>
    <w:rsid w:val="0095361F"/>
    <w:rsid w:val="0095365B"/>
    <w:rsid w:val="00953A82"/>
    <w:rsid w:val="00954027"/>
    <w:rsid w:val="0095404E"/>
    <w:rsid w:val="009542AE"/>
    <w:rsid w:val="00954CC9"/>
    <w:rsid w:val="00954D94"/>
    <w:rsid w:val="00955150"/>
    <w:rsid w:val="00955377"/>
    <w:rsid w:val="009553C1"/>
    <w:rsid w:val="0095659B"/>
    <w:rsid w:val="0095687F"/>
    <w:rsid w:val="0095733E"/>
    <w:rsid w:val="00961D74"/>
    <w:rsid w:val="0096295B"/>
    <w:rsid w:val="00962A8B"/>
    <w:rsid w:val="00962CDA"/>
    <w:rsid w:val="00963563"/>
    <w:rsid w:val="009645D7"/>
    <w:rsid w:val="009650F6"/>
    <w:rsid w:val="00965D25"/>
    <w:rsid w:val="0096605A"/>
    <w:rsid w:val="009661D6"/>
    <w:rsid w:val="00967160"/>
    <w:rsid w:val="00967863"/>
    <w:rsid w:val="00967F4E"/>
    <w:rsid w:val="0097060B"/>
    <w:rsid w:val="009716F4"/>
    <w:rsid w:val="00971783"/>
    <w:rsid w:val="00972957"/>
    <w:rsid w:val="00972F4A"/>
    <w:rsid w:val="009730AD"/>
    <w:rsid w:val="0097316A"/>
    <w:rsid w:val="009734C5"/>
    <w:rsid w:val="00973CF1"/>
    <w:rsid w:val="00974007"/>
    <w:rsid w:val="00976AF4"/>
    <w:rsid w:val="00976CE9"/>
    <w:rsid w:val="00977100"/>
    <w:rsid w:val="009773B4"/>
    <w:rsid w:val="00977EEC"/>
    <w:rsid w:val="0098026D"/>
    <w:rsid w:val="009806B8"/>
    <w:rsid w:val="009807B8"/>
    <w:rsid w:val="00980D57"/>
    <w:rsid w:val="00982082"/>
    <w:rsid w:val="0098669B"/>
    <w:rsid w:val="009867A0"/>
    <w:rsid w:val="0098691D"/>
    <w:rsid w:val="00986935"/>
    <w:rsid w:val="009872A8"/>
    <w:rsid w:val="0099188D"/>
    <w:rsid w:val="00991AD9"/>
    <w:rsid w:val="00991B9E"/>
    <w:rsid w:val="0099209B"/>
    <w:rsid w:val="00993227"/>
    <w:rsid w:val="009937D3"/>
    <w:rsid w:val="00993C06"/>
    <w:rsid w:val="00993FCD"/>
    <w:rsid w:val="00994CE7"/>
    <w:rsid w:val="009954CF"/>
    <w:rsid w:val="009960C7"/>
    <w:rsid w:val="00996EF8"/>
    <w:rsid w:val="009976BC"/>
    <w:rsid w:val="00997D80"/>
    <w:rsid w:val="009A057D"/>
    <w:rsid w:val="009A42DC"/>
    <w:rsid w:val="009A4E21"/>
    <w:rsid w:val="009A61F4"/>
    <w:rsid w:val="009A65CC"/>
    <w:rsid w:val="009A6B29"/>
    <w:rsid w:val="009A6F60"/>
    <w:rsid w:val="009A753F"/>
    <w:rsid w:val="009A7E9A"/>
    <w:rsid w:val="009B04C2"/>
    <w:rsid w:val="009B08BF"/>
    <w:rsid w:val="009B0D32"/>
    <w:rsid w:val="009B2362"/>
    <w:rsid w:val="009B250C"/>
    <w:rsid w:val="009B26F0"/>
    <w:rsid w:val="009B2BE6"/>
    <w:rsid w:val="009B2CC2"/>
    <w:rsid w:val="009B420D"/>
    <w:rsid w:val="009B42DD"/>
    <w:rsid w:val="009B450B"/>
    <w:rsid w:val="009B4582"/>
    <w:rsid w:val="009B4874"/>
    <w:rsid w:val="009B500A"/>
    <w:rsid w:val="009B5A4C"/>
    <w:rsid w:val="009B5ADA"/>
    <w:rsid w:val="009B5D7E"/>
    <w:rsid w:val="009B6392"/>
    <w:rsid w:val="009B6A4B"/>
    <w:rsid w:val="009B7249"/>
    <w:rsid w:val="009B7C5C"/>
    <w:rsid w:val="009B7E29"/>
    <w:rsid w:val="009C1DCE"/>
    <w:rsid w:val="009C1DF3"/>
    <w:rsid w:val="009C21FC"/>
    <w:rsid w:val="009C25A9"/>
    <w:rsid w:val="009C2FFC"/>
    <w:rsid w:val="009C425A"/>
    <w:rsid w:val="009C490E"/>
    <w:rsid w:val="009C4BE5"/>
    <w:rsid w:val="009C690D"/>
    <w:rsid w:val="009C6A68"/>
    <w:rsid w:val="009C6AAF"/>
    <w:rsid w:val="009C6B6F"/>
    <w:rsid w:val="009C6D72"/>
    <w:rsid w:val="009C7A5C"/>
    <w:rsid w:val="009D1068"/>
    <w:rsid w:val="009D17E1"/>
    <w:rsid w:val="009D27E0"/>
    <w:rsid w:val="009D2C9F"/>
    <w:rsid w:val="009D313A"/>
    <w:rsid w:val="009D320A"/>
    <w:rsid w:val="009D371A"/>
    <w:rsid w:val="009D3837"/>
    <w:rsid w:val="009D49D1"/>
    <w:rsid w:val="009D4B55"/>
    <w:rsid w:val="009D55A9"/>
    <w:rsid w:val="009D6900"/>
    <w:rsid w:val="009D6AA1"/>
    <w:rsid w:val="009E0851"/>
    <w:rsid w:val="009E0D7D"/>
    <w:rsid w:val="009E0E0F"/>
    <w:rsid w:val="009E1E86"/>
    <w:rsid w:val="009E28B0"/>
    <w:rsid w:val="009E2E46"/>
    <w:rsid w:val="009E2EA5"/>
    <w:rsid w:val="009E4A92"/>
    <w:rsid w:val="009E52F4"/>
    <w:rsid w:val="009E54F1"/>
    <w:rsid w:val="009E66F0"/>
    <w:rsid w:val="009E6878"/>
    <w:rsid w:val="009E74FA"/>
    <w:rsid w:val="009E7B22"/>
    <w:rsid w:val="009F2813"/>
    <w:rsid w:val="009F2A52"/>
    <w:rsid w:val="009F4CDB"/>
    <w:rsid w:val="009F653F"/>
    <w:rsid w:val="009F65FC"/>
    <w:rsid w:val="009F69F0"/>
    <w:rsid w:val="009F6A3A"/>
    <w:rsid w:val="009F6E31"/>
    <w:rsid w:val="009F7E36"/>
    <w:rsid w:val="00A00671"/>
    <w:rsid w:val="00A0162A"/>
    <w:rsid w:val="00A0191F"/>
    <w:rsid w:val="00A019AD"/>
    <w:rsid w:val="00A01D8B"/>
    <w:rsid w:val="00A03247"/>
    <w:rsid w:val="00A03AA9"/>
    <w:rsid w:val="00A0412C"/>
    <w:rsid w:val="00A0491D"/>
    <w:rsid w:val="00A04C6A"/>
    <w:rsid w:val="00A04F8C"/>
    <w:rsid w:val="00A05E7C"/>
    <w:rsid w:val="00A05F0A"/>
    <w:rsid w:val="00A05FFC"/>
    <w:rsid w:val="00A068FA"/>
    <w:rsid w:val="00A06B7F"/>
    <w:rsid w:val="00A07153"/>
    <w:rsid w:val="00A07504"/>
    <w:rsid w:val="00A0788C"/>
    <w:rsid w:val="00A07B28"/>
    <w:rsid w:val="00A07ECF"/>
    <w:rsid w:val="00A113B4"/>
    <w:rsid w:val="00A1148A"/>
    <w:rsid w:val="00A12231"/>
    <w:rsid w:val="00A1274E"/>
    <w:rsid w:val="00A12F72"/>
    <w:rsid w:val="00A1459B"/>
    <w:rsid w:val="00A1568D"/>
    <w:rsid w:val="00A15824"/>
    <w:rsid w:val="00A20974"/>
    <w:rsid w:val="00A217BD"/>
    <w:rsid w:val="00A21D65"/>
    <w:rsid w:val="00A22222"/>
    <w:rsid w:val="00A22A92"/>
    <w:rsid w:val="00A230CA"/>
    <w:rsid w:val="00A232D8"/>
    <w:rsid w:val="00A235C3"/>
    <w:rsid w:val="00A23613"/>
    <w:rsid w:val="00A23C55"/>
    <w:rsid w:val="00A24316"/>
    <w:rsid w:val="00A245BD"/>
    <w:rsid w:val="00A2464C"/>
    <w:rsid w:val="00A24D7A"/>
    <w:rsid w:val="00A25557"/>
    <w:rsid w:val="00A259FE"/>
    <w:rsid w:val="00A25B4C"/>
    <w:rsid w:val="00A26802"/>
    <w:rsid w:val="00A26FDB"/>
    <w:rsid w:val="00A2720B"/>
    <w:rsid w:val="00A27C04"/>
    <w:rsid w:val="00A306F1"/>
    <w:rsid w:val="00A31282"/>
    <w:rsid w:val="00A3156F"/>
    <w:rsid w:val="00A34E51"/>
    <w:rsid w:val="00A35394"/>
    <w:rsid w:val="00A363F6"/>
    <w:rsid w:val="00A36790"/>
    <w:rsid w:val="00A36D02"/>
    <w:rsid w:val="00A373C0"/>
    <w:rsid w:val="00A416E2"/>
    <w:rsid w:val="00A41B40"/>
    <w:rsid w:val="00A4301B"/>
    <w:rsid w:val="00A43C65"/>
    <w:rsid w:val="00A43EF1"/>
    <w:rsid w:val="00A43F6F"/>
    <w:rsid w:val="00A4447C"/>
    <w:rsid w:val="00A446B7"/>
    <w:rsid w:val="00A45C99"/>
    <w:rsid w:val="00A461FB"/>
    <w:rsid w:val="00A4712D"/>
    <w:rsid w:val="00A47452"/>
    <w:rsid w:val="00A47769"/>
    <w:rsid w:val="00A47B80"/>
    <w:rsid w:val="00A502D3"/>
    <w:rsid w:val="00A50EDA"/>
    <w:rsid w:val="00A51033"/>
    <w:rsid w:val="00A513B1"/>
    <w:rsid w:val="00A51AAA"/>
    <w:rsid w:val="00A52DD5"/>
    <w:rsid w:val="00A537ED"/>
    <w:rsid w:val="00A53DC0"/>
    <w:rsid w:val="00A54CAF"/>
    <w:rsid w:val="00A54F28"/>
    <w:rsid w:val="00A556EE"/>
    <w:rsid w:val="00A557B6"/>
    <w:rsid w:val="00A5719C"/>
    <w:rsid w:val="00A5765A"/>
    <w:rsid w:val="00A60343"/>
    <w:rsid w:val="00A612C7"/>
    <w:rsid w:val="00A61922"/>
    <w:rsid w:val="00A61C70"/>
    <w:rsid w:val="00A6245A"/>
    <w:rsid w:val="00A631E7"/>
    <w:rsid w:val="00A63C9E"/>
    <w:rsid w:val="00A63E20"/>
    <w:rsid w:val="00A645F5"/>
    <w:rsid w:val="00A64D2B"/>
    <w:rsid w:val="00A65B68"/>
    <w:rsid w:val="00A66580"/>
    <w:rsid w:val="00A66B8C"/>
    <w:rsid w:val="00A679C9"/>
    <w:rsid w:val="00A67A89"/>
    <w:rsid w:val="00A70222"/>
    <w:rsid w:val="00A7054F"/>
    <w:rsid w:val="00A70BBC"/>
    <w:rsid w:val="00A711AB"/>
    <w:rsid w:val="00A71626"/>
    <w:rsid w:val="00A72134"/>
    <w:rsid w:val="00A7301D"/>
    <w:rsid w:val="00A736EC"/>
    <w:rsid w:val="00A73F04"/>
    <w:rsid w:val="00A7463E"/>
    <w:rsid w:val="00A76123"/>
    <w:rsid w:val="00A7676A"/>
    <w:rsid w:val="00A76C7D"/>
    <w:rsid w:val="00A77557"/>
    <w:rsid w:val="00A77E5C"/>
    <w:rsid w:val="00A8027B"/>
    <w:rsid w:val="00A806F1"/>
    <w:rsid w:val="00A810F6"/>
    <w:rsid w:val="00A81545"/>
    <w:rsid w:val="00A815E5"/>
    <w:rsid w:val="00A81E65"/>
    <w:rsid w:val="00A8258D"/>
    <w:rsid w:val="00A82951"/>
    <w:rsid w:val="00A82B79"/>
    <w:rsid w:val="00A82E21"/>
    <w:rsid w:val="00A82FCB"/>
    <w:rsid w:val="00A83B00"/>
    <w:rsid w:val="00A83EEE"/>
    <w:rsid w:val="00A84075"/>
    <w:rsid w:val="00A85902"/>
    <w:rsid w:val="00A85B13"/>
    <w:rsid w:val="00A85DDD"/>
    <w:rsid w:val="00A86179"/>
    <w:rsid w:val="00A87649"/>
    <w:rsid w:val="00A87A3F"/>
    <w:rsid w:val="00A87B8E"/>
    <w:rsid w:val="00A906CA"/>
    <w:rsid w:val="00A90E55"/>
    <w:rsid w:val="00A91046"/>
    <w:rsid w:val="00A9132A"/>
    <w:rsid w:val="00A915D3"/>
    <w:rsid w:val="00A91966"/>
    <w:rsid w:val="00A91A2E"/>
    <w:rsid w:val="00A91E83"/>
    <w:rsid w:val="00A92E4D"/>
    <w:rsid w:val="00A9376F"/>
    <w:rsid w:val="00A93DFE"/>
    <w:rsid w:val="00A93FE5"/>
    <w:rsid w:val="00A950DC"/>
    <w:rsid w:val="00A950FA"/>
    <w:rsid w:val="00AA0D40"/>
    <w:rsid w:val="00AA0FED"/>
    <w:rsid w:val="00AA1A64"/>
    <w:rsid w:val="00AA1B06"/>
    <w:rsid w:val="00AA1D4A"/>
    <w:rsid w:val="00AA29F4"/>
    <w:rsid w:val="00AA343B"/>
    <w:rsid w:val="00AA39B9"/>
    <w:rsid w:val="00AA3FC4"/>
    <w:rsid w:val="00AA4CEB"/>
    <w:rsid w:val="00AA5FE6"/>
    <w:rsid w:val="00AA6881"/>
    <w:rsid w:val="00AA724C"/>
    <w:rsid w:val="00AB0E12"/>
    <w:rsid w:val="00AB0F02"/>
    <w:rsid w:val="00AB12B9"/>
    <w:rsid w:val="00AB15F9"/>
    <w:rsid w:val="00AB1B80"/>
    <w:rsid w:val="00AB2FDC"/>
    <w:rsid w:val="00AB37D9"/>
    <w:rsid w:val="00AB456D"/>
    <w:rsid w:val="00AB4CC2"/>
    <w:rsid w:val="00AB5805"/>
    <w:rsid w:val="00AB5AF2"/>
    <w:rsid w:val="00AB651D"/>
    <w:rsid w:val="00AB777E"/>
    <w:rsid w:val="00AB7B44"/>
    <w:rsid w:val="00AB7D17"/>
    <w:rsid w:val="00AB7EF5"/>
    <w:rsid w:val="00AC0825"/>
    <w:rsid w:val="00AC093D"/>
    <w:rsid w:val="00AC108C"/>
    <w:rsid w:val="00AC187F"/>
    <w:rsid w:val="00AC2233"/>
    <w:rsid w:val="00AC2581"/>
    <w:rsid w:val="00AC30FE"/>
    <w:rsid w:val="00AC3141"/>
    <w:rsid w:val="00AC752A"/>
    <w:rsid w:val="00AC7F5B"/>
    <w:rsid w:val="00AD0980"/>
    <w:rsid w:val="00AD19B5"/>
    <w:rsid w:val="00AD2DD6"/>
    <w:rsid w:val="00AD4519"/>
    <w:rsid w:val="00AD493B"/>
    <w:rsid w:val="00AD4C70"/>
    <w:rsid w:val="00AD5076"/>
    <w:rsid w:val="00AD52F4"/>
    <w:rsid w:val="00AD5938"/>
    <w:rsid w:val="00AD59EA"/>
    <w:rsid w:val="00AD5BD9"/>
    <w:rsid w:val="00AD6124"/>
    <w:rsid w:val="00AD6E54"/>
    <w:rsid w:val="00AD7199"/>
    <w:rsid w:val="00AE03B3"/>
    <w:rsid w:val="00AE0EA6"/>
    <w:rsid w:val="00AE1105"/>
    <w:rsid w:val="00AE286A"/>
    <w:rsid w:val="00AE2EFE"/>
    <w:rsid w:val="00AE3B57"/>
    <w:rsid w:val="00AE4C69"/>
    <w:rsid w:val="00AE4D6C"/>
    <w:rsid w:val="00AE5745"/>
    <w:rsid w:val="00AE63D9"/>
    <w:rsid w:val="00AF0262"/>
    <w:rsid w:val="00AF06C9"/>
    <w:rsid w:val="00AF0E8C"/>
    <w:rsid w:val="00AF0FE8"/>
    <w:rsid w:val="00AF12BA"/>
    <w:rsid w:val="00AF19AC"/>
    <w:rsid w:val="00AF1E29"/>
    <w:rsid w:val="00AF212A"/>
    <w:rsid w:val="00AF23E0"/>
    <w:rsid w:val="00AF2E11"/>
    <w:rsid w:val="00AF2EFE"/>
    <w:rsid w:val="00AF30C4"/>
    <w:rsid w:val="00AF3606"/>
    <w:rsid w:val="00AF40CD"/>
    <w:rsid w:val="00AF4B12"/>
    <w:rsid w:val="00AF4CD6"/>
    <w:rsid w:val="00AF5A0E"/>
    <w:rsid w:val="00AF5B59"/>
    <w:rsid w:val="00AF5CCB"/>
    <w:rsid w:val="00AF5D10"/>
    <w:rsid w:val="00AF6988"/>
    <w:rsid w:val="00AF6CFF"/>
    <w:rsid w:val="00AF7D9D"/>
    <w:rsid w:val="00B00179"/>
    <w:rsid w:val="00B008DB"/>
    <w:rsid w:val="00B00BA4"/>
    <w:rsid w:val="00B00DD3"/>
    <w:rsid w:val="00B011F8"/>
    <w:rsid w:val="00B01864"/>
    <w:rsid w:val="00B01B23"/>
    <w:rsid w:val="00B02BA7"/>
    <w:rsid w:val="00B03084"/>
    <w:rsid w:val="00B03251"/>
    <w:rsid w:val="00B0342B"/>
    <w:rsid w:val="00B04432"/>
    <w:rsid w:val="00B04831"/>
    <w:rsid w:val="00B0562F"/>
    <w:rsid w:val="00B05889"/>
    <w:rsid w:val="00B0683D"/>
    <w:rsid w:val="00B06B63"/>
    <w:rsid w:val="00B073BE"/>
    <w:rsid w:val="00B104F1"/>
    <w:rsid w:val="00B115E8"/>
    <w:rsid w:val="00B127ED"/>
    <w:rsid w:val="00B12984"/>
    <w:rsid w:val="00B144D9"/>
    <w:rsid w:val="00B150A1"/>
    <w:rsid w:val="00B155B5"/>
    <w:rsid w:val="00B16033"/>
    <w:rsid w:val="00B16C28"/>
    <w:rsid w:val="00B16D5F"/>
    <w:rsid w:val="00B17A04"/>
    <w:rsid w:val="00B20B14"/>
    <w:rsid w:val="00B21F57"/>
    <w:rsid w:val="00B22612"/>
    <w:rsid w:val="00B23591"/>
    <w:rsid w:val="00B236C4"/>
    <w:rsid w:val="00B23840"/>
    <w:rsid w:val="00B239AD"/>
    <w:rsid w:val="00B24447"/>
    <w:rsid w:val="00B24A9E"/>
    <w:rsid w:val="00B2585C"/>
    <w:rsid w:val="00B26FA0"/>
    <w:rsid w:val="00B275DF"/>
    <w:rsid w:val="00B27CF2"/>
    <w:rsid w:val="00B30933"/>
    <w:rsid w:val="00B31426"/>
    <w:rsid w:val="00B31480"/>
    <w:rsid w:val="00B3184B"/>
    <w:rsid w:val="00B31AD9"/>
    <w:rsid w:val="00B327E2"/>
    <w:rsid w:val="00B32D39"/>
    <w:rsid w:val="00B3401D"/>
    <w:rsid w:val="00B341E3"/>
    <w:rsid w:val="00B34518"/>
    <w:rsid w:val="00B3508A"/>
    <w:rsid w:val="00B35860"/>
    <w:rsid w:val="00B35944"/>
    <w:rsid w:val="00B40D99"/>
    <w:rsid w:val="00B40E5F"/>
    <w:rsid w:val="00B41568"/>
    <w:rsid w:val="00B41D31"/>
    <w:rsid w:val="00B43188"/>
    <w:rsid w:val="00B43E7A"/>
    <w:rsid w:val="00B43EC6"/>
    <w:rsid w:val="00B44416"/>
    <w:rsid w:val="00B4470B"/>
    <w:rsid w:val="00B44822"/>
    <w:rsid w:val="00B4555D"/>
    <w:rsid w:val="00B45AA4"/>
    <w:rsid w:val="00B46E04"/>
    <w:rsid w:val="00B47504"/>
    <w:rsid w:val="00B47CDC"/>
    <w:rsid w:val="00B51B75"/>
    <w:rsid w:val="00B51D86"/>
    <w:rsid w:val="00B52824"/>
    <w:rsid w:val="00B54C29"/>
    <w:rsid w:val="00B54C65"/>
    <w:rsid w:val="00B55574"/>
    <w:rsid w:val="00B55757"/>
    <w:rsid w:val="00B56B0F"/>
    <w:rsid w:val="00B579DC"/>
    <w:rsid w:val="00B57EA8"/>
    <w:rsid w:val="00B60D17"/>
    <w:rsid w:val="00B6144E"/>
    <w:rsid w:val="00B631CA"/>
    <w:rsid w:val="00B63DAE"/>
    <w:rsid w:val="00B64539"/>
    <w:rsid w:val="00B65813"/>
    <w:rsid w:val="00B663D4"/>
    <w:rsid w:val="00B66823"/>
    <w:rsid w:val="00B6720C"/>
    <w:rsid w:val="00B672D6"/>
    <w:rsid w:val="00B676FB"/>
    <w:rsid w:val="00B70B5A"/>
    <w:rsid w:val="00B71E71"/>
    <w:rsid w:val="00B727F0"/>
    <w:rsid w:val="00B7299D"/>
    <w:rsid w:val="00B72EEC"/>
    <w:rsid w:val="00B73748"/>
    <w:rsid w:val="00B74AA0"/>
    <w:rsid w:val="00B74F26"/>
    <w:rsid w:val="00B75079"/>
    <w:rsid w:val="00B75BDF"/>
    <w:rsid w:val="00B75D79"/>
    <w:rsid w:val="00B75E45"/>
    <w:rsid w:val="00B76FE1"/>
    <w:rsid w:val="00B80C1A"/>
    <w:rsid w:val="00B82739"/>
    <w:rsid w:val="00B8340F"/>
    <w:rsid w:val="00B83500"/>
    <w:rsid w:val="00B84767"/>
    <w:rsid w:val="00B84EB3"/>
    <w:rsid w:val="00B85912"/>
    <w:rsid w:val="00B85D64"/>
    <w:rsid w:val="00B86974"/>
    <w:rsid w:val="00B91879"/>
    <w:rsid w:val="00B919C2"/>
    <w:rsid w:val="00B91E68"/>
    <w:rsid w:val="00B9241E"/>
    <w:rsid w:val="00B939CF"/>
    <w:rsid w:val="00B93F6C"/>
    <w:rsid w:val="00B940BB"/>
    <w:rsid w:val="00B940F6"/>
    <w:rsid w:val="00B942B0"/>
    <w:rsid w:val="00B943B2"/>
    <w:rsid w:val="00B95303"/>
    <w:rsid w:val="00B956EF"/>
    <w:rsid w:val="00B959EC"/>
    <w:rsid w:val="00B97C6C"/>
    <w:rsid w:val="00BA0348"/>
    <w:rsid w:val="00BA0636"/>
    <w:rsid w:val="00BA10C9"/>
    <w:rsid w:val="00BA1155"/>
    <w:rsid w:val="00BA1562"/>
    <w:rsid w:val="00BA2C97"/>
    <w:rsid w:val="00BA2D89"/>
    <w:rsid w:val="00BA2DF3"/>
    <w:rsid w:val="00BA33CE"/>
    <w:rsid w:val="00BA417C"/>
    <w:rsid w:val="00BA5556"/>
    <w:rsid w:val="00BA6187"/>
    <w:rsid w:val="00BA6779"/>
    <w:rsid w:val="00BA6A6F"/>
    <w:rsid w:val="00BA6EBC"/>
    <w:rsid w:val="00BA74F7"/>
    <w:rsid w:val="00BA76C2"/>
    <w:rsid w:val="00BA782E"/>
    <w:rsid w:val="00BA7C1E"/>
    <w:rsid w:val="00BB1446"/>
    <w:rsid w:val="00BB233C"/>
    <w:rsid w:val="00BB3DD2"/>
    <w:rsid w:val="00BB40C2"/>
    <w:rsid w:val="00BB50A3"/>
    <w:rsid w:val="00BB5A67"/>
    <w:rsid w:val="00BB5E17"/>
    <w:rsid w:val="00BB5E7F"/>
    <w:rsid w:val="00BB67DE"/>
    <w:rsid w:val="00BB7314"/>
    <w:rsid w:val="00BB7E1F"/>
    <w:rsid w:val="00BC033B"/>
    <w:rsid w:val="00BC32F3"/>
    <w:rsid w:val="00BC3B94"/>
    <w:rsid w:val="00BC4116"/>
    <w:rsid w:val="00BC5280"/>
    <w:rsid w:val="00BC533F"/>
    <w:rsid w:val="00BC55FF"/>
    <w:rsid w:val="00BC5CAD"/>
    <w:rsid w:val="00BC5FD1"/>
    <w:rsid w:val="00BC6142"/>
    <w:rsid w:val="00BC6182"/>
    <w:rsid w:val="00BC6C93"/>
    <w:rsid w:val="00BC7908"/>
    <w:rsid w:val="00BD0B8C"/>
    <w:rsid w:val="00BD1429"/>
    <w:rsid w:val="00BD1841"/>
    <w:rsid w:val="00BD1ACA"/>
    <w:rsid w:val="00BD20E5"/>
    <w:rsid w:val="00BD36A0"/>
    <w:rsid w:val="00BD3E8C"/>
    <w:rsid w:val="00BD42FC"/>
    <w:rsid w:val="00BD4418"/>
    <w:rsid w:val="00BD4F37"/>
    <w:rsid w:val="00BD7039"/>
    <w:rsid w:val="00BD7EEB"/>
    <w:rsid w:val="00BE0612"/>
    <w:rsid w:val="00BE0B3F"/>
    <w:rsid w:val="00BE1667"/>
    <w:rsid w:val="00BE1BE2"/>
    <w:rsid w:val="00BE1E74"/>
    <w:rsid w:val="00BE234B"/>
    <w:rsid w:val="00BE2F62"/>
    <w:rsid w:val="00BE2FAF"/>
    <w:rsid w:val="00BE3264"/>
    <w:rsid w:val="00BE3FC7"/>
    <w:rsid w:val="00BE530A"/>
    <w:rsid w:val="00BE757B"/>
    <w:rsid w:val="00BF0CBC"/>
    <w:rsid w:val="00BF0E03"/>
    <w:rsid w:val="00BF1CBE"/>
    <w:rsid w:val="00BF2803"/>
    <w:rsid w:val="00BF28ED"/>
    <w:rsid w:val="00BF33B7"/>
    <w:rsid w:val="00BF33EE"/>
    <w:rsid w:val="00BF3736"/>
    <w:rsid w:val="00BF3801"/>
    <w:rsid w:val="00BF3C04"/>
    <w:rsid w:val="00BF44D7"/>
    <w:rsid w:val="00BF4724"/>
    <w:rsid w:val="00BF477D"/>
    <w:rsid w:val="00BF496F"/>
    <w:rsid w:val="00BF537D"/>
    <w:rsid w:val="00BF56A4"/>
    <w:rsid w:val="00BF5D37"/>
    <w:rsid w:val="00BF5E08"/>
    <w:rsid w:val="00BF7D05"/>
    <w:rsid w:val="00C02E0D"/>
    <w:rsid w:val="00C031A7"/>
    <w:rsid w:val="00C034C6"/>
    <w:rsid w:val="00C04251"/>
    <w:rsid w:val="00C05649"/>
    <w:rsid w:val="00C05988"/>
    <w:rsid w:val="00C059D0"/>
    <w:rsid w:val="00C05F77"/>
    <w:rsid w:val="00C06888"/>
    <w:rsid w:val="00C07EFD"/>
    <w:rsid w:val="00C1037B"/>
    <w:rsid w:val="00C10B17"/>
    <w:rsid w:val="00C1148D"/>
    <w:rsid w:val="00C117D6"/>
    <w:rsid w:val="00C128AC"/>
    <w:rsid w:val="00C1336C"/>
    <w:rsid w:val="00C13FC7"/>
    <w:rsid w:val="00C1504C"/>
    <w:rsid w:val="00C155EC"/>
    <w:rsid w:val="00C15939"/>
    <w:rsid w:val="00C16D43"/>
    <w:rsid w:val="00C2156A"/>
    <w:rsid w:val="00C227B2"/>
    <w:rsid w:val="00C244B2"/>
    <w:rsid w:val="00C24700"/>
    <w:rsid w:val="00C24A03"/>
    <w:rsid w:val="00C25540"/>
    <w:rsid w:val="00C25E16"/>
    <w:rsid w:val="00C2727C"/>
    <w:rsid w:val="00C30473"/>
    <w:rsid w:val="00C30E14"/>
    <w:rsid w:val="00C310E2"/>
    <w:rsid w:val="00C31444"/>
    <w:rsid w:val="00C31560"/>
    <w:rsid w:val="00C316BC"/>
    <w:rsid w:val="00C32E5B"/>
    <w:rsid w:val="00C342AF"/>
    <w:rsid w:val="00C34854"/>
    <w:rsid w:val="00C3617F"/>
    <w:rsid w:val="00C361A4"/>
    <w:rsid w:val="00C3709E"/>
    <w:rsid w:val="00C376B5"/>
    <w:rsid w:val="00C379C6"/>
    <w:rsid w:val="00C40226"/>
    <w:rsid w:val="00C40383"/>
    <w:rsid w:val="00C405BC"/>
    <w:rsid w:val="00C405D7"/>
    <w:rsid w:val="00C40799"/>
    <w:rsid w:val="00C40B3F"/>
    <w:rsid w:val="00C41CEF"/>
    <w:rsid w:val="00C41CFB"/>
    <w:rsid w:val="00C43C90"/>
    <w:rsid w:val="00C44816"/>
    <w:rsid w:val="00C478B0"/>
    <w:rsid w:val="00C51278"/>
    <w:rsid w:val="00C516A5"/>
    <w:rsid w:val="00C51F0B"/>
    <w:rsid w:val="00C52F8E"/>
    <w:rsid w:val="00C53471"/>
    <w:rsid w:val="00C55635"/>
    <w:rsid w:val="00C55EE0"/>
    <w:rsid w:val="00C567F9"/>
    <w:rsid w:val="00C5710B"/>
    <w:rsid w:val="00C57894"/>
    <w:rsid w:val="00C61055"/>
    <w:rsid w:val="00C616B3"/>
    <w:rsid w:val="00C621D5"/>
    <w:rsid w:val="00C62360"/>
    <w:rsid w:val="00C6365E"/>
    <w:rsid w:val="00C63A63"/>
    <w:rsid w:val="00C64173"/>
    <w:rsid w:val="00C6438E"/>
    <w:rsid w:val="00C643C1"/>
    <w:rsid w:val="00C64818"/>
    <w:rsid w:val="00C668A3"/>
    <w:rsid w:val="00C66E18"/>
    <w:rsid w:val="00C70261"/>
    <w:rsid w:val="00C70C71"/>
    <w:rsid w:val="00C70D61"/>
    <w:rsid w:val="00C70FD3"/>
    <w:rsid w:val="00C71451"/>
    <w:rsid w:val="00C72058"/>
    <w:rsid w:val="00C720D2"/>
    <w:rsid w:val="00C720E0"/>
    <w:rsid w:val="00C72251"/>
    <w:rsid w:val="00C72450"/>
    <w:rsid w:val="00C7299F"/>
    <w:rsid w:val="00C73279"/>
    <w:rsid w:val="00C74749"/>
    <w:rsid w:val="00C750DE"/>
    <w:rsid w:val="00C75B76"/>
    <w:rsid w:val="00C761C5"/>
    <w:rsid w:val="00C76C1D"/>
    <w:rsid w:val="00C77043"/>
    <w:rsid w:val="00C77605"/>
    <w:rsid w:val="00C77B24"/>
    <w:rsid w:val="00C80DEB"/>
    <w:rsid w:val="00C81032"/>
    <w:rsid w:val="00C818E0"/>
    <w:rsid w:val="00C82048"/>
    <w:rsid w:val="00C825C0"/>
    <w:rsid w:val="00C83F3A"/>
    <w:rsid w:val="00C84EE3"/>
    <w:rsid w:val="00C8791F"/>
    <w:rsid w:val="00C87F04"/>
    <w:rsid w:val="00C87F3B"/>
    <w:rsid w:val="00C90300"/>
    <w:rsid w:val="00C906F7"/>
    <w:rsid w:val="00C924AA"/>
    <w:rsid w:val="00C925EA"/>
    <w:rsid w:val="00C926D2"/>
    <w:rsid w:val="00C93A47"/>
    <w:rsid w:val="00C93B37"/>
    <w:rsid w:val="00C94359"/>
    <w:rsid w:val="00C945AF"/>
    <w:rsid w:val="00C9561A"/>
    <w:rsid w:val="00C96011"/>
    <w:rsid w:val="00C971A2"/>
    <w:rsid w:val="00C97F10"/>
    <w:rsid w:val="00CA0178"/>
    <w:rsid w:val="00CA0D53"/>
    <w:rsid w:val="00CA0E83"/>
    <w:rsid w:val="00CA167F"/>
    <w:rsid w:val="00CA1A78"/>
    <w:rsid w:val="00CA1D57"/>
    <w:rsid w:val="00CA27E0"/>
    <w:rsid w:val="00CA3DB5"/>
    <w:rsid w:val="00CA3F12"/>
    <w:rsid w:val="00CA49AD"/>
    <w:rsid w:val="00CA4AF1"/>
    <w:rsid w:val="00CA4CE6"/>
    <w:rsid w:val="00CA5A9C"/>
    <w:rsid w:val="00CA635A"/>
    <w:rsid w:val="00CA6AB3"/>
    <w:rsid w:val="00CB01CC"/>
    <w:rsid w:val="00CB0406"/>
    <w:rsid w:val="00CB088C"/>
    <w:rsid w:val="00CB0DD9"/>
    <w:rsid w:val="00CB0F74"/>
    <w:rsid w:val="00CB1A83"/>
    <w:rsid w:val="00CB1BC3"/>
    <w:rsid w:val="00CB2560"/>
    <w:rsid w:val="00CB28A9"/>
    <w:rsid w:val="00CB2DAB"/>
    <w:rsid w:val="00CB30CE"/>
    <w:rsid w:val="00CB327A"/>
    <w:rsid w:val="00CB3D9C"/>
    <w:rsid w:val="00CB4FE7"/>
    <w:rsid w:val="00CB5468"/>
    <w:rsid w:val="00CB566A"/>
    <w:rsid w:val="00CB5A7E"/>
    <w:rsid w:val="00CB6ED8"/>
    <w:rsid w:val="00CB7683"/>
    <w:rsid w:val="00CB7E80"/>
    <w:rsid w:val="00CC0B93"/>
    <w:rsid w:val="00CC132B"/>
    <w:rsid w:val="00CC22FB"/>
    <w:rsid w:val="00CC3E65"/>
    <w:rsid w:val="00CC4455"/>
    <w:rsid w:val="00CC4BD3"/>
    <w:rsid w:val="00CC5E10"/>
    <w:rsid w:val="00CC6B65"/>
    <w:rsid w:val="00CC761B"/>
    <w:rsid w:val="00CD08D1"/>
    <w:rsid w:val="00CD251E"/>
    <w:rsid w:val="00CD282D"/>
    <w:rsid w:val="00CD2975"/>
    <w:rsid w:val="00CD38A9"/>
    <w:rsid w:val="00CD4D47"/>
    <w:rsid w:val="00CD52F3"/>
    <w:rsid w:val="00CD580E"/>
    <w:rsid w:val="00CD597B"/>
    <w:rsid w:val="00CD5A24"/>
    <w:rsid w:val="00CD606A"/>
    <w:rsid w:val="00CD69B3"/>
    <w:rsid w:val="00CD71EF"/>
    <w:rsid w:val="00CD746D"/>
    <w:rsid w:val="00CD74E4"/>
    <w:rsid w:val="00CD7636"/>
    <w:rsid w:val="00CE07AD"/>
    <w:rsid w:val="00CE0B25"/>
    <w:rsid w:val="00CE24B0"/>
    <w:rsid w:val="00CE2971"/>
    <w:rsid w:val="00CE2D29"/>
    <w:rsid w:val="00CE34CD"/>
    <w:rsid w:val="00CE37D7"/>
    <w:rsid w:val="00CE3B94"/>
    <w:rsid w:val="00CE3FD5"/>
    <w:rsid w:val="00CE51F5"/>
    <w:rsid w:val="00CE58D9"/>
    <w:rsid w:val="00CE79A4"/>
    <w:rsid w:val="00CE7A57"/>
    <w:rsid w:val="00CE7CB1"/>
    <w:rsid w:val="00CF09D1"/>
    <w:rsid w:val="00CF10E5"/>
    <w:rsid w:val="00CF1662"/>
    <w:rsid w:val="00CF1B9D"/>
    <w:rsid w:val="00CF21CE"/>
    <w:rsid w:val="00CF2303"/>
    <w:rsid w:val="00CF257D"/>
    <w:rsid w:val="00CF25C9"/>
    <w:rsid w:val="00CF2EC1"/>
    <w:rsid w:val="00CF33E9"/>
    <w:rsid w:val="00CF461F"/>
    <w:rsid w:val="00CF4E31"/>
    <w:rsid w:val="00CF5428"/>
    <w:rsid w:val="00CF60DE"/>
    <w:rsid w:val="00CF6417"/>
    <w:rsid w:val="00CF6BB8"/>
    <w:rsid w:val="00CF74D9"/>
    <w:rsid w:val="00D00980"/>
    <w:rsid w:val="00D01E95"/>
    <w:rsid w:val="00D01EFE"/>
    <w:rsid w:val="00D0220C"/>
    <w:rsid w:val="00D03695"/>
    <w:rsid w:val="00D04100"/>
    <w:rsid w:val="00D067FD"/>
    <w:rsid w:val="00D07127"/>
    <w:rsid w:val="00D079E9"/>
    <w:rsid w:val="00D07CBA"/>
    <w:rsid w:val="00D07CF0"/>
    <w:rsid w:val="00D07E46"/>
    <w:rsid w:val="00D108E0"/>
    <w:rsid w:val="00D1152B"/>
    <w:rsid w:val="00D138DD"/>
    <w:rsid w:val="00D141F2"/>
    <w:rsid w:val="00D14898"/>
    <w:rsid w:val="00D150DE"/>
    <w:rsid w:val="00D16A97"/>
    <w:rsid w:val="00D16EB6"/>
    <w:rsid w:val="00D175BD"/>
    <w:rsid w:val="00D17F90"/>
    <w:rsid w:val="00D21C8C"/>
    <w:rsid w:val="00D22B2E"/>
    <w:rsid w:val="00D23B9E"/>
    <w:rsid w:val="00D25B43"/>
    <w:rsid w:val="00D277B0"/>
    <w:rsid w:val="00D27A34"/>
    <w:rsid w:val="00D27BC1"/>
    <w:rsid w:val="00D27C6C"/>
    <w:rsid w:val="00D300AF"/>
    <w:rsid w:val="00D326F0"/>
    <w:rsid w:val="00D32D22"/>
    <w:rsid w:val="00D331C2"/>
    <w:rsid w:val="00D332C4"/>
    <w:rsid w:val="00D339D0"/>
    <w:rsid w:val="00D33F4C"/>
    <w:rsid w:val="00D35952"/>
    <w:rsid w:val="00D35EFB"/>
    <w:rsid w:val="00D365AF"/>
    <w:rsid w:val="00D3715E"/>
    <w:rsid w:val="00D371B7"/>
    <w:rsid w:val="00D37D89"/>
    <w:rsid w:val="00D404A1"/>
    <w:rsid w:val="00D406EA"/>
    <w:rsid w:val="00D40A02"/>
    <w:rsid w:val="00D40AA4"/>
    <w:rsid w:val="00D4142B"/>
    <w:rsid w:val="00D41503"/>
    <w:rsid w:val="00D41722"/>
    <w:rsid w:val="00D4185E"/>
    <w:rsid w:val="00D42426"/>
    <w:rsid w:val="00D43552"/>
    <w:rsid w:val="00D43598"/>
    <w:rsid w:val="00D43DE8"/>
    <w:rsid w:val="00D440F5"/>
    <w:rsid w:val="00D466FF"/>
    <w:rsid w:val="00D46BDA"/>
    <w:rsid w:val="00D47864"/>
    <w:rsid w:val="00D51C8D"/>
    <w:rsid w:val="00D51E7E"/>
    <w:rsid w:val="00D52162"/>
    <w:rsid w:val="00D5265D"/>
    <w:rsid w:val="00D53869"/>
    <w:rsid w:val="00D540DE"/>
    <w:rsid w:val="00D55B3D"/>
    <w:rsid w:val="00D5643B"/>
    <w:rsid w:val="00D56617"/>
    <w:rsid w:val="00D57E4E"/>
    <w:rsid w:val="00D60348"/>
    <w:rsid w:val="00D606B1"/>
    <w:rsid w:val="00D6102B"/>
    <w:rsid w:val="00D62237"/>
    <w:rsid w:val="00D629D1"/>
    <w:rsid w:val="00D63CDC"/>
    <w:rsid w:val="00D642F4"/>
    <w:rsid w:val="00D645D8"/>
    <w:rsid w:val="00D64F4D"/>
    <w:rsid w:val="00D65194"/>
    <w:rsid w:val="00D667FE"/>
    <w:rsid w:val="00D66803"/>
    <w:rsid w:val="00D66D33"/>
    <w:rsid w:val="00D67191"/>
    <w:rsid w:val="00D67BC6"/>
    <w:rsid w:val="00D706FA"/>
    <w:rsid w:val="00D70886"/>
    <w:rsid w:val="00D711C3"/>
    <w:rsid w:val="00D71560"/>
    <w:rsid w:val="00D71E4E"/>
    <w:rsid w:val="00D71F42"/>
    <w:rsid w:val="00D72500"/>
    <w:rsid w:val="00D72D09"/>
    <w:rsid w:val="00D734C5"/>
    <w:rsid w:val="00D734CB"/>
    <w:rsid w:val="00D7375D"/>
    <w:rsid w:val="00D74F5A"/>
    <w:rsid w:val="00D75466"/>
    <w:rsid w:val="00D764D9"/>
    <w:rsid w:val="00D76D37"/>
    <w:rsid w:val="00D77D25"/>
    <w:rsid w:val="00D80121"/>
    <w:rsid w:val="00D80141"/>
    <w:rsid w:val="00D804DB"/>
    <w:rsid w:val="00D806A9"/>
    <w:rsid w:val="00D8177A"/>
    <w:rsid w:val="00D819FD"/>
    <w:rsid w:val="00D84D33"/>
    <w:rsid w:val="00D86105"/>
    <w:rsid w:val="00D87501"/>
    <w:rsid w:val="00D87C85"/>
    <w:rsid w:val="00D9010D"/>
    <w:rsid w:val="00D90478"/>
    <w:rsid w:val="00D906EF"/>
    <w:rsid w:val="00D90767"/>
    <w:rsid w:val="00D9141E"/>
    <w:rsid w:val="00D915CB"/>
    <w:rsid w:val="00D91981"/>
    <w:rsid w:val="00D91B74"/>
    <w:rsid w:val="00D923A6"/>
    <w:rsid w:val="00D926C8"/>
    <w:rsid w:val="00D93A97"/>
    <w:rsid w:val="00D94C56"/>
    <w:rsid w:val="00D94EEC"/>
    <w:rsid w:val="00D953D8"/>
    <w:rsid w:val="00D965C6"/>
    <w:rsid w:val="00D9675E"/>
    <w:rsid w:val="00D9687B"/>
    <w:rsid w:val="00D96DB7"/>
    <w:rsid w:val="00DA1758"/>
    <w:rsid w:val="00DA1F6E"/>
    <w:rsid w:val="00DA279C"/>
    <w:rsid w:val="00DA40D9"/>
    <w:rsid w:val="00DA49BC"/>
    <w:rsid w:val="00DA57C3"/>
    <w:rsid w:val="00DA6820"/>
    <w:rsid w:val="00DA6CE9"/>
    <w:rsid w:val="00DA762B"/>
    <w:rsid w:val="00DB064A"/>
    <w:rsid w:val="00DB0F76"/>
    <w:rsid w:val="00DB1B5D"/>
    <w:rsid w:val="00DB27BF"/>
    <w:rsid w:val="00DB2934"/>
    <w:rsid w:val="00DB298E"/>
    <w:rsid w:val="00DB308F"/>
    <w:rsid w:val="00DB4ABA"/>
    <w:rsid w:val="00DB56DC"/>
    <w:rsid w:val="00DB6A18"/>
    <w:rsid w:val="00DB70B6"/>
    <w:rsid w:val="00DB735A"/>
    <w:rsid w:val="00DB7785"/>
    <w:rsid w:val="00DB7790"/>
    <w:rsid w:val="00DB7884"/>
    <w:rsid w:val="00DB791F"/>
    <w:rsid w:val="00DC055C"/>
    <w:rsid w:val="00DC0769"/>
    <w:rsid w:val="00DC0B20"/>
    <w:rsid w:val="00DC1E98"/>
    <w:rsid w:val="00DC1FB6"/>
    <w:rsid w:val="00DC249B"/>
    <w:rsid w:val="00DC2C0E"/>
    <w:rsid w:val="00DC3139"/>
    <w:rsid w:val="00DC3369"/>
    <w:rsid w:val="00DC3E78"/>
    <w:rsid w:val="00DC4786"/>
    <w:rsid w:val="00DC5851"/>
    <w:rsid w:val="00DC5E5C"/>
    <w:rsid w:val="00DC5FC6"/>
    <w:rsid w:val="00DC6149"/>
    <w:rsid w:val="00DC6F57"/>
    <w:rsid w:val="00DC7590"/>
    <w:rsid w:val="00DC7C77"/>
    <w:rsid w:val="00DD09EF"/>
    <w:rsid w:val="00DD1C4C"/>
    <w:rsid w:val="00DD272E"/>
    <w:rsid w:val="00DD2C23"/>
    <w:rsid w:val="00DD391B"/>
    <w:rsid w:val="00DD4438"/>
    <w:rsid w:val="00DD47E2"/>
    <w:rsid w:val="00DD4865"/>
    <w:rsid w:val="00DD49FC"/>
    <w:rsid w:val="00DD4B61"/>
    <w:rsid w:val="00DD4D1F"/>
    <w:rsid w:val="00DD4DD7"/>
    <w:rsid w:val="00DD571F"/>
    <w:rsid w:val="00DD6008"/>
    <w:rsid w:val="00DD7753"/>
    <w:rsid w:val="00DE0337"/>
    <w:rsid w:val="00DE0D3C"/>
    <w:rsid w:val="00DE1B16"/>
    <w:rsid w:val="00DE1F3C"/>
    <w:rsid w:val="00DE1FDE"/>
    <w:rsid w:val="00DE3106"/>
    <w:rsid w:val="00DE3747"/>
    <w:rsid w:val="00DE430A"/>
    <w:rsid w:val="00DE6749"/>
    <w:rsid w:val="00DE6E4E"/>
    <w:rsid w:val="00DE7914"/>
    <w:rsid w:val="00DF06BC"/>
    <w:rsid w:val="00DF0941"/>
    <w:rsid w:val="00DF0C9D"/>
    <w:rsid w:val="00DF0FF7"/>
    <w:rsid w:val="00DF183E"/>
    <w:rsid w:val="00DF23A8"/>
    <w:rsid w:val="00DF2DA6"/>
    <w:rsid w:val="00DF2E38"/>
    <w:rsid w:val="00DF2FC5"/>
    <w:rsid w:val="00DF396E"/>
    <w:rsid w:val="00DF39A8"/>
    <w:rsid w:val="00DF3A27"/>
    <w:rsid w:val="00DF67B6"/>
    <w:rsid w:val="00DF6A24"/>
    <w:rsid w:val="00DF7B23"/>
    <w:rsid w:val="00E02822"/>
    <w:rsid w:val="00E0335E"/>
    <w:rsid w:val="00E0449D"/>
    <w:rsid w:val="00E04828"/>
    <w:rsid w:val="00E04C98"/>
    <w:rsid w:val="00E05851"/>
    <w:rsid w:val="00E05BC6"/>
    <w:rsid w:val="00E05DDD"/>
    <w:rsid w:val="00E069EF"/>
    <w:rsid w:val="00E07D1C"/>
    <w:rsid w:val="00E10DCD"/>
    <w:rsid w:val="00E1131A"/>
    <w:rsid w:val="00E1169B"/>
    <w:rsid w:val="00E11913"/>
    <w:rsid w:val="00E11F53"/>
    <w:rsid w:val="00E1474E"/>
    <w:rsid w:val="00E1499F"/>
    <w:rsid w:val="00E16172"/>
    <w:rsid w:val="00E17423"/>
    <w:rsid w:val="00E178EC"/>
    <w:rsid w:val="00E17F04"/>
    <w:rsid w:val="00E20035"/>
    <w:rsid w:val="00E20256"/>
    <w:rsid w:val="00E20ED2"/>
    <w:rsid w:val="00E2266F"/>
    <w:rsid w:val="00E23F45"/>
    <w:rsid w:val="00E244C8"/>
    <w:rsid w:val="00E2544B"/>
    <w:rsid w:val="00E266CA"/>
    <w:rsid w:val="00E26C92"/>
    <w:rsid w:val="00E27931"/>
    <w:rsid w:val="00E27CA1"/>
    <w:rsid w:val="00E27D52"/>
    <w:rsid w:val="00E30A34"/>
    <w:rsid w:val="00E313A2"/>
    <w:rsid w:val="00E3291E"/>
    <w:rsid w:val="00E34FE0"/>
    <w:rsid w:val="00E358A6"/>
    <w:rsid w:val="00E359A7"/>
    <w:rsid w:val="00E35EF8"/>
    <w:rsid w:val="00E36D6A"/>
    <w:rsid w:val="00E3760F"/>
    <w:rsid w:val="00E376BA"/>
    <w:rsid w:val="00E379B4"/>
    <w:rsid w:val="00E37E9C"/>
    <w:rsid w:val="00E401C2"/>
    <w:rsid w:val="00E40353"/>
    <w:rsid w:val="00E4083D"/>
    <w:rsid w:val="00E41D4E"/>
    <w:rsid w:val="00E43732"/>
    <w:rsid w:val="00E44644"/>
    <w:rsid w:val="00E4523F"/>
    <w:rsid w:val="00E46376"/>
    <w:rsid w:val="00E4742B"/>
    <w:rsid w:val="00E47C91"/>
    <w:rsid w:val="00E52785"/>
    <w:rsid w:val="00E52838"/>
    <w:rsid w:val="00E52B3B"/>
    <w:rsid w:val="00E54A17"/>
    <w:rsid w:val="00E54F0C"/>
    <w:rsid w:val="00E550C5"/>
    <w:rsid w:val="00E55F54"/>
    <w:rsid w:val="00E564AF"/>
    <w:rsid w:val="00E56A60"/>
    <w:rsid w:val="00E6096A"/>
    <w:rsid w:val="00E6160B"/>
    <w:rsid w:val="00E61A09"/>
    <w:rsid w:val="00E61CD5"/>
    <w:rsid w:val="00E61E26"/>
    <w:rsid w:val="00E62D3A"/>
    <w:rsid w:val="00E63248"/>
    <w:rsid w:val="00E638A1"/>
    <w:rsid w:val="00E63AF4"/>
    <w:rsid w:val="00E647FD"/>
    <w:rsid w:val="00E649B6"/>
    <w:rsid w:val="00E64ED3"/>
    <w:rsid w:val="00E66B36"/>
    <w:rsid w:val="00E67056"/>
    <w:rsid w:val="00E67424"/>
    <w:rsid w:val="00E7099B"/>
    <w:rsid w:val="00E70A91"/>
    <w:rsid w:val="00E70B83"/>
    <w:rsid w:val="00E70DC3"/>
    <w:rsid w:val="00E70F56"/>
    <w:rsid w:val="00E717E9"/>
    <w:rsid w:val="00E71938"/>
    <w:rsid w:val="00E71C7C"/>
    <w:rsid w:val="00E71E48"/>
    <w:rsid w:val="00E72330"/>
    <w:rsid w:val="00E72467"/>
    <w:rsid w:val="00E731E2"/>
    <w:rsid w:val="00E74976"/>
    <w:rsid w:val="00E74CAA"/>
    <w:rsid w:val="00E751FC"/>
    <w:rsid w:val="00E7598F"/>
    <w:rsid w:val="00E75BB0"/>
    <w:rsid w:val="00E7718D"/>
    <w:rsid w:val="00E7735A"/>
    <w:rsid w:val="00E7798A"/>
    <w:rsid w:val="00E8095D"/>
    <w:rsid w:val="00E81E5E"/>
    <w:rsid w:val="00E81E96"/>
    <w:rsid w:val="00E81ECF"/>
    <w:rsid w:val="00E81EEC"/>
    <w:rsid w:val="00E836CA"/>
    <w:rsid w:val="00E84774"/>
    <w:rsid w:val="00E84E60"/>
    <w:rsid w:val="00E856EA"/>
    <w:rsid w:val="00E85BA6"/>
    <w:rsid w:val="00E86113"/>
    <w:rsid w:val="00E90688"/>
    <w:rsid w:val="00E90969"/>
    <w:rsid w:val="00E919FA"/>
    <w:rsid w:val="00E91C7F"/>
    <w:rsid w:val="00E934B4"/>
    <w:rsid w:val="00E94375"/>
    <w:rsid w:val="00E94C18"/>
    <w:rsid w:val="00E94F47"/>
    <w:rsid w:val="00E9506B"/>
    <w:rsid w:val="00E96CB2"/>
    <w:rsid w:val="00E974B0"/>
    <w:rsid w:val="00E97CB1"/>
    <w:rsid w:val="00EA0D3F"/>
    <w:rsid w:val="00EA0E00"/>
    <w:rsid w:val="00EA1580"/>
    <w:rsid w:val="00EA1705"/>
    <w:rsid w:val="00EA18C3"/>
    <w:rsid w:val="00EA1DE1"/>
    <w:rsid w:val="00EA4200"/>
    <w:rsid w:val="00EA48D7"/>
    <w:rsid w:val="00EA4EC4"/>
    <w:rsid w:val="00EA510E"/>
    <w:rsid w:val="00EA55E2"/>
    <w:rsid w:val="00EA563C"/>
    <w:rsid w:val="00EA6C72"/>
    <w:rsid w:val="00EA7487"/>
    <w:rsid w:val="00EA7525"/>
    <w:rsid w:val="00EA7922"/>
    <w:rsid w:val="00EA7BA2"/>
    <w:rsid w:val="00EB05A8"/>
    <w:rsid w:val="00EB092A"/>
    <w:rsid w:val="00EB09DA"/>
    <w:rsid w:val="00EB0B2A"/>
    <w:rsid w:val="00EB0E84"/>
    <w:rsid w:val="00EB1084"/>
    <w:rsid w:val="00EB2CAE"/>
    <w:rsid w:val="00EB389A"/>
    <w:rsid w:val="00EB3EA6"/>
    <w:rsid w:val="00EB5593"/>
    <w:rsid w:val="00EB66FD"/>
    <w:rsid w:val="00EB77FD"/>
    <w:rsid w:val="00EC066F"/>
    <w:rsid w:val="00EC06DE"/>
    <w:rsid w:val="00EC2264"/>
    <w:rsid w:val="00EC23D8"/>
    <w:rsid w:val="00EC2762"/>
    <w:rsid w:val="00EC2E69"/>
    <w:rsid w:val="00EC3A74"/>
    <w:rsid w:val="00EC3ACD"/>
    <w:rsid w:val="00EC3FA3"/>
    <w:rsid w:val="00EC4F39"/>
    <w:rsid w:val="00EC5145"/>
    <w:rsid w:val="00EC5957"/>
    <w:rsid w:val="00EC5AB3"/>
    <w:rsid w:val="00EC5D29"/>
    <w:rsid w:val="00EC5D4A"/>
    <w:rsid w:val="00EC5DAB"/>
    <w:rsid w:val="00EC720E"/>
    <w:rsid w:val="00EC7223"/>
    <w:rsid w:val="00EC7488"/>
    <w:rsid w:val="00EC7793"/>
    <w:rsid w:val="00ED00BE"/>
    <w:rsid w:val="00ED012A"/>
    <w:rsid w:val="00ED0263"/>
    <w:rsid w:val="00ED0AF9"/>
    <w:rsid w:val="00ED171D"/>
    <w:rsid w:val="00ED178A"/>
    <w:rsid w:val="00ED29CD"/>
    <w:rsid w:val="00ED2FA4"/>
    <w:rsid w:val="00ED31CF"/>
    <w:rsid w:val="00ED33B9"/>
    <w:rsid w:val="00ED4648"/>
    <w:rsid w:val="00ED4C72"/>
    <w:rsid w:val="00ED5658"/>
    <w:rsid w:val="00ED63DA"/>
    <w:rsid w:val="00ED777E"/>
    <w:rsid w:val="00ED78EC"/>
    <w:rsid w:val="00EE010B"/>
    <w:rsid w:val="00EE04EA"/>
    <w:rsid w:val="00EE08FD"/>
    <w:rsid w:val="00EE11A1"/>
    <w:rsid w:val="00EE195B"/>
    <w:rsid w:val="00EE2B80"/>
    <w:rsid w:val="00EE4F68"/>
    <w:rsid w:val="00EE5378"/>
    <w:rsid w:val="00EE554C"/>
    <w:rsid w:val="00EE58F4"/>
    <w:rsid w:val="00EE5A9A"/>
    <w:rsid w:val="00EE7851"/>
    <w:rsid w:val="00EE7C2F"/>
    <w:rsid w:val="00EF07D6"/>
    <w:rsid w:val="00EF1070"/>
    <w:rsid w:val="00EF14DD"/>
    <w:rsid w:val="00EF2BB5"/>
    <w:rsid w:val="00EF32E0"/>
    <w:rsid w:val="00EF4E90"/>
    <w:rsid w:val="00EF5568"/>
    <w:rsid w:val="00EF562E"/>
    <w:rsid w:val="00EF56AC"/>
    <w:rsid w:val="00EF5716"/>
    <w:rsid w:val="00EF6411"/>
    <w:rsid w:val="00EF6528"/>
    <w:rsid w:val="00EF7301"/>
    <w:rsid w:val="00F00830"/>
    <w:rsid w:val="00F00939"/>
    <w:rsid w:val="00F01834"/>
    <w:rsid w:val="00F03F24"/>
    <w:rsid w:val="00F04B4D"/>
    <w:rsid w:val="00F053C1"/>
    <w:rsid w:val="00F06B60"/>
    <w:rsid w:val="00F101BD"/>
    <w:rsid w:val="00F1024C"/>
    <w:rsid w:val="00F10677"/>
    <w:rsid w:val="00F10766"/>
    <w:rsid w:val="00F11188"/>
    <w:rsid w:val="00F112AF"/>
    <w:rsid w:val="00F11C46"/>
    <w:rsid w:val="00F11F1D"/>
    <w:rsid w:val="00F142B0"/>
    <w:rsid w:val="00F144CF"/>
    <w:rsid w:val="00F14759"/>
    <w:rsid w:val="00F15CC2"/>
    <w:rsid w:val="00F15DD5"/>
    <w:rsid w:val="00F16604"/>
    <w:rsid w:val="00F1682B"/>
    <w:rsid w:val="00F16FCE"/>
    <w:rsid w:val="00F177C5"/>
    <w:rsid w:val="00F17854"/>
    <w:rsid w:val="00F17FC8"/>
    <w:rsid w:val="00F203B6"/>
    <w:rsid w:val="00F204D7"/>
    <w:rsid w:val="00F20AC0"/>
    <w:rsid w:val="00F20FDD"/>
    <w:rsid w:val="00F2189E"/>
    <w:rsid w:val="00F21935"/>
    <w:rsid w:val="00F21D4C"/>
    <w:rsid w:val="00F21DA8"/>
    <w:rsid w:val="00F221A3"/>
    <w:rsid w:val="00F223F9"/>
    <w:rsid w:val="00F231FA"/>
    <w:rsid w:val="00F2320C"/>
    <w:rsid w:val="00F23596"/>
    <w:rsid w:val="00F23B3F"/>
    <w:rsid w:val="00F23BE7"/>
    <w:rsid w:val="00F24649"/>
    <w:rsid w:val="00F248ED"/>
    <w:rsid w:val="00F25348"/>
    <w:rsid w:val="00F26277"/>
    <w:rsid w:val="00F2718A"/>
    <w:rsid w:val="00F279E6"/>
    <w:rsid w:val="00F306F4"/>
    <w:rsid w:val="00F307B7"/>
    <w:rsid w:val="00F308D1"/>
    <w:rsid w:val="00F3097A"/>
    <w:rsid w:val="00F31311"/>
    <w:rsid w:val="00F31534"/>
    <w:rsid w:val="00F3226F"/>
    <w:rsid w:val="00F337B8"/>
    <w:rsid w:val="00F342A0"/>
    <w:rsid w:val="00F34605"/>
    <w:rsid w:val="00F34849"/>
    <w:rsid w:val="00F3527E"/>
    <w:rsid w:val="00F35638"/>
    <w:rsid w:val="00F35F28"/>
    <w:rsid w:val="00F360D1"/>
    <w:rsid w:val="00F3653D"/>
    <w:rsid w:val="00F36564"/>
    <w:rsid w:val="00F36788"/>
    <w:rsid w:val="00F36AF0"/>
    <w:rsid w:val="00F425AA"/>
    <w:rsid w:val="00F42AB4"/>
    <w:rsid w:val="00F42C01"/>
    <w:rsid w:val="00F43AFC"/>
    <w:rsid w:val="00F44548"/>
    <w:rsid w:val="00F44EA9"/>
    <w:rsid w:val="00F453AD"/>
    <w:rsid w:val="00F45983"/>
    <w:rsid w:val="00F46B15"/>
    <w:rsid w:val="00F474B1"/>
    <w:rsid w:val="00F5014B"/>
    <w:rsid w:val="00F51364"/>
    <w:rsid w:val="00F513E4"/>
    <w:rsid w:val="00F51640"/>
    <w:rsid w:val="00F52498"/>
    <w:rsid w:val="00F52AA2"/>
    <w:rsid w:val="00F530CF"/>
    <w:rsid w:val="00F53D4E"/>
    <w:rsid w:val="00F55189"/>
    <w:rsid w:val="00F55BF9"/>
    <w:rsid w:val="00F55C27"/>
    <w:rsid w:val="00F56E1B"/>
    <w:rsid w:val="00F57000"/>
    <w:rsid w:val="00F57989"/>
    <w:rsid w:val="00F57C3F"/>
    <w:rsid w:val="00F608D4"/>
    <w:rsid w:val="00F60A96"/>
    <w:rsid w:val="00F60B08"/>
    <w:rsid w:val="00F60FEB"/>
    <w:rsid w:val="00F61279"/>
    <w:rsid w:val="00F61A93"/>
    <w:rsid w:val="00F6261C"/>
    <w:rsid w:val="00F62769"/>
    <w:rsid w:val="00F62A4A"/>
    <w:rsid w:val="00F62C24"/>
    <w:rsid w:val="00F63B4D"/>
    <w:rsid w:val="00F63E36"/>
    <w:rsid w:val="00F67204"/>
    <w:rsid w:val="00F67578"/>
    <w:rsid w:val="00F67D73"/>
    <w:rsid w:val="00F7002B"/>
    <w:rsid w:val="00F70482"/>
    <w:rsid w:val="00F718C8"/>
    <w:rsid w:val="00F71BAE"/>
    <w:rsid w:val="00F738E8"/>
    <w:rsid w:val="00F7394C"/>
    <w:rsid w:val="00F7438C"/>
    <w:rsid w:val="00F75CAB"/>
    <w:rsid w:val="00F7615B"/>
    <w:rsid w:val="00F76865"/>
    <w:rsid w:val="00F76C2F"/>
    <w:rsid w:val="00F77114"/>
    <w:rsid w:val="00F77573"/>
    <w:rsid w:val="00F77F10"/>
    <w:rsid w:val="00F80E40"/>
    <w:rsid w:val="00F813FD"/>
    <w:rsid w:val="00F816F6"/>
    <w:rsid w:val="00F81D64"/>
    <w:rsid w:val="00F81EF9"/>
    <w:rsid w:val="00F823E3"/>
    <w:rsid w:val="00F837A0"/>
    <w:rsid w:val="00F838DC"/>
    <w:rsid w:val="00F83C3D"/>
    <w:rsid w:val="00F83F91"/>
    <w:rsid w:val="00F846C6"/>
    <w:rsid w:val="00F84769"/>
    <w:rsid w:val="00F867D1"/>
    <w:rsid w:val="00F90121"/>
    <w:rsid w:val="00F90611"/>
    <w:rsid w:val="00F914C2"/>
    <w:rsid w:val="00F914E1"/>
    <w:rsid w:val="00F93B19"/>
    <w:rsid w:val="00F94539"/>
    <w:rsid w:val="00F94FA4"/>
    <w:rsid w:val="00F94FF8"/>
    <w:rsid w:val="00F95C5E"/>
    <w:rsid w:val="00F95DEA"/>
    <w:rsid w:val="00F9687D"/>
    <w:rsid w:val="00F96A4F"/>
    <w:rsid w:val="00F97674"/>
    <w:rsid w:val="00F97E8D"/>
    <w:rsid w:val="00F97EA1"/>
    <w:rsid w:val="00FA0015"/>
    <w:rsid w:val="00FA0F33"/>
    <w:rsid w:val="00FA17F6"/>
    <w:rsid w:val="00FA18A6"/>
    <w:rsid w:val="00FA246F"/>
    <w:rsid w:val="00FA27D4"/>
    <w:rsid w:val="00FA28A0"/>
    <w:rsid w:val="00FA3458"/>
    <w:rsid w:val="00FA45CA"/>
    <w:rsid w:val="00FA474E"/>
    <w:rsid w:val="00FA484C"/>
    <w:rsid w:val="00FA5416"/>
    <w:rsid w:val="00FA5560"/>
    <w:rsid w:val="00FA5F9A"/>
    <w:rsid w:val="00FA647B"/>
    <w:rsid w:val="00FA7439"/>
    <w:rsid w:val="00FB0142"/>
    <w:rsid w:val="00FB0212"/>
    <w:rsid w:val="00FB062F"/>
    <w:rsid w:val="00FB0E83"/>
    <w:rsid w:val="00FB1648"/>
    <w:rsid w:val="00FB277D"/>
    <w:rsid w:val="00FB2A84"/>
    <w:rsid w:val="00FB2EAC"/>
    <w:rsid w:val="00FB33CB"/>
    <w:rsid w:val="00FB4248"/>
    <w:rsid w:val="00FB5C7D"/>
    <w:rsid w:val="00FB6B2B"/>
    <w:rsid w:val="00FB772A"/>
    <w:rsid w:val="00FC2027"/>
    <w:rsid w:val="00FC232E"/>
    <w:rsid w:val="00FC2436"/>
    <w:rsid w:val="00FC2A8D"/>
    <w:rsid w:val="00FC3A0B"/>
    <w:rsid w:val="00FC4ECB"/>
    <w:rsid w:val="00FC5FAC"/>
    <w:rsid w:val="00FC6584"/>
    <w:rsid w:val="00FC6913"/>
    <w:rsid w:val="00FD1224"/>
    <w:rsid w:val="00FD2AE7"/>
    <w:rsid w:val="00FD2B0F"/>
    <w:rsid w:val="00FD2B4D"/>
    <w:rsid w:val="00FD3361"/>
    <w:rsid w:val="00FD36B2"/>
    <w:rsid w:val="00FD4829"/>
    <w:rsid w:val="00FD59D6"/>
    <w:rsid w:val="00FD662E"/>
    <w:rsid w:val="00FD7B0A"/>
    <w:rsid w:val="00FE01AA"/>
    <w:rsid w:val="00FE0EDF"/>
    <w:rsid w:val="00FE192D"/>
    <w:rsid w:val="00FE19BB"/>
    <w:rsid w:val="00FE1B80"/>
    <w:rsid w:val="00FE2594"/>
    <w:rsid w:val="00FE25BF"/>
    <w:rsid w:val="00FE2B76"/>
    <w:rsid w:val="00FE438B"/>
    <w:rsid w:val="00FE43C0"/>
    <w:rsid w:val="00FE6A7B"/>
    <w:rsid w:val="00FE7D47"/>
    <w:rsid w:val="00FF0213"/>
    <w:rsid w:val="00FF0BCB"/>
    <w:rsid w:val="00FF2185"/>
    <w:rsid w:val="00FF288B"/>
    <w:rsid w:val="00FF29FC"/>
    <w:rsid w:val="00FF2C76"/>
    <w:rsid w:val="00FF33D0"/>
    <w:rsid w:val="00FF3403"/>
    <w:rsid w:val="00FF3717"/>
    <w:rsid w:val="00FF399E"/>
    <w:rsid w:val="00FF6481"/>
    <w:rsid w:val="00FF6678"/>
    <w:rsid w:val="00FF6FCF"/>
    <w:rsid w:val="00FF7342"/>
    <w:rsid w:val="00FF75D5"/>
    <w:rsid w:val="00FF79A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49F9EB5"/>
  <w15:docId w15:val="{132831F8-2ECF-4BFC-A354-AD0F74281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UY" w:eastAsia="en-CA"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toc 9" w:uiPriority="39"/>
    <w:lsdException w:name="footnote text" w:uiPriority="99" w:qFormat="1"/>
    <w:lsdException w:name="annotation text" w:uiPriority="99"/>
    <w:lsdException w:name="footer" w:uiPriority="99"/>
    <w:lsdException w:name="caption" w:qFormat="1"/>
    <w:lsdException w:name="footnote reference" w:uiPriority="99" w:qFormat="1"/>
    <w:lsdException w:name="annotation reference" w:uiPriority="99"/>
    <w:lsdException w:name="Title" w:uiPriority="10" w:qFormat="1"/>
    <w:lsdException w:name="Default Paragraph Font" w:uiPriority="1"/>
    <w:lsdException w:name="Body Text" w:uiPriority="99"/>
    <w:lsdException w:name="Subtitle" w:uiPriority="11" w:qFormat="1"/>
    <w:lsdException w:name="Body Text 2" w:uiPriority="99"/>
    <w:lsdException w:name="Hyperlink" w:uiPriority="99"/>
    <w:lsdException w:name="Strong" w:qFormat="1"/>
    <w:lsdException w:name="Emphasis" w:qFormat="1"/>
    <w:lsdException w:name="Normal (Web)" w:uiPriority="99"/>
    <w:lsdException w:name="HTML Variable" w:semiHidden="1" w:unhideWhenUsed="1"/>
    <w:lsdException w:name="Normal T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6C2F"/>
    <w:pPr>
      <w:jc w:val="both"/>
    </w:pPr>
    <w:rPr>
      <w:sz w:val="22"/>
      <w:szCs w:val="24"/>
      <w:lang w:eastAsia="en-US"/>
    </w:rPr>
  </w:style>
  <w:style w:type="paragraph" w:styleId="Heading1">
    <w:name w:val="heading 1"/>
    <w:basedOn w:val="Normal"/>
    <w:next w:val="Normal"/>
    <w:link w:val="Heading1Char"/>
    <w:uiPriority w:val="9"/>
    <w:qFormat/>
    <w:rsid w:val="00F76C2F"/>
    <w:pPr>
      <w:keepNext/>
      <w:keepLines/>
      <w:numPr>
        <w:numId w:val="44"/>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Normal"/>
    <w:link w:val="Heading2Char"/>
    <w:uiPriority w:val="9"/>
    <w:unhideWhenUsed/>
    <w:qFormat/>
    <w:rsid w:val="00F76C2F"/>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F76C2F"/>
    <w:pPr>
      <w:keepNext/>
      <w:keepLines/>
      <w:numPr>
        <w:numId w:val="45"/>
      </w:numPr>
      <w:spacing w:before="120" w:after="120"/>
      <w:outlineLvl w:val="2"/>
    </w:pPr>
    <w:rPr>
      <w:rFonts w:eastAsiaTheme="majorEastAsia"/>
      <w:b/>
      <w:bCs/>
      <w:szCs w:val="22"/>
    </w:rPr>
  </w:style>
  <w:style w:type="paragraph" w:styleId="Heading4">
    <w:name w:val="heading 4"/>
    <w:basedOn w:val="Normal"/>
    <w:next w:val="Normal"/>
    <w:link w:val="Heading4Char"/>
    <w:uiPriority w:val="9"/>
    <w:unhideWhenUsed/>
    <w:qFormat/>
    <w:rsid w:val="00F76C2F"/>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F76C2F"/>
    <w:pPr>
      <w:keepNext/>
      <w:spacing w:before="120" w:after="120"/>
      <w:ind w:left="567" w:hanging="567"/>
      <w:outlineLvl w:val="4"/>
    </w:pPr>
    <w:rPr>
      <w:rFonts w:eastAsiaTheme="majorEastAsia"/>
      <w:i/>
      <w:iCs/>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76C2F"/>
    <w:pPr>
      <w:tabs>
        <w:tab w:val="center" w:pos="4680"/>
        <w:tab w:val="right" w:pos="9360"/>
      </w:tabs>
    </w:pPr>
    <w:rPr>
      <w:caps/>
    </w:rPr>
  </w:style>
  <w:style w:type="paragraph" w:styleId="Footer">
    <w:name w:val="footer"/>
    <w:basedOn w:val="Normal"/>
    <w:link w:val="FooterChar"/>
    <w:uiPriority w:val="99"/>
    <w:unhideWhenUsed/>
    <w:rsid w:val="00F76C2F"/>
    <w:pPr>
      <w:tabs>
        <w:tab w:val="center" w:pos="4680"/>
        <w:tab w:val="right" w:pos="9360"/>
      </w:tabs>
    </w:pPr>
  </w:style>
  <w:style w:type="paragraph" w:customStyle="1" w:styleId="Para1">
    <w:name w:val="Para1"/>
    <w:basedOn w:val="Normal"/>
    <w:link w:val="Para1Char"/>
    <w:qFormat/>
    <w:rsid w:val="002A07B5"/>
    <w:pPr>
      <w:numPr>
        <w:numId w:val="3"/>
      </w:numPr>
      <w:spacing w:before="120" w:after="120"/>
    </w:pPr>
    <w:rPr>
      <w:snapToGrid w:val="0"/>
      <w:szCs w:val="18"/>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F76C2F"/>
    <w:rPr>
      <w:sz w:val="20"/>
      <w:szCs w:val="20"/>
    </w:rPr>
  </w:style>
  <w:style w:type="paragraph" w:styleId="BodyText">
    <w:name w:val="Body Text"/>
    <w:basedOn w:val="Normal"/>
    <w:link w:val="BodyTextChar"/>
    <w:uiPriority w:val="99"/>
    <w:unhideWhenUsed/>
    <w:rsid w:val="00F76C2F"/>
    <w:pPr>
      <w:spacing w:after="120" w:line="259" w:lineRule="auto"/>
      <w:jc w:val="left"/>
    </w:pPr>
    <w:rPr>
      <w:rFonts w:asciiTheme="minorHAnsi" w:eastAsiaTheme="minorHAnsi" w:hAnsiTheme="minorHAnsi" w:cstheme="minorBidi"/>
      <w:kern w:val="2"/>
      <w:szCs w:val="22"/>
      <w14:ligatures w14:val="standardContextual"/>
    </w:rPr>
  </w:style>
  <w:style w:type="paragraph" w:customStyle="1" w:styleId="Document1">
    <w:name w:val="Document 1"/>
    <w:basedOn w:val="Normal"/>
    <w:next w:val="Normal"/>
    <w:pPr>
      <w:suppressAutoHyphens/>
      <w:spacing w:after="120" w:line="240" w:lineRule="exact"/>
    </w:pPr>
  </w:style>
  <w:style w:type="paragraph" w:styleId="BodyText2">
    <w:name w:val="Body Text 2"/>
    <w:basedOn w:val="Normal"/>
    <w:link w:val="BodyText2Char"/>
    <w:uiPriority w:val="99"/>
    <w:pPr>
      <w:tabs>
        <w:tab w:val="left" w:pos="-1440"/>
        <w:tab w:val="left" w:pos="-720"/>
        <w:tab w:val="left" w:pos="0"/>
        <w:tab w:val="left" w:pos="720"/>
        <w:tab w:val="right" w:pos="1080"/>
        <w:tab w:val="left" w:pos="1440"/>
      </w:tabs>
      <w:suppressAutoHyphens/>
      <w:spacing w:after="120" w:line="288" w:lineRule="auto"/>
      <w:ind w:left="2160" w:hanging="2160"/>
    </w:pPr>
    <w:rPr>
      <w:lang w:eastAsia="x-none"/>
    </w:rPr>
  </w:style>
  <w:style w:type="paragraph" w:styleId="Caption">
    <w:name w:val="caption"/>
    <w:basedOn w:val="Normal"/>
    <w:next w:val="Normal"/>
    <w:qFormat/>
    <w:rPr>
      <w:u w:val="single"/>
    </w:rPr>
  </w:style>
  <w:style w:type="character" w:styleId="CommentReference">
    <w:name w:val="annotation reference"/>
    <w:basedOn w:val="DefaultParagraphFont"/>
    <w:uiPriority w:val="99"/>
    <w:semiHidden/>
    <w:unhideWhenUsed/>
    <w:rsid w:val="00F76C2F"/>
    <w:rPr>
      <w:sz w:val="16"/>
      <w:szCs w:val="16"/>
    </w:rPr>
  </w:style>
  <w:style w:type="paragraph" w:styleId="CommentText">
    <w:name w:val="annotation text"/>
    <w:basedOn w:val="Normal"/>
    <w:link w:val="CommentTextChar"/>
    <w:uiPriority w:val="99"/>
    <w:unhideWhenUsed/>
    <w:rsid w:val="00F76C2F"/>
    <w:rPr>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F76C2F"/>
    <w:rPr>
      <w:vertAlign w:val="superscript"/>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pPr>
      <w:ind w:left="720"/>
      <w:outlineLvl w:val="9"/>
    </w:pPr>
  </w:style>
  <w:style w:type="paragraph" w:customStyle="1" w:styleId="Cornernotation">
    <w:name w:val="Corner notation"/>
    <w:basedOn w:val="Normal"/>
    <w:rsid w:val="00F76C2F"/>
    <w:pPr>
      <w:ind w:left="170" w:right="3119" w:hanging="170"/>
      <w:jc w:val="left"/>
    </w:pPr>
    <w:rPr>
      <w:b/>
      <w:sz w:val="24"/>
    </w:rPr>
  </w:style>
  <w:style w:type="paragraph" w:customStyle="1" w:styleId="Para30">
    <w:name w:val="Para3"/>
    <w:basedOn w:val="Normal"/>
    <w:pPr>
      <w:tabs>
        <w:tab w:val="num" w:pos="1440"/>
        <w:tab w:val="left" w:pos="1980"/>
      </w:tabs>
      <w:spacing w:before="80" w:after="80"/>
      <w:ind w:left="1440" w:hanging="360"/>
    </w:pPr>
    <w:rPr>
      <w:szCs w:val="20"/>
    </w:rPr>
  </w:style>
  <w:style w:type="paragraph" w:customStyle="1" w:styleId="Heading2-center">
    <w:name w:val="Heading 2-center"/>
    <w:basedOn w:val="Heading2"/>
    <w:pPr>
      <w:outlineLvl w:val="9"/>
    </w:pPr>
    <w:rPr>
      <w:i/>
      <w:iCs/>
      <w:caps/>
    </w:rPr>
  </w:style>
  <w:style w:type="paragraph" w:styleId="BodyTextIndent3">
    <w:name w:val="Body Text Indent 3"/>
    <w:basedOn w:val="Normal"/>
    <w:pPr>
      <w:spacing w:before="120" w:after="120"/>
      <w:ind w:left="720" w:right="720"/>
    </w:pPr>
    <w:rPr>
      <w:bCs/>
    </w:r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uiPriority w:val="39"/>
    <w:semiHidden/>
    <w:pPr>
      <w:numPr>
        <w:ilvl w:val="2"/>
        <w:numId w:val="3"/>
      </w:numPr>
      <w:tabs>
        <w:tab w:val="clear" w:pos="1440"/>
        <w:tab w:val="num" w:pos="360"/>
      </w:tabs>
      <w:spacing w:before="120" w:after="120"/>
      <w:ind w:left="0" w:firstLine="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styleId="BodyText3">
    <w:name w:val="Body Text 3"/>
    <w:basedOn w:val="Normal"/>
    <w:pPr>
      <w:spacing w:before="120" w:after="120"/>
    </w:pPr>
  </w:style>
  <w:style w:type="character" w:styleId="FollowedHyperlink">
    <w:name w:val="FollowedHyperlink"/>
    <w:rPr>
      <w:color w:val="800080"/>
      <w:u w:val="single"/>
    </w:rPr>
  </w:style>
  <w:style w:type="paragraph" w:customStyle="1" w:styleId="Para2">
    <w:name w:val="Para2"/>
    <w:basedOn w:val="Para1"/>
    <w:pPr>
      <w:numPr>
        <w:numId w:val="4"/>
      </w:numPr>
      <w:tabs>
        <w:tab w:val="clear" w:pos="1080"/>
      </w:tabs>
      <w:autoSpaceDE w:val="0"/>
      <w:autoSpaceDN w:val="0"/>
      <w:ind w:left="0" w:firstLine="720"/>
    </w:p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character" w:customStyle="1" w:styleId="underline">
    <w:name w:val="underline"/>
    <w:rPr>
      <w:rFonts w:ascii="Courier" w:hAnsi="Courier"/>
      <w:sz w:val="20"/>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pPr>
  </w:style>
  <w:style w:type="paragraph" w:customStyle="1" w:styleId="Heading1multiline">
    <w:name w:val="Heading 1 (multiline)"/>
    <w:basedOn w:val="Heading1"/>
    <w:pPr>
      <w:ind w:left="1843" w:right="996" w:hanging="567"/>
    </w:pPr>
  </w:style>
  <w:style w:type="paragraph" w:customStyle="1" w:styleId="Heading2multiline">
    <w:name w:val="Heading 2 (multiline)"/>
    <w:basedOn w:val="Heading1"/>
    <w:next w:val="Para1"/>
    <w:link w:val="Heading2multilineChar"/>
    <w:pPr>
      <w:spacing w:before="120"/>
      <w:ind w:left="1843" w:right="998" w:hanging="567"/>
    </w:pPr>
    <w:rPr>
      <w:i/>
      <w:iCs/>
    </w:rPr>
  </w:style>
  <w:style w:type="paragraph" w:customStyle="1" w:styleId="Heading2longmultiline">
    <w:name w:val="Heading 2 (long multiline)"/>
    <w:basedOn w:val="Heading2multiline"/>
    <w:pPr>
      <w:ind w:left="2127" w:hanging="1276"/>
    </w:p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paragraph" w:customStyle="1" w:styleId="FOOTNOTETEX">
    <w:name w:val="FOOTNOTE TEX"/>
    <w:rsid w:val="00887C18"/>
    <w:pPr>
      <w:widowControl w:val="0"/>
      <w:tabs>
        <w:tab w:val="left" w:pos="-720"/>
      </w:tabs>
      <w:suppressAutoHyphens/>
    </w:pPr>
    <w:rPr>
      <w:lang w:eastAsia="en-US"/>
    </w:rPr>
  </w:style>
  <w:style w:type="paragraph" w:styleId="NormalWeb">
    <w:name w:val="Normal (Web)"/>
    <w:basedOn w:val="Normal"/>
    <w:uiPriority w:val="99"/>
    <w:rsid w:val="00887C18"/>
    <w:pPr>
      <w:spacing w:before="100" w:beforeAutospacing="1" w:after="100" w:afterAutospacing="1"/>
      <w:jc w:val="left"/>
    </w:pPr>
    <w:rPr>
      <w:sz w:val="24"/>
      <w:lang w:eastAsia="en-GB"/>
    </w:rPr>
  </w:style>
  <w:style w:type="paragraph" w:customStyle="1" w:styleId="para21">
    <w:name w:val="para2"/>
    <w:basedOn w:val="Normal"/>
    <w:rsid w:val="00887C18"/>
    <w:pPr>
      <w:tabs>
        <w:tab w:val="num" w:pos="360"/>
      </w:tabs>
      <w:spacing w:before="120" w:after="120"/>
    </w:pPr>
    <w:rPr>
      <w:szCs w:val="20"/>
    </w:rPr>
  </w:style>
  <w:style w:type="paragraph" w:customStyle="1" w:styleId="Para1-Annex">
    <w:name w:val="Para1-Annex"/>
    <w:basedOn w:val="Normal"/>
    <w:rsid w:val="00887C18"/>
    <w:pPr>
      <w:tabs>
        <w:tab w:val="num" w:pos="360"/>
      </w:tabs>
      <w:spacing w:before="120" w:after="120"/>
    </w:pPr>
  </w:style>
  <w:style w:type="character" w:styleId="Emphasis">
    <w:name w:val="Emphasis"/>
    <w:qFormat/>
    <w:rsid w:val="00BF4724"/>
    <w:rPr>
      <w:i/>
      <w:iCs/>
    </w:rPr>
  </w:style>
  <w:style w:type="paragraph" w:styleId="CommentSubject">
    <w:name w:val="annotation subject"/>
    <w:basedOn w:val="CommentText"/>
    <w:next w:val="CommentText"/>
    <w:link w:val="CommentSubjectChar"/>
    <w:uiPriority w:val="99"/>
    <w:semiHidden/>
    <w:unhideWhenUsed/>
    <w:rsid w:val="00F76C2F"/>
    <w:rPr>
      <w:b/>
      <w:bCs/>
    </w:rPr>
  </w:style>
  <w:style w:type="paragraph" w:styleId="BalloonText">
    <w:name w:val="Balloon Text"/>
    <w:basedOn w:val="Normal"/>
    <w:semiHidden/>
    <w:rsid w:val="00996EF8"/>
    <w:rPr>
      <w:rFonts w:ascii="Tahoma" w:hAnsi="Tahoma" w:cs="Tahoma"/>
      <w:sz w:val="16"/>
      <w:szCs w:val="16"/>
    </w:rPr>
  </w:style>
  <w:style w:type="character" w:customStyle="1" w:styleId="bodytextnormal">
    <w:name w:val="body_text_normal"/>
    <w:basedOn w:val="DefaultParagraphFont"/>
    <w:rsid w:val="006D60BE"/>
  </w:style>
  <w:style w:type="character" w:customStyle="1" w:styleId="SCOTT">
    <w:name w:val="SCOTT"/>
    <w:semiHidden/>
    <w:rsid w:val="00D332C4"/>
    <w:rPr>
      <w:rFonts w:ascii="Palatino Linotype" w:hAnsi="Palatino Linotype"/>
      <w:b w:val="0"/>
      <w:bCs w:val="0"/>
      <w:i w:val="0"/>
      <w:iCs w:val="0"/>
      <w:strike w:val="0"/>
      <w:color w:val="008000"/>
      <w:sz w:val="24"/>
      <w:szCs w:val="24"/>
      <w:u w:val="none"/>
    </w:rPr>
  </w:style>
  <w:style w:type="character" w:customStyle="1" w:styleId="apple-converted-space">
    <w:name w:val="apple-converted-space"/>
    <w:basedOn w:val="DefaultParagraphFont"/>
    <w:rsid w:val="00314381"/>
  </w:style>
  <w:style w:type="character" w:customStyle="1" w:styleId="bodytextnormal0">
    <w:name w:val="bodytextnormal"/>
    <w:basedOn w:val="DefaultParagraphFont"/>
    <w:rsid w:val="00314381"/>
  </w:style>
  <w:style w:type="character" w:styleId="Hyperlink">
    <w:name w:val="Hyperlink"/>
    <w:uiPriority w:val="99"/>
    <w:rsid w:val="005665AA"/>
    <w:rPr>
      <w:color w:val="0000FF"/>
      <w:u w:val="single"/>
    </w:rPr>
  </w:style>
  <w:style w:type="paragraph" w:customStyle="1" w:styleId="headreclong">
    <w:name w:val="head_rec (long)"/>
    <w:basedOn w:val="HEADINGNOTFORTOC"/>
    <w:next w:val="BodyText"/>
    <w:rsid w:val="00320FC9"/>
    <w:pPr>
      <w:ind w:left="1440" w:hanging="1440"/>
    </w:pPr>
    <w:rPr>
      <w:i/>
      <w:caps/>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F76C2F"/>
    <w:rPr>
      <w:lang w:val="es-UY" w:eastAsia="en-US"/>
    </w:rPr>
  </w:style>
  <w:style w:type="character" w:customStyle="1" w:styleId="Para1Char">
    <w:name w:val="Para1 Char"/>
    <w:link w:val="Para1"/>
    <w:qFormat/>
    <w:rsid w:val="00CF25C9"/>
    <w:rPr>
      <w:snapToGrid w:val="0"/>
      <w:sz w:val="22"/>
      <w:szCs w:val="18"/>
      <w:lang w:val="es-UY" w:eastAsia="en-US"/>
    </w:rPr>
  </w:style>
  <w:style w:type="paragraph" w:customStyle="1" w:styleId="Default">
    <w:name w:val="Default"/>
    <w:rsid w:val="005128C6"/>
    <w:pPr>
      <w:autoSpaceDE w:val="0"/>
      <w:autoSpaceDN w:val="0"/>
      <w:adjustRightInd w:val="0"/>
    </w:pPr>
    <w:rPr>
      <w:color w:val="000000"/>
      <w:sz w:val="24"/>
      <w:szCs w:val="24"/>
      <w:lang w:eastAsia="en-US"/>
    </w:rPr>
  </w:style>
  <w:style w:type="paragraph" w:customStyle="1" w:styleId="MeetingCode">
    <w:name w:val="Meeting Code"/>
    <w:basedOn w:val="Normal"/>
    <w:rsid w:val="003B27E7"/>
    <w:pPr>
      <w:spacing w:before="300" w:line="160" w:lineRule="exact"/>
      <w:ind w:left="1021"/>
      <w:contextualSpacing/>
      <w:jc w:val="right"/>
    </w:pPr>
    <w:rPr>
      <w:rFonts w:ascii="Arial Black" w:eastAsia="SimSun" w:hAnsi="Arial Black"/>
      <w:b/>
      <w:caps/>
      <w:sz w:val="15"/>
      <w:szCs w:val="20"/>
    </w:rPr>
  </w:style>
  <w:style w:type="paragraph" w:customStyle="1" w:styleId="Documenttitle">
    <w:name w:val="Document title"/>
    <w:basedOn w:val="Normal"/>
    <w:rsid w:val="003B27E7"/>
    <w:pPr>
      <w:spacing w:before="1200" w:after="120" w:line="260" w:lineRule="exact"/>
      <w:ind w:left="1021"/>
      <w:jc w:val="left"/>
    </w:pPr>
    <w:rPr>
      <w:rFonts w:ascii="Arial" w:eastAsia="SimSun" w:hAnsi="Arial"/>
      <w:b/>
      <w:caps/>
      <w:sz w:val="20"/>
      <w:szCs w:val="20"/>
    </w:rPr>
  </w:style>
  <w:style w:type="character" w:customStyle="1" w:styleId="Heading1Char">
    <w:name w:val="Heading 1 Char"/>
    <w:basedOn w:val="DefaultParagraphFont"/>
    <w:link w:val="Heading1"/>
    <w:uiPriority w:val="9"/>
    <w:rsid w:val="00F76C2F"/>
    <w:rPr>
      <w:rFonts w:eastAsiaTheme="majorEastAsia" w:cstheme="majorBidi"/>
      <w:b/>
      <w:bCs/>
      <w:kern w:val="2"/>
      <w:sz w:val="28"/>
      <w:szCs w:val="32"/>
      <w:lang w:eastAsia="en-US"/>
      <w14:ligatures w14:val="standardContextual"/>
    </w:rPr>
  </w:style>
  <w:style w:type="character" w:customStyle="1" w:styleId="Heading2multilineChar">
    <w:name w:val="Heading 2 (multiline) Char"/>
    <w:link w:val="Heading2multiline"/>
    <w:rsid w:val="009B42DD"/>
    <w:rPr>
      <w:b/>
      <w:i/>
      <w:iCs/>
      <w:caps/>
      <w:sz w:val="22"/>
      <w:szCs w:val="24"/>
      <w:lang w:val="es-UY" w:eastAsia="en-US" w:bidi="ar-SA"/>
    </w:rPr>
  </w:style>
  <w:style w:type="paragraph" w:customStyle="1" w:styleId="Char">
    <w:name w:val="Char 字元 字元"/>
    <w:basedOn w:val="Normal"/>
    <w:rsid w:val="00635D31"/>
    <w:pPr>
      <w:spacing w:after="160" w:line="240" w:lineRule="exact"/>
      <w:jc w:val="left"/>
    </w:pPr>
    <w:rPr>
      <w:rFonts w:ascii="Verdana" w:eastAsia="PMingLiU" w:hAnsi="Verdana"/>
      <w:sz w:val="20"/>
      <w:szCs w:val="20"/>
    </w:rPr>
  </w:style>
  <w:style w:type="paragraph" w:customStyle="1" w:styleId="ColorfulList-Accent11">
    <w:name w:val="Colorful List - Accent 11"/>
    <w:basedOn w:val="Normal"/>
    <w:uiPriority w:val="34"/>
    <w:qFormat/>
    <w:rsid w:val="008E7465"/>
    <w:pPr>
      <w:ind w:left="720"/>
      <w:jc w:val="left"/>
    </w:pPr>
    <w:rPr>
      <w:rFonts w:ascii="Calibri" w:eastAsia="Calibri" w:hAnsi="Calibri"/>
      <w:szCs w:val="22"/>
    </w:rPr>
  </w:style>
  <w:style w:type="character" w:customStyle="1" w:styleId="BodyText2Char">
    <w:name w:val="Body Text 2 Char"/>
    <w:link w:val="BodyText2"/>
    <w:uiPriority w:val="99"/>
    <w:rsid w:val="00042BBD"/>
    <w:rPr>
      <w:sz w:val="22"/>
      <w:szCs w:val="24"/>
      <w:lang w:val="es-UY"/>
    </w:rPr>
  </w:style>
  <w:style w:type="character" w:customStyle="1" w:styleId="CommentTextChar">
    <w:name w:val="Comment Text Char"/>
    <w:basedOn w:val="DefaultParagraphFont"/>
    <w:link w:val="CommentText"/>
    <w:uiPriority w:val="99"/>
    <w:rsid w:val="00F76C2F"/>
    <w:rPr>
      <w:lang w:val="es-UY" w:eastAsia="en-US"/>
    </w:rPr>
  </w:style>
  <w:style w:type="paragraph" w:customStyle="1" w:styleId="bodytextnoindent">
    <w:name w:val="body text (no indent)"/>
    <w:basedOn w:val="Normal"/>
    <w:rsid w:val="00A47452"/>
    <w:pPr>
      <w:widowControl w:val="0"/>
      <w:overflowPunct w:val="0"/>
      <w:autoSpaceDE w:val="0"/>
      <w:autoSpaceDN w:val="0"/>
      <w:adjustRightInd w:val="0"/>
      <w:spacing w:before="120" w:after="120"/>
      <w:textAlignment w:val="baseline"/>
    </w:pPr>
    <w:rPr>
      <w:rFonts w:cs="Angsana New"/>
      <w:szCs w:val="20"/>
      <w:lang w:eastAsia="de-DE"/>
    </w:rPr>
  </w:style>
  <w:style w:type="paragraph" w:customStyle="1" w:styleId="Para40">
    <w:name w:val="Para4"/>
    <w:basedOn w:val="Para30"/>
    <w:rsid w:val="004B4237"/>
    <w:pPr>
      <w:tabs>
        <w:tab w:val="clear" w:pos="1440"/>
        <w:tab w:val="clear" w:pos="1980"/>
        <w:tab w:val="left" w:pos="2552"/>
        <w:tab w:val="num" w:pos="2880"/>
      </w:tabs>
      <w:ind w:left="2880"/>
    </w:pPr>
  </w:style>
  <w:style w:type="paragraph" w:styleId="ListParagraph">
    <w:name w:val="List Paragraph"/>
    <w:aliases w:val="table bullets,Dot pt,List Paragraph12,MAIN CONTENT,List Paragraph2,Rec para,List Paragraph1,Recommendation,List Paragraph11,F5 List Paragraph,List Paragraph Char Char Char,Indicator Text,Unordered List"/>
    <w:basedOn w:val="Normal"/>
    <w:link w:val="ListParagraphChar"/>
    <w:uiPriority w:val="34"/>
    <w:qFormat/>
    <w:rsid w:val="003E427F"/>
    <w:pPr>
      <w:ind w:left="720"/>
    </w:pPr>
  </w:style>
  <w:style w:type="table" w:styleId="TableGrid">
    <w:name w:val="Table Grid"/>
    <w:basedOn w:val="TableNormal"/>
    <w:uiPriority w:val="39"/>
    <w:rsid w:val="00F76C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official">
    <w:name w:val="Para official"/>
    <w:basedOn w:val="Normal"/>
    <w:rsid w:val="00F823E3"/>
    <w:pPr>
      <w:framePr w:hSpace="187" w:vSpace="187" w:wrap="notBeside" w:vAnchor="text" w:hAnchor="text" w:y="1"/>
      <w:numPr>
        <w:numId w:val="8"/>
      </w:numPr>
      <w:spacing w:before="240" w:after="240"/>
      <w:jc w:val="left"/>
    </w:pPr>
    <w:rPr>
      <w:rFonts w:cs="Angsana New"/>
      <w:szCs w:val="20"/>
    </w:rPr>
  </w:style>
  <w:style w:type="paragraph" w:styleId="Revision">
    <w:name w:val="Revision"/>
    <w:hidden/>
    <w:uiPriority w:val="71"/>
    <w:rsid w:val="00FB5C7D"/>
    <w:rPr>
      <w:sz w:val="22"/>
      <w:szCs w:val="24"/>
      <w:lang w:eastAsia="en-US"/>
    </w:rPr>
  </w:style>
  <w:style w:type="paragraph" w:customStyle="1" w:styleId="recommendation">
    <w:name w:val="recommendation"/>
    <w:basedOn w:val="Heading2"/>
    <w:qFormat/>
    <w:rsid w:val="00A1274E"/>
    <w:rPr>
      <w:lang w:eastAsia="x-none"/>
    </w:rPr>
  </w:style>
  <w:style w:type="paragraph" w:customStyle="1" w:styleId="Paranum">
    <w:name w:val="Paranum"/>
    <w:basedOn w:val="Para1"/>
    <w:rsid w:val="006C6109"/>
    <w:pPr>
      <w:numPr>
        <w:numId w:val="10"/>
      </w:numPr>
      <w:spacing w:line="240" w:lineRule="exact"/>
    </w:pPr>
    <w:rPr>
      <w:snapToGrid/>
      <w:szCs w:val="20"/>
    </w:rPr>
  </w:style>
  <w:style w:type="paragraph" w:customStyle="1" w:styleId="recommendationheader">
    <w:name w:val="recommendation header"/>
    <w:basedOn w:val="Heading2"/>
    <w:qFormat/>
    <w:rsid w:val="00AF5D10"/>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5A0F"/>
    <w:pPr>
      <w:spacing w:after="160" w:line="240" w:lineRule="exact"/>
    </w:pPr>
    <w:rPr>
      <w:sz w:val="20"/>
      <w:szCs w:val="20"/>
      <w:vertAlign w:val="superscript"/>
      <w:lang w:eastAsia="en-CA"/>
    </w:rPr>
  </w:style>
  <w:style w:type="character" w:customStyle="1" w:styleId="ListParagraphChar">
    <w:name w:val="List Paragraph Char"/>
    <w:aliases w:val="table bullets Char,Dot pt Char,List Paragraph12 Char,MAIN CONTENT Char,List Paragraph2 Char,Rec para Char,List Paragraph1 Char,Recommendation Char,List Paragraph11 Char,F5 List Paragraph Char,List Paragraph Char Char Char Char"/>
    <w:link w:val="ListParagraph"/>
    <w:uiPriority w:val="34"/>
    <w:qFormat/>
    <w:locked/>
    <w:rsid w:val="001726F0"/>
    <w:rPr>
      <w:sz w:val="22"/>
      <w:szCs w:val="24"/>
      <w:lang w:val="es-UY"/>
    </w:rPr>
  </w:style>
  <w:style w:type="character" w:customStyle="1" w:styleId="UnresolvedMention">
    <w:name w:val="Unresolved Mention"/>
    <w:uiPriority w:val="99"/>
    <w:semiHidden/>
    <w:unhideWhenUsed/>
    <w:rsid w:val="007675DD"/>
    <w:rPr>
      <w:color w:val="605E5C"/>
      <w:shd w:val="clear" w:color="auto" w:fill="E1DFDD"/>
    </w:rPr>
  </w:style>
  <w:style w:type="paragraph" w:customStyle="1" w:styleId="para11">
    <w:name w:val="para1"/>
    <w:basedOn w:val="Normal"/>
    <w:uiPriority w:val="99"/>
    <w:rsid w:val="00A019AD"/>
    <w:pPr>
      <w:tabs>
        <w:tab w:val="num" w:pos="360"/>
      </w:tabs>
      <w:snapToGrid w:val="0"/>
      <w:spacing w:before="120" w:after="120"/>
    </w:pPr>
    <w:rPr>
      <w:szCs w:val="22"/>
    </w:rPr>
  </w:style>
  <w:style w:type="character" w:styleId="PlaceholderText">
    <w:name w:val="Placeholder Text"/>
    <w:basedOn w:val="DefaultParagraphFont"/>
    <w:uiPriority w:val="99"/>
    <w:rsid w:val="00F76C2F"/>
    <w:rPr>
      <w:color w:val="808080"/>
    </w:rPr>
  </w:style>
  <w:style w:type="paragraph" w:customStyle="1" w:styleId="heading40">
    <w:name w:val="heading 40"/>
    <w:basedOn w:val="Normal"/>
    <w:rsid w:val="00A711AB"/>
    <w:pPr>
      <w:keepNext/>
      <w:spacing w:before="120" w:after="120"/>
    </w:pPr>
    <w:rPr>
      <w:i/>
      <w:iCs/>
    </w:rPr>
  </w:style>
  <w:style w:type="table" w:customStyle="1" w:styleId="TableGrid1">
    <w:name w:val="Table Grid1"/>
    <w:basedOn w:val="TableNormal"/>
    <w:next w:val="TableGrid"/>
    <w:uiPriority w:val="59"/>
    <w:rsid w:val="00F76C2F"/>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F76C2F"/>
    <w:rPr>
      <w:b w:val="0"/>
      <w:bCs/>
      <w:sz w:val="22"/>
      <w:szCs w:val="22"/>
    </w:rPr>
  </w:style>
  <w:style w:type="paragraph" w:customStyle="1" w:styleId="Annex">
    <w:name w:val="Annex"/>
    <w:basedOn w:val="Normal"/>
    <w:qFormat/>
    <w:rsid w:val="00F76C2F"/>
    <w:rPr>
      <w:b/>
      <w:sz w:val="28"/>
    </w:rPr>
  </w:style>
  <w:style w:type="character" w:customStyle="1" w:styleId="BodyTextChar">
    <w:name w:val="Body Text Char"/>
    <w:basedOn w:val="DefaultParagraphFont"/>
    <w:link w:val="BodyText"/>
    <w:uiPriority w:val="99"/>
    <w:rsid w:val="00F76C2F"/>
    <w:rPr>
      <w:rFonts w:asciiTheme="minorHAnsi" w:eastAsiaTheme="minorHAnsi" w:hAnsiTheme="minorHAnsi" w:cstheme="minorBidi"/>
      <w:kern w:val="2"/>
      <w:sz w:val="22"/>
      <w:szCs w:val="22"/>
      <w:lang w:eastAsia="en-US"/>
      <w14:ligatures w14:val="standardContextual"/>
    </w:rPr>
  </w:style>
  <w:style w:type="character" w:customStyle="1" w:styleId="CommentSubjectChar">
    <w:name w:val="Comment Subject Char"/>
    <w:basedOn w:val="CommentTextChar"/>
    <w:link w:val="CommentSubject"/>
    <w:uiPriority w:val="99"/>
    <w:semiHidden/>
    <w:rsid w:val="00F76C2F"/>
    <w:rPr>
      <w:b/>
      <w:bCs/>
      <w:lang w:val="es-UY" w:eastAsia="en-US"/>
    </w:rPr>
  </w:style>
  <w:style w:type="paragraph" w:customStyle="1" w:styleId="Cornernotation-Item">
    <w:name w:val="Corner notation - Item"/>
    <w:basedOn w:val="Venuedate"/>
    <w:qFormat/>
    <w:rsid w:val="00F76C2F"/>
    <w:rPr>
      <w:b/>
    </w:rPr>
  </w:style>
  <w:style w:type="character" w:customStyle="1" w:styleId="FooterChar">
    <w:name w:val="Footer Char"/>
    <w:basedOn w:val="DefaultParagraphFont"/>
    <w:link w:val="Footer"/>
    <w:uiPriority w:val="99"/>
    <w:rsid w:val="00F76C2F"/>
    <w:rPr>
      <w:sz w:val="22"/>
      <w:szCs w:val="24"/>
      <w:lang w:val="es-UY" w:eastAsia="en-US"/>
    </w:rPr>
  </w:style>
  <w:style w:type="paragraph" w:customStyle="1" w:styleId="Footnote">
    <w:name w:val="Footnote"/>
    <w:basedOn w:val="FootnoteText"/>
    <w:qFormat/>
    <w:rsid w:val="00F76C2F"/>
    <w:rPr>
      <w:sz w:val="18"/>
      <w:szCs w:val="18"/>
    </w:rPr>
  </w:style>
  <w:style w:type="character" w:customStyle="1" w:styleId="HeaderChar">
    <w:name w:val="Header Char"/>
    <w:basedOn w:val="DefaultParagraphFont"/>
    <w:link w:val="Header"/>
    <w:rsid w:val="00F76C2F"/>
    <w:rPr>
      <w:caps/>
      <w:sz w:val="22"/>
      <w:szCs w:val="24"/>
      <w:lang w:val="es-UY" w:eastAsia="en-US"/>
    </w:rPr>
  </w:style>
  <w:style w:type="character" w:customStyle="1" w:styleId="Heading2Char">
    <w:name w:val="Heading 2 Char"/>
    <w:basedOn w:val="DefaultParagraphFont"/>
    <w:link w:val="Heading2"/>
    <w:uiPriority w:val="9"/>
    <w:rsid w:val="00F76C2F"/>
    <w:rPr>
      <w:rFonts w:eastAsiaTheme="majorEastAsia" w:cstheme="majorBidi"/>
      <w:b/>
      <w:sz w:val="24"/>
      <w:szCs w:val="26"/>
      <w:lang w:val="es-UY" w:eastAsia="en-US"/>
    </w:rPr>
  </w:style>
  <w:style w:type="character" w:customStyle="1" w:styleId="Heading3Char">
    <w:name w:val="Heading 3 Char"/>
    <w:basedOn w:val="DefaultParagraphFont"/>
    <w:link w:val="Heading3"/>
    <w:uiPriority w:val="9"/>
    <w:rsid w:val="00F76C2F"/>
    <w:rPr>
      <w:rFonts w:eastAsiaTheme="majorEastAsia"/>
      <w:b/>
      <w:bCs/>
      <w:sz w:val="22"/>
      <w:szCs w:val="22"/>
      <w:lang w:val="es-UY" w:eastAsia="en-US"/>
    </w:rPr>
  </w:style>
  <w:style w:type="character" w:customStyle="1" w:styleId="Heading4Char">
    <w:name w:val="Heading 4 Char"/>
    <w:basedOn w:val="DefaultParagraphFont"/>
    <w:link w:val="Heading4"/>
    <w:uiPriority w:val="9"/>
    <w:rsid w:val="00F76C2F"/>
    <w:rPr>
      <w:rFonts w:eastAsiaTheme="majorEastAsia"/>
      <w:b/>
      <w:bCs/>
      <w:sz w:val="22"/>
      <w:szCs w:val="24"/>
      <w:lang w:val="es-UY" w:eastAsia="en-US"/>
    </w:rPr>
  </w:style>
  <w:style w:type="character" w:customStyle="1" w:styleId="Heading5Char">
    <w:name w:val="Heading 5 Char"/>
    <w:basedOn w:val="DefaultParagraphFont"/>
    <w:link w:val="Heading5"/>
    <w:uiPriority w:val="9"/>
    <w:rsid w:val="00F76C2F"/>
    <w:rPr>
      <w:rFonts w:eastAsiaTheme="majorEastAsia"/>
      <w:i/>
      <w:iCs/>
      <w:sz w:val="22"/>
      <w:szCs w:val="24"/>
      <w:lang w:val="es-UY" w:eastAsia="en-US"/>
    </w:rPr>
  </w:style>
  <w:style w:type="paragraph" w:customStyle="1" w:styleId="Item">
    <w:name w:val="Item"/>
    <w:basedOn w:val="BodyText"/>
    <w:qFormat/>
    <w:rsid w:val="00F76C2F"/>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customStyle="1" w:styleId="Para10">
    <w:name w:val="Para 1"/>
    <w:basedOn w:val="Normal"/>
    <w:qFormat/>
    <w:rsid w:val="001E6B67"/>
    <w:pPr>
      <w:numPr>
        <w:numId w:val="46"/>
      </w:numPr>
      <w:tabs>
        <w:tab w:val="left" w:pos="1134"/>
      </w:tabs>
      <w:spacing w:before="120" w:after="120"/>
      <w:ind w:left="547" w:firstLine="0"/>
    </w:pPr>
    <w:rPr>
      <w:kern w:val="22"/>
      <w:szCs w:val="22"/>
    </w:rPr>
  </w:style>
  <w:style w:type="paragraph" w:customStyle="1" w:styleId="Para20">
    <w:name w:val="Para 2"/>
    <w:qFormat/>
    <w:rsid w:val="00F76C2F"/>
    <w:pPr>
      <w:numPr>
        <w:numId w:val="47"/>
      </w:numPr>
      <w:tabs>
        <w:tab w:val="left" w:pos="1701"/>
      </w:tabs>
      <w:spacing w:before="120" w:after="120"/>
      <w:jc w:val="both"/>
    </w:pPr>
    <w:rPr>
      <w:sz w:val="22"/>
      <w:szCs w:val="24"/>
      <w:lang w:eastAsia="en-US"/>
    </w:rPr>
  </w:style>
  <w:style w:type="paragraph" w:customStyle="1" w:styleId="Para3">
    <w:name w:val="Para 3"/>
    <w:basedOn w:val="Normal"/>
    <w:qFormat/>
    <w:rsid w:val="00F76C2F"/>
    <w:pPr>
      <w:numPr>
        <w:numId w:val="48"/>
      </w:numPr>
      <w:tabs>
        <w:tab w:val="left" w:pos="1701"/>
      </w:tabs>
      <w:spacing w:before="120" w:after="120"/>
    </w:pPr>
  </w:style>
  <w:style w:type="paragraph" w:styleId="Subtitle">
    <w:name w:val="Subtitle"/>
    <w:basedOn w:val="Normal"/>
    <w:next w:val="Normal"/>
    <w:link w:val="SubtitleChar"/>
    <w:uiPriority w:val="11"/>
    <w:qFormat/>
    <w:rsid w:val="00F76C2F"/>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F76C2F"/>
    <w:rPr>
      <w:rFonts w:ascii="Times New Roman Bold" w:eastAsiaTheme="minorEastAsia" w:hAnsi="Times New Roman Bold" w:cstheme="minorBidi"/>
      <w:b/>
      <w:color w:val="5A5A5A" w:themeColor="text1" w:themeTint="A5"/>
      <w:sz w:val="22"/>
      <w:szCs w:val="22"/>
      <w:lang w:val="es-UY" w:eastAsia="en-US"/>
    </w:rPr>
  </w:style>
  <w:style w:type="paragraph" w:styleId="Title">
    <w:name w:val="Title"/>
    <w:basedOn w:val="Normal"/>
    <w:next w:val="Normal"/>
    <w:link w:val="TitleChar"/>
    <w:uiPriority w:val="10"/>
    <w:qFormat/>
    <w:rsid w:val="00F76C2F"/>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F76C2F"/>
    <w:rPr>
      <w:rFonts w:ascii="Times New Roman Bold" w:eastAsiaTheme="majorEastAsia" w:hAnsi="Times New Roman Bold"/>
      <w:b/>
      <w:bCs/>
      <w:spacing w:val="5"/>
      <w:kern w:val="28"/>
      <w:sz w:val="28"/>
      <w:szCs w:val="28"/>
      <w:lang w:val="es-UY" w:eastAsia="en-US"/>
      <w14:ligatures w14:val="standardContextual"/>
    </w:rPr>
  </w:style>
  <w:style w:type="character" w:customStyle="1" w:styleId="ui-provider">
    <w:name w:val="ui-provider"/>
    <w:basedOn w:val="DefaultParagraphFont"/>
    <w:rsid w:val="00CB3D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86575">
      <w:bodyDiv w:val="1"/>
      <w:marLeft w:val="0"/>
      <w:marRight w:val="0"/>
      <w:marTop w:val="0"/>
      <w:marBottom w:val="0"/>
      <w:divBdr>
        <w:top w:val="none" w:sz="0" w:space="0" w:color="auto"/>
        <w:left w:val="none" w:sz="0" w:space="0" w:color="auto"/>
        <w:bottom w:val="none" w:sz="0" w:space="0" w:color="auto"/>
        <w:right w:val="none" w:sz="0" w:space="0" w:color="auto"/>
      </w:divBdr>
    </w:div>
    <w:div w:id="356128135">
      <w:bodyDiv w:val="1"/>
      <w:marLeft w:val="0"/>
      <w:marRight w:val="0"/>
      <w:marTop w:val="0"/>
      <w:marBottom w:val="0"/>
      <w:divBdr>
        <w:top w:val="none" w:sz="0" w:space="0" w:color="auto"/>
        <w:left w:val="none" w:sz="0" w:space="0" w:color="auto"/>
        <w:bottom w:val="none" w:sz="0" w:space="0" w:color="auto"/>
        <w:right w:val="none" w:sz="0" w:space="0" w:color="auto"/>
      </w:divBdr>
    </w:div>
    <w:div w:id="392705848">
      <w:bodyDiv w:val="1"/>
      <w:marLeft w:val="0"/>
      <w:marRight w:val="0"/>
      <w:marTop w:val="0"/>
      <w:marBottom w:val="0"/>
      <w:divBdr>
        <w:top w:val="none" w:sz="0" w:space="0" w:color="auto"/>
        <w:left w:val="none" w:sz="0" w:space="0" w:color="auto"/>
        <w:bottom w:val="none" w:sz="0" w:space="0" w:color="auto"/>
        <w:right w:val="none" w:sz="0" w:space="0" w:color="auto"/>
      </w:divBdr>
    </w:div>
    <w:div w:id="522790327">
      <w:bodyDiv w:val="1"/>
      <w:marLeft w:val="0"/>
      <w:marRight w:val="0"/>
      <w:marTop w:val="0"/>
      <w:marBottom w:val="0"/>
      <w:divBdr>
        <w:top w:val="none" w:sz="0" w:space="0" w:color="auto"/>
        <w:left w:val="none" w:sz="0" w:space="0" w:color="auto"/>
        <w:bottom w:val="none" w:sz="0" w:space="0" w:color="auto"/>
        <w:right w:val="none" w:sz="0" w:space="0" w:color="auto"/>
      </w:divBdr>
      <w:divsChild>
        <w:div w:id="1505434667">
          <w:marLeft w:val="0"/>
          <w:marRight w:val="0"/>
          <w:marTop w:val="0"/>
          <w:marBottom w:val="0"/>
          <w:divBdr>
            <w:top w:val="none" w:sz="0" w:space="0" w:color="auto"/>
            <w:left w:val="none" w:sz="0" w:space="0" w:color="auto"/>
            <w:bottom w:val="none" w:sz="0" w:space="0" w:color="auto"/>
            <w:right w:val="none" w:sz="0" w:space="0" w:color="auto"/>
          </w:divBdr>
          <w:divsChild>
            <w:div w:id="955481352">
              <w:marLeft w:val="0"/>
              <w:marRight w:val="0"/>
              <w:marTop w:val="0"/>
              <w:marBottom w:val="0"/>
              <w:divBdr>
                <w:top w:val="none" w:sz="0" w:space="0" w:color="auto"/>
                <w:left w:val="none" w:sz="0" w:space="0" w:color="auto"/>
                <w:bottom w:val="none" w:sz="0" w:space="0" w:color="auto"/>
                <w:right w:val="none" w:sz="0" w:space="0" w:color="auto"/>
              </w:divBdr>
              <w:divsChild>
                <w:div w:id="2090736967">
                  <w:marLeft w:val="0"/>
                  <w:marRight w:val="300"/>
                  <w:marTop w:val="0"/>
                  <w:marBottom w:val="0"/>
                  <w:divBdr>
                    <w:top w:val="none" w:sz="0" w:space="0" w:color="auto"/>
                    <w:left w:val="none" w:sz="0" w:space="0" w:color="auto"/>
                    <w:bottom w:val="none" w:sz="0" w:space="0" w:color="auto"/>
                    <w:right w:val="none" w:sz="0" w:space="0" w:color="auto"/>
                  </w:divBdr>
                  <w:divsChild>
                    <w:div w:id="522863310">
                      <w:marLeft w:val="0"/>
                      <w:marRight w:val="0"/>
                      <w:marTop w:val="0"/>
                      <w:marBottom w:val="0"/>
                      <w:divBdr>
                        <w:top w:val="none" w:sz="0" w:space="0" w:color="auto"/>
                        <w:left w:val="none" w:sz="0" w:space="0" w:color="auto"/>
                        <w:bottom w:val="none" w:sz="0" w:space="0" w:color="auto"/>
                        <w:right w:val="none" w:sz="0" w:space="0" w:color="auto"/>
                      </w:divBdr>
                      <w:divsChild>
                        <w:div w:id="532572258">
                          <w:marLeft w:val="0"/>
                          <w:marRight w:val="0"/>
                          <w:marTop w:val="0"/>
                          <w:marBottom w:val="0"/>
                          <w:divBdr>
                            <w:top w:val="none" w:sz="0" w:space="0" w:color="auto"/>
                            <w:left w:val="none" w:sz="0" w:space="0" w:color="auto"/>
                            <w:bottom w:val="none" w:sz="0" w:space="0" w:color="auto"/>
                            <w:right w:val="none" w:sz="0" w:space="0" w:color="auto"/>
                          </w:divBdr>
                          <w:divsChild>
                            <w:div w:id="782921219">
                              <w:marLeft w:val="0"/>
                              <w:marRight w:val="0"/>
                              <w:marTop w:val="0"/>
                              <w:marBottom w:val="0"/>
                              <w:divBdr>
                                <w:top w:val="none" w:sz="0" w:space="0" w:color="auto"/>
                                <w:left w:val="none" w:sz="0" w:space="0" w:color="auto"/>
                                <w:bottom w:val="none" w:sz="0" w:space="0" w:color="auto"/>
                                <w:right w:val="none" w:sz="0" w:space="0" w:color="auto"/>
                              </w:divBdr>
                              <w:divsChild>
                                <w:div w:id="55934442">
                                  <w:marLeft w:val="0"/>
                                  <w:marRight w:val="0"/>
                                  <w:marTop w:val="0"/>
                                  <w:marBottom w:val="0"/>
                                  <w:divBdr>
                                    <w:top w:val="none" w:sz="0" w:space="0" w:color="auto"/>
                                    <w:left w:val="none" w:sz="0" w:space="0" w:color="auto"/>
                                    <w:bottom w:val="none" w:sz="0" w:space="0" w:color="auto"/>
                                    <w:right w:val="none" w:sz="0" w:space="0" w:color="auto"/>
                                  </w:divBdr>
                                  <w:divsChild>
                                    <w:div w:id="1187405574">
                                      <w:marLeft w:val="0"/>
                                      <w:marRight w:val="0"/>
                                      <w:marTop w:val="0"/>
                                      <w:marBottom w:val="0"/>
                                      <w:divBdr>
                                        <w:top w:val="none" w:sz="0" w:space="0" w:color="auto"/>
                                        <w:left w:val="none" w:sz="0" w:space="0" w:color="auto"/>
                                        <w:bottom w:val="none" w:sz="0" w:space="0" w:color="auto"/>
                                        <w:right w:val="none" w:sz="0" w:space="0" w:color="auto"/>
                                      </w:divBdr>
                                      <w:divsChild>
                                        <w:div w:id="1789545440">
                                          <w:marLeft w:val="0"/>
                                          <w:marRight w:val="0"/>
                                          <w:marTop w:val="0"/>
                                          <w:marBottom w:val="0"/>
                                          <w:divBdr>
                                            <w:top w:val="none" w:sz="0" w:space="0" w:color="auto"/>
                                            <w:left w:val="none" w:sz="0" w:space="0" w:color="auto"/>
                                            <w:bottom w:val="none" w:sz="0" w:space="0" w:color="auto"/>
                                            <w:right w:val="none" w:sz="0" w:space="0" w:color="auto"/>
                                          </w:divBdr>
                                        </w:div>
                                        <w:div w:id="194861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7683153">
      <w:bodyDiv w:val="1"/>
      <w:marLeft w:val="0"/>
      <w:marRight w:val="0"/>
      <w:marTop w:val="0"/>
      <w:marBottom w:val="0"/>
      <w:divBdr>
        <w:top w:val="none" w:sz="0" w:space="0" w:color="auto"/>
        <w:left w:val="none" w:sz="0" w:space="0" w:color="auto"/>
        <w:bottom w:val="none" w:sz="0" w:space="0" w:color="auto"/>
        <w:right w:val="none" w:sz="0" w:space="0" w:color="auto"/>
      </w:divBdr>
    </w:div>
    <w:div w:id="667254022">
      <w:bodyDiv w:val="1"/>
      <w:marLeft w:val="0"/>
      <w:marRight w:val="0"/>
      <w:marTop w:val="0"/>
      <w:marBottom w:val="0"/>
      <w:divBdr>
        <w:top w:val="none" w:sz="0" w:space="0" w:color="auto"/>
        <w:left w:val="none" w:sz="0" w:space="0" w:color="auto"/>
        <w:bottom w:val="none" w:sz="0" w:space="0" w:color="auto"/>
        <w:right w:val="none" w:sz="0" w:space="0" w:color="auto"/>
      </w:divBdr>
      <w:divsChild>
        <w:div w:id="1581254107">
          <w:marLeft w:val="0"/>
          <w:marRight w:val="0"/>
          <w:marTop w:val="0"/>
          <w:marBottom w:val="0"/>
          <w:divBdr>
            <w:top w:val="none" w:sz="0" w:space="0" w:color="auto"/>
            <w:left w:val="none" w:sz="0" w:space="0" w:color="auto"/>
            <w:bottom w:val="none" w:sz="0" w:space="0" w:color="auto"/>
            <w:right w:val="none" w:sz="0" w:space="0" w:color="auto"/>
          </w:divBdr>
          <w:divsChild>
            <w:div w:id="869730133">
              <w:marLeft w:val="0"/>
              <w:marRight w:val="0"/>
              <w:marTop w:val="0"/>
              <w:marBottom w:val="0"/>
              <w:divBdr>
                <w:top w:val="none" w:sz="0" w:space="0" w:color="auto"/>
                <w:left w:val="none" w:sz="0" w:space="0" w:color="auto"/>
                <w:bottom w:val="none" w:sz="0" w:space="0" w:color="auto"/>
                <w:right w:val="none" w:sz="0" w:space="0" w:color="auto"/>
              </w:divBdr>
              <w:divsChild>
                <w:div w:id="1910537536">
                  <w:marLeft w:val="0"/>
                  <w:marRight w:val="300"/>
                  <w:marTop w:val="0"/>
                  <w:marBottom w:val="0"/>
                  <w:divBdr>
                    <w:top w:val="none" w:sz="0" w:space="0" w:color="auto"/>
                    <w:left w:val="none" w:sz="0" w:space="0" w:color="auto"/>
                    <w:bottom w:val="none" w:sz="0" w:space="0" w:color="auto"/>
                    <w:right w:val="none" w:sz="0" w:space="0" w:color="auto"/>
                  </w:divBdr>
                  <w:divsChild>
                    <w:div w:id="195973762">
                      <w:marLeft w:val="0"/>
                      <w:marRight w:val="0"/>
                      <w:marTop w:val="0"/>
                      <w:marBottom w:val="0"/>
                      <w:divBdr>
                        <w:top w:val="none" w:sz="0" w:space="0" w:color="auto"/>
                        <w:left w:val="none" w:sz="0" w:space="0" w:color="auto"/>
                        <w:bottom w:val="none" w:sz="0" w:space="0" w:color="auto"/>
                        <w:right w:val="none" w:sz="0" w:space="0" w:color="auto"/>
                      </w:divBdr>
                      <w:divsChild>
                        <w:div w:id="24252040">
                          <w:marLeft w:val="0"/>
                          <w:marRight w:val="0"/>
                          <w:marTop w:val="0"/>
                          <w:marBottom w:val="0"/>
                          <w:divBdr>
                            <w:top w:val="none" w:sz="0" w:space="0" w:color="auto"/>
                            <w:left w:val="none" w:sz="0" w:space="0" w:color="auto"/>
                            <w:bottom w:val="none" w:sz="0" w:space="0" w:color="auto"/>
                            <w:right w:val="none" w:sz="0" w:space="0" w:color="auto"/>
                          </w:divBdr>
                          <w:divsChild>
                            <w:div w:id="583996711">
                              <w:marLeft w:val="0"/>
                              <w:marRight w:val="0"/>
                              <w:marTop w:val="0"/>
                              <w:marBottom w:val="0"/>
                              <w:divBdr>
                                <w:top w:val="none" w:sz="0" w:space="0" w:color="auto"/>
                                <w:left w:val="none" w:sz="0" w:space="0" w:color="auto"/>
                                <w:bottom w:val="none" w:sz="0" w:space="0" w:color="auto"/>
                                <w:right w:val="none" w:sz="0" w:space="0" w:color="auto"/>
                              </w:divBdr>
                              <w:divsChild>
                                <w:div w:id="834026771">
                                  <w:marLeft w:val="0"/>
                                  <w:marRight w:val="0"/>
                                  <w:marTop w:val="0"/>
                                  <w:marBottom w:val="0"/>
                                  <w:divBdr>
                                    <w:top w:val="none" w:sz="0" w:space="0" w:color="auto"/>
                                    <w:left w:val="none" w:sz="0" w:space="0" w:color="auto"/>
                                    <w:bottom w:val="none" w:sz="0" w:space="0" w:color="auto"/>
                                    <w:right w:val="none" w:sz="0" w:space="0" w:color="auto"/>
                                  </w:divBdr>
                                  <w:divsChild>
                                    <w:div w:id="500392618">
                                      <w:marLeft w:val="0"/>
                                      <w:marRight w:val="0"/>
                                      <w:marTop w:val="0"/>
                                      <w:marBottom w:val="0"/>
                                      <w:divBdr>
                                        <w:top w:val="none" w:sz="0" w:space="0" w:color="auto"/>
                                        <w:left w:val="none" w:sz="0" w:space="0" w:color="auto"/>
                                        <w:bottom w:val="none" w:sz="0" w:space="0" w:color="auto"/>
                                        <w:right w:val="none" w:sz="0" w:space="0" w:color="auto"/>
                                      </w:divBdr>
                                      <w:divsChild>
                                        <w:div w:id="535390496">
                                          <w:marLeft w:val="0"/>
                                          <w:marRight w:val="0"/>
                                          <w:marTop w:val="0"/>
                                          <w:marBottom w:val="0"/>
                                          <w:divBdr>
                                            <w:top w:val="none" w:sz="0" w:space="0" w:color="auto"/>
                                            <w:left w:val="none" w:sz="0" w:space="0" w:color="auto"/>
                                            <w:bottom w:val="none" w:sz="0" w:space="0" w:color="auto"/>
                                            <w:right w:val="none" w:sz="0" w:space="0" w:color="auto"/>
                                          </w:divBdr>
                                          <w:divsChild>
                                            <w:div w:id="1358653625">
                                              <w:marLeft w:val="0"/>
                                              <w:marRight w:val="0"/>
                                              <w:marTop w:val="0"/>
                                              <w:marBottom w:val="0"/>
                                              <w:divBdr>
                                                <w:top w:val="none" w:sz="0" w:space="0" w:color="auto"/>
                                                <w:left w:val="none" w:sz="0" w:space="0" w:color="auto"/>
                                                <w:bottom w:val="none" w:sz="0" w:space="0" w:color="auto"/>
                                                <w:right w:val="none" w:sz="0" w:space="0" w:color="auto"/>
                                              </w:divBdr>
                                              <w:divsChild>
                                                <w:div w:id="235213747">
                                                  <w:marLeft w:val="0"/>
                                                  <w:marRight w:val="0"/>
                                                  <w:marTop w:val="0"/>
                                                  <w:marBottom w:val="0"/>
                                                  <w:divBdr>
                                                    <w:top w:val="none" w:sz="0" w:space="0" w:color="auto"/>
                                                    <w:left w:val="none" w:sz="0" w:space="0" w:color="auto"/>
                                                    <w:bottom w:val="none" w:sz="0" w:space="0" w:color="auto"/>
                                                    <w:right w:val="none" w:sz="0" w:space="0" w:color="auto"/>
                                                  </w:divBdr>
                                                  <w:divsChild>
                                                    <w:div w:id="58597967">
                                                      <w:marLeft w:val="0"/>
                                                      <w:marRight w:val="0"/>
                                                      <w:marTop w:val="0"/>
                                                      <w:marBottom w:val="0"/>
                                                      <w:divBdr>
                                                        <w:top w:val="none" w:sz="0" w:space="0" w:color="auto"/>
                                                        <w:left w:val="none" w:sz="0" w:space="0" w:color="auto"/>
                                                        <w:bottom w:val="none" w:sz="0" w:space="0" w:color="auto"/>
                                                        <w:right w:val="none" w:sz="0" w:space="0" w:color="auto"/>
                                                      </w:divBdr>
                                                    </w:div>
                                                    <w:div w:id="18540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5974719">
      <w:bodyDiv w:val="1"/>
      <w:marLeft w:val="0"/>
      <w:marRight w:val="0"/>
      <w:marTop w:val="0"/>
      <w:marBottom w:val="0"/>
      <w:divBdr>
        <w:top w:val="none" w:sz="0" w:space="0" w:color="auto"/>
        <w:left w:val="none" w:sz="0" w:space="0" w:color="auto"/>
        <w:bottom w:val="none" w:sz="0" w:space="0" w:color="auto"/>
        <w:right w:val="none" w:sz="0" w:space="0" w:color="auto"/>
      </w:divBdr>
    </w:div>
    <w:div w:id="860360971">
      <w:bodyDiv w:val="1"/>
      <w:marLeft w:val="0"/>
      <w:marRight w:val="0"/>
      <w:marTop w:val="0"/>
      <w:marBottom w:val="0"/>
      <w:divBdr>
        <w:top w:val="none" w:sz="0" w:space="0" w:color="auto"/>
        <w:left w:val="none" w:sz="0" w:space="0" w:color="auto"/>
        <w:bottom w:val="none" w:sz="0" w:space="0" w:color="auto"/>
        <w:right w:val="none" w:sz="0" w:space="0" w:color="auto"/>
      </w:divBdr>
      <w:divsChild>
        <w:div w:id="1171066769">
          <w:marLeft w:val="0"/>
          <w:marRight w:val="0"/>
          <w:marTop w:val="0"/>
          <w:marBottom w:val="0"/>
          <w:divBdr>
            <w:top w:val="none" w:sz="0" w:space="0" w:color="auto"/>
            <w:left w:val="none" w:sz="0" w:space="0" w:color="auto"/>
            <w:bottom w:val="none" w:sz="0" w:space="0" w:color="auto"/>
            <w:right w:val="none" w:sz="0" w:space="0" w:color="auto"/>
          </w:divBdr>
          <w:divsChild>
            <w:div w:id="1555192683">
              <w:marLeft w:val="0"/>
              <w:marRight w:val="0"/>
              <w:marTop w:val="0"/>
              <w:marBottom w:val="0"/>
              <w:divBdr>
                <w:top w:val="none" w:sz="0" w:space="0" w:color="auto"/>
                <w:left w:val="none" w:sz="0" w:space="0" w:color="auto"/>
                <w:bottom w:val="none" w:sz="0" w:space="0" w:color="auto"/>
                <w:right w:val="none" w:sz="0" w:space="0" w:color="auto"/>
              </w:divBdr>
              <w:divsChild>
                <w:div w:id="2057199935">
                  <w:marLeft w:val="0"/>
                  <w:marRight w:val="0"/>
                  <w:marTop w:val="0"/>
                  <w:marBottom w:val="0"/>
                  <w:divBdr>
                    <w:top w:val="none" w:sz="0" w:space="0" w:color="auto"/>
                    <w:left w:val="none" w:sz="0" w:space="0" w:color="auto"/>
                    <w:bottom w:val="none" w:sz="0" w:space="0" w:color="auto"/>
                    <w:right w:val="none" w:sz="0" w:space="0" w:color="auto"/>
                  </w:divBdr>
                  <w:divsChild>
                    <w:div w:id="560485925">
                      <w:marLeft w:val="0"/>
                      <w:marRight w:val="0"/>
                      <w:marTop w:val="0"/>
                      <w:marBottom w:val="0"/>
                      <w:divBdr>
                        <w:top w:val="none" w:sz="0" w:space="0" w:color="auto"/>
                        <w:left w:val="none" w:sz="0" w:space="0" w:color="auto"/>
                        <w:bottom w:val="none" w:sz="0" w:space="0" w:color="auto"/>
                        <w:right w:val="none" w:sz="0" w:space="0" w:color="auto"/>
                      </w:divBdr>
                      <w:divsChild>
                        <w:div w:id="1541818090">
                          <w:marLeft w:val="0"/>
                          <w:marRight w:val="0"/>
                          <w:marTop w:val="0"/>
                          <w:marBottom w:val="0"/>
                          <w:divBdr>
                            <w:top w:val="none" w:sz="0" w:space="0" w:color="auto"/>
                            <w:left w:val="none" w:sz="0" w:space="0" w:color="auto"/>
                            <w:bottom w:val="none" w:sz="0" w:space="0" w:color="auto"/>
                            <w:right w:val="none" w:sz="0" w:space="0" w:color="auto"/>
                          </w:divBdr>
                          <w:divsChild>
                            <w:div w:id="602304899">
                              <w:marLeft w:val="0"/>
                              <w:marRight w:val="0"/>
                              <w:marTop w:val="0"/>
                              <w:marBottom w:val="0"/>
                              <w:divBdr>
                                <w:top w:val="none" w:sz="0" w:space="0" w:color="auto"/>
                                <w:left w:val="none" w:sz="0" w:space="0" w:color="auto"/>
                                <w:bottom w:val="none" w:sz="0" w:space="0" w:color="auto"/>
                                <w:right w:val="none" w:sz="0" w:space="0" w:color="auto"/>
                              </w:divBdr>
                              <w:divsChild>
                                <w:div w:id="39668342">
                                  <w:marLeft w:val="0"/>
                                  <w:marRight w:val="0"/>
                                  <w:marTop w:val="0"/>
                                  <w:marBottom w:val="0"/>
                                  <w:divBdr>
                                    <w:top w:val="none" w:sz="0" w:space="0" w:color="auto"/>
                                    <w:left w:val="none" w:sz="0" w:space="0" w:color="auto"/>
                                    <w:bottom w:val="none" w:sz="0" w:space="0" w:color="auto"/>
                                    <w:right w:val="none" w:sz="0" w:space="0" w:color="auto"/>
                                  </w:divBdr>
                                  <w:divsChild>
                                    <w:div w:id="99565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3877204">
      <w:bodyDiv w:val="1"/>
      <w:marLeft w:val="0"/>
      <w:marRight w:val="0"/>
      <w:marTop w:val="0"/>
      <w:marBottom w:val="0"/>
      <w:divBdr>
        <w:top w:val="none" w:sz="0" w:space="0" w:color="auto"/>
        <w:left w:val="none" w:sz="0" w:space="0" w:color="auto"/>
        <w:bottom w:val="none" w:sz="0" w:space="0" w:color="auto"/>
        <w:right w:val="none" w:sz="0" w:space="0" w:color="auto"/>
      </w:divBdr>
      <w:divsChild>
        <w:div w:id="680938719">
          <w:marLeft w:val="0"/>
          <w:marRight w:val="0"/>
          <w:marTop w:val="0"/>
          <w:marBottom w:val="0"/>
          <w:divBdr>
            <w:top w:val="none" w:sz="0" w:space="0" w:color="auto"/>
            <w:left w:val="none" w:sz="0" w:space="0" w:color="auto"/>
            <w:bottom w:val="none" w:sz="0" w:space="0" w:color="auto"/>
            <w:right w:val="none" w:sz="0" w:space="0" w:color="auto"/>
          </w:divBdr>
          <w:divsChild>
            <w:div w:id="1402830414">
              <w:marLeft w:val="0"/>
              <w:marRight w:val="0"/>
              <w:marTop w:val="0"/>
              <w:marBottom w:val="0"/>
              <w:divBdr>
                <w:top w:val="none" w:sz="0" w:space="0" w:color="auto"/>
                <w:left w:val="none" w:sz="0" w:space="0" w:color="auto"/>
                <w:bottom w:val="none" w:sz="0" w:space="0" w:color="auto"/>
                <w:right w:val="none" w:sz="0" w:space="0" w:color="auto"/>
              </w:divBdr>
              <w:divsChild>
                <w:div w:id="1022126343">
                  <w:marLeft w:val="0"/>
                  <w:marRight w:val="0"/>
                  <w:marTop w:val="0"/>
                  <w:marBottom w:val="0"/>
                  <w:divBdr>
                    <w:top w:val="none" w:sz="0" w:space="0" w:color="auto"/>
                    <w:left w:val="none" w:sz="0" w:space="0" w:color="auto"/>
                    <w:bottom w:val="none" w:sz="0" w:space="0" w:color="auto"/>
                    <w:right w:val="none" w:sz="0" w:space="0" w:color="auto"/>
                  </w:divBdr>
                  <w:divsChild>
                    <w:div w:id="1090539203">
                      <w:marLeft w:val="0"/>
                      <w:marRight w:val="0"/>
                      <w:marTop w:val="0"/>
                      <w:marBottom w:val="0"/>
                      <w:divBdr>
                        <w:top w:val="none" w:sz="0" w:space="0" w:color="auto"/>
                        <w:left w:val="none" w:sz="0" w:space="0" w:color="auto"/>
                        <w:bottom w:val="none" w:sz="0" w:space="0" w:color="auto"/>
                        <w:right w:val="none" w:sz="0" w:space="0" w:color="auto"/>
                      </w:divBdr>
                      <w:divsChild>
                        <w:div w:id="1802187598">
                          <w:marLeft w:val="0"/>
                          <w:marRight w:val="0"/>
                          <w:marTop w:val="0"/>
                          <w:marBottom w:val="0"/>
                          <w:divBdr>
                            <w:top w:val="none" w:sz="0" w:space="0" w:color="auto"/>
                            <w:left w:val="none" w:sz="0" w:space="0" w:color="auto"/>
                            <w:bottom w:val="none" w:sz="0" w:space="0" w:color="auto"/>
                            <w:right w:val="none" w:sz="0" w:space="0" w:color="auto"/>
                          </w:divBdr>
                          <w:divsChild>
                            <w:div w:id="2117945805">
                              <w:marLeft w:val="0"/>
                              <w:marRight w:val="0"/>
                              <w:marTop w:val="0"/>
                              <w:marBottom w:val="0"/>
                              <w:divBdr>
                                <w:top w:val="none" w:sz="0" w:space="0" w:color="auto"/>
                                <w:left w:val="none" w:sz="0" w:space="0" w:color="auto"/>
                                <w:bottom w:val="none" w:sz="0" w:space="0" w:color="auto"/>
                                <w:right w:val="none" w:sz="0" w:space="0" w:color="auto"/>
                              </w:divBdr>
                              <w:divsChild>
                                <w:div w:id="890312879">
                                  <w:marLeft w:val="0"/>
                                  <w:marRight w:val="0"/>
                                  <w:marTop w:val="0"/>
                                  <w:marBottom w:val="0"/>
                                  <w:divBdr>
                                    <w:top w:val="none" w:sz="0" w:space="0" w:color="auto"/>
                                    <w:left w:val="none" w:sz="0" w:space="0" w:color="auto"/>
                                    <w:bottom w:val="none" w:sz="0" w:space="0" w:color="auto"/>
                                    <w:right w:val="none" w:sz="0" w:space="0" w:color="auto"/>
                                  </w:divBdr>
                                  <w:divsChild>
                                    <w:div w:id="1695418310">
                                      <w:marLeft w:val="0"/>
                                      <w:marRight w:val="0"/>
                                      <w:marTop w:val="0"/>
                                      <w:marBottom w:val="0"/>
                                      <w:divBdr>
                                        <w:top w:val="none" w:sz="0" w:space="0" w:color="auto"/>
                                        <w:left w:val="none" w:sz="0" w:space="0" w:color="auto"/>
                                        <w:bottom w:val="none" w:sz="0" w:space="0" w:color="auto"/>
                                        <w:right w:val="none" w:sz="0" w:space="0" w:color="auto"/>
                                      </w:divBdr>
                                      <w:divsChild>
                                        <w:div w:id="909852295">
                                          <w:marLeft w:val="0"/>
                                          <w:marRight w:val="0"/>
                                          <w:marTop w:val="0"/>
                                          <w:marBottom w:val="0"/>
                                          <w:divBdr>
                                            <w:top w:val="none" w:sz="0" w:space="0" w:color="auto"/>
                                            <w:left w:val="none" w:sz="0" w:space="0" w:color="auto"/>
                                            <w:bottom w:val="none" w:sz="0" w:space="0" w:color="auto"/>
                                            <w:right w:val="none" w:sz="0" w:space="0" w:color="auto"/>
                                          </w:divBdr>
                                          <w:divsChild>
                                            <w:div w:id="133179840">
                                              <w:marLeft w:val="0"/>
                                              <w:marRight w:val="0"/>
                                              <w:marTop w:val="0"/>
                                              <w:marBottom w:val="0"/>
                                              <w:divBdr>
                                                <w:top w:val="none" w:sz="0" w:space="0" w:color="auto"/>
                                                <w:left w:val="none" w:sz="0" w:space="0" w:color="auto"/>
                                                <w:bottom w:val="none" w:sz="0" w:space="0" w:color="auto"/>
                                                <w:right w:val="none" w:sz="0" w:space="0" w:color="auto"/>
                                              </w:divBdr>
                                              <w:divsChild>
                                                <w:div w:id="632518356">
                                                  <w:marLeft w:val="0"/>
                                                  <w:marRight w:val="0"/>
                                                  <w:marTop w:val="0"/>
                                                  <w:marBottom w:val="0"/>
                                                  <w:divBdr>
                                                    <w:top w:val="none" w:sz="0" w:space="0" w:color="auto"/>
                                                    <w:left w:val="none" w:sz="0" w:space="0" w:color="auto"/>
                                                    <w:bottom w:val="none" w:sz="0" w:space="0" w:color="auto"/>
                                                    <w:right w:val="none" w:sz="0" w:space="0" w:color="auto"/>
                                                  </w:divBdr>
                                                </w:div>
                                                <w:div w:id="105265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8043445">
      <w:bodyDiv w:val="1"/>
      <w:marLeft w:val="0"/>
      <w:marRight w:val="0"/>
      <w:marTop w:val="0"/>
      <w:marBottom w:val="0"/>
      <w:divBdr>
        <w:top w:val="none" w:sz="0" w:space="0" w:color="auto"/>
        <w:left w:val="none" w:sz="0" w:space="0" w:color="auto"/>
        <w:bottom w:val="none" w:sz="0" w:space="0" w:color="auto"/>
        <w:right w:val="none" w:sz="0" w:space="0" w:color="auto"/>
      </w:divBdr>
      <w:divsChild>
        <w:div w:id="692807442">
          <w:marLeft w:val="0"/>
          <w:marRight w:val="0"/>
          <w:marTop w:val="0"/>
          <w:marBottom w:val="0"/>
          <w:divBdr>
            <w:top w:val="none" w:sz="0" w:space="0" w:color="auto"/>
            <w:left w:val="none" w:sz="0" w:space="0" w:color="auto"/>
            <w:bottom w:val="none" w:sz="0" w:space="0" w:color="auto"/>
            <w:right w:val="none" w:sz="0" w:space="0" w:color="auto"/>
          </w:divBdr>
          <w:divsChild>
            <w:div w:id="1747534760">
              <w:marLeft w:val="0"/>
              <w:marRight w:val="0"/>
              <w:marTop w:val="0"/>
              <w:marBottom w:val="0"/>
              <w:divBdr>
                <w:top w:val="none" w:sz="0" w:space="0" w:color="auto"/>
                <w:left w:val="none" w:sz="0" w:space="0" w:color="auto"/>
                <w:bottom w:val="none" w:sz="0" w:space="0" w:color="auto"/>
                <w:right w:val="none" w:sz="0" w:space="0" w:color="auto"/>
              </w:divBdr>
              <w:divsChild>
                <w:div w:id="504325600">
                  <w:marLeft w:val="0"/>
                  <w:marRight w:val="0"/>
                  <w:marTop w:val="0"/>
                  <w:marBottom w:val="0"/>
                  <w:divBdr>
                    <w:top w:val="none" w:sz="0" w:space="0" w:color="auto"/>
                    <w:left w:val="none" w:sz="0" w:space="0" w:color="auto"/>
                    <w:bottom w:val="none" w:sz="0" w:space="0" w:color="auto"/>
                    <w:right w:val="none" w:sz="0" w:space="0" w:color="auto"/>
                  </w:divBdr>
                  <w:divsChild>
                    <w:div w:id="1616012576">
                      <w:marLeft w:val="3000"/>
                      <w:marRight w:val="0"/>
                      <w:marTop w:val="0"/>
                      <w:marBottom w:val="0"/>
                      <w:divBdr>
                        <w:top w:val="none" w:sz="0" w:space="0" w:color="auto"/>
                        <w:left w:val="none" w:sz="0" w:space="0" w:color="auto"/>
                        <w:bottom w:val="none" w:sz="0" w:space="0" w:color="auto"/>
                        <w:right w:val="none" w:sz="0" w:space="0" w:color="auto"/>
                      </w:divBdr>
                      <w:divsChild>
                        <w:div w:id="1602760136">
                          <w:marLeft w:val="0"/>
                          <w:marRight w:val="0"/>
                          <w:marTop w:val="0"/>
                          <w:marBottom w:val="0"/>
                          <w:divBdr>
                            <w:top w:val="none" w:sz="0" w:space="0" w:color="auto"/>
                            <w:left w:val="none" w:sz="0" w:space="0" w:color="auto"/>
                            <w:bottom w:val="single" w:sz="48" w:space="0" w:color="FFFFFF"/>
                            <w:right w:val="none" w:sz="0" w:space="0" w:color="auto"/>
                          </w:divBdr>
                          <w:divsChild>
                            <w:div w:id="603003391">
                              <w:marLeft w:val="0"/>
                              <w:marRight w:val="0"/>
                              <w:marTop w:val="0"/>
                              <w:marBottom w:val="0"/>
                              <w:divBdr>
                                <w:top w:val="none" w:sz="0" w:space="0" w:color="auto"/>
                                <w:left w:val="none" w:sz="0" w:space="0" w:color="auto"/>
                                <w:bottom w:val="none" w:sz="0" w:space="0" w:color="auto"/>
                                <w:right w:val="none" w:sz="0" w:space="0" w:color="auto"/>
                              </w:divBdr>
                              <w:divsChild>
                                <w:div w:id="1755975882">
                                  <w:marLeft w:val="0"/>
                                  <w:marRight w:val="0"/>
                                  <w:marTop w:val="0"/>
                                  <w:marBottom w:val="0"/>
                                  <w:divBdr>
                                    <w:top w:val="none" w:sz="0" w:space="0" w:color="auto"/>
                                    <w:left w:val="none" w:sz="0" w:space="0" w:color="auto"/>
                                    <w:bottom w:val="none" w:sz="0" w:space="0" w:color="auto"/>
                                    <w:right w:val="none" w:sz="0" w:space="0" w:color="auto"/>
                                  </w:divBdr>
                                  <w:divsChild>
                                    <w:div w:id="94182088">
                                      <w:marLeft w:val="0"/>
                                      <w:marRight w:val="0"/>
                                      <w:marTop w:val="0"/>
                                      <w:marBottom w:val="0"/>
                                      <w:divBdr>
                                        <w:top w:val="none" w:sz="0" w:space="0" w:color="auto"/>
                                        <w:left w:val="none" w:sz="0" w:space="0" w:color="auto"/>
                                        <w:bottom w:val="none" w:sz="0" w:space="0" w:color="auto"/>
                                        <w:right w:val="none" w:sz="0" w:space="0" w:color="auto"/>
                                      </w:divBdr>
                                      <w:divsChild>
                                        <w:div w:id="66000754">
                                          <w:marLeft w:val="0"/>
                                          <w:marRight w:val="0"/>
                                          <w:marTop w:val="0"/>
                                          <w:marBottom w:val="0"/>
                                          <w:divBdr>
                                            <w:top w:val="none" w:sz="0" w:space="0" w:color="auto"/>
                                            <w:left w:val="none" w:sz="0" w:space="0" w:color="auto"/>
                                            <w:bottom w:val="none" w:sz="0" w:space="0" w:color="auto"/>
                                            <w:right w:val="none" w:sz="0" w:space="0" w:color="auto"/>
                                          </w:divBdr>
                                        </w:div>
                                        <w:div w:id="1322999728">
                                          <w:marLeft w:val="0"/>
                                          <w:marRight w:val="0"/>
                                          <w:marTop w:val="0"/>
                                          <w:marBottom w:val="0"/>
                                          <w:divBdr>
                                            <w:top w:val="none" w:sz="0" w:space="0" w:color="auto"/>
                                            <w:left w:val="none" w:sz="0" w:space="0" w:color="auto"/>
                                            <w:bottom w:val="none" w:sz="0" w:space="0" w:color="auto"/>
                                            <w:right w:val="none" w:sz="0" w:space="0" w:color="auto"/>
                                          </w:divBdr>
                                          <w:divsChild>
                                            <w:div w:id="105789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6105120">
      <w:bodyDiv w:val="1"/>
      <w:marLeft w:val="0"/>
      <w:marRight w:val="0"/>
      <w:marTop w:val="0"/>
      <w:marBottom w:val="0"/>
      <w:divBdr>
        <w:top w:val="none" w:sz="0" w:space="0" w:color="auto"/>
        <w:left w:val="none" w:sz="0" w:space="0" w:color="auto"/>
        <w:bottom w:val="none" w:sz="0" w:space="0" w:color="auto"/>
        <w:right w:val="none" w:sz="0" w:space="0" w:color="auto"/>
      </w:divBdr>
    </w:div>
    <w:div w:id="1092777592">
      <w:bodyDiv w:val="1"/>
      <w:marLeft w:val="0"/>
      <w:marRight w:val="0"/>
      <w:marTop w:val="0"/>
      <w:marBottom w:val="0"/>
      <w:divBdr>
        <w:top w:val="none" w:sz="0" w:space="0" w:color="auto"/>
        <w:left w:val="none" w:sz="0" w:space="0" w:color="auto"/>
        <w:bottom w:val="none" w:sz="0" w:space="0" w:color="auto"/>
        <w:right w:val="none" w:sz="0" w:space="0" w:color="auto"/>
      </w:divBdr>
    </w:div>
    <w:div w:id="1177429170">
      <w:bodyDiv w:val="1"/>
      <w:marLeft w:val="0"/>
      <w:marRight w:val="0"/>
      <w:marTop w:val="0"/>
      <w:marBottom w:val="0"/>
      <w:divBdr>
        <w:top w:val="none" w:sz="0" w:space="0" w:color="auto"/>
        <w:left w:val="none" w:sz="0" w:space="0" w:color="auto"/>
        <w:bottom w:val="none" w:sz="0" w:space="0" w:color="auto"/>
        <w:right w:val="none" w:sz="0" w:space="0" w:color="auto"/>
      </w:divBdr>
    </w:div>
    <w:div w:id="1204640310">
      <w:bodyDiv w:val="1"/>
      <w:marLeft w:val="0"/>
      <w:marRight w:val="0"/>
      <w:marTop w:val="0"/>
      <w:marBottom w:val="0"/>
      <w:divBdr>
        <w:top w:val="none" w:sz="0" w:space="0" w:color="auto"/>
        <w:left w:val="none" w:sz="0" w:space="0" w:color="auto"/>
        <w:bottom w:val="none" w:sz="0" w:space="0" w:color="auto"/>
        <w:right w:val="none" w:sz="0" w:space="0" w:color="auto"/>
      </w:divBdr>
    </w:div>
    <w:div w:id="1251619588">
      <w:bodyDiv w:val="1"/>
      <w:marLeft w:val="0"/>
      <w:marRight w:val="0"/>
      <w:marTop w:val="0"/>
      <w:marBottom w:val="0"/>
      <w:divBdr>
        <w:top w:val="none" w:sz="0" w:space="0" w:color="auto"/>
        <w:left w:val="none" w:sz="0" w:space="0" w:color="auto"/>
        <w:bottom w:val="none" w:sz="0" w:space="0" w:color="auto"/>
        <w:right w:val="none" w:sz="0" w:space="0" w:color="auto"/>
      </w:divBdr>
      <w:divsChild>
        <w:div w:id="1790199358">
          <w:marLeft w:val="0"/>
          <w:marRight w:val="0"/>
          <w:marTop w:val="0"/>
          <w:marBottom w:val="0"/>
          <w:divBdr>
            <w:top w:val="none" w:sz="0" w:space="0" w:color="auto"/>
            <w:left w:val="none" w:sz="0" w:space="0" w:color="auto"/>
            <w:bottom w:val="none" w:sz="0" w:space="0" w:color="auto"/>
            <w:right w:val="none" w:sz="0" w:space="0" w:color="auto"/>
          </w:divBdr>
          <w:divsChild>
            <w:div w:id="188834719">
              <w:marLeft w:val="0"/>
              <w:marRight w:val="0"/>
              <w:marTop w:val="0"/>
              <w:marBottom w:val="0"/>
              <w:divBdr>
                <w:top w:val="none" w:sz="0" w:space="0" w:color="auto"/>
                <w:left w:val="none" w:sz="0" w:space="0" w:color="auto"/>
                <w:bottom w:val="none" w:sz="0" w:space="0" w:color="auto"/>
                <w:right w:val="none" w:sz="0" w:space="0" w:color="auto"/>
              </w:divBdr>
              <w:divsChild>
                <w:div w:id="1928685822">
                  <w:marLeft w:val="0"/>
                  <w:marRight w:val="300"/>
                  <w:marTop w:val="0"/>
                  <w:marBottom w:val="0"/>
                  <w:divBdr>
                    <w:top w:val="none" w:sz="0" w:space="0" w:color="auto"/>
                    <w:left w:val="none" w:sz="0" w:space="0" w:color="auto"/>
                    <w:bottom w:val="none" w:sz="0" w:space="0" w:color="auto"/>
                    <w:right w:val="none" w:sz="0" w:space="0" w:color="auto"/>
                  </w:divBdr>
                  <w:divsChild>
                    <w:div w:id="2000229307">
                      <w:marLeft w:val="0"/>
                      <w:marRight w:val="0"/>
                      <w:marTop w:val="0"/>
                      <w:marBottom w:val="0"/>
                      <w:divBdr>
                        <w:top w:val="none" w:sz="0" w:space="0" w:color="auto"/>
                        <w:left w:val="none" w:sz="0" w:space="0" w:color="auto"/>
                        <w:bottom w:val="none" w:sz="0" w:space="0" w:color="auto"/>
                        <w:right w:val="none" w:sz="0" w:space="0" w:color="auto"/>
                      </w:divBdr>
                      <w:divsChild>
                        <w:div w:id="1190147959">
                          <w:marLeft w:val="0"/>
                          <w:marRight w:val="0"/>
                          <w:marTop w:val="0"/>
                          <w:marBottom w:val="0"/>
                          <w:divBdr>
                            <w:top w:val="none" w:sz="0" w:space="0" w:color="auto"/>
                            <w:left w:val="none" w:sz="0" w:space="0" w:color="auto"/>
                            <w:bottom w:val="none" w:sz="0" w:space="0" w:color="auto"/>
                            <w:right w:val="none" w:sz="0" w:space="0" w:color="auto"/>
                          </w:divBdr>
                          <w:divsChild>
                            <w:div w:id="1431853050">
                              <w:marLeft w:val="0"/>
                              <w:marRight w:val="0"/>
                              <w:marTop w:val="0"/>
                              <w:marBottom w:val="0"/>
                              <w:divBdr>
                                <w:top w:val="none" w:sz="0" w:space="0" w:color="auto"/>
                                <w:left w:val="none" w:sz="0" w:space="0" w:color="auto"/>
                                <w:bottom w:val="none" w:sz="0" w:space="0" w:color="auto"/>
                                <w:right w:val="none" w:sz="0" w:space="0" w:color="auto"/>
                              </w:divBdr>
                              <w:divsChild>
                                <w:div w:id="2032148821">
                                  <w:marLeft w:val="0"/>
                                  <w:marRight w:val="0"/>
                                  <w:marTop w:val="0"/>
                                  <w:marBottom w:val="0"/>
                                  <w:divBdr>
                                    <w:top w:val="none" w:sz="0" w:space="0" w:color="auto"/>
                                    <w:left w:val="none" w:sz="0" w:space="0" w:color="auto"/>
                                    <w:bottom w:val="none" w:sz="0" w:space="0" w:color="auto"/>
                                    <w:right w:val="none" w:sz="0" w:space="0" w:color="auto"/>
                                  </w:divBdr>
                                  <w:divsChild>
                                    <w:div w:id="101603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7785773">
      <w:bodyDiv w:val="1"/>
      <w:marLeft w:val="0"/>
      <w:marRight w:val="0"/>
      <w:marTop w:val="0"/>
      <w:marBottom w:val="0"/>
      <w:divBdr>
        <w:top w:val="none" w:sz="0" w:space="0" w:color="auto"/>
        <w:left w:val="none" w:sz="0" w:space="0" w:color="auto"/>
        <w:bottom w:val="none" w:sz="0" w:space="0" w:color="auto"/>
        <w:right w:val="none" w:sz="0" w:space="0" w:color="auto"/>
      </w:divBdr>
      <w:divsChild>
        <w:div w:id="876771318">
          <w:marLeft w:val="0"/>
          <w:marRight w:val="0"/>
          <w:marTop w:val="0"/>
          <w:marBottom w:val="0"/>
          <w:divBdr>
            <w:top w:val="none" w:sz="0" w:space="0" w:color="auto"/>
            <w:left w:val="none" w:sz="0" w:space="0" w:color="auto"/>
            <w:bottom w:val="none" w:sz="0" w:space="0" w:color="auto"/>
            <w:right w:val="none" w:sz="0" w:space="0" w:color="auto"/>
          </w:divBdr>
          <w:divsChild>
            <w:div w:id="386421617">
              <w:marLeft w:val="0"/>
              <w:marRight w:val="0"/>
              <w:marTop w:val="0"/>
              <w:marBottom w:val="0"/>
              <w:divBdr>
                <w:top w:val="none" w:sz="0" w:space="0" w:color="auto"/>
                <w:left w:val="none" w:sz="0" w:space="0" w:color="auto"/>
                <w:bottom w:val="none" w:sz="0" w:space="0" w:color="auto"/>
                <w:right w:val="none" w:sz="0" w:space="0" w:color="auto"/>
              </w:divBdr>
              <w:divsChild>
                <w:div w:id="1716000126">
                  <w:marLeft w:val="0"/>
                  <w:marRight w:val="0"/>
                  <w:marTop w:val="0"/>
                  <w:marBottom w:val="0"/>
                  <w:divBdr>
                    <w:top w:val="none" w:sz="0" w:space="0" w:color="auto"/>
                    <w:left w:val="none" w:sz="0" w:space="0" w:color="auto"/>
                    <w:bottom w:val="none" w:sz="0" w:space="0" w:color="auto"/>
                    <w:right w:val="none" w:sz="0" w:space="0" w:color="auto"/>
                  </w:divBdr>
                  <w:divsChild>
                    <w:div w:id="1196235327">
                      <w:marLeft w:val="3000"/>
                      <w:marRight w:val="0"/>
                      <w:marTop w:val="0"/>
                      <w:marBottom w:val="0"/>
                      <w:divBdr>
                        <w:top w:val="none" w:sz="0" w:space="0" w:color="auto"/>
                        <w:left w:val="none" w:sz="0" w:space="0" w:color="auto"/>
                        <w:bottom w:val="none" w:sz="0" w:space="0" w:color="auto"/>
                        <w:right w:val="none" w:sz="0" w:space="0" w:color="auto"/>
                      </w:divBdr>
                      <w:divsChild>
                        <w:div w:id="395593228">
                          <w:marLeft w:val="0"/>
                          <w:marRight w:val="0"/>
                          <w:marTop w:val="0"/>
                          <w:marBottom w:val="0"/>
                          <w:divBdr>
                            <w:top w:val="none" w:sz="0" w:space="0" w:color="auto"/>
                            <w:left w:val="none" w:sz="0" w:space="0" w:color="auto"/>
                            <w:bottom w:val="single" w:sz="48" w:space="0" w:color="FFFFFF"/>
                            <w:right w:val="none" w:sz="0" w:space="0" w:color="auto"/>
                          </w:divBdr>
                          <w:divsChild>
                            <w:div w:id="501625016">
                              <w:marLeft w:val="0"/>
                              <w:marRight w:val="0"/>
                              <w:marTop w:val="0"/>
                              <w:marBottom w:val="0"/>
                              <w:divBdr>
                                <w:top w:val="none" w:sz="0" w:space="0" w:color="auto"/>
                                <w:left w:val="none" w:sz="0" w:space="0" w:color="auto"/>
                                <w:bottom w:val="none" w:sz="0" w:space="0" w:color="auto"/>
                                <w:right w:val="none" w:sz="0" w:space="0" w:color="auto"/>
                              </w:divBdr>
                              <w:divsChild>
                                <w:div w:id="1362391195">
                                  <w:marLeft w:val="0"/>
                                  <w:marRight w:val="0"/>
                                  <w:marTop w:val="0"/>
                                  <w:marBottom w:val="0"/>
                                  <w:divBdr>
                                    <w:top w:val="none" w:sz="0" w:space="0" w:color="auto"/>
                                    <w:left w:val="none" w:sz="0" w:space="0" w:color="auto"/>
                                    <w:bottom w:val="none" w:sz="0" w:space="0" w:color="auto"/>
                                    <w:right w:val="none" w:sz="0" w:space="0" w:color="auto"/>
                                  </w:divBdr>
                                  <w:divsChild>
                                    <w:div w:id="449983067">
                                      <w:marLeft w:val="0"/>
                                      <w:marRight w:val="0"/>
                                      <w:marTop w:val="0"/>
                                      <w:marBottom w:val="0"/>
                                      <w:divBdr>
                                        <w:top w:val="none" w:sz="0" w:space="0" w:color="auto"/>
                                        <w:left w:val="none" w:sz="0" w:space="0" w:color="auto"/>
                                        <w:bottom w:val="none" w:sz="0" w:space="0" w:color="auto"/>
                                        <w:right w:val="none" w:sz="0" w:space="0" w:color="auto"/>
                                      </w:divBdr>
                                      <w:divsChild>
                                        <w:div w:id="1197503163">
                                          <w:marLeft w:val="0"/>
                                          <w:marRight w:val="0"/>
                                          <w:marTop w:val="0"/>
                                          <w:marBottom w:val="0"/>
                                          <w:divBdr>
                                            <w:top w:val="none" w:sz="0" w:space="0" w:color="auto"/>
                                            <w:left w:val="none" w:sz="0" w:space="0" w:color="auto"/>
                                            <w:bottom w:val="none" w:sz="0" w:space="0" w:color="auto"/>
                                            <w:right w:val="none" w:sz="0" w:space="0" w:color="auto"/>
                                          </w:divBdr>
                                          <w:divsChild>
                                            <w:div w:id="2095008041">
                                              <w:marLeft w:val="0"/>
                                              <w:marRight w:val="0"/>
                                              <w:marTop w:val="0"/>
                                              <w:marBottom w:val="0"/>
                                              <w:divBdr>
                                                <w:top w:val="none" w:sz="0" w:space="0" w:color="auto"/>
                                                <w:left w:val="none" w:sz="0" w:space="0" w:color="auto"/>
                                                <w:bottom w:val="none" w:sz="0" w:space="0" w:color="auto"/>
                                                <w:right w:val="none" w:sz="0" w:space="0" w:color="auto"/>
                                              </w:divBdr>
                                              <w:divsChild>
                                                <w:div w:id="281806118">
                                                  <w:marLeft w:val="0"/>
                                                  <w:marRight w:val="0"/>
                                                  <w:marTop w:val="0"/>
                                                  <w:marBottom w:val="0"/>
                                                  <w:divBdr>
                                                    <w:top w:val="none" w:sz="0" w:space="0" w:color="auto"/>
                                                    <w:left w:val="none" w:sz="0" w:space="0" w:color="auto"/>
                                                    <w:bottom w:val="none" w:sz="0" w:space="0" w:color="auto"/>
                                                    <w:right w:val="none" w:sz="0" w:space="0" w:color="auto"/>
                                                  </w:divBdr>
                                                  <w:divsChild>
                                                    <w:div w:id="990214026">
                                                      <w:marLeft w:val="0"/>
                                                      <w:marRight w:val="0"/>
                                                      <w:marTop w:val="0"/>
                                                      <w:marBottom w:val="0"/>
                                                      <w:divBdr>
                                                        <w:top w:val="none" w:sz="0" w:space="0" w:color="auto"/>
                                                        <w:left w:val="none" w:sz="0" w:space="0" w:color="auto"/>
                                                        <w:bottom w:val="none" w:sz="0" w:space="0" w:color="auto"/>
                                                        <w:right w:val="none" w:sz="0" w:space="0" w:color="auto"/>
                                                      </w:divBdr>
                                                    </w:div>
                                                    <w:div w:id="142896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3581745">
      <w:bodyDiv w:val="1"/>
      <w:marLeft w:val="0"/>
      <w:marRight w:val="0"/>
      <w:marTop w:val="0"/>
      <w:marBottom w:val="0"/>
      <w:divBdr>
        <w:top w:val="none" w:sz="0" w:space="0" w:color="auto"/>
        <w:left w:val="none" w:sz="0" w:space="0" w:color="auto"/>
        <w:bottom w:val="none" w:sz="0" w:space="0" w:color="auto"/>
        <w:right w:val="none" w:sz="0" w:space="0" w:color="auto"/>
      </w:divBdr>
    </w:div>
    <w:div w:id="1380473163">
      <w:bodyDiv w:val="1"/>
      <w:marLeft w:val="0"/>
      <w:marRight w:val="0"/>
      <w:marTop w:val="0"/>
      <w:marBottom w:val="0"/>
      <w:divBdr>
        <w:top w:val="none" w:sz="0" w:space="0" w:color="auto"/>
        <w:left w:val="none" w:sz="0" w:space="0" w:color="auto"/>
        <w:bottom w:val="none" w:sz="0" w:space="0" w:color="auto"/>
        <w:right w:val="none" w:sz="0" w:space="0" w:color="auto"/>
      </w:divBdr>
    </w:div>
    <w:div w:id="1622955924">
      <w:bodyDiv w:val="1"/>
      <w:marLeft w:val="0"/>
      <w:marRight w:val="0"/>
      <w:marTop w:val="0"/>
      <w:marBottom w:val="0"/>
      <w:divBdr>
        <w:top w:val="none" w:sz="0" w:space="0" w:color="auto"/>
        <w:left w:val="none" w:sz="0" w:space="0" w:color="auto"/>
        <w:bottom w:val="none" w:sz="0" w:space="0" w:color="auto"/>
        <w:right w:val="none" w:sz="0" w:space="0" w:color="auto"/>
      </w:divBdr>
      <w:divsChild>
        <w:div w:id="1404524619">
          <w:marLeft w:val="0"/>
          <w:marRight w:val="0"/>
          <w:marTop w:val="0"/>
          <w:marBottom w:val="0"/>
          <w:divBdr>
            <w:top w:val="none" w:sz="0" w:space="0" w:color="auto"/>
            <w:left w:val="none" w:sz="0" w:space="0" w:color="auto"/>
            <w:bottom w:val="none" w:sz="0" w:space="0" w:color="auto"/>
            <w:right w:val="none" w:sz="0" w:space="0" w:color="auto"/>
          </w:divBdr>
          <w:divsChild>
            <w:div w:id="1325089779">
              <w:marLeft w:val="0"/>
              <w:marRight w:val="0"/>
              <w:marTop w:val="0"/>
              <w:marBottom w:val="0"/>
              <w:divBdr>
                <w:top w:val="none" w:sz="0" w:space="0" w:color="auto"/>
                <w:left w:val="none" w:sz="0" w:space="0" w:color="auto"/>
                <w:bottom w:val="none" w:sz="0" w:space="0" w:color="auto"/>
                <w:right w:val="none" w:sz="0" w:space="0" w:color="auto"/>
              </w:divBdr>
              <w:divsChild>
                <w:div w:id="1335953697">
                  <w:marLeft w:val="0"/>
                  <w:marRight w:val="300"/>
                  <w:marTop w:val="0"/>
                  <w:marBottom w:val="0"/>
                  <w:divBdr>
                    <w:top w:val="none" w:sz="0" w:space="0" w:color="auto"/>
                    <w:left w:val="none" w:sz="0" w:space="0" w:color="auto"/>
                    <w:bottom w:val="none" w:sz="0" w:space="0" w:color="auto"/>
                    <w:right w:val="none" w:sz="0" w:space="0" w:color="auto"/>
                  </w:divBdr>
                  <w:divsChild>
                    <w:div w:id="643317089">
                      <w:marLeft w:val="0"/>
                      <w:marRight w:val="0"/>
                      <w:marTop w:val="0"/>
                      <w:marBottom w:val="0"/>
                      <w:divBdr>
                        <w:top w:val="none" w:sz="0" w:space="0" w:color="auto"/>
                        <w:left w:val="none" w:sz="0" w:space="0" w:color="auto"/>
                        <w:bottom w:val="none" w:sz="0" w:space="0" w:color="auto"/>
                        <w:right w:val="none" w:sz="0" w:space="0" w:color="auto"/>
                      </w:divBdr>
                      <w:divsChild>
                        <w:div w:id="1309091410">
                          <w:marLeft w:val="0"/>
                          <w:marRight w:val="0"/>
                          <w:marTop w:val="0"/>
                          <w:marBottom w:val="0"/>
                          <w:divBdr>
                            <w:top w:val="none" w:sz="0" w:space="0" w:color="auto"/>
                            <w:left w:val="none" w:sz="0" w:space="0" w:color="auto"/>
                            <w:bottom w:val="none" w:sz="0" w:space="0" w:color="auto"/>
                            <w:right w:val="none" w:sz="0" w:space="0" w:color="auto"/>
                          </w:divBdr>
                          <w:divsChild>
                            <w:div w:id="1535997552">
                              <w:marLeft w:val="0"/>
                              <w:marRight w:val="0"/>
                              <w:marTop w:val="0"/>
                              <w:marBottom w:val="0"/>
                              <w:divBdr>
                                <w:top w:val="none" w:sz="0" w:space="0" w:color="auto"/>
                                <w:left w:val="none" w:sz="0" w:space="0" w:color="auto"/>
                                <w:bottom w:val="none" w:sz="0" w:space="0" w:color="auto"/>
                                <w:right w:val="none" w:sz="0" w:space="0" w:color="auto"/>
                              </w:divBdr>
                              <w:divsChild>
                                <w:div w:id="1083336103">
                                  <w:marLeft w:val="0"/>
                                  <w:marRight w:val="0"/>
                                  <w:marTop w:val="0"/>
                                  <w:marBottom w:val="0"/>
                                  <w:divBdr>
                                    <w:top w:val="none" w:sz="0" w:space="0" w:color="auto"/>
                                    <w:left w:val="none" w:sz="0" w:space="0" w:color="auto"/>
                                    <w:bottom w:val="none" w:sz="0" w:space="0" w:color="auto"/>
                                    <w:right w:val="none" w:sz="0" w:space="0" w:color="auto"/>
                                  </w:divBdr>
                                  <w:divsChild>
                                    <w:div w:id="1317415497">
                                      <w:marLeft w:val="0"/>
                                      <w:marRight w:val="0"/>
                                      <w:marTop w:val="0"/>
                                      <w:marBottom w:val="0"/>
                                      <w:divBdr>
                                        <w:top w:val="none" w:sz="0" w:space="0" w:color="auto"/>
                                        <w:left w:val="none" w:sz="0" w:space="0" w:color="auto"/>
                                        <w:bottom w:val="none" w:sz="0" w:space="0" w:color="auto"/>
                                        <w:right w:val="none" w:sz="0" w:space="0" w:color="auto"/>
                                      </w:divBdr>
                                      <w:divsChild>
                                        <w:div w:id="1618488338">
                                          <w:marLeft w:val="0"/>
                                          <w:marRight w:val="0"/>
                                          <w:marTop w:val="0"/>
                                          <w:marBottom w:val="0"/>
                                          <w:divBdr>
                                            <w:top w:val="none" w:sz="0" w:space="0" w:color="auto"/>
                                            <w:left w:val="none" w:sz="0" w:space="0" w:color="auto"/>
                                            <w:bottom w:val="none" w:sz="0" w:space="0" w:color="auto"/>
                                            <w:right w:val="none" w:sz="0" w:space="0" w:color="auto"/>
                                          </w:divBdr>
                                          <w:divsChild>
                                            <w:div w:id="94516447">
                                              <w:marLeft w:val="0"/>
                                              <w:marRight w:val="0"/>
                                              <w:marTop w:val="0"/>
                                              <w:marBottom w:val="0"/>
                                              <w:divBdr>
                                                <w:top w:val="none" w:sz="0" w:space="0" w:color="auto"/>
                                                <w:left w:val="none" w:sz="0" w:space="0" w:color="auto"/>
                                                <w:bottom w:val="none" w:sz="0" w:space="0" w:color="auto"/>
                                                <w:right w:val="none" w:sz="0" w:space="0" w:color="auto"/>
                                              </w:divBdr>
                                              <w:divsChild>
                                                <w:div w:id="527719524">
                                                  <w:marLeft w:val="0"/>
                                                  <w:marRight w:val="0"/>
                                                  <w:marTop w:val="0"/>
                                                  <w:marBottom w:val="0"/>
                                                  <w:divBdr>
                                                    <w:top w:val="none" w:sz="0" w:space="0" w:color="auto"/>
                                                    <w:left w:val="none" w:sz="0" w:space="0" w:color="auto"/>
                                                    <w:bottom w:val="none" w:sz="0" w:space="0" w:color="auto"/>
                                                    <w:right w:val="none" w:sz="0" w:space="0" w:color="auto"/>
                                                  </w:divBdr>
                                                  <w:divsChild>
                                                    <w:div w:id="1456482430">
                                                      <w:marLeft w:val="0"/>
                                                      <w:marRight w:val="0"/>
                                                      <w:marTop w:val="0"/>
                                                      <w:marBottom w:val="0"/>
                                                      <w:divBdr>
                                                        <w:top w:val="none" w:sz="0" w:space="0" w:color="auto"/>
                                                        <w:left w:val="none" w:sz="0" w:space="0" w:color="auto"/>
                                                        <w:bottom w:val="none" w:sz="0" w:space="0" w:color="auto"/>
                                                        <w:right w:val="none" w:sz="0" w:space="0" w:color="auto"/>
                                                      </w:divBdr>
                                                    </w:div>
                                                    <w:div w:id="212691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59195030">
      <w:bodyDiv w:val="1"/>
      <w:marLeft w:val="0"/>
      <w:marRight w:val="0"/>
      <w:marTop w:val="0"/>
      <w:marBottom w:val="0"/>
      <w:divBdr>
        <w:top w:val="none" w:sz="0" w:space="0" w:color="auto"/>
        <w:left w:val="none" w:sz="0" w:space="0" w:color="auto"/>
        <w:bottom w:val="none" w:sz="0" w:space="0" w:color="auto"/>
        <w:right w:val="none" w:sz="0" w:space="0" w:color="auto"/>
      </w:divBdr>
    </w:div>
    <w:div w:id="2033339899">
      <w:bodyDiv w:val="1"/>
      <w:marLeft w:val="0"/>
      <w:marRight w:val="0"/>
      <w:marTop w:val="0"/>
      <w:marBottom w:val="0"/>
      <w:divBdr>
        <w:top w:val="none" w:sz="0" w:space="0" w:color="auto"/>
        <w:left w:val="none" w:sz="0" w:space="0" w:color="auto"/>
        <w:bottom w:val="none" w:sz="0" w:space="0" w:color="auto"/>
        <w:right w:val="none" w:sz="0" w:space="0" w:color="auto"/>
      </w:divBdr>
    </w:div>
    <w:div w:id="2035769591">
      <w:bodyDiv w:val="1"/>
      <w:marLeft w:val="0"/>
      <w:marRight w:val="0"/>
      <w:marTop w:val="0"/>
      <w:marBottom w:val="0"/>
      <w:divBdr>
        <w:top w:val="none" w:sz="0" w:space="0" w:color="auto"/>
        <w:left w:val="none" w:sz="0" w:space="0" w:color="auto"/>
        <w:bottom w:val="none" w:sz="0" w:space="0" w:color="auto"/>
        <w:right w:val="none" w:sz="0" w:space="0" w:color="auto"/>
      </w:divBdr>
      <w:divsChild>
        <w:div w:id="1869443156">
          <w:marLeft w:val="0"/>
          <w:marRight w:val="0"/>
          <w:marTop w:val="0"/>
          <w:marBottom w:val="0"/>
          <w:divBdr>
            <w:top w:val="none" w:sz="0" w:space="0" w:color="auto"/>
            <w:left w:val="none" w:sz="0" w:space="0" w:color="auto"/>
            <w:bottom w:val="none" w:sz="0" w:space="0" w:color="auto"/>
            <w:right w:val="none" w:sz="0" w:space="0" w:color="auto"/>
          </w:divBdr>
          <w:divsChild>
            <w:div w:id="720447961">
              <w:marLeft w:val="0"/>
              <w:marRight w:val="0"/>
              <w:marTop w:val="0"/>
              <w:marBottom w:val="0"/>
              <w:divBdr>
                <w:top w:val="none" w:sz="0" w:space="0" w:color="auto"/>
                <w:left w:val="none" w:sz="0" w:space="0" w:color="auto"/>
                <w:bottom w:val="none" w:sz="0" w:space="0" w:color="auto"/>
                <w:right w:val="none" w:sz="0" w:space="0" w:color="auto"/>
              </w:divBdr>
              <w:divsChild>
                <w:div w:id="1092435273">
                  <w:marLeft w:val="0"/>
                  <w:marRight w:val="0"/>
                  <w:marTop w:val="0"/>
                  <w:marBottom w:val="0"/>
                  <w:divBdr>
                    <w:top w:val="none" w:sz="0" w:space="0" w:color="auto"/>
                    <w:left w:val="none" w:sz="0" w:space="0" w:color="auto"/>
                    <w:bottom w:val="none" w:sz="0" w:space="0" w:color="auto"/>
                    <w:right w:val="none" w:sz="0" w:space="0" w:color="auto"/>
                  </w:divBdr>
                  <w:divsChild>
                    <w:div w:id="359211682">
                      <w:marLeft w:val="3000"/>
                      <w:marRight w:val="0"/>
                      <w:marTop w:val="0"/>
                      <w:marBottom w:val="0"/>
                      <w:divBdr>
                        <w:top w:val="none" w:sz="0" w:space="0" w:color="auto"/>
                        <w:left w:val="none" w:sz="0" w:space="0" w:color="auto"/>
                        <w:bottom w:val="none" w:sz="0" w:space="0" w:color="auto"/>
                        <w:right w:val="none" w:sz="0" w:space="0" w:color="auto"/>
                      </w:divBdr>
                      <w:divsChild>
                        <w:div w:id="230118997">
                          <w:marLeft w:val="0"/>
                          <w:marRight w:val="0"/>
                          <w:marTop w:val="0"/>
                          <w:marBottom w:val="0"/>
                          <w:divBdr>
                            <w:top w:val="none" w:sz="0" w:space="0" w:color="auto"/>
                            <w:left w:val="none" w:sz="0" w:space="0" w:color="auto"/>
                            <w:bottom w:val="single" w:sz="48" w:space="0" w:color="FFFFFF"/>
                            <w:right w:val="none" w:sz="0" w:space="0" w:color="auto"/>
                          </w:divBdr>
                          <w:divsChild>
                            <w:div w:id="1612518225">
                              <w:marLeft w:val="0"/>
                              <w:marRight w:val="0"/>
                              <w:marTop w:val="0"/>
                              <w:marBottom w:val="0"/>
                              <w:divBdr>
                                <w:top w:val="none" w:sz="0" w:space="0" w:color="auto"/>
                                <w:left w:val="none" w:sz="0" w:space="0" w:color="auto"/>
                                <w:bottom w:val="none" w:sz="0" w:space="0" w:color="auto"/>
                                <w:right w:val="none" w:sz="0" w:space="0" w:color="auto"/>
                              </w:divBdr>
                              <w:divsChild>
                                <w:div w:id="1282572196">
                                  <w:marLeft w:val="0"/>
                                  <w:marRight w:val="0"/>
                                  <w:marTop w:val="0"/>
                                  <w:marBottom w:val="0"/>
                                  <w:divBdr>
                                    <w:top w:val="none" w:sz="0" w:space="0" w:color="auto"/>
                                    <w:left w:val="none" w:sz="0" w:space="0" w:color="auto"/>
                                    <w:bottom w:val="none" w:sz="0" w:space="0" w:color="auto"/>
                                    <w:right w:val="none" w:sz="0" w:space="0" w:color="auto"/>
                                  </w:divBdr>
                                  <w:divsChild>
                                    <w:div w:id="973144887">
                                      <w:marLeft w:val="0"/>
                                      <w:marRight w:val="0"/>
                                      <w:marTop w:val="0"/>
                                      <w:marBottom w:val="0"/>
                                      <w:divBdr>
                                        <w:top w:val="none" w:sz="0" w:space="0" w:color="auto"/>
                                        <w:left w:val="none" w:sz="0" w:space="0" w:color="auto"/>
                                        <w:bottom w:val="none" w:sz="0" w:space="0" w:color="auto"/>
                                        <w:right w:val="none" w:sz="0" w:space="0" w:color="auto"/>
                                      </w:divBdr>
                                      <w:divsChild>
                                        <w:div w:id="1923954440">
                                          <w:marLeft w:val="0"/>
                                          <w:marRight w:val="0"/>
                                          <w:marTop w:val="0"/>
                                          <w:marBottom w:val="0"/>
                                          <w:divBdr>
                                            <w:top w:val="none" w:sz="0" w:space="0" w:color="auto"/>
                                            <w:left w:val="none" w:sz="0" w:space="0" w:color="auto"/>
                                            <w:bottom w:val="none" w:sz="0" w:space="0" w:color="auto"/>
                                            <w:right w:val="none" w:sz="0" w:space="0" w:color="auto"/>
                                          </w:divBdr>
                                          <w:divsChild>
                                            <w:div w:id="1249465940">
                                              <w:marLeft w:val="0"/>
                                              <w:marRight w:val="0"/>
                                              <w:marTop w:val="0"/>
                                              <w:marBottom w:val="0"/>
                                              <w:divBdr>
                                                <w:top w:val="none" w:sz="0" w:space="0" w:color="auto"/>
                                                <w:left w:val="none" w:sz="0" w:space="0" w:color="auto"/>
                                                <w:bottom w:val="none" w:sz="0" w:space="0" w:color="auto"/>
                                                <w:right w:val="none" w:sz="0" w:space="0" w:color="auto"/>
                                              </w:divBdr>
                                              <w:divsChild>
                                                <w:div w:id="1251617860">
                                                  <w:marLeft w:val="0"/>
                                                  <w:marRight w:val="0"/>
                                                  <w:marTop w:val="0"/>
                                                  <w:marBottom w:val="0"/>
                                                  <w:divBdr>
                                                    <w:top w:val="none" w:sz="0" w:space="0" w:color="auto"/>
                                                    <w:left w:val="none" w:sz="0" w:space="0" w:color="auto"/>
                                                    <w:bottom w:val="none" w:sz="0" w:space="0" w:color="auto"/>
                                                    <w:right w:val="none" w:sz="0" w:space="0" w:color="auto"/>
                                                  </w:divBdr>
                                                  <w:divsChild>
                                                    <w:div w:id="1792818322">
                                                      <w:marLeft w:val="0"/>
                                                      <w:marRight w:val="0"/>
                                                      <w:marTop w:val="0"/>
                                                      <w:marBottom w:val="0"/>
                                                      <w:divBdr>
                                                        <w:top w:val="none" w:sz="0" w:space="0" w:color="auto"/>
                                                        <w:left w:val="none" w:sz="0" w:space="0" w:color="auto"/>
                                                        <w:bottom w:val="none" w:sz="0" w:space="0" w:color="auto"/>
                                                        <w:right w:val="none" w:sz="0" w:space="0" w:color="auto"/>
                                                      </w:divBdr>
                                                      <w:divsChild>
                                                        <w:div w:id="2032950104">
                                                          <w:marLeft w:val="0"/>
                                                          <w:marRight w:val="0"/>
                                                          <w:marTop w:val="0"/>
                                                          <w:marBottom w:val="0"/>
                                                          <w:divBdr>
                                                            <w:top w:val="none" w:sz="0" w:space="0" w:color="auto"/>
                                                            <w:left w:val="none" w:sz="0" w:space="0" w:color="auto"/>
                                                            <w:bottom w:val="none" w:sz="0" w:space="0" w:color="auto"/>
                                                            <w:right w:val="none" w:sz="0" w:space="0" w:color="auto"/>
                                                          </w:divBdr>
                                                          <w:divsChild>
                                                            <w:div w:id="757096211">
                                                              <w:marLeft w:val="0"/>
                                                              <w:marRight w:val="0"/>
                                                              <w:marTop w:val="0"/>
                                                              <w:marBottom w:val="0"/>
                                                              <w:divBdr>
                                                                <w:top w:val="none" w:sz="0" w:space="0" w:color="auto"/>
                                                                <w:left w:val="none" w:sz="0" w:space="0" w:color="auto"/>
                                                                <w:bottom w:val="none" w:sz="0" w:space="0" w:color="auto"/>
                                                                <w:right w:val="none" w:sz="0" w:space="0" w:color="auto"/>
                                                              </w:divBdr>
                                                            </w:div>
                                                            <w:div w:id="202467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74615149">
      <w:bodyDiv w:val="1"/>
      <w:marLeft w:val="0"/>
      <w:marRight w:val="0"/>
      <w:marTop w:val="0"/>
      <w:marBottom w:val="0"/>
      <w:divBdr>
        <w:top w:val="none" w:sz="0" w:space="0" w:color="auto"/>
        <w:left w:val="none" w:sz="0" w:space="0" w:color="auto"/>
        <w:bottom w:val="none" w:sz="0" w:space="0" w:color="auto"/>
        <w:right w:val="none" w:sz="0" w:space="0" w:color="auto"/>
      </w:divBdr>
      <w:divsChild>
        <w:div w:id="887300995">
          <w:marLeft w:val="0"/>
          <w:marRight w:val="0"/>
          <w:marTop w:val="0"/>
          <w:marBottom w:val="0"/>
          <w:divBdr>
            <w:top w:val="none" w:sz="0" w:space="0" w:color="auto"/>
            <w:left w:val="none" w:sz="0" w:space="0" w:color="auto"/>
            <w:bottom w:val="none" w:sz="0" w:space="0" w:color="auto"/>
            <w:right w:val="none" w:sz="0" w:space="0" w:color="auto"/>
          </w:divBdr>
          <w:divsChild>
            <w:div w:id="627249878">
              <w:marLeft w:val="0"/>
              <w:marRight w:val="0"/>
              <w:marTop w:val="0"/>
              <w:marBottom w:val="0"/>
              <w:divBdr>
                <w:top w:val="none" w:sz="0" w:space="0" w:color="auto"/>
                <w:left w:val="none" w:sz="0" w:space="0" w:color="auto"/>
                <w:bottom w:val="none" w:sz="0" w:space="0" w:color="auto"/>
                <w:right w:val="none" w:sz="0" w:space="0" w:color="auto"/>
              </w:divBdr>
              <w:divsChild>
                <w:div w:id="1948079127">
                  <w:marLeft w:val="0"/>
                  <w:marRight w:val="300"/>
                  <w:marTop w:val="0"/>
                  <w:marBottom w:val="0"/>
                  <w:divBdr>
                    <w:top w:val="none" w:sz="0" w:space="0" w:color="auto"/>
                    <w:left w:val="none" w:sz="0" w:space="0" w:color="auto"/>
                    <w:bottom w:val="none" w:sz="0" w:space="0" w:color="auto"/>
                    <w:right w:val="none" w:sz="0" w:space="0" w:color="auto"/>
                  </w:divBdr>
                  <w:divsChild>
                    <w:div w:id="1481924174">
                      <w:marLeft w:val="0"/>
                      <w:marRight w:val="0"/>
                      <w:marTop w:val="0"/>
                      <w:marBottom w:val="0"/>
                      <w:divBdr>
                        <w:top w:val="none" w:sz="0" w:space="0" w:color="auto"/>
                        <w:left w:val="none" w:sz="0" w:space="0" w:color="auto"/>
                        <w:bottom w:val="none" w:sz="0" w:space="0" w:color="auto"/>
                        <w:right w:val="none" w:sz="0" w:space="0" w:color="auto"/>
                      </w:divBdr>
                      <w:divsChild>
                        <w:div w:id="1468626174">
                          <w:marLeft w:val="0"/>
                          <w:marRight w:val="0"/>
                          <w:marTop w:val="0"/>
                          <w:marBottom w:val="0"/>
                          <w:divBdr>
                            <w:top w:val="none" w:sz="0" w:space="0" w:color="auto"/>
                            <w:left w:val="none" w:sz="0" w:space="0" w:color="auto"/>
                            <w:bottom w:val="none" w:sz="0" w:space="0" w:color="auto"/>
                            <w:right w:val="none" w:sz="0" w:space="0" w:color="auto"/>
                          </w:divBdr>
                          <w:divsChild>
                            <w:div w:id="1526672906">
                              <w:marLeft w:val="0"/>
                              <w:marRight w:val="0"/>
                              <w:marTop w:val="0"/>
                              <w:marBottom w:val="0"/>
                              <w:divBdr>
                                <w:top w:val="none" w:sz="0" w:space="0" w:color="auto"/>
                                <w:left w:val="none" w:sz="0" w:space="0" w:color="auto"/>
                                <w:bottom w:val="none" w:sz="0" w:space="0" w:color="auto"/>
                                <w:right w:val="none" w:sz="0" w:space="0" w:color="auto"/>
                              </w:divBdr>
                              <w:divsChild>
                                <w:div w:id="1013803348">
                                  <w:marLeft w:val="0"/>
                                  <w:marRight w:val="0"/>
                                  <w:marTop w:val="0"/>
                                  <w:marBottom w:val="0"/>
                                  <w:divBdr>
                                    <w:top w:val="none" w:sz="0" w:space="0" w:color="auto"/>
                                    <w:left w:val="none" w:sz="0" w:space="0" w:color="auto"/>
                                    <w:bottom w:val="none" w:sz="0" w:space="0" w:color="auto"/>
                                    <w:right w:val="none" w:sz="0" w:space="0" w:color="auto"/>
                                  </w:divBdr>
                                  <w:divsChild>
                                    <w:div w:id="1776824208">
                                      <w:marLeft w:val="0"/>
                                      <w:marRight w:val="0"/>
                                      <w:marTop w:val="0"/>
                                      <w:marBottom w:val="0"/>
                                      <w:divBdr>
                                        <w:top w:val="none" w:sz="0" w:space="0" w:color="auto"/>
                                        <w:left w:val="none" w:sz="0" w:space="0" w:color="auto"/>
                                        <w:bottom w:val="none" w:sz="0" w:space="0" w:color="auto"/>
                                        <w:right w:val="none" w:sz="0" w:space="0" w:color="auto"/>
                                      </w:divBdr>
                                      <w:divsChild>
                                        <w:div w:id="959796369">
                                          <w:marLeft w:val="0"/>
                                          <w:marRight w:val="0"/>
                                          <w:marTop w:val="0"/>
                                          <w:marBottom w:val="0"/>
                                          <w:divBdr>
                                            <w:top w:val="none" w:sz="0" w:space="0" w:color="auto"/>
                                            <w:left w:val="none" w:sz="0" w:space="0" w:color="auto"/>
                                            <w:bottom w:val="none" w:sz="0" w:space="0" w:color="auto"/>
                                            <w:right w:val="none" w:sz="0" w:space="0" w:color="auto"/>
                                          </w:divBdr>
                                          <w:divsChild>
                                            <w:div w:id="841243062">
                                              <w:marLeft w:val="0"/>
                                              <w:marRight w:val="0"/>
                                              <w:marTop w:val="0"/>
                                              <w:marBottom w:val="0"/>
                                              <w:divBdr>
                                                <w:top w:val="none" w:sz="0" w:space="0" w:color="auto"/>
                                                <w:left w:val="none" w:sz="0" w:space="0" w:color="auto"/>
                                                <w:bottom w:val="none" w:sz="0" w:space="0" w:color="auto"/>
                                                <w:right w:val="none" w:sz="0" w:space="0" w:color="auto"/>
                                              </w:divBdr>
                                              <w:divsChild>
                                                <w:div w:id="728109829">
                                                  <w:marLeft w:val="0"/>
                                                  <w:marRight w:val="0"/>
                                                  <w:marTop w:val="0"/>
                                                  <w:marBottom w:val="0"/>
                                                  <w:divBdr>
                                                    <w:top w:val="none" w:sz="0" w:space="0" w:color="auto"/>
                                                    <w:left w:val="none" w:sz="0" w:space="0" w:color="auto"/>
                                                    <w:bottom w:val="none" w:sz="0" w:space="0" w:color="auto"/>
                                                    <w:right w:val="none" w:sz="0" w:space="0" w:color="auto"/>
                                                  </w:divBdr>
                                                  <w:divsChild>
                                                    <w:div w:id="2444332">
                                                      <w:marLeft w:val="0"/>
                                                      <w:marRight w:val="0"/>
                                                      <w:marTop w:val="0"/>
                                                      <w:marBottom w:val="0"/>
                                                      <w:divBdr>
                                                        <w:top w:val="none" w:sz="0" w:space="0" w:color="auto"/>
                                                        <w:left w:val="none" w:sz="0" w:space="0" w:color="auto"/>
                                                        <w:bottom w:val="none" w:sz="0" w:space="0" w:color="auto"/>
                                                        <w:right w:val="none" w:sz="0" w:space="0" w:color="auto"/>
                                                      </w:divBdr>
                                                    </w:div>
                                                    <w:div w:id="108397033">
                                                      <w:marLeft w:val="0"/>
                                                      <w:marRight w:val="0"/>
                                                      <w:marTop w:val="0"/>
                                                      <w:marBottom w:val="0"/>
                                                      <w:divBdr>
                                                        <w:top w:val="none" w:sz="0" w:space="0" w:color="auto"/>
                                                        <w:left w:val="none" w:sz="0" w:space="0" w:color="auto"/>
                                                        <w:bottom w:val="none" w:sz="0" w:space="0" w:color="auto"/>
                                                        <w:right w:val="none" w:sz="0" w:space="0" w:color="auto"/>
                                                      </w:divBdr>
                                                    </w:div>
                                                    <w:div w:id="132451748">
                                                      <w:marLeft w:val="0"/>
                                                      <w:marRight w:val="0"/>
                                                      <w:marTop w:val="0"/>
                                                      <w:marBottom w:val="0"/>
                                                      <w:divBdr>
                                                        <w:top w:val="none" w:sz="0" w:space="0" w:color="auto"/>
                                                        <w:left w:val="none" w:sz="0" w:space="0" w:color="auto"/>
                                                        <w:bottom w:val="none" w:sz="0" w:space="0" w:color="auto"/>
                                                        <w:right w:val="none" w:sz="0" w:space="0" w:color="auto"/>
                                                      </w:divBdr>
                                                    </w:div>
                                                    <w:div w:id="134153527">
                                                      <w:marLeft w:val="0"/>
                                                      <w:marRight w:val="0"/>
                                                      <w:marTop w:val="0"/>
                                                      <w:marBottom w:val="0"/>
                                                      <w:divBdr>
                                                        <w:top w:val="none" w:sz="0" w:space="0" w:color="auto"/>
                                                        <w:left w:val="none" w:sz="0" w:space="0" w:color="auto"/>
                                                        <w:bottom w:val="none" w:sz="0" w:space="0" w:color="auto"/>
                                                        <w:right w:val="none" w:sz="0" w:space="0" w:color="auto"/>
                                                      </w:divBdr>
                                                    </w:div>
                                                    <w:div w:id="295186815">
                                                      <w:marLeft w:val="0"/>
                                                      <w:marRight w:val="0"/>
                                                      <w:marTop w:val="0"/>
                                                      <w:marBottom w:val="0"/>
                                                      <w:divBdr>
                                                        <w:top w:val="none" w:sz="0" w:space="0" w:color="auto"/>
                                                        <w:left w:val="none" w:sz="0" w:space="0" w:color="auto"/>
                                                        <w:bottom w:val="none" w:sz="0" w:space="0" w:color="auto"/>
                                                        <w:right w:val="none" w:sz="0" w:space="0" w:color="auto"/>
                                                      </w:divBdr>
                                                    </w:div>
                                                    <w:div w:id="300234331">
                                                      <w:marLeft w:val="0"/>
                                                      <w:marRight w:val="0"/>
                                                      <w:marTop w:val="0"/>
                                                      <w:marBottom w:val="0"/>
                                                      <w:divBdr>
                                                        <w:top w:val="none" w:sz="0" w:space="0" w:color="auto"/>
                                                        <w:left w:val="none" w:sz="0" w:space="0" w:color="auto"/>
                                                        <w:bottom w:val="none" w:sz="0" w:space="0" w:color="auto"/>
                                                        <w:right w:val="none" w:sz="0" w:space="0" w:color="auto"/>
                                                      </w:divBdr>
                                                    </w:div>
                                                    <w:div w:id="362557801">
                                                      <w:marLeft w:val="0"/>
                                                      <w:marRight w:val="0"/>
                                                      <w:marTop w:val="0"/>
                                                      <w:marBottom w:val="0"/>
                                                      <w:divBdr>
                                                        <w:top w:val="none" w:sz="0" w:space="0" w:color="auto"/>
                                                        <w:left w:val="none" w:sz="0" w:space="0" w:color="auto"/>
                                                        <w:bottom w:val="none" w:sz="0" w:space="0" w:color="auto"/>
                                                        <w:right w:val="none" w:sz="0" w:space="0" w:color="auto"/>
                                                      </w:divBdr>
                                                    </w:div>
                                                    <w:div w:id="410125163">
                                                      <w:marLeft w:val="0"/>
                                                      <w:marRight w:val="0"/>
                                                      <w:marTop w:val="0"/>
                                                      <w:marBottom w:val="0"/>
                                                      <w:divBdr>
                                                        <w:top w:val="none" w:sz="0" w:space="0" w:color="auto"/>
                                                        <w:left w:val="none" w:sz="0" w:space="0" w:color="auto"/>
                                                        <w:bottom w:val="none" w:sz="0" w:space="0" w:color="auto"/>
                                                        <w:right w:val="none" w:sz="0" w:space="0" w:color="auto"/>
                                                      </w:divBdr>
                                                    </w:div>
                                                    <w:div w:id="578560499">
                                                      <w:marLeft w:val="0"/>
                                                      <w:marRight w:val="0"/>
                                                      <w:marTop w:val="0"/>
                                                      <w:marBottom w:val="0"/>
                                                      <w:divBdr>
                                                        <w:top w:val="none" w:sz="0" w:space="0" w:color="auto"/>
                                                        <w:left w:val="none" w:sz="0" w:space="0" w:color="auto"/>
                                                        <w:bottom w:val="none" w:sz="0" w:space="0" w:color="auto"/>
                                                        <w:right w:val="none" w:sz="0" w:space="0" w:color="auto"/>
                                                      </w:divBdr>
                                                    </w:div>
                                                    <w:div w:id="587353669">
                                                      <w:marLeft w:val="0"/>
                                                      <w:marRight w:val="0"/>
                                                      <w:marTop w:val="0"/>
                                                      <w:marBottom w:val="0"/>
                                                      <w:divBdr>
                                                        <w:top w:val="none" w:sz="0" w:space="0" w:color="auto"/>
                                                        <w:left w:val="none" w:sz="0" w:space="0" w:color="auto"/>
                                                        <w:bottom w:val="none" w:sz="0" w:space="0" w:color="auto"/>
                                                        <w:right w:val="none" w:sz="0" w:space="0" w:color="auto"/>
                                                      </w:divBdr>
                                                    </w:div>
                                                    <w:div w:id="610943371">
                                                      <w:marLeft w:val="0"/>
                                                      <w:marRight w:val="0"/>
                                                      <w:marTop w:val="0"/>
                                                      <w:marBottom w:val="0"/>
                                                      <w:divBdr>
                                                        <w:top w:val="none" w:sz="0" w:space="0" w:color="auto"/>
                                                        <w:left w:val="none" w:sz="0" w:space="0" w:color="auto"/>
                                                        <w:bottom w:val="none" w:sz="0" w:space="0" w:color="auto"/>
                                                        <w:right w:val="none" w:sz="0" w:space="0" w:color="auto"/>
                                                      </w:divBdr>
                                                    </w:div>
                                                    <w:div w:id="757948649">
                                                      <w:marLeft w:val="0"/>
                                                      <w:marRight w:val="0"/>
                                                      <w:marTop w:val="0"/>
                                                      <w:marBottom w:val="0"/>
                                                      <w:divBdr>
                                                        <w:top w:val="none" w:sz="0" w:space="0" w:color="auto"/>
                                                        <w:left w:val="none" w:sz="0" w:space="0" w:color="auto"/>
                                                        <w:bottom w:val="none" w:sz="0" w:space="0" w:color="auto"/>
                                                        <w:right w:val="none" w:sz="0" w:space="0" w:color="auto"/>
                                                      </w:divBdr>
                                                    </w:div>
                                                    <w:div w:id="811483624">
                                                      <w:marLeft w:val="0"/>
                                                      <w:marRight w:val="0"/>
                                                      <w:marTop w:val="0"/>
                                                      <w:marBottom w:val="0"/>
                                                      <w:divBdr>
                                                        <w:top w:val="none" w:sz="0" w:space="0" w:color="auto"/>
                                                        <w:left w:val="none" w:sz="0" w:space="0" w:color="auto"/>
                                                        <w:bottom w:val="none" w:sz="0" w:space="0" w:color="auto"/>
                                                        <w:right w:val="none" w:sz="0" w:space="0" w:color="auto"/>
                                                      </w:divBdr>
                                                    </w:div>
                                                    <w:div w:id="960301597">
                                                      <w:marLeft w:val="0"/>
                                                      <w:marRight w:val="0"/>
                                                      <w:marTop w:val="0"/>
                                                      <w:marBottom w:val="0"/>
                                                      <w:divBdr>
                                                        <w:top w:val="none" w:sz="0" w:space="0" w:color="auto"/>
                                                        <w:left w:val="none" w:sz="0" w:space="0" w:color="auto"/>
                                                        <w:bottom w:val="none" w:sz="0" w:space="0" w:color="auto"/>
                                                        <w:right w:val="none" w:sz="0" w:space="0" w:color="auto"/>
                                                      </w:divBdr>
                                                    </w:div>
                                                    <w:div w:id="1088883908">
                                                      <w:marLeft w:val="0"/>
                                                      <w:marRight w:val="0"/>
                                                      <w:marTop w:val="0"/>
                                                      <w:marBottom w:val="0"/>
                                                      <w:divBdr>
                                                        <w:top w:val="none" w:sz="0" w:space="0" w:color="auto"/>
                                                        <w:left w:val="none" w:sz="0" w:space="0" w:color="auto"/>
                                                        <w:bottom w:val="none" w:sz="0" w:space="0" w:color="auto"/>
                                                        <w:right w:val="none" w:sz="0" w:space="0" w:color="auto"/>
                                                      </w:divBdr>
                                                    </w:div>
                                                    <w:div w:id="1203785082">
                                                      <w:marLeft w:val="0"/>
                                                      <w:marRight w:val="0"/>
                                                      <w:marTop w:val="0"/>
                                                      <w:marBottom w:val="0"/>
                                                      <w:divBdr>
                                                        <w:top w:val="none" w:sz="0" w:space="0" w:color="auto"/>
                                                        <w:left w:val="none" w:sz="0" w:space="0" w:color="auto"/>
                                                        <w:bottom w:val="none" w:sz="0" w:space="0" w:color="auto"/>
                                                        <w:right w:val="none" w:sz="0" w:space="0" w:color="auto"/>
                                                      </w:divBdr>
                                                    </w:div>
                                                    <w:div w:id="1324351837">
                                                      <w:marLeft w:val="0"/>
                                                      <w:marRight w:val="0"/>
                                                      <w:marTop w:val="0"/>
                                                      <w:marBottom w:val="0"/>
                                                      <w:divBdr>
                                                        <w:top w:val="none" w:sz="0" w:space="0" w:color="auto"/>
                                                        <w:left w:val="none" w:sz="0" w:space="0" w:color="auto"/>
                                                        <w:bottom w:val="none" w:sz="0" w:space="0" w:color="auto"/>
                                                        <w:right w:val="none" w:sz="0" w:space="0" w:color="auto"/>
                                                      </w:divBdr>
                                                    </w:div>
                                                    <w:div w:id="1438678436">
                                                      <w:marLeft w:val="0"/>
                                                      <w:marRight w:val="0"/>
                                                      <w:marTop w:val="0"/>
                                                      <w:marBottom w:val="0"/>
                                                      <w:divBdr>
                                                        <w:top w:val="none" w:sz="0" w:space="0" w:color="auto"/>
                                                        <w:left w:val="none" w:sz="0" w:space="0" w:color="auto"/>
                                                        <w:bottom w:val="none" w:sz="0" w:space="0" w:color="auto"/>
                                                        <w:right w:val="none" w:sz="0" w:space="0" w:color="auto"/>
                                                      </w:divBdr>
                                                    </w:div>
                                                    <w:div w:id="1443843659">
                                                      <w:marLeft w:val="0"/>
                                                      <w:marRight w:val="0"/>
                                                      <w:marTop w:val="0"/>
                                                      <w:marBottom w:val="0"/>
                                                      <w:divBdr>
                                                        <w:top w:val="none" w:sz="0" w:space="0" w:color="auto"/>
                                                        <w:left w:val="none" w:sz="0" w:space="0" w:color="auto"/>
                                                        <w:bottom w:val="none" w:sz="0" w:space="0" w:color="auto"/>
                                                        <w:right w:val="none" w:sz="0" w:space="0" w:color="auto"/>
                                                      </w:divBdr>
                                                    </w:div>
                                                    <w:div w:id="1455706801">
                                                      <w:marLeft w:val="0"/>
                                                      <w:marRight w:val="0"/>
                                                      <w:marTop w:val="0"/>
                                                      <w:marBottom w:val="0"/>
                                                      <w:divBdr>
                                                        <w:top w:val="none" w:sz="0" w:space="0" w:color="auto"/>
                                                        <w:left w:val="none" w:sz="0" w:space="0" w:color="auto"/>
                                                        <w:bottom w:val="none" w:sz="0" w:space="0" w:color="auto"/>
                                                        <w:right w:val="none" w:sz="0" w:space="0" w:color="auto"/>
                                                      </w:divBdr>
                                                    </w:div>
                                                    <w:div w:id="1486822246">
                                                      <w:marLeft w:val="0"/>
                                                      <w:marRight w:val="0"/>
                                                      <w:marTop w:val="0"/>
                                                      <w:marBottom w:val="0"/>
                                                      <w:divBdr>
                                                        <w:top w:val="none" w:sz="0" w:space="0" w:color="auto"/>
                                                        <w:left w:val="none" w:sz="0" w:space="0" w:color="auto"/>
                                                        <w:bottom w:val="none" w:sz="0" w:space="0" w:color="auto"/>
                                                        <w:right w:val="none" w:sz="0" w:space="0" w:color="auto"/>
                                                      </w:divBdr>
                                                    </w:div>
                                                    <w:div w:id="1642732591">
                                                      <w:marLeft w:val="0"/>
                                                      <w:marRight w:val="0"/>
                                                      <w:marTop w:val="0"/>
                                                      <w:marBottom w:val="0"/>
                                                      <w:divBdr>
                                                        <w:top w:val="none" w:sz="0" w:space="0" w:color="auto"/>
                                                        <w:left w:val="none" w:sz="0" w:space="0" w:color="auto"/>
                                                        <w:bottom w:val="none" w:sz="0" w:space="0" w:color="auto"/>
                                                        <w:right w:val="none" w:sz="0" w:space="0" w:color="auto"/>
                                                      </w:divBdr>
                                                    </w:div>
                                                    <w:div w:id="1644046468">
                                                      <w:marLeft w:val="0"/>
                                                      <w:marRight w:val="0"/>
                                                      <w:marTop w:val="0"/>
                                                      <w:marBottom w:val="0"/>
                                                      <w:divBdr>
                                                        <w:top w:val="none" w:sz="0" w:space="0" w:color="auto"/>
                                                        <w:left w:val="none" w:sz="0" w:space="0" w:color="auto"/>
                                                        <w:bottom w:val="none" w:sz="0" w:space="0" w:color="auto"/>
                                                        <w:right w:val="none" w:sz="0" w:space="0" w:color="auto"/>
                                                      </w:divBdr>
                                                    </w:div>
                                                    <w:div w:id="1652102449">
                                                      <w:marLeft w:val="0"/>
                                                      <w:marRight w:val="0"/>
                                                      <w:marTop w:val="0"/>
                                                      <w:marBottom w:val="0"/>
                                                      <w:divBdr>
                                                        <w:top w:val="none" w:sz="0" w:space="0" w:color="auto"/>
                                                        <w:left w:val="none" w:sz="0" w:space="0" w:color="auto"/>
                                                        <w:bottom w:val="none" w:sz="0" w:space="0" w:color="auto"/>
                                                        <w:right w:val="none" w:sz="0" w:space="0" w:color="auto"/>
                                                      </w:divBdr>
                                                    </w:div>
                                                    <w:div w:id="1699817462">
                                                      <w:marLeft w:val="0"/>
                                                      <w:marRight w:val="0"/>
                                                      <w:marTop w:val="0"/>
                                                      <w:marBottom w:val="0"/>
                                                      <w:divBdr>
                                                        <w:top w:val="none" w:sz="0" w:space="0" w:color="auto"/>
                                                        <w:left w:val="none" w:sz="0" w:space="0" w:color="auto"/>
                                                        <w:bottom w:val="none" w:sz="0" w:space="0" w:color="auto"/>
                                                        <w:right w:val="none" w:sz="0" w:space="0" w:color="auto"/>
                                                      </w:divBdr>
                                                    </w:div>
                                                    <w:div w:id="1714306185">
                                                      <w:marLeft w:val="0"/>
                                                      <w:marRight w:val="0"/>
                                                      <w:marTop w:val="0"/>
                                                      <w:marBottom w:val="0"/>
                                                      <w:divBdr>
                                                        <w:top w:val="none" w:sz="0" w:space="0" w:color="auto"/>
                                                        <w:left w:val="none" w:sz="0" w:space="0" w:color="auto"/>
                                                        <w:bottom w:val="none" w:sz="0" w:space="0" w:color="auto"/>
                                                        <w:right w:val="none" w:sz="0" w:space="0" w:color="auto"/>
                                                      </w:divBdr>
                                                    </w:div>
                                                    <w:div w:id="1793017658">
                                                      <w:marLeft w:val="0"/>
                                                      <w:marRight w:val="0"/>
                                                      <w:marTop w:val="0"/>
                                                      <w:marBottom w:val="0"/>
                                                      <w:divBdr>
                                                        <w:top w:val="none" w:sz="0" w:space="0" w:color="auto"/>
                                                        <w:left w:val="none" w:sz="0" w:space="0" w:color="auto"/>
                                                        <w:bottom w:val="none" w:sz="0" w:space="0" w:color="auto"/>
                                                        <w:right w:val="none" w:sz="0" w:space="0" w:color="auto"/>
                                                      </w:divBdr>
                                                    </w:div>
                                                    <w:div w:id="1952130821">
                                                      <w:marLeft w:val="0"/>
                                                      <w:marRight w:val="0"/>
                                                      <w:marTop w:val="0"/>
                                                      <w:marBottom w:val="0"/>
                                                      <w:divBdr>
                                                        <w:top w:val="none" w:sz="0" w:space="0" w:color="auto"/>
                                                        <w:left w:val="none" w:sz="0" w:space="0" w:color="auto"/>
                                                        <w:bottom w:val="none" w:sz="0" w:space="0" w:color="auto"/>
                                                        <w:right w:val="none" w:sz="0" w:space="0" w:color="auto"/>
                                                      </w:divBdr>
                                                    </w:div>
                                                    <w:div w:id="2000035211">
                                                      <w:marLeft w:val="0"/>
                                                      <w:marRight w:val="0"/>
                                                      <w:marTop w:val="0"/>
                                                      <w:marBottom w:val="0"/>
                                                      <w:divBdr>
                                                        <w:top w:val="none" w:sz="0" w:space="0" w:color="auto"/>
                                                        <w:left w:val="none" w:sz="0" w:space="0" w:color="auto"/>
                                                        <w:bottom w:val="none" w:sz="0" w:space="0" w:color="auto"/>
                                                        <w:right w:val="none" w:sz="0" w:space="0" w:color="auto"/>
                                                      </w:divBdr>
                                                    </w:div>
                                                    <w:div w:id="201807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03658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c/ba60/7272/3260b5e396821d42bc21035a/dsi-ahteg-2020-01-07-en.pdf" TargetMode="External"/><Relationship Id="rId1" Type="http://schemas.openxmlformats.org/officeDocument/2006/relationships/hyperlink" Target="http://www.cbd.int/meetings/WGDSI-0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6CE349F1A2F4EE582B599AAFFD84FFE"/>
        <w:category>
          <w:name w:val="General"/>
          <w:gallery w:val="placeholder"/>
        </w:category>
        <w:types>
          <w:type w:val="bbPlcHdr"/>
        </w:types>
        <w:behaviors>
          <w:behavior w:val="content"/>
        </w:behaviors>
        <w:guid w:val="{2141C808-04A3-4093-A543-7F811C1C2B06}"/>
      </w:docPartPr>
      <w:docPartBody>
        <w:p w:rsidR="001F5D0C" w:rsidRDefault="008F30F0" w:rsidP="008F30F0">
          <w:pPr>
            <w:pStyle w:val="06CE349F1A2F4EE582B599AAFFD84FFE"/>
          </w:pPr>
          <w:r w:rsidRPr="007E02EB">
            <w:rPr>
              <w:rStyle w:val="PlaceholderText"/>
            </w:rPr>
            <w:t>[Subject]</w:t>
          </w:r>
        </w:p>
      </w:docPartBody>
    </w:docPart>
    <w:docPart>
      <w:docPartPr>
        <w:name w:val="C293648AB81A42EFB56937316E4F3396"/>
        <w:category>
          <w:name w:val="General"/>
          <w:gallery w:val="placeholder"/>
        </w:category>
        <w:types>
          <w:type w:val="bbPlcHdr"/>
        </w:types>
        <w:behaviors>
          <w:behavior w:val="content"/>
        </w:behaviors>
        <w:guid w:val="{C3163116-845A-4C18-93EA-1C27B0629039}"/>
      </w:docPartPr>
      <w:docPartBody>
        <w:p w:rsidR="00191F0F" w:rsidRDefault="004A0BC4">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E2D"/>
    <w:rsid w:val="0000430A"/>
    <w:rsid w:val="0005681E"/>
    <w:rsid w:val="000A2ED1"/>
    <w:rsid w:val="000A5F8A"/>
    <w:rsid w:val="000A697E"/>
    <w:rsid w:val="000C6EFD"/>
    <w:rsid w:val="001519EE"/>
    <w:rsid w:val="00191F0F"/>
    <w:rsid w:val="001B113A"/>
    <w:rsid w:val="001D2DCB"/>
    <w:rsid w:val="001E3E2D"/>
    <w:rsid w:val="001F5D0C"/>
    <w:rsid w:val="00250A3C"/>
    <w:rsid w:val="00312E6A"/>
    <w:rsid w:val="00357F08"/>
    <w:rsid w:val="00397D07"/>
    <w:rsid w:val="003B461F"/>
    <w:rsid w:val="003B641A"/>
    <w:rsid w:val="003F53D5"/>
    <w:rsid w:val="00447FE8"/>
    <w:rsid w:val="004A0BC4"/>
    <w:rsid w:val="005136A6"/>
    <w:rsid w:val="00514B79"/>
    <w:rsid w:val="005360C1"/>
    <w:rsid w:val="00540A06"/>
    <w:rsid w:val="005436CF"/>
    <w:rsid w:val="005C3C48"/>
    <w:rsid w:val="005D26EC"/>
    <w:rsid w:val="007078B5"/>
    <w:rsid w:val="00707E8A"/>
    <w:rsid w:val="00712F0D"/>
    <w:rsid w:val="007B463E"/>
    <w:rsid w:val="007D514A"/>
    <w:rsid w:val="007E38F4"/>
    <w:rsid w:val="00813567"/>
    <w:rsid w:val="008314F9"/>
    <w:rsid w:val="00836FD4"/>
    <w:rsid w:val="008547AC"/>
    <w:rsid w:val="008D0663"/>
    <w:rsid w:val="008F30F0"/>
    <w:rsid w:val="0090585F"/>
    <w:rsid w:val="00943DBF"/>
    <w:rsid w:val="00987629"/>
    <w:rsid w:val="00A47B0E"/>
    <w:rsid w:val="00AD7612"/>
    <w:rsid w:val="00AE2772"/>
    <w:rsid w:val="00B06AFA"/>
    <w:rsid w:val="00B44F09"/>
    <w:rsid w:val="00B72474"/>
    <w:rsid w:val="00B80B7F"/>
    <w:rsid w:val="00BC4127"/>
    <w:rsid w:val="00BD3C16"/>
    <w:rsid w:val="00BE2180"/>
    <w:rsid w:val="00C10FA1"/>
    <w:rsid w:val="00C74F16"/>
    <w:rsid w:val="00D23F25"/>
    <w:rsid w:val="00D356E6"/>
    <w:rsid w:val="00D7492D"/>
    <w:rsid w:val="00DB133F"/>
    <w:rsid w:val="00DB75E3"/>
    <w:rsid w:val="00E03060"/>
    <w:rsid w:val="00E4795D"/>
    <w:rsid w:val="00EC5818"/>
    <w:rsid w:val="00F004A7"/>
    <w:rsid w:val="00F8453C"/>
    <w:rsid w:val="00F8584B"/>
    <w:rsid w:val="00FC6464"/>
    <w:rsid w:val="00FE2F08"/>
    <w:rsid w:val="00FF4BB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A0BC4"/>
    <w:rPr>
      <w:color w:val="808080"/>
    </w:rPr>
  </w:style>
  <w:style w:type="paragraph" w:customStyle="1" w:styleId="06CE349F1A2F4EE582B599AAFFD84FFE">
    <w:name w:val="06CE349F1A2F4EE582B599AAFFD84FFE"/>
    <w:rsid w:val="008F30F0"/>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CA3101-408E-4110-8DB5-EABC0B3CE1F3}">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0CD0B2BF-7243-4810-B6DC-C3D0333701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01E2FC-E14D-44F0-92D0-63AC35CC019C}">
  <ds:schemaRefs>
    <ds:schemaRef ds:uri="http://schemas.microsoft.com/sharepoint/v3/contenttype/forms"/>
  </ds:schemaRefs>
</ds:datastoreItem>
</file>

<file path=customXml/itemProps4.xml><?xml version="1.0" encoding="utf-8"?>
<ds:datastoreItem xmlns:ds="http://schemas.openxmlformats.org/officeDocument/2006/customXml" ds:itemID="{9CDDDB3A-AEC4-463B-BBB9-BD35B6C01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14</Pages>
  <Words>6216</Words>
  <Characters>35437</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Biodiversity</Company>
  <LinksUpToDate>false</LinksUpToDate>
  <CharactersWithSpaces>41570</CharactersWithSpaces>
  <SharedDoc>false</SharedDoc>
  <HyperlinkBase/>
  <HLinks>
    <vt:vector size="6" baseType="variant">
      <vt:variant>
        <vt:i4>262210</vt:i4>
      </vt:variant>
      <vt:variant>
        <vt:i4>0</vt:i4>
      </vt:variant>
      <vt:variant>
        <vt:i4>0</vt:i4>
      </vt:variant>
      <vt:variant>
        <vt:i4>5</vt:i4>
      </vt:variant>
      <vt:variant>
        <vt:lpwstr>https://www.cbd.int/doc/c/ba60/7272/3260b5e396821d42bc21035a/dsi-ahteg-2020-01-07-en.pdf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CBD/WGDSI/1/3</dc:subject>
  <dc:creator>SCBD</dc:creator>
  <cp:keywords>Ad Hoc Open-Ended Inter-sessional Working Group on Article 8(j) and Related Provisions of the Convention on Biological Diversity, eleventh meeting, Montreal, Canada, 20-22 November 2019</cp:keywords>
  <dc:description/>
  <cp:lastModifiedBy>Rosario </cp:lastModifiedBy>
  <cp:revision>51</cp:revision>
  <cp:lastPrinted>2023-11-29T16:17:00Z</cp:lastPrinted>
  <dcterms:created xsi:type="dcterms:W3CDTF">2023-12-07T19:18:00Z</dcterms:created>
  <dcterms:modified xsi:type="dcterms:W3CDTF">2023-12-19T14:04:00Z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ContentTypeId">
    <vt:lpwstr>0x01010069BFACF6D92CD24AA50050CE23F68F74</vt:lpwstr>
  </property>
  <property fmtid="{D5CDD505-2E9C-101B-9397-08002B2CF9AE}" pid="4" name="MediaServiceImageTags">
    <vt:lpwstr/>
  </property>
</Properties>
</file>