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A"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مؤتمر الأمم المتحدة للتنوع البيولوجي</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الجزء الرفيع المستوى</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"الاستثمار في التنوع البيولوجي من أجل الشعوب والكوكب"</w:t>
      </w:r>
    </w:p>
    <w:p w:rsidR="00232002" w:rsidRPr="00496465" w:rsidRDefault="00232002" w:rsidP="005B4411">
      <w:pPr>
        <w:bidi/>
        <w:spacing w:after="240" w:line="240" w:lineRule="auto"/>
        <w:jc w:val="center"/>
        <w:rPr>
          <w:rFonts w:ascii="Simplified Arabic" w:hAnsi="Simplified Arabic"/>
          <w:rtl/>
          <w:lang w:bidi="ar-EG"/>
        </w:rPr>
      </w:pPr>
      <w:r w:rsidRPr="00496465">
        <w:rPr>
          <w:rFonts w:ascii="Simplified Arabic" w:hAnsi="Simplified Arabic" w:hint="cs"/>
          <w:rtl/>
          <w:lang w:bidi="ar-EG"/>
        </w:rPr>
        <w:t>شرم الشيخ، مصر، 14-15 نوفمبر/تشرين الثاني 2018</w:t>
      </w:r>
    </w:p>
    <w:p w:rsidR="005B4411" w:rsidRPr="005B4411" w:rsidRDefault="005B4411" w:rsidP="005B4411">
      <w:pPr>
        <w:bidi/>
        <w:spacing w:before="100" w:after="100" w:line="240" w:lineRule="auto"/>
        <w:jc w:val="both"/>
        <w:rPr>
          <w:rFonts w:ascii="Simplified Arabic" w:hAnsi="Simplified Arabic"/>
          <w:b/>
          <w:bCs/>
          <w:rtl/>
          <w:lang w:bidi="ar-EG"/>
        </w:rPr>
      </w:pPr>
      <w:r w:rsidRPr="005B4411">
        <w:rPr>
          <w:rFonts w:ascii="Simplified Arabic" w:hAnsi="Simplified Arabic" w:hint="cs"/>
          <w:b/>
          <w:bCs/>
          <w:rtl/>
          <w:lang w:bidi="ar-EG"/>
        </w:rPr>
        <w:t>تعميم التنوع البيولوجي في قطاع البنية التحتية</w:t>
      </w:r>
    </w:p>
    <w:p w:rsidR="003E039C" w:rsidRDefault="00A854DF" w:rsidP="009F5782">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 xml:space="preserve">تعتبر البنية التحتية أساسية بالنسبة للمجتمعات البشرية. ويعتبر بناء البنية التحتية </w:t>
      </w:r>
      <w:r w:rsidR="009F5782">
        <w:rPr>
          <w:rFonts w:ascii="Simplified Arabic" w:hAnsi="Simplified Arabic" w:hint="cs"/>
          <w:rtl/>
          <w:lang w:bidi="ar-EG"/>
        </w:rPr>
        <w:t>حيويا</w:t>
      </w:r>
      <w:r>
        <w:rPr>
          <w:rFonts w:ascii="Simplified Arabic" w:hAnsi="Simplified Arabic" w:hint="cs"/>
          <w:rtl/>
          <w:lang w:bidi="ar-EG"/>
        </w:rPr>
        <w:t xml:space="preserve"> للنمو الاقتصادي وييسر كل جانب من الحياة الحديثة. وتشمل البنية التحتية للنقل التي ت</w:t>
      </w:r>
      <w:r w:rsidR="009F5782">
        <w:rPr>
          <w:rFonts w:ascii="Simplified Arabic" w:hAnsi="Simplified Arabic" w:hint="cs"/>
          <w:rtl/>
          <w:lang w:bidi="ar-EG"/>
        </w:rPr>
        <w:t>نقل</w:t>
      </w:r>
      <w:r>
        <w:rPr>
          <w:rFonts w:ascii="Simplified Arabic" w:hAnsi="Simplified Arabic" w:hint="cs"/>
          <w:rtl/>
          <w:lang w:bidi="ar-EG"/>
        </w:rPr>
        <w:t xml:space="preserve"> الناس والسلع عبر العالم، والاتصالات، والبنية التحتية للطاقة التي توصل ال</w:t>
      </w:r>
      <w:r w:rsidR="00BF0856">
        <w:rPr>
          <w:rFonts w:ascii="Simplified Arabic" w:hAnsi="Simplified Arabic" w:hint="cs"/>
          <w:rtl/>
          <w:lang w:bidi="ar-EG"/>
        </w:rPr>
        <w:t>طاقة</w:t>
      </w:r>
      <w:r>
        <w:rPr>
          <w:rFonts w:ascii="Simplified Arabic" w:hAnsi="Simplified Arabic" w:hint="cs"/>
          <w:rtl/>
          <w:lang w:bidi="ar-EG"/>
        </w:rPr>
        <w:t xml:space="preserve"> الكهر</w:t>
      </w:r>
      <w:r w:rsidR="00BF0856">
        <w:rPr>
          <w:rFonts w:ascii="Simplified Arabic" w:hAnsi="Simplified Arabic" w:hint="cs"/>
          <w:rtl/>
          <w:lang w:bidi="ar-EG"/>
        </w:rPr>
        <w:t>بائ</w:t>
      </w:r>
      <w:r>
        <w:rPr>
          <w:rFonts w:ascii="Simplified Arabic" w:hAnsi="Simplified Arabic" w:hint="cs"/>
          <w:rtl/>
          <w:lang w:bidi="ar-EG"/>
        </w:rPr>
        <w:t xml:space="preserve">ية </w:t>
      </w:r>
      <w:r w:rsidR="009F5782">
        <w:rPr>
          <w:rFonts w:ascii="Simplified Arabic" w:hAnsi="Simplified Arabic" w:hint="cs"/>
          <w:rtl/>
          <w:lang w:bidi="ar-EG"/>
        </w:rPr>
        <w:t>إلى ا</w:t>
      </w:r>
      <w:r>
        <w:rPr>
          <w:rFonts w:ascii="Simplified Arabic" w:hAnsi="Simplified Arabic" w:hint="cs"/>
          <w:rtl/>
          <w:lang w:bidi="ar-EG"/>
        </w:rPr>
        <w:t>لمنازل والأعمال التجارية، والبنية التحتية الحضرية، والسدود، ومصانع معالجة المياه والمياه المستعملة وأنابيب المياه التي تدير إمدادات المياه للاستخدام المنزلي والصناعي والزراعي.</w:t>
      </w:r>
    </w:p>
    <w:p w:rsidR="00A854DF" w:rsidRDefault="00A854DF" w:rsidP="00A854DF">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ومن المتوقع أن ينمو قطاع البنية التحتية على نحو كبير على مدى العقود القادمة نتيجة لزيادة السكان، والتنمية الاقتصادية، والتجارة والتحضر المتزايد.</w:t>
      </w:r>
    </w:p>
    <w:p w:rsidR="00A854DF" w:rsidRDefault="00A854DF" w:rsidP="009F5782">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وفي عام 2014، سكن ما ن</w:t>
      </w:r>
      <w:r w:rsidR="009F5782">
        <w:rPr>
          <w:rFonts w:ascii="Simplified Arabic" w:hAnsi="Simplified Arabic" w:hint="cs"/>
          <w:rtl/>
          <w:lang w:bidi="ar-EG"/>
        </w:rPr>
        <w:t>س</w:t>
      </w:r>
      <w:r>
        <w:rPr>
          <w:rFonts w:ascii="Simplified Arabic" w:hAnsi="Simplified Arabic" w:hint="cs"/>
          <w:rtl/>
          <w:lang w:bidi="ar-EG"/>
        </w:rPr>
        <w:t xml:space="preserve">بته 54 في المائة من سكان العالم في مناطق حضرية. ومن المتوقع أن </w:t>
      </w:r>
      <w:r w:rsidR="009F5782">
        <w:rPr>
          <w:rFonts w:ascii="Simplified Arabic" w:hAnsi="Simplified Arabic" w:hint="cs"/>
          <w:rtl/>
          <w:lang w:bidi="ar-EG"/>
        </w:rPr>
        <w:t>ت</w:t>
      </w:r>
      <w:r>
        <w:rPr>
          <w:rFonts w:ascii="Simplified Arabic" w:hAnsi="Simplified Arabic" w:hint="cs"/>
          <w:rtl/>
          <w:lang w:bidi="ar-EG"/>
        </w:rPr>
        <w:t xml:space="preserve">صل </w:t>
      </w:r>
      <w:r w:rsidR="009F5782">
        <w:rPr>
          <w:rFonts w:ascii="Simplified Arabic" w:hAnsi="Simplified Arabic" w:hint="cs"/>
          <w:rtl/>
          <w:lang w:bidi="ar-EG"/>
        </w:rPr>
        <w:t>هذه النسبة</w:t>
      </w:r>
      <w:r>
        <w:rPr>
          <w:rFonts w:ascii="Simplified Arabic" w:hAnsi="Simplified Arabic" w:hint="cs"/>
          <w:rtl/>
          <w:lang w:bidi="ar-EG"/>
        </w:rPr>
        <w:t xml:space="preserve"> إلى 66 في المائة بحلول عام 2050. ونتيجة لهذه الزيادة، تشير التقديرات إلى أن حوالي 70 في المائة من الاستثمارات المستقبلة في البنية التحتية ستركز على المواقع الحضرية.</w:t>
      </w:r>
    </w:p>
    <w:p w:rsidR="00A854DF" w:rsidRDefault="00A854DF" w:rsidP="0033642D">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وهناك أيضا الطلب المتزايد على البنية التحتية المرتبطة بذلك والنمو في القطاعات التي تعتمد على البنية التحتية وإنشاؤها. وتشير التوق</w:t>
      </w:r>
      <w:r w:rsidR="009F5782">
        <w:rPr>
          <w:rFonts w:ascii="Simplified Arabic" w:hAnsi="Simplified Arabic" w:hint="cs"/>
          <w:rtl/>
          <w:lang w:bidi="ar-EG"/>
        </w:rPr>
        <w:t>عات إلى أن 25 مليون كيلومترا من</w:t>
      </w:r>
      <w:r>
        <w:rPr>
          <w:rFonts w:ascii="Simplified Arabic" w:hAnsi="Simplified Arabic" w:hint="cs"/>
          <w:rtl/>
          <w:lang w:bidi="ar-EG"/>
        </w:rPr>
        <w:t xml:space="preserve"> الطرق المرصوفة الجديدة و000 335 كيلومترا من طرق السكك الحديدية ستكون مطلوبة بحل</w:t>
      </w:r>
      <w:r w:rsidR="0033642D">
        <w:rPr>
          <w:rFonts w:ascii="Simplified Arabic" w:hAnsi="Simplified Arabic" w:hint="cs"/>
          <w:rtl/>
          <w:lang w:bidi="ar-EG"/>
        </w:rPr>
        <w:t>و</w:t>
      </w:r>
      <w:r>
        <w:rPr>
          <w:rFonts w:ascii="Simplified Arabic" w:hAnsi="Simplified Arabic" w:hint="cs"/>
          <w:rtl/>
          <w:lang w:bidi="ar-EG"/>
        </w:rPr>
        <w:t xml:space="preserve">ل عام 2050. ومن المتوقع أن يتزايد الطلب أيضا على كل من </w:t>
      </w:r>
      <w:r w:rsidR="00BF0856">
        <w:rPr>
          <w:rFonts w:ascii="Simplified Arabic" w:hAnsi="Simplified Arabic" w:hint="cs"/>
          <w:rtl/>
          <w:lang w:bidi="ar-EG"/>
        </w:rPr>
        <w:t>شبكات الطاقة الكهربائية</w:t>
      </w:r>
      <w:r>
        <w:rPr>
          <w:rFonts w:ascii="Simplified Arabic" w:hAnsi="Simplified Arabic" w:hint="cs"/>
          <w:rtl/>
          <w:lang w:bidi="ar-EG"/>
        </w:rPr>
        <w:t xml:space="preserve"> </w:t>
      </w:r>
      <w:r w:rsidR="00BF0856">
        <w:rPr>
          <w:rFonts w:ascii="Simplified Arabic" w:hAnsi="Simplified Arabic" w:hint="cs"/>
          <w:rtl/>
          <w:lang w:bidi="ar-EG"/>
        </w:rPr>
        <w:t>"التقليدية" و"الذكية".</w:t>
      </w:r>
    </w:p>
    <w:p w:rsidR="00BF0856" w:rsidRDefault="0033642D" w:rsidP="00BF0856">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وسيكون لمكان وكيفية بناء البنية التحتية آثار رئيسية على التنوع البيولوجي.</w:t>
      </w:r>
    </w:p>
    <w:p w:rsidR="0033642D" w:rsidRDefault="0033642D" w:rsidP="0033642D">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من المتوقع أن تكون تأثيرات البنية التحتية الخطية على تفتت الموائل، ونقل الأعداد وتدفق الجينات كبيرة. وفي نفس الوقت، هناك حاجة مستمرة للحفاظ على البنية التحتية القائمة وتحديثها أو وقفها.</w:t>
      </w:r>
    </w:p>
    <w:p w:rsidR="0033642D" w:rsidRDefault="0033642D" w:rsidP="009F5782">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وتقع مدن متوسعة كثيرة بالقرب من المواقع الساخنة للتنوع البيولوجي ومناطق أخرى ذات قيمة حفظ عالية. وهناك في الوقت الحاضر 422 مدينة بها أكثر من 000 300 نسمة في مناطق الحفظ الساخنة في العالم، ومنها 383 منطقة تشير التقديرات إلى أنها تواجه صراعات بين النمو الحضري والتنوع البيولوجي. وفي نفس الوقت، تعتمد المدن على التنوع البيولوجي والنظم الإيكولوجية الصحية لكثير من الخدمات الأساسية للنظم الإيكولوجية، مثل توفير المياه العذبة، وتحسين نوعية الهواء، وتنظيم درجات الحرارة، وتوفير القدرة على الصمود أما</w:t>
      </w:r>
      <w:r w:rsidR="009F5782">
        <w:rPr>
          <w:rFonts w:ascii="Simplified Arabic" w:hAnsi="Simplified Arabic" w:hint="cs"/>
          <w:rtl/>
          <w:lang w:bidi="ar-EG"/>
        </w:rPr>
        <w:t>م</w:t>
      </w:r>
      <w:r>
        <w:rPr>
          <w:rFonts w:ascii="Simplified Arabic" w:hAnsi="Simplified Arabic" w:hint="cs"/>
          <w:rtl/>
          <w:lang w:bidi="ar-EG"/>
        </w:rPr>
        <w:t xml:space="preserve"> تغير المناخ والك</w:t>
      </w:r>
      <w:r w:rsidR="009F5782">
        <w:rPr>
          <w:rFonts w:ascii="Simplified Arabic" w:hAnsi="Simplified Arabic" w:hint="cs"/>
          <w:rtl/>
          <w:lang w:bidi="ar-EG"/>
        </w:rPr>
        <w:t>و</w:t>
      </w:r>
      <w:r>
        <w:rPr>
          <w:rFonts w:ascii="Simplified Arabic" w:hAnsi="Simplified Arabic" w:hint="cs"/>
          <w:rtl/>
          <w:lang w:bidi="ar-EG"/>
        </w:rPr>
        <w:t>ارث الطبيعية. وتعتمد كيفية تطور المدن في المستقبل بدرجة عالية على التنوع البيولوجي. فإذا لم يكن التوسع الحضري المتوقع يخطط ويدار على نحو ملائم، هناك خطر بحدوث آثار عكسية كبيرة على التنوع البيولوجي.</w:t>
      </w:r>
    </w:p>
    <w:p w:rsidR="0033642D" w:rsidRDefault="0033642D" w:rsidP="00AB26BE">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 xml:space="preserve">ومن المهم ملاحظة أن صناعة التشييد هي أكبر </w:t>
      </w:r>
      <w:r w:rsidR="00AB26BE">
        <w:rPr>
          <w:rFonts w:ascii="Simplified Arabic" w:hAnsi="Simplified Arabic" w:hint="cs"/>
          <w:rtl/>
          <w:lang w:bidi="ar-EG"/>
        </w:rPr>
        <w:t>أرباب الأعمال في العالم أجمع. وعادة يبدأ تطوير البنية التحتية في معظمها بواسطة القطاع العام، ولكن هناك جزء متزايد يموله القطاع الخاص، أو من خلال شراكات بين القطاعين العام والخاص.</w:t>
      </w:r>
    </w:p>
    <w:p w:rsidR="00AB26BE" w:rsidRPr="00AB26BE" w:rsidRDefault="00AB26BE" w:rsidP="008634DC">
      <w:pPr>
        <w:bidi/>
        <w:spacing w:before="100" w:after="100" w:line="240" w:lineRule="auto"/>
        <w:jc w:val="both"/>
        <w:rPr>
          <w:rFonts w:ascii="Simplified Arabic" w:hAnsi="Simplified Arabic"/>
          <w:b/>
          <w:bCs/>
          <w:rtl/>
          <w:lang w:bidi="ar-EG"/>
        </w:rPr>
      </w:pPr>
      <w:r w:rsidRPr="00AB26BE">
        <w:rPr>
          <w:rFonts w:ascii="Simplified Arabic" w:hAnsi="Simplified Arabic" w:hint="cs"/>
          <w:b/>
          <w:bCs/>
          <w:rtl/>
          <w:lang w:bidi="ar-EG"/>
        </w:rPr>
        <w:lastRenderedPageBreak/>
        <w:t xml:space="preserve">كيف </w:t>
      </w:r>
      <w:r w:rsidR="008634DC">
        <w:rPr>
          <w:rFonts w:ascii="Simplified Arabic" w:hAnsi="Simplified Arabic" w:hint="cs"/>
          <w:b/>
          <w:bCs/>
          <w:rtl/>
          <w:lang w:bidi="ar-EG"/>
        </w:rPr>
        <w:t>ي</w:t>
      </w:r>
      <w:r w:rsidRPr="00AB26BE">
        <w:rPr>
          <w:rFonts w:ascii="Simplified Arabic" w:hAnsi="Simplified Arabic" w:hint="cs"/>
          <w:b/>
          <w:bCs/>
          <w:rtl/>
          <w:lang w:bidi="ar-EG"/>
        </w:rPr>
        <w:t>نظر في التنوع البيولوجي في تطوير البنية التحتية؟</w:t>
      </w:r>
    </w:p>
    <w:p w:rsidR="00AB26BE" w:rsidRDefault="008634DC" w:rsidP="00DD78EA">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يمكن أن تستخدم الحكومات على كل المستويات مجموعة من الأدوات التي يمكن أن تقلل الآثار السلبية على التنوع البيولوجي وتخفف منها لجميع أشكال تطوير البنية التحتية. ومن بين الأدوات الأ</w:t>
      </w:r>
      <w:r w:rsidR="009F5782">
        <w:rPr>
          <w:rFonts w:ascii="Simplified Arabic" w:hAnsi="Simplified Arabic" w:hint="cs"/>
          <w:rtl/>
          <w:lang w:bidi="ar-EG"/>
        </w:rPr>
        <w:t>ك</w:t>
      </w:r>
      <w:r>
        <w:rPr>
          <w:rFonts w:ascii="Simplified Arabic" w:hAnsi="Simplified Arabic" w:hint="cs"/>
          <w:rtl/>
          <w:lang w:bidi="ar-EG"/>
        </w:rPr>
        <w:t xml:space="preserve">ثر فعالية هناك تلك الأدوات التي لديها منظور تطلعي طويل الأجل، مثل التخطيط المكاني، والتخطيط الحضري، والتقييم </w:t>
      </w:r>
      <w:r w:rsidR="009F5782">
        <w:rPr>
          <w:rFonts w:ascii="Simplified Arabic" w:hAnsi="Simplified Arabic" w:hint="cs"/>
          <w:rtl/>
          <w:lang w:bidi="ar-EG"/>
        </w:rPr>
        <w:t>البيئي الاستراتيجي</w:t>
      </w:r>
      <w:r>
        <w:rPr>
          <w:rFonts w:ascii="Simplified Arabic" w:hAnsi="Simplified Arabic" w:hint="cs"/>
          <w:rtl/>
          <w:lang w:bidi="ar-EG"/>
        </w:rPr>
        <w:t>، والتخطيط للتكيف مع تغير المناخ، والتخطيط المنتظم للحفظ، وغيرها. وعند تطبيق مثل هذه الأدوات، من المهم إشراك جميع القطاعات المتأثرة وإعداد نتائج يمكن فهمها ودعمها من جميع القطاعات وت</w:t>
      </w:r>
      <w:r w:rsidR="00DD78EA">
        <w:rPr>
          <w:rFonts w:ascii="Simplified Arabic" w:hAnsi="Simplified Arabic" w:hint="cs"/>
          <w:rtl/>
          <w:lang w:bidi="ar-EG"/>
        </w:rPr>
        <w:t>ش</w:t>
      </w:r>
      <w:r>
        <w:rPr>
          <w:rFonts w:ascii="Simplified Arabic" w:hAnsi="Simplified Arabic" w:hint="cs"/>
          <w:rtl/>
          <w:lang w:bidi="ar-EG"/>
        </w:rPr>
        <w:t xml:space="preserve">كل </w:t>
      </w:r>
      <w:r w:rsidR="00DD78EA">
        <w:rPr>
          <w:rFonts w:ascii="Simplified Arabic" w:hAnsi="Simplified Arabic" w:hint="cs"/>
          <w:rtl/>
          <w:lang w:bidi="ar-EG"/>
        </w:rPr>
        <w:t>الأساس للمقرارات بشأن الاستثمار</w:t>
      </w:r>
      <w:r>
        <w:rPr>
          <w:rFonts w:ascii="Simplified Arabic" w:hAnsi="Simplified Arabic" w:hint="cs"/>
          <w:rtl/>
          <w:lang w:bidi="ar-EG"/>
        </w:rPr>
        <w:t xml:space="preserve">ات في البنية التحتية </w:t>
      </w:r>
      <w:r w:rsidR="00DD78EA">
        <w:rPr>
          <w:rFonts w:ascii="Simplified Arabic" w:hAnsi="Simplified Arabic" w:hint="cs"/>
          <w:rtl/>
          <w:lang w:bidi="ar-EG"/>
        </w:rPr>
        <w:t>على مدى ال</w:t>
      </w:r>
      <w:r>
        <w:rPr>
          <w:rFonts w:ascii="Simplified Arabic" w:hAnsi="Simplified Arabic" w:hint="cs"/>
          <w:rtl/>
          <w:lang w:bidi="ar-EG"/>
        </w:rPr>
        <w:t>عقود. ويمكن أن يزيد ذلك من القبول الاجتماعي، ويتجنب الصرارعات المكلفة، ويقلل الحاجة إلى إصلاحات ويمكن النظر في احتياجات وأولويات التنوع البيولوجي ويعطي وزن لها.</w:t>
      </w:r>
    </w:p>
    <w:p w:rsidR="008634DC" w:rsidRDefault="008634DC" w:rsidP="008634DC">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ويمكن أن يساعد التخطيط الحضري على الإبقاء، أو على الرغم من كونه أكثر صعوبة، إعادة إنشاء، مدى الاتصال والممرات من خلال المحاور الخضراء، والحفاظ على الأراضي الرطبة ونوعية الأنهاء والينابيع مع تقليل المخاطر من الفيضانات والجفاف، و</w:t>
      </w:r>
      <w:r w:rsidR="007C2ADB">
        <w:rPr>
          <w:rFonts w:ascii="Simplified Arabic" w:hAnsi="Simplified Arabic" w:hint="cs"/>
          <w:rtl/>
          <w:lang w:bidi="ar-EG"/>
        </w:rPr>
        <w:t>حفظ المناطق ذات القيمة العالية للحفظ. ويمكن أن</w:t>
      </w:r>
      <w:r w:rsidR="00DD78EA">
        <w:rPr>
          <w:rFonts w:ascii="Simplified Arabic" w:hAnsi="Simplified Arabic" w:hint="cs"/>
          <w:rtl/>
          <w:lang w:bidi="ar-EG"/>
        </w:rPr>
        <w:t xml:space="preserve"> يقلل أيضا من المساحة اللازمة ل</w:t>
      </w:r>
      <w:r w:rsidR="007C2ADB">
        <w:rPr>
          <w:rFonts w:ascii="Simplified Arabic" w:hAnsi="Simplified Arabic" w:hint="cs"/>
          <w:rtl/>
          <w:lang w:bidi="ar-EG"/>
        </w:rPr>
        <w:t>لبنية التحتية للنقل ومن آثارها.</w:t>
      </w:r>
    </w:p>
    <w:p w:rsidR="007C2ADB" w:rsidRDefault="007C2ADB" w:rsidP="00DD78EA">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ويمكن أن يساعد التخطيط المكاني الأكبر في تعظيم القدرة على البقاء، وتغطية المناطق المحمية ونوعيتها، وحماية مستجمعات المياه، وأحواض الأنهار والنظم الإيكولوجية الساحلية ومناطق أخرى ذات القيمة العالية للحفظ وتعظيم المنافع من هذه التدابير بالنسبة للسكان المحليين والسائحين. ويمكن أن يساعد في تجميع البنية التحتية الخطية على مدى ممرات رئيسية، وذلك عن طريق اتخاذ تدابير لتعزيز مدى الاتصال (مثل الكباري والأنفاق بالنسبة للأحياء البرية) تكون أكثر فعالية من حيث التكلفة. ومن الوجهة الأكثر أهمية، يمكن أن تمنع وتخفض الزحف الحضري العشوائي والت</w:t>
      </w:r>
      <w:r w:rsidR="00DD78EA">
        <w:rPr>
          <w:rFonts w:ascii="Simplified Arabic" w:hAnsi="Simplified Arabic" w:hint="cs"/>
          <w:rtl/>
          <w:lang w:bidi="ar-EG"/>
        </w:rPr>
        <w:t>عدي</w:t>
      </w:r>
      <w:r>
        <w:rPr>
          <w:rFonts w:ascii="Simplified Arabic" w:hAnsi="Simplified Arabic" w:hint="cs"/>
          <w:rtl/>
          <w:lang w:bidi="ar-EG"/>
        </w:rPr>
        <w:t>ات على المناظر الطبيعية الأرضيية، وتوج</w:t>
      </w:r>
      <w:r w:rsidR="00DD78EA">
        <w:rPr>
          <w:rFonts w:ascii="Simplified Arabic" w:hAnsi="Simplified Arabic" w:hint="cs"/>
          <w:rtl/>
          <w:lang w:bidi="ar-EG"/>
        </w:rPr>
        <w:t>ه</w:t>
      </w:r>
      <w:r>
        <w:rPr>
          <w:rFonts w:ascii="Simplified Arabic" w:hAnsi="Simplified Arabic" w:hint="cs"/>
          <w:rtl/>
          <w:lang w:bidi="ar-EG"/>
        </w:rPr>
        <w:t>ها، وبذلك تحمي الموائل والسكان، وتوصيل خدمات النظم الإيكولوجية وتشغيل النظم الإيكولوجية.</w:t>
      </w:r>
    </w:p>
    <w:p w:rsidR="009F5782" w:rsidRDefault="009F5782" w:rsidP="00DD78EA">
      <w:pPr>
        <w:pStyle w:val="ListParagraph"/>
        <w:bidi/>
        <w:spacing w:before="100" w:after="100" w:line="240" w:lineRule="auto"/>
        <w:ind w:left="0" w:firstLine="720"/>
        <w:contextualSpacing w:val="0"/>
        <w:jc w:val="both"/>
        <w:rPr>
          <w:rFonts w:ascii="Simplified Arabic" w:hAnsi="Simplified Arabic"/>
          <w:lang w:bidi="ar-EG"/>
        </w:rPr>
      </w:pPr>
      <w:r>
        <w:rPr>
          <w:rFonts w:ascii="Simplified Arabic" w:hAnsi="Simplified Arabic" w:hint="cs"/>
          <w:rtl/>
          <w:lang w:bidi="ar-EG"/>
        </w:rPr>
        <w:t>وتنظر التطورات في البنية التحتية على نحو متزايد وتطبق النُهج القائمة على النظم الإيكولوجية والحلول القائمة على الطبيعة</w:t>
      </w:r>
      <w:r w:rsidR="00DD78EA">
        <w:rPr>
          <w:rFonts w:ascii="Simplified Arabic" w:hAnsi="Simplified Arabic" w:hint="cs"/>
          <w:rtl/>
          <w:lang w:bidi="ar-EG"/>
        </w:rPr>
        <w:t>.</w:t>
      </w:r>
      <w:r>
        <w:rPr>
          <w:rFonts w:ascii="Simplified Arabic" w:hAnsi="Simplified Arabic" w:hint="cs"/>
          <w:rtl/>
          <w:lang w:bidi="ar-EG"/>
        </w:rPr>
        <w:t xml:space="preserve"> وتسهم هذه في الحماية البيئية مع توفير سبل العيش والدخل لمن هم </w:t>
      </w:r>
      <w:r w:rsidR="00DD78EA">
        <w:rPr>
          <w:rFonts w:ascii="Simplified Arabic" w:hAnsi="Simplified Arabic" w:hint="cs"/>
          <w:rtl/>
          <w:lang w:bidi="ar-EG"/>
        </w:rPr>
        <w:t>في</w:t>
      </w:r>
      <w:r>
        <w:rPr>
          <w:rFonts w:ascii="Simplified Arabic" w:hAnsi="Simplified Arabic" w:hint="cs"/>
          <w:rtl/>
          <w:lang w:bidi="ar-EG"/>
        </w:rPr>
        <w:t xml:space="preserve"> خطر من تدهورها. وفي بعض البلدان، فإن استعمال التكنولوجيات القائمة على العمالة المناسبة مع خلي</w:t>
      </w:r>
      <w:r w:rsidR="00DD78EA">
        <w:rPr>
          <w:rFonts w:ascii="Simplified Arabic" w:hAnsi="Simplified Arabic" w:hint="cs"/>
          <w:rtl/>
          <w:lang w:bidi="ar-EG"/>
        </w:rPr>
        <w:t>ط</w:t>
      </w:r>
      <w:r>
        <w:rPr>
          <w:rFonts w:ascii="Simplified Arabic" w:hAnsi="Simplified Arabic" w:hint="cs"/>
          <w:rtl/>
          <w:lang w:bidi="ar-EG"/>
        </w:rPr>
        <w:t xml:space="preserve"> </w:t>
      </w:r>
      <w:r w:rsidR="00DD78EA">
        <w:rPr>
          <w:rFonts w:ascii="Simplified Arabic" w:hAnsi="Simplified Arabic" w:hint="cs"/>
          <w:rtl/>
          <w:lang w:bidi="ar-EG"/>
        </w:rPr>
        <w:t>أمثل</w:t>
      </w:r>
      <w:r>
        <w:rPr>
          <w:rFonts w:ascii="Simplified Arabic" w:hAnsi="Simplified Arabic" w:hint="cs"/>
          <w:rtl/>
          <w:lang w:bidi="ar-EG"/>
        </w:rPr>
        <w:t xml:space="preserve"> من المعدات ونُهج العمالة المكثفة قد أثبت أن الأصول يمكن بناؤها بطريقة تزيد من الدخل المحتمل للمجتمعات المحلية، مع استخدام مواد وتكنولوجيات محلية، وتوليد مضاعف</w:t>
      </w:r>
      <w:r w:rsidR="00DD78EA">
        <w:rPr>
          <w:rFonts w:ascii="Simplified Arabic" w:hAnsi="Simplified Arabic" w:hint="cs"/>
          <w:rtl/>
          <w:lang w:bidi="ar-EG"/>
        </w:rPr>
        <w:t>ات</w:t>
      </w:r>
      <w:r>
        <w:rPr>
          <w:rFonts w:ascii="Simplified Arabic" w:hAnsi="Simplified Arabic" w:hint="cs"/>
          <w:rtl/>
          <w:lang w:bidi="ar-EG"/>
        </w:rPr>
        <w:t xml:space="preserve"> للاقتصاد المحلي. وتؤكد منظمة العمل الدولية على أن الإبتكارات المستندة إلى المعارف التقليدية المحلية يمكن أن تعزز </w:t>
      </w:r>
      <w:r w:rsidR="00DD78EA">
        <w:rPr>
          <w:rFonts w:ascii="Simplified Arabic" w:hAnsi="Simplified Arabic" w:hint="cs"/>
          <w:rtl/>
          <w:lang w:bidi="ar-EG"/>
        </w:rPr>
        <w:t>من القدرة على الصمود وتوفر الفرص لبناء المؤسسات والتعاونيات، مع إيجاد وظائف "خضراء" ملائمة، مما يؤدي إلى تمكين النساء والرجال من الشعوب الأصلية.</w:t>
      </w:r>
    </w:p>
    <w:p w:rsidR="007C2ADB" w:rsidRPr="007C2ADB" w:rsidRDefault="007C2ADB" w:rsidP="00C0318D">
      <w:pPr>
        <w:bidi/>
        <w:spacing w:before="100" w:after="100" w:line="240" w:lineRule="auto"/>
        <w:jc w:val="both"/>
        <w:rPr>
          <w:rFonts w:ascii="Simplified Arabic" w:hAnsi="Simplified Arabic"/>
          <w:b/>
          <w:bCs/>
          <w:rtl/>
          <w:lang w:bidi="ar-EG"/>
        </w:rPr>
      </w:pPr>
      <w:r w:rsidRPr="007C2ADB">
        <w:rPr>
          <w:rFonts w:ascii="Simplified Arabic" w:hAnsi="Simplified Arabic" w:hint="cs"/>
          <w:b/>
          <w:bCs/>
          <w:rtl/>
          <w:lang w:bidi="ar-EG"/>
        </w:rPr>
        <w:t xml:space="preserve">نُهج لتعميم التنوع البيولوجي في قطاع </w:t>
      </w:r>
      <w:r w:rsidR="00C0318D">
        <w:rPr>
          <w:rFonts w:ascii="Simplified Arabic" w:hAnsi="Simplified Arabic" w:hint="cs"/>
          <w:b/>
          <w:bCs/>
          <w:rtl/>
          <w:lang w:bidi="ar-EG"/>
        </w:rPr>
        <w:t>البنية التحتية</w:t>
      </w:r>
    </w:p>
    <w:p w:rsidR="007C2ADB" w:rsidRDefault="007C2ADB" w:rsidP="00DD78EA">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 xml:space="preserve">نظرا لأن جميع أنواع البنية التحتية تقريبا من المحتمل أن تتزايد </w:t>
      </w:r>
      <w:r w:rsidR="00212DFA">
        <w:rPr>
          <w:rFonts w:ascii="Simplified Arabic" w:hAnsi="Simplified Arabic" w:hint="cs"/>
          <w:rtl/>
          <w:lang w:bidi="ar-EG"/>
        </w:rPr>
        <w:t>على مدى السنوات القادمة، هناك حاجة إلى إيجاد وسائل لتخفيض الطل</w:t>
      </w:r>
      <w:r w:rsidR="00DD78EA">
        <w:rPr>
          <w:rFonts w:ascii="Simplified Arabic" w:hAnsi="Simplified Arabic" w:hint="cs"/>
          <w:rtl/>
          <w:lang w:bidi="ar-EG"/>
        </w:rPr>
        <w:t>ب</w:t>
      </w:r>
      <w:r w:rsidR="00212DFA">
        <w:rPr>
          <w:rFonts w:ascii="Simplified Arabic" w:hAnsi="Simplified Arabic" w:hint="cs"/>
          <w:rtl/>
          <w:lang w:bidi="ar-EG"/>
        </w:rPr>
        <w:t xml:space="preserve"> على البنية التحتية الجديدة عن طريق العمل على </w:t>
      </w:r>
      <w:r w:rsidR="00DD78EA">
        <w:rPr>
          <w:rFonts w:ascii="Simplified Arabic" w:hAnsi="Simplified Arabic" w:hint="cs"/>
          <w:rtl/>
          <w:lang w:bidi="ar-EG"/>
        </w:rPr>
        <w:t xml:space="preserve">استعمال </w:t>
      </w:r>
      <w:r w:rsidR="00212DFA">
        <w:rPr>
          <w:rFonts w:ascii="Simplified Arabic" w:hAnsi="Simplified Arabic" w:hint="cs"/>
          <w:rtl/>
          <w:lang w:bidi="ar-EG"/>
        </w:rPr>
        <w:t>أفضل للبنية التجتية القائمة وزيادة الفعالية فضلا عن ضمان أن أي بنية تحتية إضافية تنظر في الآثار على التنوع البيولوجي ودر</w:t>
      </w:r>
      <w:r w:rsidR="00DD78EA">
        <w:rPr>
          <w:rFonts w:ascii="Simplified Arabic" w:hAnsi="Simplified Arabic" w:hint="cs"/>
          <w:rtl/>
          <w:lang w:bidi="ar-EG"/>
        </w:rPr>
        <w:t>ج</w:t>
      </w:r>
      <w:r w:rsidR="00212DFA">
        <w:rPr>
          <w:rFonts w:ascii="Simplified Arabic" w:hAnsi="Simplified Arabic" w:hint="cs"/>
          <w:rtl/>
          <w:lang w:bidi="ar-EG"/>
        </w:rPr>
        <w:t>ة الاعتمادية.</w:t>
      </w:r>
    </w:p>
    <w:p w:rsidR="00212DFA" w:rsidRDefault="00212DFA" w:rsidP="00212DFA">
      <w:pPr>
        <w:pStyle w:val="ListParagraph"/>
        <w:bidi/>
        <w:spacing w:before="100" w:after="100" w:line="240" w:lineRule="auto"/>
        <w:ind w:left="0" w:firstLine="720"/>
        <w:contextualSpacing w:val="0"/>
        <w:jc w:val="both"/>
        <w:rPr>
          <w:rFonts w:ascii="Simplified Arabic" w:hAnsi="Simplified Arabic"/>
          <w:rtl/>
          <w:lang w:bidi="ar-EG"/>
        </w:rPr>
      </w:pPr>
      <w:r>
        <w:rPr>
          <w:rFonts w:ascii="Simplified Arabic" w:hAnsi="Simplified Arabic" w:hint="cs"/>
          <w:rtl/>
          <w:lang w:bidi="ar-EG"/>
        </w:rPr>
        <w:t>وهناك عدد من نقاط المداخلات لتعميم التنوع البيولوجي داخل قطاع البنية التحتية:</w:t>
      </w:r>
    </w:p>
    <w:p w:rsidR="00212DFA" w:rsidRDefault="00212DFA" w:rsidP="00DD78EA">
      <w:pPr>
        <w:pStyle w:val="ListParagraph"/>
        <w:numPr>
          <w:ilvl w:val="0"/>
          <w:numId w:val="2"/>
        </w:numPr>
        <w:bidi/>
        <w:spacing w:after="0" w:line="240" w:lineRule="auto"/>
        <w:contextualSpacing w:val="0"/>
        <w:jc w:val="both"/>
        <w:rPr>
          <w:rFonts w:ascii="Simplified Arabic" w:hAnsi="Simplified Arabic"/>
          <w:rtl/>
          <w:lang w:bidi="ar-EG"/>
        </w:rPr>
      </w:pPr>
      <w:r>
        <w:rPr>
          <w:rFonts w:ascii="Simplified Arabic" w:hAnsi="Simplified Arabic" w:hint="cs"/>
          <w:rtl/>
          <w:lang w:bidi="ar-EG"/>
        </w:rPr>
        <w:t>من خلال الطلب والكفاءات</w:t>
      </w:r>
      <w:r w:rsidR="00DD78EA">
        <w:rPr>
          <w:rFonts w:ascii="Simplified Arabic" w:hAnsi="Simplified Arabic" w:hint="cs"/>
          <w:rtl/>
          <w:lang w:bidi="ar-EG"/>
        </w:rPr>
        <w:t>؛</w:t>
      </w:r>
    </w:p>
    <w:p w:rsidR="00212DFA" w:rsidRDefault="00212DFA" w:rsidP="00212DFA">
      <w:pPr>
        <w:pStyle w:val="ListParagraph"/>
        <w:numPr>
          <w:ilvl w:val="0"/>
          <w:numId w:val="2"/>
        </w:numPr>
        <w:bidi/>
        <w:spacing w:after="0" w:line="240" w:lineRule="auto"/>
        <w:contextualSpacing w:val="0"/>
        <w:jc w:val="both"/>
        <w:rPr>
          <w:rFonts w:ascii="Simplified Arabic" w:hAnsi="Simplified Arabic"/>
          <w:lang w:bidi="ar-EG"/>
        </w:rPr>
      </w:pPr>
      <w:r>
        <w:rPr>
          <w:rFonts w:ascii="Simplified Arabic" w:hAnsi="Simplified Arabic" w:hint="cs"/>
          <w:rtl/>
          <w:lang w:bidi="ar-EG"/>
        </w:rPr>
        <w:lastRenderedPageBreak/>
        <w:t>التخطيط الاستراتيجي وتقييم الأثر؛</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(ج)</w:t>
      </w:r>
      <w:r>
        <w:rPr>
          <w:rFonts w:ascii="Simplified Arabic" w:hAnsi="Simplified Arabic" w:hint="cs"/>
          <w:rtl/>
          <w:lang w:bidi="ar-EG"/>
        </w:rPr>
        <w:tab/>
        <w:t>التعاقد؛</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(د)</w:t>
      </w:r>
      <w:r>
        <w:rPr>
          <w:rFonts w:ascii="Simplified Arabic" w:hAnsi="Simplified Arabic" w:hint="cs"/>
          <w:rtl/>
          <w:lang w:bidi="ar-EG"/>
        </w:rPr>
        <w:tab/>
        <w:t>التمويل؛</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w:t>
      </w:r>
      <w:r>
        <w:rPr>
          <w:rFonts w:ascii="Simplified Arabic" w:hAnsi="Simplified Arabic"/>
          <w:rtl/>
          <w:lang w:bidi="ar-EG"/>
        </w:rPr>
        <w:t>ھ</w:t>
      </w:r>
      <w:r>
        <w:rPr>
          <w:rFonts w:ascii="Simplified Arabic" w:hAnsi="Simplified Arabic" w:hint="cs"/>
          <w:rtl/>
          <w:lang w:bidi="ar-EG"/>
        </w:rPr>
        <w:t>)</w:t>
      </w:r>
      <w:r>
        <w:rPr>
          <w:rFonts w:ascii="Simplified Arabic" w:hAnsi="Simplified Arabic" w:hint="cs"/>
          <w:rtl/>
          <w:lang w:bidi="ar-EG"/>
        </w:rPr>
        <w:tab/>
        <w:t>التوريد؛</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(و)</w:t>
      </w:r>
      <w:r>
        <w:rPr>
          <w:rFonts w:ascii="Simplified Arabic" w:hAnsi="Simplified Arabic" w:hint="cs"/>
          <w:rtl/>
          <w:lang w:bidi="ar-EG"/>
        </w:rPr>
        <w:tab/>
        <w:t>التشييد؛</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(ز)</w:t>
      </w:r>
      <w:r>
        <w:rPr>
          <w:rFonts w:ascii="Simplified Arabic" w:hAnsi="Simplified Arabic" w:hint="cs"/>
          <w:rtl/>
          <w:lang w:bidi="ar-EG"/>
        </w:rPr>
        <w:tab/>
        <w:t>التشغيل؛</w:t>
      </w:r>
    </w:p>
    <w:p w:rsidR="00212DFA" w:rsidRDefault="00212DFA" w:rsidP="00212DFA">
      <w:pPr>
        <w:pStyle w:val="ListParagraph"/>
        <w:bidi/>
        <w:spacing w:after="0" w:line="240" w:lineRule="auto"/>
        <w:ind w:left="1440" w:hanging="720"/>
        <w:contextualSpacing w:val="0"/>
        <w:jc w:val="both"/>
        <w:rPr>
          <w:rFonts w:ascii="Simplified Arabic" w:hAnsi="Simplified Arabic"/>
          <w:rtl/>
          <w:lang w:bidi="ar-EG"/>
        </w:rPr>
      </w:pPr>
      <w:r>
        <w:rPr>
          <w:rFonts w:ascii="Simplified Arabic" w:hAnsi="Simplified Arabic" w:hint="cs"/>
          <w:rtl/>
          <w:lang w:bidi="ar-EG"/>
        </w:rPr>
        <w:t>(ح)</w:t>
      </w:r>
      <w:r>
        <w:rPr>
          <w:rFonts w:ascii="Simplified Arabic" w:hAnsi="Simplified Arabic" w:hint="cs"/>
          <w:rtl/>
          <w:lang w:bidi="ar-EG"/>
        </w:rPr>
        <w:tab/>
        <w:t>وقف التشغيل؛</w:t>
      </w:r>
    </w:p>
    <w:p w:rsidR="00212DFA" w:rsidRDefault="00212DFA" w:rsidP="00212DFA">
      <w:pPr>
        <w:pStyle w:val="ListParagraph"/>
        <w:bidi/>
        <w:spacing w:after="100" w:line="240" w:lineRule="auto"/>
        <w:ind w:left="1440" w:hanging="720"/>
        <w:contextualSpacing w:val="0"/>
        <w:jc w:val="both"/>
        <w:rPr>
          <w:rFonts w:ascii="Simplified Arabic" w:hAnsi="Simplified Arabic"/>
          <w:lang w:bidi="ar-EG"/>
        </w:rPr>
      </w:pPr>
      <w:r>
        <w:rPr>
          <w:rFonts w:ascii="Simplified Arabic" w:hAnsi="Simplified Arabic" w:hint="cs"/>
          <w:rtl/>
          <w:lang w:bidi="ar-EG"/>
        </w:rPr>
        <w:t>(ط)</w:t>
      </w:r>
      <w:r>
        <w:rPr>
          <w:rFonts w:ascii="Simplified Arabic" w:hAnsi="Simplified Arabic" w:hint="cs"/>
          <w:rtl/>
          <w:lang w:bidi="ar-EG"/>
        </w:rPr>
        <w:tab/>
        <w:t>تاريخ المشروع.</w:t>
      </w:r>
    </w:p>
    <w:p w:rsidR="00212DFA" w:rsidRDefault="00212DFA" w:rsidP="003E039C">
      <w:pPr>
        <w:bidi/>
        <w:spacing w:before="100" w:after="100" w:line="240" w:lineRule="auto"/>
        <w:jc w:val="both"/>
        <w:rPr>
          <w:rFonts w:ascii="Simplified Arabic" w:hAnsi="Simplified Arabic"/>
          <w:rtl/>
          <w:lang w:bidi="ar-EG"/>
        </w:rPr>
      </w:pPr>
      <w:r>
        <w:rPr>
          <w:rFonts w:ascii="Simplified Arabic" w:hAnsi="Simplified Arabic" w:hint="cs"/>
          <w:b/>
          <w:bCs/>
          <w:rtl/>
          <w:lang w:bidi="ar-EG"/>
        </w:rPr>
        <w:t>أسئلة لإرشاد المناقشات</w:t>
      </w:r>
    </w:p>
    <w:p w:rsidR="00F0612B" w:rsidRDefault="00F0612B" w:rsidP="00060D0F">
      <w:pPr>
        <w:pStyle w:val="ListParagraph"/>
        <w:numPr>
          <w:ilvl w:val="0"/>
          <w:numId w:val="3"/>
        </w:numPr>
        <w:bidi/>
        <w:spacing w:before="100" w:after="100" w:line="240" w:lineRule="auto"/>
        <w:contextualSpacing w:val="0"/>
        <w:jc w:val="both"/>
        <w:rPr>
          <w:rFonts w:ascii="Simplified Arabic" w:hAnsi="Simplified Arabic"/>
          <w:lang w:bidi="ar-EG"/>
        </w:rPr>
      </w:pPr>
      <w:r>
        <w:rPr>
          <w:rFonts w:hint="cs"/>
          <w:rtl/>
          <w:lang w:bidi="ar-EG"/>
        </w:rPr>
        <w:t>ما هي الإجراءات الرئيسية لتهئية بيئة تمكينية لتعميم التنوع البيولوجي في هذا القطاع؟</w:t>
      </w:r>
    </w:p>
    <w:p w:rsidR="00212DFA" w:rsidRDefault="00212DFA" w:rsidP="00622AF9">
      <w:pPr>
        <w:pStyle w:val="ListParagraph"/>
        <w:numPr>
          <w:ilvl w:val="0"/>
          <w:numId w:val="3"/>
        </w:numPr>
        <w:bidi/>
        <w:spacing w:before="100" w:after="100" w:line="240" w:lineRule="auto"/>
        <w:contextualSpacing w:val="0"/>
        <w:jc w:val="both"/>
        <w:rPr>
          <w:rFonts w:ascii="Simplified Arabic" w:hAnsi="Simplified Arabic"/>
          <w:lang w:bidi="ar-EG"/>
        </w:rPr>
      </w:pPr>
      <w:r>
        <w:rPr>
          <w:rFonts w:ascii="Simplified Arabic" w:hAnsi="Simplified Arabic" w:hint="cs"/>
          <w:rtl/>
          <w:lang w:bidi="ar-EG"/>
        </w:rPr>
        <w:t xml:space="preserve">ما هي بعض الأمثلة الإيجابية المحددة لتعميم التنوع البيولوجي في </w:t>
      </w:r>
      <w:r w:rsidR="00C0318D">
        <w:rPr>
          <w:rFonts w:ascii="Simplified Arabic" w:hAnsi="Simplified Arabic" w:hint="cs"/>
          <w:rtl/>
          <w:lang w:bidi="ar-EG"/>
        </w:rPr>
        <w:t>قطاع</w:t>
      </w:r>
      <w:r w:rsidR="00622AF9">
        <w:rPr>
          <w:rFonts w:ascii="Simplified Arabic" w:hAnsi="Simplified Arabic" w:hint="cs"/>
          <w:rtl/>
          <w:lang w:bidi="ar-EG"/>
        </w:rPr>
        <w:t xml:space="preserve"> البنية التحتية</w:t>
      </w:r>
      <w:r>
        <w:rPr>
          <w:rFonts w:ascii="Simplified Arabic" w:hAnsi="Simplified Arabic" w:hint="cs"/>
          <w:rtl/>
          <w:lang w:bidi="ar-EG"/>
        </w:rPr>
        <w:t>؟</w:t>
      </w:r>
    </w:p>
    <w:p w:rsidR="00212DFA" w:rsidRDefault="00212DFA" w:rsidP="00177662">
      <w:pPr>
        <w:pStyle w:val="ListParagraph"/>
        <w:numPr>
          <w:ilvl w:val="0"/>
          <w:numId w:val="3"/>
        </w:numPr>
        <w:bidi/>
        <w:spacing w:before="100" w:after="100" w:line="240" w:lineRule="auto"/>
        <w:contextualSpacing w:val="0"/>
        <w:jc w:val="both"/>
        <w:rPr>
          <w:rFonts w:ascii="Simplified Arabic" w:hAnsi="Simplified Arabic"/>
          <w:lang w:bidi="ar-EG"/>
        </w:rPr>
      </w:pPr>
      <w:r>
        <w:rPr>
          <w:rFonts w:ascii="Simplified Arabic" w:hAnsi="Simplified Arabic" w:hint="cs"/>
          <w:rtl/>
          <w:lang w:bidi="ar-EG"/>
        </w:rPr>
        <w:t>ما هي أكبر التحديات والحواجز التي تعترض تعميم التنوع البيولوجي في قطاع البني</w:t>
      </w:r>
      <w:r w:rsidR="009C2AB0">
        <w:rPr>
          <w:rFonts w:ascii="Simplified Arabic" w:hAnsi="Simplified Arabic" w:hint="cs"/>
          <w:rtl/>
          <w:lang w:bidi="ar-EG"/>
        </w:rPr>
        <w:t>ة</w:t>
      </w:r>
      <w:r>
        <w:rPr>
          <w:rFonts w:ascii="Simplified Arabic" w:hAnsi="Simplified Arabic" w:hint="cs"/>
          <w:rtl/>
          <w:lang w:bidi="ar-EG"/>
        </w:rPr>
        <w:t xml:space="preserve"> التحتية؟ </w:t>
      </w:r>
      <w:r w:rsidR="00177662">
        <w:rPr>
          <w:rFonts w:hint="cs"/>
          <w:rtl/>
          <w:lang w:bidi="ar-EG"/>
        </w:rPr>
        <w:t>وما هي أكبر الفرص المتاحة لنا الآن</w:t>
      </w:r>
      <w:r>
        <w:rPr>
          <w:rFonts w:ascii="Simplified Arabic" w:hAnsi="Simplified Arabic" w:hint="cs"/>
          <w:rtl/>
          <w:lang w:bidi="ar-EG"/>
        </w:rPr>
        <w:t>؟</w:t>
      </w:r>
    </w:p>
    <w:p w:rsidR="00212DFA" w:rsidRDefault="00212DFA" w:rsidP="00060D0F">
      <w:pPr>
        <w:pStyle w:val="ListParagraph"/>
        <w:numPr>
          <w:ilvl w:val="0"/>
          <w:numId w:val="3"/>
        </w:numPr>
        <w:bidi/>
        <w:spacing w:before="100" w:after="100" w:line="240" w:lineRule="auto"/>
        <w:contextualSpacing w:val="0"/>
        <w:jc w:val="both"/>
        <w:rPr>
          <w:rFonts w:ascii="Simplified Arabic" w:hAnsi="Simplified Arabic"/>
          <w:lang w:bidi="ar-EG"/>
        </w:rPr>
      </w:pPr>
      <w:r>
        <w:rPr>
          <w:rFonts w:ascii="Simplified Arabic" w:hAnsi="Simplified Arabic" w:hint="cs"/>
          <w:rtl/>
          <w:lang w:bidi="ar-EG"/>
        </w:rPr>
        <w:t>ما هي الإجراءات الإضافية اللازمة لتمكين ودعم تعميم التنوع البيولوجي في هذا القطاع؟ وما هي التدابير المتعلقة بالميزانية، والأطر والعمليات المؤسسية، والتشريعات والإجراءات السياسية؟</w:t>
      </w:r>
    </w:p>
    <w:p w:rsidR="00212DFA" w:rsidRPr="00212DFA" w:rsidRDefault="006E021A" w:rsidP="00060D0F">
      <w:pPr>
        <w:pStyle w:val="ListParagraph"/>
        <w:numPr>
          <w:ilvl w:val="0"/>
          <w:numId w:val="3"/>
        </w:numPr>
        <w:bidi/>
        <w:spacing w:before="100" w:after="100" w:line="240" w:lineRule="auto"/>
        <w:contextualSpacing w:val="0"/>
        <w:jc w:val="both"/>
        <w:rPr>
          <w:rFonts w:ascii="Simplified Arabic" w:hAnsi="Simplified Arabic"/>
          <w:rtl/>
          <w:lang w:bidi="ar-EG"/>
        </w:rPr>
      </w:pPr>
      <w:r>
        <w:rPr>
          <w:rFonts w:ascii="Simplified Arabic" w:hAnsi="Simplified Arabic" w:hint="cs"/>
          <w:rtl/>
          <w:lang w:bidi="ar-EG"/>
        </w:rPr>
        <w:t>من هي الجهات الفاعل</w:t>
      </w:r>
      <w:r w:rsidR="00060D0F">
        <w:rPr>
          <w:rFonts w:ascii="Simplified Arabic" w:hAnsi="Simplified Arabic" w:hint="cs"/>
          <w:rtl/>
          <w:lang w:bidi="ar-EG"/>
        </w:rPr>
        <w:t>ة الرئيسية التي لديها دور تؤديه في تحقيق تعميم التنوع البيولوجي في هذا القطاع؟</w:t>
      </w:r>
    </w:p>
    <w:p w:rsidR="003E039C" w:rsidRPr="003E039C" w:rsidRDefault="003E039C" w:rsidP="00060D0F">
      <w:pPr>
        <w:bidi/>
        <w:spacing w:before="100" w:after="100" w:line="240" w:lineRule="auto"/>
        <w:jc w:val="both"/>
        <w:rPr>
          <w:rFonts w:ascii="Simplified Arabic" w:hAnsi="Simplified Arabic"/>
          <w:lang w:bidi="ar-EG"/>
        </w:rPr>
      </w:pPr>
    </w:p>
    <w:sectPr w:rsidR="003E039C" w:rsidRPr="003E039C" w:rsidSect="00DE62AA">
      <w:headerReference w:type="default" r:id="rId7"/>
      <w:footerReference w:type="default" r:id="rId8"/>
      <w:headerReference w:type="first" r:id="rId9"/>
      <w:pgSz w:w="12240" w:h="15840" w:code="1"/>
      <w:pgMar w:top="1440" w:right="1152" w:bottom="1440" w:left="1152" w:header="46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49" w:rsidRDefault="00986049" w:rsidP="00B25594">
      <w:pPr>
        <w:spacing w:after="0" w:line="240" w:lineRule="auto"/>
      </w:pPr>
      <w:r>
        <w:separator/>
      </w:r>
    </w:p>
  </w:endnote>
  <w:endnote w:type="continuationSeparator" w:id="0">
    <w:p w:rsidR="00986049" w:rsidRDefault="00986049" w:rsidP="00B2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469"/>
      <w:docPartObj>
        <w:docPartGallery w:val="Page Numbers (Bottom of Page)"/>
        <w:docPartUnique/>
      </w:docPartObj>
    </w:sdtPr>
    <w:sdtContent>
      <w:p w:rsidR="00212DFA" w:rsidRDefault="00A75F9A" w:rsidP="00DE62AA">
        <w:pPr>
          <w:pStyle w:val="Footer"/>
          <w:jc w:val="center"/>
        </w:pPr>
        <w:fldSimple w:instr=" PAGE   \* MERGEFORMAT ">
          <w:r w:rsidR="00E52C1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49" w:rsidRDefault="00986049" w:rsidP="00B25594">
      <w:pPr>
        <w:spacing w:after="0" w:line="240" w:lineRule="auto"/>
      </w:pPr>
      <w:r>
        <w:separator/>
      </w:r>
    </w:p>
  </w:footnote>
  <w:footnote w:type="continuationSeparator" w:id="0">
    <w:p w:rsidR="00986049" w:rsidRDefault="00986049" w:rsidP="00B2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A" w:rsidRDefault="00212DFA" w:rsidP="00B25594">
    <w:pPr>
      <w:pStyle w:val="Header"/>
      <w:tabs>
        <w:tab w:val="clear" w:pos="4680"/>
        <w:tab w:val="clear" w:pos="9360"/>
        <w:tab w:val="left" w:pos="7470"/>
      </w:tabs>
    </w:pPr>
    <w:r>
      <w:rPr>
        <w:noProof/>
      </w:rPr>
      <w:drawing>
        <wp:anchor distT="0" distB="0" distL="114300" distR="114300" simplePos="0" relativeHeight="251665408" behindDoc="0" locked="0" layoutInCell="1" allowOverlap="1">
          <wp:simplePos x="0" y="0"/>
          <wp:positionH relativeFrom="margin">
            <wp:posOffset>4304030</wp:posOffset>
          </wp:positionH>
          <wp:positionV relativeFrom="margin">
            <wp:posOffset>-822960</wp:posOffset>
          </wp:positionV>
          <wp:extent cx="2084070" cy="63436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inline distT="0" distB="0" distL="0" distR="0">
          <wp:extent cx="1399540" cy="72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inline>
      </w:drawing>
    </w:r>
    <w:r>
      <w:tab/>
    </w:r>
  </w:p>
  <w:p w:rsidR="00212DFA" w:rsidRDefault="00212DFA" w:rsidP="00B25594">
    <w:pPr>
      <w:pStyle w:val="Header"/>
      <w:tabs>
        <w:tab w:val="clear" w:pos="4680"/>
        <w:tab w:val="clear" w:pos="9360"/>
        <w:tab w:val="left" w:pos="74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FA" w:rsidRDefault="00212DFA">
    <w:pPr>
      <w:pStyle w:val="Header"/>
    </w:pPr>
    <w:r>
      <w:rPr>
        <w:noProof/>
      </w:rPr>
      <w:drawing>
        <wp:anchor distT="0" distB="0" distL="114300" distR="114300" simplePos="0" relativeHeight="251664384" behindDoc="0" locked="0" layoutInCell="1" allowOverlap="1">
          <wp:simplePos x="0" y="0"/>
          <wp:positionH relativeFrom="column">
            <wp:posOffset>46990</wp:posOffset>
          </wp:positionH>
          <wp:positionV relativeFrom="paragraph">
            <wp:posOffset>-187960</wp:posOffset>
          </wp:positionV>
          <wp:extent cx="1399540" cy="7239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posOffset>-741045</wp:posOffset>
          </wp:positionV>
          <wp:extent cx="2084070" cy="63436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12DFA" w:rsidRDefault="00212DFA">
    <w:pPr>
      <w:pStyle w:val="Header"/>
    </w:pPr>
  </w:p>
  <w:p w:rsidR="00212DFA" w:rsidRDefault="00212DFA">
    <w:pPr>
      <w:pStyle w:val="Header"/>
    </w:pPr>
  </w:p>
  <w:p w:rsidR="00212DFA" w:rsidRDefault="00212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5E"/>
    <w:multiLevelType w:val="hybridMultilevel"/>
    <w:tmpl w:val="389C09D2"/>
    <w:lvl w:ilvl="0" w:tplc="AE1CE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A6191"/>
    <w:multiLevelType w:val="hybridMultilevel"/>
    <w:tmpl w:val="9E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7115F"/>
    <w:multiLevelType w:val="hybridMultilevel"/>
    <w:tmpl w:val="38CE866C"/>
    <w:lvl w:ilvl="0" w:tplc="2BF01AE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232002"/>
    <w:rsid w:val="000215FD"/>
    <w:rsid w:val="00060D0F"/>
    <w:rsid w:val="000B614C"/>
    <w:rsid w:val="000F687E"/>
    <w:rsid w:val="00106C08"/>
    <w:rsid w:val="00177662"/>
    <w:rsid w:val="001D1F2E"/>
    <w:rsid w:val="001E4BB7"/>
    <w:rsid w:val="00212DFA"/>
    <w:rsid w:val="00232002"/>
    <w:rsid w:val="00271CB0"/>
    <w:rsid w:val="003236D0"/>
    <w:rsid w:val="0033642D"/>
    <w:rsid w:val="00371C80"/>
    <w:rsid w:val="003C3BFC"/>
    <w:rsid w:val="003E039C"/>
    <w:rsid w:val="00431E49"/>
    <w:rsid w:val="004553DC"/>
    <w:rsid w:val="00473FF8"/>
    <w:rsid w:val="00496465"/>
    <w:rsid w:val="005B4411"/>
    <w:rsid w:val="00622AF9"/>
    <w:rsid w:val="0065651B"/>
    <w:rsid w:val="006E021A"/>
    <w:rsid w:val="007C17AD"/>
    <w:rsid w:val="007C2ADB"/>
    <w:rsid w:val="00806FFC"/>
    <w:rsid w:val="008634DC"/>
    <w:rsid w:val="00986049"/>
    <w:rsid w:val="009C2AB0"/>
    <w:rsid w:val="009F5782"/>
    <w:rsid w:val="00A75F9A"/>
    <w:rsid w:val="00A854DF"/>
    <w:rsid w:val="00AB26BE"/>
    <w:rsid w:val="00B25594"/>
    <w:rsid w:val="00B6524B"/>
    <w:rsid w:val="00BF0856"/>
    <w:rsid w:val="00C0318D"/>
    <w:rsid w:val="00C12437"/>
    <w:rsid w:val="00C1286A"/>
    <w:rsid w:val="00C12FB6"/>
    <w:rsid w:val="00C17657"/>
    <w:rsid w:val="00D20844"/>
    <w:rsid w:val="00DD78EA"/>
    <w:rsid w:val="00DE62AA"/>
    <w:rsid w:val="00DF0ACF"/>
    <w:rsid w:val="00DF492A"/>
    <w:rsid w:val="00E52C10"/>
    <w:rsid w:val="00E57F61"/>
    <w:rsid w:val="00F0063F"/>
    <w:rsid w:val="00F0612B"/>
    <w:rsid w:val="00F116E3"/>
    <w:rsid w:val="00F77ADA"/>
    <w:rsid w:val="00FC7B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94"/>
  </w:style>
  <w:style w:type="paragraph" w:styleId="Footer">
    <w:name w:val="footer"/>
    <w:basedOn w:val="Normal"/>
    <w:link w:val="FooterChar"/>
    <w:uiPriority w:val="99"/>
    <w:unhideWhenUsed/>
    <w:rsid w:val="00B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94"/>
  </w:style>
  <w:style w:type="paragraph" w:styleId="ListParagraph">
    <w:name w:val="List Paragraph"/>
    <w:basedOn w:val="Normal"/>
    <w:uiPriority w:val="34"/>
    <w:qFormat/>
    <w:rsid w:val="003E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11</cp:revision>
  <cp:lastPrinted>2018-10-17T16:32:00Z</cp:lastPrinted>
  <dcterms:created xsi:type="dcterms:W3CDTF">2018-10-17T15:27:00Z</dcterms:created>
  <dcterms:modified xsi:type="dcterms:W3CDTF">2018-10-23T13:12:00Z</dcterms:modified>
</cp:coreProperties>
</file>