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07A6E" w:rsidTr="00CB08C3">
        <w:trPr>
          <w:trHeight w:val="709"/>
        </w:trPr>
        <w:tc>
          <w:tcPr>
            <w:tcW w:w="976" w:type="dxa"/>
            <w:tcBorders>
              <w:bottom w:val="single" w:sz="12" w:space="0" w:color="auto"/>
            </w:tcBorders>
          </w:tcPr>
          <w:p w:rsidR="00207A6E" w:rsidRDefault="00207A6E" w:rsidP="00CB08C3">
            <w:r>
              <w:rPr>
                <w:noProof/>
                <w:lang w:eastAsia="zh-CN"/>
              </w:rPr>
              <w:drawing>
                <wp:inline distT="0" distB="0" distL="0" distR="0" wp14:anchorId="0EB7B7BA" wp14:editId="391020EE">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207A6E" w:rsidRDefault="00207A6E" w:rsidP="00CB08C3">
            <w:r>
              <w:rPr>
                <w:noProof/>
                <w:lang w:eastAsia="zh-CN"/>
              </w:rPr>
              <w:drawing>
                <wp:inline distT="0" distB="0" distL="0" distR="0" wp14:anchorId="3ACC1371" wp14:editId="4212ACBE">
                  <wp:extent cx="343700" cy="403200"/>
                  <wp:effectExtent l="0" t="0" r="12065" b="381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207A6E" w:rsidRPr="00C9161D" w:rsidRDefault="00207A6E" w:rsidP="00CB08C3">
            <w:pPr>
              <w:jc w:val="right"/>
              <w:rPr>
                <w:rFonts w:ascii="Arial" w:hAnsi="Arial" w:cs="Arial"/>
                <w:b/>
                <w:sz w:val="32"/>
                <w:szCs w:val="32"/>
              </w:rPr>
            </w:pPr>
            <w:r w:rsidRPr="00C9161D">
              <w:rPr>
                <w:rFonts w:ascii="Arial" w:hAnsi="Arial" w:cs="Arial"/>
                <w:b/>
                <w:sz w:val="32"/>
                <w:szCs w:val="32"/>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F16F02" w:rsidRPr="005440A6" w:rsidTr="009554D5">
        <w:trPr>
          <w:trHeight w:val="1693"/>
        </w:trPr>
        <w:tc>
          <w:tcPr>
            <w:tcW w:w="6227" w:type="dxa"/>
            <w:tcBorders>
              <w:top w:val="nil"/>
              <w:bottom w:val="single" w:sz="36" w:space="0" w:color="000000"/>
            </w:tcBorders>
          </w:tcPr>
          <w:p w:rsidR="00F16F02" w:rsidRPr="005440A6" w:rsidRDefault="00F16F02">
            <w:pPr>
              <w:rPr>
                <w:snapToGrid w:val="0"/>
                <w:kern w:val="22"/>
              </w:rPr>
            </w:pPr>
          </w:p>
          <w:p w:rsidR="00F16F02" w:rsidRPr="005440A6" w:rsidRDefault="00F16F02" w:rsidP="00736BC2">
            <w:pPr>
              <w:rPr>
                <w:snapToGrid w:val="0"/>
                <w:kern w:val="22"/>
              </w:rPr>
            </w:pPr>
            <w:r>
              <w:rPr>
                <w:noProof/>
                <w:kern w:val="22"/>
                <w:lang w:eastAsia="zh-CN"/>
              </w:rPr>
              <w:drawing>
                <wp:inline distT="0" distB="0" distL="0" distR="0" wp14:anchorId="16A8E8AE" wp14:editId="68F329BC">
                  <wp:extent cx="2882900" cy="1079500"/>
                  <wp:effectExtent l="0" t="0" r="1270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em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82900" cy="1079500"/>
                          </a:xfrm>
                          <a:prstGeom prst="rect">
                            <a:avLst/>
                          </a:prstGeom>
                        </pic:spPr>
                      </pic:pic>
                    </a:graphicData>
                  </a:graphic>
                </wp:inline>
              </w:drawing>
            </w:r>
          </w:p>
          <w:p w:rsidR="00F16F02" w:rsidRPr="005440A6" w:rsidRDefault="00F16F02">
            <w:pPr>
              <w:rPr>
                <w:rFonts w:ascii="Univers" w:hAnsi="Univers"/>
                <w:snapToGrid w:val="0"/>
                <w:kern w:val="22"/>
                <w:sz w:val="32"/>
              </w:rPr>
            </w:pPr>
          </w:p>
        </w:tc>
        <w:tc>
          <w:tcPr>
            <w:tcW w:w="1144" w:type="dxa"/>
            <w:tcBorders>
              <w:top w:val="nil"/>
              <w:bottom w:val="single" w:sz="36" w:space="0" w:color="000000"/>
            </w:tcBorders>
          </w:tcPr>
          <w:p w:rsidR="00F16F02" w:rsidRPr="005B2339" w:rsidRDefault="00F16F02">
            <w:pPr>
              <w:pStyle w:val="Header"/>
              <w:tabs>
                <w:tab w:val="clear" w:pos="4320"/>
                <w:tab w:val="clear" w:pos="8640"/>
              </w:tabs>
              <w:rPr>
                <w:b/>
                <w:snapToGrid w:val="0"/>
                <w:kern w:val="22"/>
                <w:sz w:val="32"/>
                <w:szCs w:val="32"/>
              </w:rPr>
            </w:pPr>
          </w:p>
        </w:tc>
        <w:tc>
          <w:tcPr>
            <w:tcW w:w="2977" w:type="dxa"/>
            <w:tcBorders>
              <w:top w:val="nil"/>
              <w:bottom w:val="single" w:sz="36" w:space="0" w:color="000000"/>
            </w:tcBorders>
          </w:tcPr>
          <w:p w:rsidR="00F16F02" w:rsidRPr="005B2339" w:rsidRDefault="00F16F02" w:rsidP="00B271A0">
            <w:pPr>
              <w:ind w:left="63"/>
              <w:rPr>
                <w:snapToGrid w:val="0"/>
                <w:kern w:val="22"/>
                <w:szCs w:val="22"/>
              </w:rPr>
            </w:pPr>
            <w:r w:rsidRPr="005B2339">
              <w:rPr>
                <w:snapToGrid w:val="0"/>
                <w:kern w:val="22"/>
                <w:szCs w:val="22"/>
              </w:rPr>
              <w:t>Distr.</w:t>
            </w:r>
          </w:p>
          <w:p w:rsidR="00F16F02" w:rsidRPr="005B2339" w:rsidRDefault="00F16F02" w:rsidP="00B271A0">
            <w:pPr>
              <w:ind w:left="63"/>
              <w:rPr>
                <w:snapToGrid w:val="0"/>
                <w:kern w:val="22"/>
                <w:szCs w:val="22"/>
              </w:rPr>
            </w:pPr>
            <w:r w:rsidRPr="005B2339">
              <w:rPr>
                <w:snapToGrid w:val="0"/>
                <w:kern w:val="22"/>
                <w:szCs w:val="22"/>
              </w:rPr>
              <w:t>GENERAL</w:t>
            </w:r>
          </w:p>
          <w:p w:rsidR="00F16F02" w:rsidRPr="005B2339" w:rsidRDefault="00F16F02" w:rsidP="00B271A0">
            <w:pPr>
              <w:ind w:left="63"/>
              <w:rPr>
                <w:snapToGrid w:val="0"/>
                <w:kern w:val="22"/>
                <w:szCs w:val="22"/>
              </w:rPr>
            </w:pPr>
          </w:p>
          <w:sdt>
            <w:sdtPr>
              <w:rPr>
                <w:snapToGrid w:val="0"/>
                <w:kern w:val="22"/>
                <w:szCs w:val="22"/>
                <w:lang w:val="en-US"/>
              </w:rPr>
              <w:alias w:val="Subject"/>
              <w:tag w:val=""/>
              <w:id w:val="-344942035"/>
              <w:placeholder>
                <w:docPart w:val="126C0E10A71F4EFDB18FEF1D2C7A7ABF"/>
              </w:placeholder>
              <w:dataBinding w:prefixMappings="xmlns:ns0='http://purl.org/dc/elements/1.1/' xmlns:ns1='http://schemas.openxmlformats.org/package/2006/metadata/core-properties' " w:xpath="/ns1:coreProperties[1]/ns0:subject[1]" w:storeItemID="{6C3C8BC8-F283-45AE-878A-BAB7291924A1}"/>
              <w:text/>
            </w:sdtPr>
            <w:sdtEndPr/>
            <w:sdtContent>
              <w:p w:rsidR="00F16F02" w:rsidRPr="005B2339" w:rsidRDefault="00D51069" w:rsidP="00B271A0">
                <w:pPr>
                  <w:ind w:left="63"/>
                  <w:rPr>
                    <w:snapToGrid w:val="0"/>
                    <w:kern w:val="22"/>
                    <w:szCs w:val="22"/>
                  </w:rPr>
                </w:pPr>
                <w:r w:rsidRPr="005B2339">
                  <w:rPr>
                    <w:snapToGrid w:val="0"/>
                    <w:kern w:val="22"/>
                    <w:szCs w:val="22"/>
                    <w:lang w:val="en-US"/>
                  </w:rPr>
                  <w:t>CBD/SBSTTA</w:t>
                </w:r>
                <w:r w:rsidR="00F16F02" w:rsidRPr="005B2339">
                  <w:rPr>
                    <w:snapToGrid w:val="0"/>
                    <w:kern w:val="22"/>
                    <w:szCs w:val="22"/>
                    <w:lang w:val="en-US"/>
                  </w:rPr>
                  <w:t>/</w:t>
                </w:r>
                <w:r w:rsidR="00D15589" w:rsidRPr="005B2339">
                  <w:rPr>
                    <w:snapToGrid w:val="0"/>
                    <w:kern w:val="22"/>
                    <w:szCs w:val="22"/>
                    <w:lang w:val="en-US"/>
                  </w:rPr>
                  <w:t>22</w:t>
                </w:r>
                <w:r w:rsidRPr="005B2339">
                  <w:rPr>
                    <w:snapToGrid w:val="0"/>
                    <w:kern w:val="22"/>
                    <w:szCs w:val="22"/>
                    <w:lang w:val="en-US"/>
                  </w:rPr>
                  <w:t>/</w:t>
                </w:r>
                <w:r w:rsidR="00F32737">
                  <w:rPr>
                    <w:snapToGrid w:val="0"/>
                    <w:kern w:val="22"/>
                    <w:szCs w:val="22"/>
                    <w:lang w:val="en-US"/>
                  </w:rPr>
                  <w:t>INF/</w:t>
                </w:r>
                <w:r w:rsidR="005B2339" w:rsidRPr="005B2339">
                  <w:rPr>
                    <w:snapToGrid w:val="0"/>
                    <w:kern w:val="22"/>
                    <w:szCs w:val="22"/>
                    <w:lang w:val="en-US"/>
                  </w:rPr>
                  <w:t>11</w:t>
                </w:r>
              </w:p>
            </w:sdtContent>
          </w:sdt>
          <w:p w:rsidR="00F16F02" w:rsidRPr="005B2339" w:rsidRDefault="00DC7E54" w:rsidP="00B271A0">
            <w:pPr>
              <w:ind w:left="63"/>
              <w:rPr>
                <w:snapToGrid w:val="0"/>
                <w:kern w:val="22"/>
                <w:szCs w:val="22"/>
              </w:rPr>
            </w:pPr>
            <w:r w:rsidRPr="005B2339">
              <w:rPr>
                <w:snapToGrid w:val="0"/>
                <w:kern w:val="22"/>
                <w:szCs w:val="22"/>
              </w:rPr>
              <w:t xml:space="preserve">3 April </w:t>
            </w:r>
            <w:r w:rsidR="00D15589" w:rsidRPr="005B2339">
              <w:rPr>
                <w:snapToGrid w:val="0"/>
                <w:kern w:val="22"/>
                <w:szCs w:val="22"/>
              </w:rPr>
              <w:t>2018</w:t>
            </w:r>
          </w:p>
          <w:p w:rsidR="00F16F02" w:rsidRPr="005B2339" w:rsidRDefault="00F16F02" w:rsidP="00B271A0">
            <w:pPr>
              <w:ind w:left="63"/>
              <w:rPr>
                <w:snapToGrid w:val="0"/>
                <w:kern w:val="22"/>
                <w:szCs w:val="22"/>
              </w:rPr>
            </w:pPr>
          </w:p>
          <w:p w:rsidR="00F16F02" w:rsidRPr="005B2339" w:rsidRDefault="00F16F02" w:rsidP="00B271A0">
            <w:pPr>
              <w:ind w:left="63"/>
              <w:rPr>
                <w:snapToGrid w:val="0"/>
                <w:color w:val="FF0000"/>
                <w:kern w:val="22"/>
                <w:szCs w:val="22"/>
                <w:u w:val="single"/>
              </w:rPr>
            </w:pPr>
            <w:r w:rsidRPr="005B2339">
              <w:rPr>
                <w:snapToGrid w:val="0"/>
                <w:kern w:val="22"/>
                <w:szCs w:val="22"/>
              </w:rPr>
              <w:t>ENGLISH</w:t>
            </w:r>
            <w:r w:rsidR="00BC5BBE">
              <w:rPr>
                <w:snapToGrid w:val="0"/>
                <w:kern w:val="22"/>
                <w:szCs w:val="22"/>
              </w:rPr>
              <w:t xml:space="preserve"> ONLY</w:t>
            </w:r>
          </w:p>
        </w:tc>
      </w:tr>
    </w:tbl>
    <w:bookmarkStart w:id="0" w:name="Meeting"/>
    <w:p w:rsidR="00CA6B87" w:rsidRPr="005440A6" w:rsidRDefault="00EA1592" w:rsidP="00D51069">
      <w:pPr>
        <w:pStyle w:val="meetingname"/>
        <w:ind w:right="4398"/>
        <w:rPr>
          <w:kern w:val="22"/>
          <w:szCs w:val="22"/>
        </w:rPr>
      </w:pPr>
      <w:sdt>
        <w:sdtPr>
          <w:alias w:val="Meeting"/>
          <w:tag w:val="Meeting"/>
          <w:id w:val="1412045910"/>
          <w:placeholder>
            <w:docPart w:val="DefaultPlaceholder_1082065158"/>
          </w:placeholder>
          <w:text/>
        </w:sdtPr>
        <w:sdtEndPr/>
        <w:sdtContent>
          <w:r w:rsidR="00D51069">
            <w:t>SUBSIDIARY BODY ON SCIENTIFIC, TECHNICAL AND TECHNOLOGICAL ADVICE</w:t>
          </w:r>
        </w:sdtContent>
      </w:sdt>
      <w:bookmarkEnd w:id="0"/>
    </w:p>
    <w:p w:rsidR="00D51069" w:rsidRDefault="00D51069" w:rsidP="00CA6B87">
      <w:pPr>
        <w:rPr>
          <w:snapToGrid w:val="0"/>
          <w:kern w:val="22"/>
          <w:szCs w:val="22"/>
          <w:lang w:eastAsia="nb-NO"/>
        </w:rPr>
      </w:pPr>
      <w:r>
        <w:rPr>
          <w:snapToGrid w:val="0"/>
          <w:kern w:val="22"/>
          <w:szCs w:val="22"/>
          <w:lang w:eastAsia="nb-NO"/>
        </w:rPr>
        <w:t>Twenty-</w:t>
      </w:r>
      <w:r w:rsidR="00FB3B70">
        <w:rPr>
          <w:snapToGrid w:val="0"/>
          <w:kern w:val="22"/>
          <w:szCs w:val="22"/>
          <w:lang w:eastAsia="nb-NO"/>
        </w:rPr>
        <w:t>second</w:t>
      </w:r>
      <w:r>
        <w:rPr>
          <w:snapToGrid w:val="0"/>
          <w:kern w:val="22"/>
          <w:szCs w:val="22"/>
          <w:lang w:eastAsia="nb-NO"/>
        </w:rPr>
        <w:t xml:space="preserve"> meeting</w:t>
      </w:r>
    </w:p>
    <w:p w:rsidR="00CA6B87" w:rsidRPr="005440A6" w:rsidRDefault="00D51069" w:rsidP="00CA6B87">
      <w:pPr>
        <w:rPr>
          <w:snapToGrid w:val="0"/>
          <w:kern w:val="22"/>
          <w:szCs w:val="22"/>
          <w:lang w:eastAsia="nb-NO"/>
        </w:rPr>
      </w:pPr>
      <w:r>
        <w:rPr>
          <w:snapToGrid w:val="0"/>
          <w:kern w:val="22"/>
          <w:szCs w:val="22"/>
          <w:lang w:eastAsia="nb-NO"/>
        </w:rPr>
        <w:t>Montreal</w:t>
      </w:r>
      <w:r w:rsidR="00CA6B87" w:rsidRPr="005440A6">
        <w:rPr>
          <w:snapToGrid w:val="0"/>
          <w:kern w:val="22"/>
          <w:szCs w:val="22"/>
          <w:lang w:eastAsia="nb-NO"/>
        </w:rPr>
        <w:t xml:space="preserve">, </w:t>
      </w:r>
      <w:r>
        <w:rPr>
          <w:snapToGrid w:val="0"/>
          <w:kern w:val="22"/>
          <w:szCs w:val="22"/>
          <w:lang w:eastAsia="nb-NO"/>
        </w:rPr>
        <w:t xml:space="preserve">Canada, </w:t>
      </w:r>
      <w:r w:rsidR="00D15589">
        <w:rPr>
          <w:snapToGrid w:val="0"/>
          <w:kern w:val="22"/>
          <w:szCs w:val="22"/>
          <w:lang w:eastAsia="nb-NO"/>
        </w:rPr>
        <w:t>2-7 July 2018</w:t>
      </w:r>
    </w:p>
    <w:p w:rsidR="00CA6B87" w:rsidRPr="005440A6" w:rsidRDefault="00D51069" w:rsidP="00CA6B87">
      <w:pPr>
        <w:rPr>
          <w:snapToGrid w:val="0"/>
          <w:kern w:val="22"/>
          <w:szCs w:val="22"/>
          <w:lang w:eastAsia="nb-NO"/>
        </w:rPr>
      </w:pPr>
      <w:r>
        <w:rPr>
          <w:snapToGrid w:val="0"/>
          <w:kern w:val="22"/>
          <w:szCs w:val="22"/>
          <w:lang w:eastAsia="nb-NO"/>
        </w:rPr>
        <w:t>I</w:t>
      </w:r>
      <w:r w:rsidR="00CA6B87" w:rsidRPr="005440A6">
        <w:rPr>
          <w:snapToGrid w:val="0"/>
          <w:kern w:val="22"/>
          <w:szCs w:val="22"/>
          <w:lang w:eastAsia="nb-NO"/>
        </w:rPr>
        <w:t xml:space="preserve">tem </w:t>
      </w:r>
      <w:r w:rsidR="00DC7E54">
        <w:rPr>
          <w:snapToGrid w:val="0"/>
          <w:kern w:val="22"/>
          <w:szCs w:val="22"/>
          <w:lang w:eastAsia="nb-NO"/>
        </w:rPr>
        <w:t>4</w:t>
      </w:r>
      <w:r w:rsidR="00AE7D6E">
        <w:rPr>
          <w:snapToGrid w:val="0"/>
          <w:kern w:val="22"/>
          <w:szCs w:val="22"/>
          <w:lang w:eastAsia="nb-NO"/>
        </w:rPr>
        <w:t xml:space="preserve"> </w:t>
      </w:r>
      <w:r>
        <w:rPr>
          <w:snapToGrid w:val="0"/>
          <w:kern w:val="22"/>
          <w:szCs w:val="22"/>
          <w:lang w:eastAsia="nb-NO"/>
        </w:rPr>
        <w:t>of the provisional agenda</w:t>
      </w:r>
      <w:r w:rsidRPr="00CA1572">
        <w:rPr>
          <w:rStyle w:val="FootnoteReference"/>
          <w:snapToGrid w:val="0"/>
          <w:kern w:val="22"/>
          <w:szCs w:val="22"/>
          <w:u w:val="none"/>
          <w:lang w:eastAsia="nb-NO"/>
        </w:rPr>
        <w:footnoteReference w:customMarkFollows="1" w:id="1"/>
        <w:t>*</w:t>
      </w:r>
    </w:p>
    <w:p w:rsidR="00406BC6" w:rsidRDefault="009D2F92" w:rsidP="00D36DB5">
      <w:pPr>
        <w:pStyle w:val="Heading1"/>
        <w:tabs>
          <w:tab w:val="clear" w:pos="720"/>
          <w:tab w:val="left" w:pos="-90"/>
        </w:tabs>
        <w:rPr>
          <w:snapToGrid w:val="0"/>
          <w:lang w:val="en-US"/>
        </w:rPr>
      </w:pPr>
      <w:r>
        <w:rPr>
          <w:snapToGrid w:val="0"/>
        </w:rPr>
        <w:tab/>
      </w:r>
      <w:sdt>
        <w:sdtPr>
          <w:rPr>
            <w:snapToGrid w:val="0"/>
            <w:lang w:val="en-US"/>
          </w:rPr>
          <w:alias w:val="Title"/>
          <w:tag w:val=""/>
          <w:id w:val="301582339"/>
          <w:placeholder>
            <w:docPart w:val="A79ABB9F55644AE3BB8290E8CB7F8968"/>
          </w:placeholder>
          <w:dataBinding w:prefixMappings="xmlns:ns0='http://purl.org/dc/elements/1.1/' xmlns:ns1='http://schemas.openxmlformats.org/package/2006/metadata/core-properties' " w:xpath="/ns1:coreProperties[1]/ns0:title[1]" w:storeItemID="{6C3C8BC8-F283-45AE-878A-BAB7291924A1}"/>
          <w:text/>
        </w:sdtPr>
        <w:sdtEndPr/>
        <w:sdtContent>
          <w:r w:rsidR="00D36DB5" w:rsidRPr="00D36DB5">
            <w:rPr>
              <w:snapToGrid w:val="0"/>
              <w:lang w:val="en-US"/>
            </w:rPr>
            <w:t>SYNTHESIS OF SUBMISSIONS BY PARTIES IN RESPONSE TO PARAGRAPH 6 OF DECISION CP-VII</w:t>
          </w:r>
          <w:r w:rsidR="00EA1592">
            <w:rPr>
              <w:snapToGrid w:val="0"/>
              <w:lang w:val="en-US"/>
            </w:rPr>
            <w:t>I</w:t>
          </w:r>
          <w:r w:rsidR="00D36DB5" w:rsidRPr="00D36DB5">
            <w:rPr>
              <w:snapToGrid w:val="0"/>
              <w:lang w:val="en-US"/>
            </w:rPr>
            <w:t>/12</w:t>
          </w:r>
        </w:sdtContent>
      </w:sdt>
    </w:p>
    <w:p w:rsidR="00C85EA4" w:rsidRDefault="00C85EA4" w:rsidP="00C85EA4">
      <w:pPr>
        <w:pStyle w:val="Heading2"/>
        <w:rPr>
          <w:b w:val="0"/>
          <w:i/>
          <w:lang w:val="en-US"/>
        </w:rPr>
      </w:pPr>
      <w:r w:rsidRPr="00C85EA4">
        <w:rPr>
          <w:b w:val="0"/>
          <w:i/>
          <w:lang w:val="en-US"/>
        </w:rPr>
        <w:t>Note by the Executive Secretary</w:t>
      </w:r>
      <w:bookmarkStart w:id="1" w:name="_GoBack"/>
      <w:bookmarkEnd w:id="1"/>
    </w:p>
    <w:p w:rsidR="00D36DB5" w:rsidRPr="00D36DB5" w:rsidRDefault="00D36DB5" w:rsidP="00BC5BBE">
      <w:pPr>
        <w:pStyle w:val="Heading1"/>
        <w:numPr>
          <w:ilvl w:val="0"/>
          <w:numId w:val="37"/>
        </w:numPr>
        <w:tabs>
          <w:tab w:val="clear" w:pos="720"/>
          <w:tab w:val="left" w:pos="1134"/>
        </w:tabs>
        <w:jc w:val="left"/>
        <w:rPr>
          <w:lang w:val="en-US"/>
        </w:rPr>
      </w:pPr>
      <w:r w:rsidRPr="00D36DB5">
        <w:rPr>
          <w:lang w:val="en-US"/>
        </w:rPr>
        <w:t>Gaps in existing guidance on risk assessment of living modified organisms</w:t>
      </w:r>
    </w:p>
    <w:p w:rsidR="00D36DB5" w:rsidRPr="00D36DB5" w:rsidRDefault="00D36DB5" w:rsidP="00BC5BBE">
      <w:pPr>
        <w:pStyle w:val="Para1"/>
        <w:numPr>
          <w:ilvl w:val="0"/>
          <w:numId w:val="36"/>
        </w:numPr>
        <w:tabs>
          <w:tab w:val="clear" w:pos="360"/>
        </w:tabs>
        <w:adjustRightInd w:val="0"/>
        <w:snapToGrid w:val="0"/>
        <w:rPr>
          <w:kern w:val="22"/>
          <w:szCs w:val="22"/>
        </w:rPr>
      </w:pPr>
      <w:r w:rsidRPr="00D36DB5">
        <w:rPr>
          <w:kern w:val="22"/>
          <w:szCs w:val="22"/>
        </w:rPr>
        <w:t>In their submissions, Parties identified a number of gaps in existing guidance documents, including the following:</w:t>
      </w:r>
    </w:p>
    <w:p w:rsidR="00D36DB5" w:rsidRDefault="00D36DB5" w:rsidP="00BC5BBE">
      <w:pPr>
        <w:pStyle w:val="Para1"/>
        <w:numPr>
          <w:ilvl w:val="0"/>
          <w:numId w:val="0"/>
        </w:numPr>
        <w:adjustRightInd w:val="0"/>
        <w:snapToGrid w:val="0"/>
        <w:ind w:firstLine="709"/>
        <w:rPr>
          <w:kern w:val="22"/>
          <w:szCs w:val="22"/>
        </w:rPr>
      </w:pPr>
      <w:r w:rsidRPr="00D36DB5">
        <w:rPr>
          <w:kern w:val="22"/>
          <w:szCs w:val="22"/>
        </w:rPr>
        <w:t xml:space="preserve">(a) </w:t>
      </w:r>
      <w:r w:rsidRPr="00D36DB5">
        <w:rPr>
          <w:kern w:val="22"/>
          <w:szCs w:val="22"/>
        </w:rPr>
        <w:tab/>
        <w:t>Austria noted that information is lacking on how to perform the assessment of certain LMOs when no appropriate comparators exist, or may be used for testing (e.g. pathogenic organisms, comparators which will not survive in the receiving environments) and “per se” risk assessment approaches have to be developed and implemented. Furthermore, Austria and Italy noted that even though “limits of concern” is an important element in the evaluation of the adversity of measured effects, specific “limits of concern” still need to be further elaborated for different areas of biosafety r</w:t>
      </w:r>
      <w:r>
        <w:rPr>
          <w:kern w:val="22"/>
          <w:szCs w:val="22"/>
        </w:rPr>
        <w:t>isks and measurement endp</w:t>
      </w:r>
      <w:r w:rsidR="00BC5BBE">
        <w:rPr>
          <w:kern w:val="22"/>
          <w:szCs w:val="22"/>
        </w:rPr>
        <w:t>oints;</w:t>
      </w:r>
    </w:p>
    <w:p w:rsidR="00D36DB5" w:rsidRPr="00D36DB5" w:rsidRDefault="00D36DB5" w:rsidP="00BC5BBE">
      <w:pPr>
        <w:pStyle w:val="Para1"/>
        <w:numPr>
          <w:ilvl w:val="0"/>
          <w:numId w:val="0"/>
        </w:numPr>
        <w:adjustRightInd w:val="0"/>
        <w:snapToGrid w:val="0"/>
        <w:ind w:firstLine="709"/>
        <w:rPr>
          <w:kern w:val="22"/>
          <w:szCs w:val="22"/>
        </w:rPr>
      </w:pPr>
      <w:r w:rsidRPr="00D36DB5">
        <w:rPr>
          <w:kern w:val="22"/>
          <w:szCs w:val="22"/>
        </w:rPr>
        <w:t xml:space="preserve">(b) </w:t>
      </w:r>
      <w:r w:rsidRPr="00D36DB5">
        <w:rPr>
          <w:kern w:val="22"/>
          <w:szCs w:val="22"/>
        </w:rPr>
        <w:tab/>
        <w:t>Bolivia noted that human health is only marginally addressed on existing guidance on risk assessment of LMOs. It also noted that although the CBD and Article 26 of the Cartagena Protocol emphasize the value of biological diversity to indigenous peoples and local communities (IPLC), the potential adverse effects of LMOs in relation to IPLCs is not reflected in current guidance materials. In addition, Bolivia pointed out those socio-economic considerations needs to be reflected in the current guidance materia</w:t>
      </w:r>
      <w:r w:rsidR="00BC5BBE">
        <w:rPr>
          <w:kern w:val="22"/>
          <w:szCs w:val="22"/>
        </w:rPr>
        <w:t>ls;</w:t>
      </w:r>
    </w:p>
    <w:p w:rsidR="00D36DB5" w:rsidRPr="00D36DB5" w:rsidRDefault="00D36DB5" w:rsidP="00BC5BBE">
      <w:pPr>
        <w:pStyle w:val="Para1"/>
        <w:numPr>
          <w:ilvl w:val="0"/>
          <w:numId w:val="0"/>
        </w:numPr>
        <w:adjustRightInd w:val="0"/>
        <w:snapToGrid w:val="0"/>
        <w:ind w:firstLine="709"/>
        <w:rPr>
          <w:kern w:val="22"/>
          <w:szCs w:val="22"/>
        </w:rPr>
      </w:pPr>
      <w:r w:rsidRPr="00D36DB5">
        <w:rPr>
          <w:kern w:val="22"/>
          <w:szCs w:val="22"/>
        </w:rPr>
        <w:t xml:space="preserve">(c) </w:t>
      </w:r>
      <w:r w:rsidRPr="00D36DB5">
        <w:rPr>
          <w:kern w:val="22"/>
          <w:szCs w:val="22"/>
        </w:rPr>
        <w:tab/>
        <w:t>Costa Rica and Honduras noted that existing guidance materials have been designed for experienced risk assessors, and putting them into practice is a challenge for countries withou</w:t>
      </w:r>
      <w:r w:rsidR="00BC5BBE">
        <w:rPr>
          <w:kern w:val="22"/>
          <w:szCs w:val="22"/>
        </w:rPr>
        <w:t>t experience in risk assessment;</w:t>
      </w:r>
      <w:r w:rsidRPr="00D36DB5">
        <w:rPr>
          <w:kern w:val="22"/>
          <w:szCs w:val="22"/>
        </w:rPr>
        <w:t xml:space="preserve"> </w:t>
      </w:r>
    </w:p>
    <w:p w:rsidR="00D36DB5" w:rsidRPr="00D36DB5" w:rsidRDefault="00D36DB5" w:rsidP="00BC5BBE">
      <w:pPr>
        <w:pStyle w:val="Para1"/>
        <w:numPr>
          <w:ilvl w:val="0"/>
          <w:numId w:val="0"/>
        </w:numPr>
        <w:adjustRightInd w:val="0"/>
        <w:snapToGrid w:val="0"/>
        <w:ind w:firstLine="709"/>
        <w:rPr>
          <w:kern w:val="22"/>
          <w:szCs w:val="22"/>
        </w:rPr>
      </w:pPr>
      <w:r w:rsidRPr="00D36DB5">
        <w:rPr>
          <w:kern w:val="22"/>
          <w:szCs w:val="22"/>
        </w:rPr>
        <w:t xml:space="preserve">(d) </w:t>
      </w:r>
      <w:r w:rsidRPr="00D36DB5">
        <w:rPr>
          <w:kern w:val="22"/>
          <w:szCs w:val="22"/>
        </w:rPr>
        <w:tab/>
        <w:t xml:space="preserve">France noted that current information is insufficient for assessing LMOs impact on the state and dynamics of biodiversity in interaction with agriculture (e.g. farmland birds) and knowledge gaps exist on how to deal with incomplete data from monitoring and how to draw lessons from the observations currently available, for example by the mean of modelling or developing experimental conditions that mimic the natural environment. France also noted the importance of developing biodiversity observation networks to obtain baseline information of </w:t>
      </w:r>
      <w:r w:rsidR="00BC5BBE">
        <w:rPr>
          <w:kern w:val="22"/>
          <w:szCs w:val="22"/>
        </w:rPr>
        <w:t>sufficient quality and coverage;</w:t>
      </w:r>
    </w:p>
    <w:p w:rsidR="00D36DB5" w:rsidRPr="00D36DB5" w:rsidRDefault="00D36DB5" w:rsidP="00BC5BBE">
      <w:pPr>
        <w:pStyle w:val="Para1"/>
        <w:numPr>
          <w:ilvl w:val="0"/>
          <w:numId w:val="0"/>
        </w:numPr>
        <w:adjustRightInd w:val="0"/>
        <w:snapToGrid w:val="0"/>
        <w:ind w:firstLine="709"/>
        <w:rPr>
          <w:kern w:val="22"/>
          <w:szCs w:val="22"/>
        </w:rPr>
      </w:pPr>
      <w:r w:rsidRPr="00D36DB5">
        <w:rPr>
          <w:kern w:val="22"/>
          <w:szCs w:val="22"/>
        </w:rPr>
        <w:t xml:space="preserve">(e) </w:t>
      </w:r>
      <w:r w:rsidRPr="00D36DB5">
        <w:rPr>
          <w:kern w:val="22"/>
          <w:szCs w:val="22"/>
        </w:rPr>
        <w:tab/>
        <w:t xml:space="preserve">Italy noted that there is a need for further harmonization of terminology and its use in the different guidelines; as well as a need for updating of </w:t>
      </w:r>
      <w:r w:rsidR="00BC5BBE">
        <w:rPr>
          <w:kern w:val="22"/>
          <w:szCs w:val="22"/>
        </w:rPr>
        <w:t>most of the existing guidelines;</w:t>
      </w:r>
    </w:p>
    <w:p w:rsidR="00D36DB5" w:rsidRPr="00D36DB5" w:rsidRDefault="00D36DB5" w:rsidP="00BC5BBE">
      <w:pPr>
        <w:pStyle w:val="Para1"/>
        <w:numPr>
          <w:ilvl w:val="0"/>
          <w:numId w:val="0"/>
        </w:numPr>
        <w:adjustRightInd w:val="0"/>
        <w:snapToGrid w:val="0"/>
        <w:ind w:firstLine="709"/>
        <w:rPr>
          <w:kern w:val="22"/>
          <w:szCs w:val="22"/>
        </w:rPr>
      </w:pPr>
      <w:r w:rsidRPr="00D36DB5">
        <w:rPr>
          <w:kern w:val="22"/>
          <w:szCs w:val="22"/>
        </w:rPr>
        <w:lastRenderedPageBreak/>
        <w:t xml:space="preserve">(f) </w:t>
      </w:r>
      <w:r w:rsidRPr="00D36DB5">
        <w:rPr>
          <w:kern w:val="22"/>
          <w:szCs w:val="22"/>
        </w:rPr>
        <w:tab/>
        <w:t>Japan noted that there is no explanation on how scientific knowledge accumulated through previous environmental risk assessments can be efficiently used to further impr</w:t>
      </w:r>
      <w:r w:rsidR="00BC5BBE">
        <w:rPr>
          <w:kern w:val="22"/>
          <w:szCs w:val="22"/>
        </w:rPr>
        <w:t>ove the risk assessment process;</w:t>
      </w:r>
    </w:p>
    <w:p w:rsidR="00D36DB5" w:rsidRPr="00D36DB5" w:rsidRDefault="00D36DB5" w:rsidP="00BC5BBE">
      <w:pPr>
        <w:pStyle w:val="Para1"/>
        <w:numPr>
          <w:ilvl w:val="0"/>
          <w:numId w:val="0"/>
        </w:numPr>
        <w:adjustRightInd w:val="0"/>
        <w:snapToGrid w:val="0"/>
        <w:ind w:firstLine="709"/>
        <w:rPr>
          <w:kern w:val="22"/>
          <w:szCs w:val="22"/>
        </w:rPr>
      </w:pPr>
      <w:r w:rsidRPr="00D36DB5">
        <w:rPr>
          <w:kern w:val="22"/>
          <w:szCs w:val="22"/>
        </w:rPr>
        <w:t xml:space="preserve">(g) </w:t>
      </w:r>
      <w:r w:rsidRPr="00D36DB5">
        <w:rPr>
          <w:kern w:val="22"/>
          <w:szCs w:val="22"/>
        </w:rPr>
        <w:tab/>
        <w:t>Mexico noted a lack of information, in existing guidance documents, on how to manage the risks identified during the risk assessment process. Mexico also emphasized the importance of carrying out activities for capacity development, on a regular basis, to enable regulators and risk assessors to keep pace with technological devel</w:t>
      </w:r>
      <w:r w:rsidR="00BC5BBE">
        <w:rPr>
          <w:kern w:val="22"/>
          <w:szCs w:val="22"/>
        </w:rPr>
        <w:t>opments;</w:t>
      </w:r>
      <w:r w:rsidRPr="00D36DB5">
        <w:rPr>
          <w:kern w:val="22"/>
          <w:szCs w:val="22"/>
        </w:rPr>
        <w:t xml:space="preserve"> </w:t>
      </w:r>
    </w:p>
    <w:p w:rsidR="00D36DB5" w:rsidRPr="00D36DB5" w:rsidRDefault="00D36DB5" w:rsidP="00BC5BBE">
      <w:pPr>
        <w:pStyle w:val="Para1"/>
        <w:numPr>
          <w:ilvl w:val="0"/>
          <w:numId w:val="0"/>
        </w:numPr>
        <w:adjustRightInd w:val="0"/>
        <w:snapToGrid w:val="0"/>
        <w:ind w:firstLine="709"/>
        <w:rPr>
          <w:kern w:val="22"/>
          <w:szCs w:val="22"/>
        </w:rPr>
      </w:pPr>
      <w:r w:rsidRPr="00D36DB5">
        <w:rPr>
          <w:kern w:val="22"/>
          <w:szCs w:val="22"/>
        </w:rPr>
        <w:t xml:space="preserve">(h) </w:t>
      </w:r>
      <w:r w:rsidRPr="00D36DB5">
        <w:rPr>
          <w:kern w:val="22"/>
          <w:szCs w:val="22"/>
        </w:rPr>
        <w:tab/>
        <w:t>South Africa noted the need for further examples on how to address uncertainty in the risk assessment of LMOs with complex traits.</w:t>
      </w:r>
    </w:p>
    <w:p w:rsidR="00D36DB5" w:rsidRPr="00D36DB5" w:rsidRDefault="00BC5BBE" w:rsidP="00BC5BBE">
      <w:pPr>
        <w:pStyle w:val="Heading1"/>
        <w:ind w:left="1418" w:hanging="567"/>
        <w:jc w:val="left"/>
      </w:pPr>
      <w:r>
        <w:t>II.</w:t>
      </w:r>
      <w:r>
        <w:tab/>
      </w:r>
      <w:r w:rsidR="00D36DB5" w:rsidRPr="00D36DB5">
        <w:t>Needs and priorities for furt</w:t>
      </w:r>
      <w:r>
        <w:t>her guidance on specific topics </w:t>
      </w:r>
      <w:r w:rsidR="00D36DB5" w:rsidRPr="00D36DB5">
        <w:t>of risk assessment of living modified organisms</w:t>
      </w:r>
    </w:p>
    <w:p w:rsidR="00D36DB5" w:rsidRPr="00D36DB5" w:rsidRDefault="00D36DB5" w:rsidP="00BC5BBE">
      <w:pPr>
        <w:pStyle w:val="Para1"/>
        <w:numPr>
          <w:ilvl w:val="0"/>
          <w:numId w:val="36"/>
        </w:numPr>
        <w:tabs>
          <w:tab w:val="clear" w:pos="360"/>
        </w:tabs>
        <w:adjustRightInd w:val="0"/>
        <w:snapToGrid w:val="0"/>
        <w:rPr>
          <w:kern w:val="22"/>
          <w:szCs w:val="22"/>
        </w:rPr>
      </w:pPr>
      <w:r w:rsidRPr="00D36DB5">
        <w:rPr>
          <w:kern w:val="22"/>
          <w:szCs w:val="22"/>
        </w:rPr>
        <w:t xml:space="preserve">Seven Parties (Brazil, Costa Rica, European Union, Honduras, Japan, Mexico and New Zealand) indicated that the existing guidance documents on specific topics of risk assessment of living modified organisms are sufficient and recommended that no new guidance should be developed for the time being. Among those submissions, New Zealand considered that these publicly available resources are more than adequate for Parties to conduct risk assessments of LMOs, and that many governmental and non-governmental bodies are available to assist Parties which require assistance. Honduras and Costa Rica recommended the sharing of experiences in actual cases of risk assessment, which were conducted in a case-by-case manner and in accordance with national risk assessment frameworks and the Guidance on Risk Assessment of Living Modified Organisms developed under the Cartagena Protocol. Furthermore, Brazil recommended that the need to develop guidance on new topics of risk assessment should be evaluated periodically, on the basis of Parties’ priorities and taking into account scientific and technological progress. </w:t>
      </w:r>
    </w:p>
    <w:p w:rsidR="00D36DB5" w:rsidRPr="00D36DB5" w:rsidRDefault="00D36DB5" w:rsidP="00BC5BBE">
      <w:pPr>
        <w:pStyle w:val="Para1"/>
        <w:numPr>
          <w:ilvl w:val="0"/>
          <w:numId w:val="36"/>
        </w:numPr>
        <w:tabs>
          <w:tab w:val="clear" w:pos="360"/>
        </w:tabs>
        <w:adjustRightInd w:val="0"/>
        <w:snapToGrid w:val="0"/>
        <w:rPr>
          <w:kern w:val="22"/>
          <w:szCs w:val="22"/>
        </w:rPr>
      </w:pPr>
      <w:r w:rsidRPr="00D36DB5">
        <w:rPr>
          <w:kern w:val="22"/>
          <w:szCs w:val="22"/>
        </w:rPr>
        <w:t xml:space="preserve">Twelve Parties (Austria, Belarus, Bolivia, Bulgaria, Finland, France, Italy, Malaysia, Moldova, Nigeria, Norway and South Africa) recommended that new guidance should be developed on specific topics of risk assessment to provide additional assistance to the parties in addressing particular issues for which the already available guidelines may not be sufficient, in particular in relation to new developments which may pose new risk assessment challenges that may require different approaches. </w:t>
      </w:r>
    </w:p>
    <w:p w:rsidR="00D36DB5" w:rsidRPr="00D36DB5" w:rsidRDefault="00D36DB5" w:rsidP="00BC5BBE">
      <w:pPr>
        <w:pStyle w:val="Para1"/>
        <w:numPr>
          <w:ilvl w:val="0"/>
          <w:numId w:val="36"/>
        </w:numPr>
        <w:tabs>
          <w:tab w:val="clear" w:pos="360"/>
        </w:tabs>
        <w:adjustRightInd w:val="0"/>
        <w:snapToGrid w:val="0"/>
        <w:rPr>
          <w:kern w:val="22"/>
          <w:szCs w:val="22"/>
        </w:rPr>
      </w:pPr>
      <w:r w:rsidRPr="00D36DB5">
        <w:rPr>
          <w:kern w:val="22"/>
          <w:szCs w:val="22"/>
        </w:rPr>
        <w:t xml:space="preserve">Two priority topics were identified by to develop guidance on “risk assessment of organisms developed through synthetic biology, including organisms produced through genome editing and organisms containing engineered gene drives”, and on “risk assessment of living modified fish”.  </w:t>
      </w:r>
    </w:p>
    <w:p w:rsidR="00D36DB5" w:rsidRPr="00D36DB5" w:rsidRDefault="00D36DB5" w:rsidP="00BC5BBE">
      <w:pPr>
        <w:pStyle w:val="Para1"/>
        <w:numPr>
          <w:ilvl w:val="0"/>
          <w:numId w:val="36"/>
        </w:numPr>
        <w:tabs>
          <w:tab w:val="clear" w:pos="360"/>
        </w:tabs>
        <w:adjustRightInd w:val="0"/>
        <w:snapToGrid w:val="0"/>
        <w:rPr>
          <w:kern w:val="22"/>
          <w:szCs w:val="22"/>
        </w:rPr>
      </w:pPr>
      <w:r w:rsidRPr="00D36DB5">
        <w:rPr>
          <w:kern w:val="22"/>
          <w:szCs w:val="22"/>
        </w:rPr>
        <w:t>A compilation of topics that were identified as needs and priorities by Parties is provided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2406"/>
        <w:gridCol w:w="3780"/>
      </w:tblGrid>
      <w:tr w:rsidR="00D36DB5" w:rsidRPr="00E8568F" w:rsidTr="00F73422">
        <w:tc>
          <w:tcPr>
            <w:tcW w:w="3192" w:type="dxa"/>
            <w:shd w:val="clear" w:color="auto" w:fill="auto"/>
          </w:tcPr>
          <w:p w:rsidR="00D36DB5" w:rsidRPr="00E8568F" w:rsidRDefault="00D36DB5" w:rsidP="00F73422">
            <w:pPr>
              <w:spacing w:before="120" w:after="120"/>
              <w:jc w:val="left"/>
              <w:rPr>
                <w:rFonts w:eastAsia="Calibri"/>
                <w:b/>
                <w:szCs w:val="22"/>
                <w:lang w:val="en-US"/>
              </w:rPr>
            </w:pPr>
            <w:r w:rsidRPr="00E8568F">
              <w:rPr>
                <w:rFonts w:eastAsia="Calibri"/>
                <w:b/>
                <w:szCs w:val="22"/>
                <w:lang w:val="en-US"/>
              </w:rPr>
              <w:t>Topic</w:t>
            </w:r>
          </w:p>
        </w:tc>
        <w:tc>
          <w:tcPr>
            <w:tcW w:w="2406" w:type="dxa"/>
            <w:shd w:val="clear" w:color="auto" w:fill="auto"/>
          </w:tcPr>
          <w:p w:rsidR="00D36DB5" w:rsidRPr="00E8568F" w:rsidRDefault="00D36DB5" w:rsidP="00F73422">
            <w:pPr>
              <w:spacing w:before="120" w:after="120"/>
              <w:jc w:val="left"/>
              <w:rPr>
                <w:rFonts w:eastAsia="Calibri"/>
                <w:b/>
                <w:szCs w:val="22"/>
                <w:lang w:val="en-US"/>
              </w:rPr>
            </w:pPr>
            <w:r w:rsidRPr="00E8568F">
              <w:rPr>
                <w:rFonts w:eastAsia="Calibri"/>
                <w:b/>
                <w:szCs w:val="22"/>
                <w:lang w:val="en-US"/>
              </w:rPr>
              <w:t>Proposed by</w:t>
            </w:r>
          </w:p>
        </w:tc>
        <w:tc>
          <w:tcPr>
            <w:tcW w:w="3780" w:type="dxa"/>
            <w:shd w:val="clear" w:color="auto" w:fill="auto"/>
          </w:tcPr>
          <w:p w:rsidR="00D36DB5" w:rsidRPr="00E8568F" w:rsidRDefault="00D36DB5" w:rsidP="00F73422">
            <w:pPr>
              <w:spacing w:before="120" w:after="120"/>
              <w:jc w:val="left"/>
              <w:rPr>
                <w:rFonts w:eastAsia="Calibri"/>
                <w:b/>
                <w:szCs w:val="22"/>
                <w:lang w:val="en-US"/>
              </w:rPr>
            </w:pPr>
            <w:r w:rsidRPr="00E8568F">
              <w:rPr>
                <w:rFonts w:eastAsia="Calibri"/>
                <w:b/>
                <w:szCs w:val="22"/>
                <w:lang w:val="en-US"/>
              </w:rPr>
              <w:t>Notes / Justification</w:t>
            </w:r>
          </w:p>
        </w:tc>
      </w:tr>
      <w:tr w:rsidR="00D36DB5" w:rsidRPr="00E8568F" w:rsidTr="00F73422">
        <w:tc>
          <w:tcPr>
            <w:tcW w:w="3192" w:type="dxa"/>
            <w:shd w:val="clear" w:color="auto" w:fill="auto"/>
          </w:tcPr>
          <w:p w:rsidR="00D36DB5" w:rsidRPr="00E8568F" w:rsidRDefault="00D36DB5" w:rsidP="00F73422">
            <w:pPr>
              <w:spacing w:before="120" w:after="120"/>
              <w:jc w:val="left"/>
              <w:rPr>
                <w:rFonts w:eastAsia="Calibri"/>
                <w:szCs w:val="22"/>
                <w:lang w:val="en-US"/>
              </w:rPr>
            </w:pPr>
            <w:r w:rsidRPr="00E8568F">
              <w:rPr>
                <w:rFonts w:eastAsia="Calibri"/>
                <w:szCs w:val="22"/>
                <w:lang w:val="en-US"/>
              </w:rPr>
              <w:t xml:space="preserve">Risk assessment of organisms developed through synthetic biology, including organisms produced through genome editing and organisms containing engineered gene drives </w:t>
            </w:r>
          </w:p>
        </w:tc>
        <w:tc>
          <w:tcPr>
            <w:tcW w:w="2406" w:type="dxa"/>
            <w:shd w:val="clear" w:color="auto" w:fill="auto"/>
          </w:tcPr>
          <w:p w:rsidR="00D36DB5" w:rsidRPr="00E8568F" w:rsidRDefault="00D36DB5" w:rsidP="00F73422">
            <w:pPr>
              <w:spacing w:before="120" w:after="120"/>
              <w:jc w:val="left"/>
              <w:rPr>
                <w:rFonts w:eastAsia="Calibri"/>
                <w:szCs w:val="22"/>
                <w:lang w:val="pt-BR"/>
              </w:rPr>
            </w:pPr>
            <w:r w:rsidRPr="00E8568F">
              <w:rPr>
                <w:rFonts w:eastAsia="Calibri"/>
                <w:szCs w:val="22"/>
                <w:lang w:val="pt-BR"/>
              </w:rPr>
              <w:t>Austria, Belarus, Bolivia, Bulgaria, Finland, France, Malaysia, South Africa</w:t>
            </w:r>
          </w:p>
        </w:tc>
        <w:tc>
          <w:tcPr>
            <w:tcW w:w="3780" w:type="dxa"/>
            <w:shd w:val="clear" w:color="auto" w:fill="auto"/>
          </w:tcPr>
          <w:p w:rsidR="00D36DB5" w:rsidRPr="00E8568F" w:rsidRDefault="00D36DB5" w:rsidP="00F73422">
            <w:pPr>
              <w:spacing w:before="120" w:after="120"/>
              <w:jc w:val="left"/>
              <w:rPr>
                <w:rFonts w:eastAsia="Calibri"/>
                <w:szCs w:val="22"/>
                <w:lang w:val="en-US"/>
              </w:rPr>
            </w:pPr>
            <w:r w:rsidRPr="00E8568F">
              <w:rPr>
                <w:rFonts w:eastAsia="Calibri"/>
                <w:szCs w:val="22"/>
                <w:lang w:val="en-US"/>
              </w:rPr>
              <w:t xml:space="preserve">The application of synthetic biology is evolving rapidly, and while existing risk assessment methodologies for LMO may be applicable, several developments pose new risk assessment challenges that may require different approaches from existing risk assessment methodologies. For example, the risk assessment of organisms that are substantially different from existing LMOs will be associated with high levels of uncertainty, and it may be difficult or impossible to find suitable comparators </w:t>
            </w:r>
            <w:r w:rsidRPr="00E8568F">
              <w:rPr>
                <w:rFonts w:eastAsia="Calibri"/>
                <w:szCs w:val="22"/>
                <w:lang w:val="en-US"/>
              </w:rPr>
              <w:lastRenderedPageBreak/>
              <w:t xml:space="preserve">to conduct a comparative assessment. </w:t>
            </w:r>
          </w:p>
          <w:p w:rsidR="00D36DB5" w:rsidRPr="00E8568F" w:rsidRDefault="00D36DB5" w:rsidP="00F73422">
            <w:pPr>
              <w:spacing w:before="120" w:after="120"/>
              <w:jc w:val="left"/>
              <w:rPr>
                <w:rFonts w:eastAsia="Calibri"/>
                <w:szCs w:val="22"/>
                <w:lang w:val="en-US"/>
              </w:rPr>
            </w:pPr>
            <w:r w:rsidRPr="00E8568F">
              <w:rPr>
                <w:rFonts w:eastAsia="Calibri"/>
                <w:szCs w:val="22"/>
                <w:lang w:val="en-US"/>
              </w:rPr>
              <w:t>Techniques for genome editing have developed significantly and can rapidly lead to the development of new LMOs. This is further complicated by the fact that genome editing can edit the entire genome, instead of few genes at a time, and may give rise to complex new LMOs. In particular, the detection and assessment of unintended off-target changes at the DNA level needs to be further examined, taking into account the specificity of the new techniques and their combinations.</w:t>
            </w:r>
          </w:p>
          <w:p w:rsidR="00D36DB5" w:rsidRPr="00E8568F" w:rsidRDefault="00D36DB5" w:rsidP="00F73422">
            <w:pPr>
              <w:spacing w:before="120" w:after="120"/>
              <w:jc w:val="left"/>
              <w:rPr>
                <w:rFonts w:eastAsia="Calibri"/>
                <w:szCs w:val="22"/>
                <w:lang w:val="en-US"/>
              </w:rPr>
            </w:pPr>
            <w:r w:rsidRPr="00E8568F">
              <w:rPr>
                <w:rFonts w:eastAsia="Calibri"/>
                <w:szCs w:val="22"/>
                <w:lang w:val="en-US"/>
              </w:rPr>
              <w:t>The release of organisms containing engineered gene drive could rapidly change the genetic makeup of entire populations. Once released into the environment, it may be very difficult to control or remove such organisms from the environment, and they may affect biological diversity beyond national boundaries or the populations originally targeted.</w:t>
            </w:r>
          </w:p>
        </w:tc>
      </w:tr>
      <w:tr w:rsidR="00D36DB5" w:rsidRPr="00E8568F" w:rsidTr="00F73422">
        <w:tc>
          <w:tcPr>
            <w:tcW w:w="3192" w:type="dxa"/>
            <w:shd w:val="clear" w:color="auto" w:fill="auto"/>
          </w:tcPr>
          <w:p w:rsidR="00D36DB5" w:rsidRPr="00E8568F" w:rsidRDefault="00D36DB5" w:rsidP="00F73422">
            <w:pPr>
              <w:spacing w:before="120" w:after="120"/>
              <w:jc w:val="left"/>
              <w:rPr>
                <w:rFonts w:eastAsia="Calibri"/>
                <w:szCs w:val="22"/>
                <w:lang w:val="en-US"/>
              </w:rPr>
            </w:pPr>
            <w:r w:rsidRPr="00E8568F">
              <w:rPr>
                <w:rFonts w:eastAsia="Calibri"/>
                <w:szCs w:val="22"/>
                <w:lang w:val="en-US"/>
              </w:rPr>
              <w:lastRenderedPageBreak/>
              <w:t>Risk assessment of LM fish</w:t>
            </w:r>
          </w:p>
        </w:tc>
        <w:tc>
          <w:tcPr>
            <w:tcW w:w="2406" w:type="dxa"/>
            <w:shd w:val="clear" w:color="auto" w:fill="auto"/>
          </w:tcPr>
          <w:p w:rsidR="00D36DB5" w:rsidRPr="00E8568F" w:rsidRDefault="00D36DB5" w:rsidP="00F73422">
            <w:pPr>
              <w:spacing w:before="120" w:after="120"/>
              <w:jc w:val="left"/>
              <w:rPr>
                <w:rFonts w:eastAsia="Calibri"/>
                <w:szCs w:val="22"/>
                <w:lang w:val="en-US"/>
              </w:rPr>
            </w:pPr>
            <w:r w:rsidRPr="00E8568F">
              <w:rPr>
                <w:rFonts w:eastAsia="Calibri"/>
                <w:szCs w:val="22"/>
                <w:lang w:val="en-US"/>
              </w:rPr>
              <w:t>Austria, Belarus, Finland, France, Italy, Moldova, Norway, South Africa</w:t>
            </w:r>
          </w:p>
        </w:tc>
        <w:tc>
          <w:tcPr>
            <w:tcW w:w="3780" w:type="dxa"/>
            <w:shd w:val="clear" w:color="auto" w:fill="auto"/>
          </w:tcPr>
          <w:p w:rsidR="00D36DB5" w:rsidRPr="00E8568F" w:rsidRDefault="00D36DB5" w:rsidP="00F73422">
            <w:pPr>
              <w:spacing w:before="120" w:after="120"/>
              <w:jc w:val="left"/>
              <w:rPr>
                <w:rFonts w:eastAsia="Calibri"/>
                <w:szCs w:val="22"/>
                <w:lang w:val="en-US"/>
              </w:rPr>
            </w:pPr>
            <w:r w:rsidRPr="00E8568F">
              <w:rPr>
                <w:rFonts w:eastAsia="Calibri"/>
                <w:szCs w:val="22"/>
                <w:lang w:val="en-US"/>
              </w:rPr>
              <w:t>LM fish have several issues that are unique for them. Understanding possible adverse impacts of LM fish is vital because fish are highly mobile, have a long lifespan, and may affect wild populations in many ways (genetic diversity, changes in population dynamics and life cycle characteristics).</w:t>
            </w:r>
          </w:p>
          <w:p w:rsidR="00D36DB5" w:rsidRPr="00E8568F" w:rsidRDefault="00D36DB5" w:rsidP="00F73422">
            <w:pPr>
              <w:spacing w:before="120" w:after="120"/>
              <w:jc w:val="left"/>
              <w:rPr>
                <w:rFonts w:eastAsia="Calibri"/>
                <w:szCs w:val="22"/>
                <w:lang w:val="en-US"/>
              </w:rPr>
            </w:pPr>
            <w:r w:rsidRPr="00E8568F">
              <w:rPr>
                <w:rFonts w:eastAsia="Calibri"/>
                <w:szCs w:val="22"/>
                <w:lang w:val="en-US"/>
              </w:rPr>
              <w:t>New guidance should focus on the impacts of LM fish on wild species resulting from intentional release or escape into the environment, as well as on possible cumulative long-term effects, taking into account specific breeding strategies for fish that, for example, can affect the sex ratio of populations.</w:t>
            </w:r>
          </w:p>
        </w:tc>
      </w:tr>
      <w:tr w:rsidR="00D36DB5" w:rsidRPr="00E8568F" w:rsidTr="00F73422">
        <w:tc>
          <w:tcPr>
            <w:tcW w:w="3192" w:type="dxa"/>
            <w:shd w:val="clear" w:color="auto" w:fill="auto"/>
          </w:tcPr>
          <w:p w:rsidR="00D36DB5" w:rsidRPr="00E8568F" w:rsidRDefault="00D36DB5" w:rsidP="00F73422">
            <w:pPr>
              <w:spacing w:before="120" w:after="120"/>
              <w:jc w:val="left"/>
              <w:rPr>
                <w:rFonts w:eastAsia="Calibri"/>
                <w:szCs w:val="22"/>
                <w:lang w:val="en-US"/>
              </w:rPr>
            </w:pPr>
            <w:r w:rsidRPr="00E8568F">
              <w:rPr>
                <w:rFonts w:eastAsia="Calibri"/>
                <w:snapToGrid w:val="0"/>
                <w:color w:val="000000"/>
                <w:kern w:val="22"/>
                <w:szCs w:val="22"/>
                <w:lang w:val="en-US" w:eastAsia="x-none"/>
              </w:rPr>
              <w:t>Risk assessment of living modified animals/mammals</w:t>
            </w:r>
          </w:p>
        </w:tc>
        <w:tc>
          <w:tcPr>
            <w:tcW w:w="2406" w:type="dxa"/>
            <w:shd w:val="clear" w:color="auto" w:fill="auto"/>
          </w:tcPr>
          <w:p w:rsidR="00D36DB5" w:rsidRPr="00E8568F" w:rsidRDefault="00D36DB5" w:rsidP="00F73422">
            <w:pPr>
              <w:spacing w:before="120" w:after="120"/>
              <w:jc w:val="left"/>
              <w:rPr>
                <w:rFonts w:eastAsia="Calibri"/>
                <w:szCs w:val="22"/>
                <w:lang w:val="en-US"/>
              </w:rPr>
            </w:pPr>
            <w:r w:rsidRPr="00E8568F">
              <w:rPr>
                <w:rFonts w:eastAsia="Calibri"/>
                <w:szCs w:val="22"/>
                <w:lang w:val="en-US"/>
              </w:rPr>
              <w:t>Bolivia, Malaysia, Moldova, Norway</w:t>
            </w:r>
          </w:p>
        </w:tc>
        <w:tc>
          <w:tcPr>
            <w:tcW w:w="3780" w:type="dxa"/>
            <w:shd w:val="clear" w:color="auto" w:fill="auto"/>
          </w:tcPr>
          <w:p w:rsidR="00D36DB5" w:rsidRPr="00E8568F" w:rsidRDefault="00D36DB5" w:rsidP="00F73422">
            <w:pPr>
              <w:spacing w:before="120" w:after="120"/>
              <w:jc w:val="left"/>
              <w:rPr>
                <w:rFonts w:eastAsia="Calibri"/>
                <w:szCs w:val="22"/>
                <w:lang w:val="en-US"/>
              </w:rPr>
            </w:pPr>
            <w:r w:rsidRPr="00E8568F">
              <w:rPr>
                <w:rFonts w:eastAsia="Calibri"/>
                <w:szCs w:val="22"/>
                <w:lang w:val="en-US"/>
              </w:rPr>
              <w:t>LM animals have been approved for environmental release, and it is urgent for countries to have access to guidance in order to be able to assess the risks of such releases.</w:t>
            </w:r>
          </w:p>
        </w:tc>
      </w:tr>
      <w:tr w:rsidR="00D36DB5" w:rsidRPr="00E8568F" w:rsidTr="00F73422">
        <w:tc>
          <w:tcPr>
            <w:tcW w:w="3192" w:type="dxa"/>
            <w:shd w:val="clear" w:color="auto" w:fill="auto"/>
          </w:tcPr>
          <w:p w:rsidR="00D36DB5" w:rsidRPr="00E8568F" w:rsidRDefault="00D36DB5" w:rsidP="00F73422">
            <w:pPr>
              <w:spacing w:before="120" w:after="120"/>
              <w:jc w:val="left"/>
              <w:rPr>
                <w:rFonts w:eastAsia="Calibri"/>
                <w:szCs w:val="22"/>
                <w:lang w:val="en-US"/>
              </w:rPr>
            </w:pPr>
            <w:r w:rsidRPr="004A1952">
              <w:rPr>
                <w:rFonts w:eastAsia="Calibri"/>
                <w:szCs w:val="22"/>
                <w:lang w:val="en-US"/>
              </w:rPr>
              <w:t>Risk assessment of arthropods,</w:t>
            </w:r>
            <w:r w:rsidRPr="00E8568F">
              <w:rPr>
                <w:rFonts w:eastAsia="Calibri"/>
                <w:szCs w:val="22"/>
                <w:lang w:val="en-US"/>
              </w:rPr>
              <w:t xml:space="preserve"> including insects and </w:t>
            </w:r>
            <w:proofErr w:type="spellStart"/>
            <w:r w:rsidRPr="00E8568F">
              <w:rPr>
                <w:rFonts w:eastAsia="Calibri"/>
                <w:szCs w:val="22"/>
                <w:lang w:val="en-US"/>
              </w:rPr>
              <w:t>molluscs</w:t>
            </w:r>
            <w:proofErr w:type="spellEnd"/>
            <w:r w:rsidRPr="00E8568F">
              <w:rPr>
                <w:rFonts w:eastAsia="Calibri"/>
                <w:szCs w:val="22"/>
                <w:lang w:val="en-US"/>
              </w:rPr>
              <w:t>.</w:t>
            </w:r>
          </w:p>
        </w:tc>
        <w:tc>
          <w:tcPr>
            <w:tcW w:w="2406" w:type="dxa"/>
            <w:shd w:val="clear" w:color="auto" w:fill="auto"/>
          </w:tcPr>
          <w:p w:rsidR="00D36DB5" w:rsidRPr="00E8568F" w:rsidRDefault="00D36DB5" w:rsidP="00F73422">
            <w:pPr>
              <w:spacing w:before="120" w:after="120"/>
              <w:jc w:val="left"/>
              <w:rPr>
                <w:rFonts w:eastAsia="Calibri"/>
                <w:szCs w:val="22"/>
                <w:lang w:val="en-US"/>
              </w:rPr>
            </w:pPr>
            <w:r w:rsidRPr="00E8568F">
              <w:rPr>
                <w:rFonts w:eastAsia="Calibri"/>
                <w:szCs w:val="22"/>
                <w:lang w:val="en-US"/>
              </w:rPr>
              <w:t>Belarus, Malaysia, Moldova</w:t>
            </w:r>
          </w:p>
        </w:tc>
        <w:tc>
          <w:tcPr>
            <w:tcW w:w="3780" w:type="dxa"/>
            <w:shd w:val="clear" w:color="auto" w:fill="auto"/>
          </w:tcPr>
          <w:p w:rsidR="00D36DB5" w:rsidRPr="00E8568F" w:rsidRDefault="00D36DB5" w:rsidP="00F73422">
            <w:pPr>
              <w:spacing w:before="120" w:after="120"/>
              <w:jc w:val="left"/>
              <w:rPr>
                <w:rFonts w:eastAsia="Calibri"/>
                <w:szCs w:val="22"/>
                <w:lang w:val="en-US"/>
              </w:rPr>
            </w:pPr>
            <w:r w:rsidRPr="00E8568F">
              <w:rPr>
                <w:rFonts w:eastAsia="Calibri"/>
                <w:szCs w:val="22"/>
                <w:lang w:val="en-US"/>
              </w:rPr>
              <w:t xml:space="preserve">Insects are the major player in the food chain, including pollination. And some </w:t>
            </w:r>
            <w:r w:rsidRPr="00E8568F">
              <w:rPr>
                <w:rFonts w:eastAsia="Calibri"/>
                <w:szCs w:val="22"/>
                <w:lang w:val="en-US"/>
              </w:rPr>
              <w:lastRenderedPageBreak/>
              <w:t>can function as pest while others play the role of beneficial organisms. LM insects are expected to have significant impacts on ecosystems and food chain.</w:t>
            </w:r>
          </w:p>
        </w:tc>
      </w:tr>
      <w:tr w:rsidR="00D36DB5" w:rsidRPr="00E8568F" w:rsidTr="00F73422">
        <w:tc>
          <w:tcPr>
            <w:tcW w:w="3192" w:type="dxa"/>
            <w:shd w:val="clear" w:color="auto" w:fill="auto"/>
          </w:tcPr>
          <w:p w:rsidR="00D36DB5" w:rsidRPr="00E8568F" w:rsidRDefault="00D36DB5" w:rsidP="00F73422">
            <w:pPr>
              <w:spacing w:before="120" w:after="120"/>
              <w:jc w:val="left"/>
              <w:rPr>
                <w:rFonts w:eastAsia="Calibri"/>
                <w:szCs w:val="22"/>
                <w:lang w:val="en-US"/>
              </w:rPr>
            </w:pPr>
            <w:r w:rsidRPr="00E8568F">
              <w:rPr>
                <w:rFonts w:eastAsia="Calibri"/>
                <w:szCs w:val="22"/>
                <w:lang w:val="en-US"/>
              </w:rPr>
              <w:lastRenderedPageBreak/>
              <w:t>Risk assessment of living modified microorganisms and viruses</w:t>
            </w:r>
          </w:p>
        </w:tc>
        <w:tc>
          <w:tcPr>
            <w:tcW w:w="2406" w:type="dxa"/>
            <w:shd w:val="clear" w:color="auto" w:fill="auto"/>
          </w:tcPr>
          <w:p w:rsidR="00D36DB5" w:rsidRPr="00E8568F" w:rsidRDefault="00D36DB5" w:rsidP="00F73422">
            <w:pPr>
              <w:spacing w:before="120" w:after="120"/>
              <w:jc w:val="left"/>
              <w:rPr>
                <w:rFonts w:eastAsia="Calibri"/>
                <w:szCs w:val="22"/>
                <w:lang w:val="en-US"/>
              </w:rPr>
            </w:pPr>
            <w:r w:rsidRPr="00E8568F">
              <w:rPr>
                <w:rFonts w:eastAsia="Calibri"/>
                <w:szCs w:val="22"/>
                <w:lang w:val="en-US"/>
              </w:rPr>
              <w:t>Bolivia, Malaysia, Moldova</w:t>
            </w:r>
          </w:p>
        </w:tc>
        <w:tc>
          <w:tcPr>
            <w:tcW w:w="3780" w:type="dxa"/>
            <w:shd w:val="clear" w:color="auto" w:fill="auto"/>
          </w:tcPr>
          <w:p w:rsidR="00D36DB5" w:rsidRPr="00E8568F" w:rsidRDefault="00D36DB5" w:rsidP="00F73422">
            <w:pPr>
              <w:spacing w:before="120" w:after="120"/>
              <w:jc w:val="left"/>
              <w:rPr>
                <w:rFonts w:eastAsia="Calibri"/>
                <w:szCs w:val="22"/>
                <w:lang w:val="en-US"/>
              </w:rPr>
            </w:pPr>
            <w:r w:rsidRPr="00E8568F">
              <w:rPr>
                <w:rFonts w:eastAsia="Calibri"/>
                <w:szCs w:val="22"/>
                <w:lang w:val="en-US"/>
              </w:rPr>
              <w:t>LM microorganisms and viruses are been developed and some were already approved for environmental release. Countries urgently need guidance in order to assess the risks posed by such organisms on biodiversity and human health.</w:t>
            </w:r>
          </w:p>
        </w:tc>
      </w:tr>
      <w:tr w:rsidR="00D36DB5" w:rsidRPr="00E8568F" w:rsidTr="00F73422">
        <w:tc>
          <w:tcPr>
            <w:tcW w:w="3192" w:type="dxa"/>
            <w:shd w:val="clear" w:color="auto" w:fill="auto"/>
          </w:tcPr>
          <w:p w:rsidR="00D36DB5" w:rsidRPr="00E8568F" w:rsidRDefault="00D36DB5" w:rsidP="00F73422">
            <w:pPr>
              <w:suppressLineNumbers/>
              <w:tabs>
                <w:tab w:val="left" w:pos="720"/>
              </w:tabs>
              <w:suppressAutoHyphens/>
              <w:spacing w:before="120" w:after="120"/>
              <w:jc w:val="left"/>
              <w:rPr>
                <w:rFonts w:eastAsia="Calibri"/>
                <w:snapToGrid w:val="0"/>
                <w:color w:val="000000"/>
                <w:kern w:val="22"/>
                <w:szCs w:val="22"/>
                <w:lang w:val="en-US" w:eastAsia="x-none"/>
              </w:rPr>
            </w:pPr>
            <w:r w:rsidRPr="00E8568F">
              <w:rPr>
                <w:rFonts w:eastAsia="Calibri"/>
                <w:snapToGrid w:val="0"/>
                <w:color w:val="000000"/>
                <w:kern w:val="22"/>
                <w:szCs w:val="22"/>
                <w:lang w:val="en-US" w:eastAsia="x-none"/>
              </w:rPr>
              <w:t>Co-existence between LMOs and non-LMOs in the context of small scale farming</w:t>
            </w:r>
          </w:p>
        </w:tc>
        <w:tc>
          <w:tcPr>
            <w:tcW w:w="2406" w:type="dxa"/>
            <w:shd w:val="clear" w:color="auto" w:fill="auto"/>
          </w:tcPr>
          <w:p w:rsidR="00D36DB5" w:rsidRPr="00E8568F" w:rsidRDefault="00D36DB5" w:rsidP="00F73422">
            <w:pPr>
              <w:spacing w:before="120" w:after="120"/>
              <w:jc w:val="left"/>
              <w:rPr>
                <w:rFonts w:eastAsia="Calibri"/>
                <w:szCs w:val="22"/>
                <w:lang w:val="en-US"/>
              </w:rPr>
            </w:pPr>
            <w:r w:rsidRPr="00E8568F">
              <w:rPr>
                <w:rFonts w:eastAsia="Calibri"/>
                <w:szCs w:val="22"/>
                <w:lang w:val="en-US"/>
              </w:rPr>
              <w:t>Bolivia, Malaysia, Moldova</w:t>
            </w:r>
          </w:p>
        </w:tc>
        <w:tc>
          <w:tcPr>
            <w:tcW w:w="3780" w:type="dxa"/>
            <w:shd w:val="clear" w:color="auto" w:fill="auto"/>
          </w:tcPr>
          <w:p w:rsidR="00D36DB5" w:rsidRPr="00E8568F" w:rsidRDefault="00D36DB5" w:rsidP="00F73422">
            <w:pPr>
              <w:spacing w:before="120" w:after="120"/>
              <w:jc w:val="left"/>
              <w:rPr>
                <w:rFonts w:eastAsia="Calibri"/>
                <w:szCs w:val="22"/>
                <w:lang w:val="en-US"/>
              </w:rPr>
            </w:pPr>
            <w:r w:rsidRPr="00E8568F">
              <w:rPr>
                <w:rFonts w:eastAsia="Calibri"/>
                <w:szCs w:val="22"/>
                <w:lang w:val="en-US"/>
              </w:rPr>
              <w:t>Consideration during the risk assessment process of environmental and socio-economic conditions of LMO cultivation in the context of small-scale farming is needed.</w:t>
            </w:r>
          </w:p>
        </w:tc>
      </w:tr>
      <w:tr w:rsidR="00D36DB5" w:rsidRPr="00E8568F" w:rsidTr="00F73422">
        <w:tc>
          <w:tcPr>
            <w:tcW w:w="3192" w:type="dxa"/>
            <w:shd w:val="clear" w:color="auto" w:fill="auto"/>
          </w:tcPr>
          <w:p w:rsidR="00D36DB5" w:rsidRPr="00E8568F" w:rsidRDefault="00D36DB5" w:rsidP="00F73422">
            <w:pPr>
              <w:spacing w:before="120" w:after="120"/>
              <w:jc w:val="left"/>
              <w:rPr>
                <w:rFonts w:eastAsia="Calibri"/>
                <w:snapToGrid w:val="0"/>
                <w:color w:val="000000"/>
                <w:kern w:val="22"/>
                <w:szCs w:val="22"/>
                <w:lang w:val="en-US" w:eastAsia="x-none"/>
              </w:rPr>
            </w:pPr>
            <w:r w:rsidRPr="00E8568F">
              <w:rPr>
                <w:rFonts w:eastAsia="Calibri"/>
                <w:szCs w:val="22"/>
                <w:lang w:val="en-US"/>
              </w:rPr>
              <w:t>Risk assessment of living modified organisms on soil dwelling organisms</w:t>
            </w:r>
          </w:p>
        </w:tc>
        <w:tc>
          <w:tcPr>
            <w:tcW w:w="2406" w:type="dxa"/>
            <w:shd w:val="clear" w:color="auto" w:fill="auto"/>
          </w:tcPr>
          <w:p w:rsidR="00D36DB5" w:rsidRPr="00E8568F" w:rsidRDefault="00D36DB5" w:rsidP="00F73422">
            <w:pPr>
              <w:spacing w:before="120" w:after="120"/>
              <w:jc w:val="left"/>
              <w:rPr>
                <w:rFonts w:eastAsia="Calibri"/>
                <w:szCs w:val="22"/>
                <w:lang w:val="en-US"/>
              </w:rPr>
            </w:pPr>
            <w:r w:rsidRPr="00E8568F">
              <w:rPr>
                <w:rFonts w:eastAsia="Calibri"/>
                <w:szCs w:val="22"/>
                <w:lang w:val="en-US"/>
              </w:rPr>
              <w:t>Finland, France, Italy</w:t>
            </w:r>
          </w:p>
        </w:tc>
        <w:tc>
          <w:tcPr>
            <w:tcW w:w="3780" w:type="dxa"/>
            <w:shd w:val="clear" w:color="auto" w:fill="auto"/>
          </w:tcPr>
          <w:p w:rsidR="00D36DB5" w:rsidRPr="00E8568F" w:rsidRDefault="00D36DB5" w:rsidP="00F73422">
            <w:pPr>
              <w:spacing w:before="120" w:after="120"/>
              <w:jc w:val="left"/>
              <w:rPr>
                <w:rFonts w:eastAsia="Calibri"/>
                <w:szCs w:val="22"/>
                <w:lang w:val="en-US"/>
              </w:rPr>
            </w:pPr>
            <w:r w:rsidRPr="00E8568F">
              <w:rPr>
                <w:rFonts w:eastAsia="Calibri"/>
                <w:szCs w:val="22"/>
                <w:lang w:val="en-US"/>
              </w:rPr>
              <w:t xml:space="preserve">Soil habitats have several different taxa that can be utilized for improving the performance of crop plants either through better nutrient uptake or by protecting them from plant pathogens. </w:t>
            </w:r>
          </w:p>
          <w:p w:rsidR="00D36DB5" w:rsidRPr="00E8568F" w:rsidRDefault="00D36DB5" w:rsidP="00F73422">
            <w:pPr>
              <w:spacing w:before="120" w:after="120"/>
              <w:jc w:val="left"/>
              <w:rPr>
                <w:rFonts w:eastAsia="Calibri"/>
                <w:szCs w:val="22"/>
                <w:lang w:val="en-US"/>
              </w:rPr>
            </w:pPr>
            <w:r w:rsidRPr="00E8568F">
              <w:rPr>
                <w:rFonts w:eastAsia="Calibri"/>
                <w:szCs w:val="22"/>
                <w:lang w:val="en-US"/>
              </w:rPr>
              <w:t>LMOs (e.g. with modified root architecture, nutrition, root exudates) may have consequences on soils and associated microbiota. LM soil microbes may represent an important risk due to the potential for gene transfer to other organisms, and due to the potential to affect different trophic levels.</w:t>
            </w:r>
          </w:p>
          <w:p w:rsidR="00D36DB5" w:rsidRPr="00E8568F" w:rsidRDefault="00D36DB5" w:rsidP="00F73422">
            <w:pPr>
              <w:spacing w:before="120" w:after="120"/>
              <w:jc w:val="left"/>
              <w:rPr>
                <w:rFonts w:eastAsia="Calibri"/>
                <w:szCs w:val="22"/>
                <w:lang w:val="en-US"/>
              </w:rPr>
            </w:pPr>
            <w:r w:rsidRPr="00E8568F">
              <w:rPr>
                <w:rFonts w:eastAsia="Calibri"/>
                <w:szCs w:val="22"/>
                <w:lang w:val="en-US"/>
              </w:rPr>
              <w:t>The guidance could consider the effects of LMOs, in particular LM crops, trees and microorganisms, on soil biodiversity, soil fertility and plant health.</w:t>
            </w:r>
          </w:p>
        </w:tc>
      </w:tr>
      <w:tr w:rsidR="00D36DB5" w:rsidRPr="00E8568F" w:rsidTr="00F73422">
        <w:tc>
          <w:tcPr>
            <w:tcW w:w="3192" w:type="dxa"/>
            <w:shd w:val="clear" w:color="auto" w:fill="auto"/>
          </w:tcPr>
          <w:p w:rsidR="00D36DB5" w:rsidRPr="00E8568F" w:rsidRDefault="00D36DB5" w:rsidP="00F73422">
            <w:pPr>
              <w:spacing w:before="120" w:after="120"/>
              <w:jc w:val="left"/>
              <w:rPr>
                <w:rFonts w:eastAsia="Calibri"/>
                <w:szCs w:val="22"/>
                <w:lang w:val="en-US"/>
              </w:rPr>
            </w:pPr>
            <w:r w:rsidRPr="00E8568F">
              <w:rPr>
                <w:rFonts w:eastAsia="Calibri"/>
                <w:szCs w:val="22"/>
                <w:lang w:val="en-US"/>
              </w:rPr>
              <w:t>Post-release monitoring of LMOs</w:t>
            </w:r>
          </w:p>
        </w:tc>
        <w:tc>
          <w:tcPr>
            <w:tcW w:w="2406" w:type="dxa"/>
            <w:shd w:val="clear" w:color="auto" w:fill="auto"/>
          </w:tcPr>
          <w:p w:rsidR="00D36DB5" w:rsidRPr="00E8568F" w:rsidRDefault="00D36DB5" w:rsidP="00F73422">
            <w:pPr>
              <w:spacing w:before="120" w:after="120"/>
              <w:jc w:val="left"/>
              <w:rPr>
                <w:rFonts w:eastAsia="Calibri"/>
                <w:szCs w:val="22"/>
                <w:lang w:val="en-US"/>
              </w:rPr>
            </w:pPr>
            <w:r w:rsidRPr="00E8568F">
              <w:rPr>
                <w:rFonts w:eastAsia="Calibri"/>
                <w:szCs w:val="22"/>
                <w:lang w:val="en-US"/>
              </w:rPr>
              <w:t xml:space="preserve">Belarus, Nigeria </w:t>
            </w:r>
          </w:p>
        </w:tc>
        <w:tc>
          <w:tcPr>
            <w:tcW w:w="3780" w:type="dxa"/>
            <w:shd w:val="clear" w:color="auto" w:fill="auto"/>
          </w:tcPr>
          <w:p w:rsidR="00D36DB5" w:rsidRPr="00E8568F" w:rsidRDefault="00D36DB5" w:rsidP="00F73422">
            <w:pPr>
              <w:spacing w:before="120" w:after="120"/>
              <w:jc w:val="left"/>
              <w:rPr>
                <w:rFonts w:eastAsia="Calibri"/>
                <w:szCs w:val="22"/>
                <w:lang w:val="en-US"/>
              </w:rPr>
            </w:pPr>
            <w:r w:rsidRPr="00E8568F">
              <w:rPr>
                <w:rFonts w:eastAsia="Calibri"/>
                <w:szCs w:val="22"/>
                <w:lang w:val="en-US"/>
              </w:rPr>
              <w:t>The chapter on “Monitoring” of the Guidance on Risk Assessment should be revised to include examples from various well-established types of monitoring available in the literature.</w:t>
            </w:r>
          </w:p>
        </w:tc>
      </w:tr>
      <w:tr w:rsidR="00D36DB5" w:rsidRPr="00E8568F" w:rsidTr="00F73422">
        <w:tc>
          <w:tcPr>
            <w:tcW w:w="3192" w:type="dxa"/>
            <w:shd w:val="clear" w:color="auto" w:fill="auto"/>
          </w:tcPr>
          <w:p w:rsidR="00D36DB5" w:rsidRPr="00E8568F" w:rsidRDefault="00D36DB5" w:rsidP="00F73422">
            <w:pPr>
              <w:suppressLineNumbers/>
              <w:tabs>
                <w:tab w:val="left" w:pos="720"/>
              </w:tabs>
              <w:suppressAutoHyphens/>
              <w:spacing w:before="120" w:after="120"/>
              <w:jc w:val="left"/>
              <w:rPr>
                <w:rFonts w:eastAsia="Calibri"/>
                <w:snapToGrid w:val="0"/>
                <w:color w:val="000000"/>
                <w:kern w:val="22"/>
                <w:szCs w:val="22"/>
                <w:highlight w:val="green"/>
                <w:lang w:val="en-US" w:eastAsia="x-none"/>
              </w:rPr>
            </w:pPr>
            <w:r w:rsidRPr="00E8568F">
              <w:rPr>
                <w:rFonts w:eastAsia="Calibri"/>
                <w:snapToGrid w:val="0"/>
                <w:color w:val="000000"/>
                <w:kern w:val="22"/>
                <w:szCs w:val="22"/>
                <w:lang w:val="en-US" w:eastAsia="x-none"/>
              </w:rPr>
              <w:t xml:space="preserve">Risk assessment of living modified organisms produced through </w:t>
            </w:r>
            <w:proofErr w:type="spellStart"/>
            <w:r w:rsidRPr="00E8568F">
              <w:rPr>
                <w:rFonts w:eastAsia="Calibri"/>
                <w:snapToGrid w:val="0"/>
                <w:color w:val="000000"/>
                <w:kern w:val="22"/>
                <w:szCs w:val="22"/>
                <w:lang w:val="en-US" w:eastAsia="x-none"/>
              </w:rPr>
              <w:t>cisgenetics</w:t>
            </w:r>
            <w:proofErr w:type="spellEnd"/>
          </w:p>
        </w:tc>
        <w:tc>
          <w:tcPr>
            <w:tcW w:w="2406" w:type="dxa"/>
            <w:shd w:val="clear" w:color="auto" w:fill="auto"/>
          </w:tcPr>
          <w:p w:rsidR="00D36DB5" w:rsidRPr="00E8568F" w:rsidRDefault="00D36DB5" w:rsidP="00F73422">
            <w:pPr>
              <w:spacing w:before="120" w:after="120"/>
              <w:jc w:val="left"/>
              <w:rPr>
                <w:rFonts w:eastAsia="Calibri"/>
                <w:szCs w:val="22"/>
                <w:lang w:val="en-US"/>
              </w:rPr>
            </w:pPr>
            <w:r w:rsidRPr="00C824E0">
              <w:rPr>
                <w:rFonts w:eastAsia="Calibri"/>
                <w:szCs w:val="22"/>
                <w:lang w:val="en-US"/>
              </w:rPr>
              <w:t xml:space="preserve">Malaysia, Moldova </w:t>
            </w:r>
          </w:p>
        </w:tc>
        <w:tc>
          <w:tcPr>
            <w:tcW w:w="3780" w:type="dxa"/>
            <w:shd w:val="clear" w:color="auto" w:fill="auto"/>
          </w:tcPr>
          <w:p w:rsidR="00D36DB5" w:rsidRPr="00E8568F" w:rsidRDefault="00D36DB5" w:rsidP="00F73422">
            <w:pPr>
              <w:spacing w:before="120" w:after="120"/>
              <w:jc w:val="left"/>
              <w:rPr>
                <w:rFonts w:eastAsia="Calibri"/>
                <w:szCs w:val="22"/>
                <w:lang w:val="en-US"/>
              </w:rPr>
            </w:pPr>
            <w:r w:rsidRPr="00E8568F">
              <w:rPr>
                <w:rFonts w:eastAsia="Calibri"/>
                <w:szCs w:val="22"/>
                <w:lang w:val="en-US"/>
              </w:rPr>
              <w:t>Justification not provided</w:t>
            </w:r>
          </w:p>
        </w:tc>
      </w:tr>
      <w:tr w:rsidR="00D36DB5" w:rsidRPr="00E8568F" w:rsidTr="00F73422">
        <w:tc>
          <w:tcPr>
            <w:tcW w:w="3192" w:type="dxa"/>
            <w:shd w:val="clear" w:color="auto" w:fill="auto"/>
          </w:tcPr>
          <w:p w:rsidR="00D36DB5" w:rsidRPr="00E8568F" w:rsidRDefault="00D36DB5" w:rsidP="00F73422">
            <w:pPr>
              <w:spacing w:before="120" w:after="120"/>
              <w:jc w:val="left"/>
              <w:rPr>
                <w:rFonts w:eastAsia="Calibri"/>
                <w:szCs w:val="22"/>
                <w:lang w:val="en-US"/>
              </w:rPr>
            </w:pPr>
            <w:r w:rsidRPr="00E8568F">
              <w:rPr>
                <w:rFonts w:eastAsia="Calibri"/>
                <w:szCs w:val="22"/>
                <w:lang w:val="en-US"/>
              </w:rPr>
              <w:t>Risk assessment of LM algae</w:t>
            </w:r>
          </w:p>
        </w:tc>
        <w:tc>
          <w:tcPr>
            <w:tcW w:w="2406" w:type="dxa"/>
            <w:shd w:val="clear" w:color="auto" w:fill="auto"/>
          </w:tcPr>
          <w:p w:rsidR="00D36DB5" w:rsidRPr="00E8568F" w:rsidRDefault="00D36DB5" w:rsidP="00F73422">
            <w:pPr>
              <w:spacing w:before="120" w:after="120"/>
              <w:jc w:val="left"/>
              <w:rPr>
                <w:rFonts w:eastAsia="Calibri"/>
                <w:szCs w:val="22"/>
                <w:lang w:val="en-US"/>
              </w:rPr>
            </w:pPr>
            <w:r w:rsidRPr="00E8568F">
              <w:rPr>
                <w:rFonts w:eastAsia="Calibri"/>
                <w:szCs w:val="22"/>
                <w:lang w:val="en-US"/>
              </w:rPr>
              <w:t>Austria</w:t>
            </w:r>
          </w:p>
        </w:tc>
        <w:tc>
          <w:tcPr>
            <w:tcW w:w="3780" w:type="dxa"/>
            <w:shd w:val="clear" w:color="auto" w:fill="auto"/>
          </w:tcPr>
          <w:p w:rsidR="00D36DB5" w:rsidRPr="00E8568F" w:rsidRDefault="00D36DB5" w:rsidP="00F73422">
            <w:pPr>
              <w:spacing w:before="120" w:after="120"/>
              <w:jc w:val="left"/>
              <w:rPr>
                <w:rFonts w:eastAsia="Calibri"/>
                <w:szCs w:val="22"/>
                <w:lang w:val="en-US"/>
              </w:rPr>
            </w:pPr>
            <w:r w:rsidRPr="00E8568F">
              <w:rPr>
                <w:rFonts w:eastAsia="Calibri"/>
                <w:szCs w:val="22"/>
                <w:lang w:val="en-US"/>
              </w:rPr>
              <w:t xml:space="preserve">Scaled up production of LM algae will typically not be within contained systems, thus a risk assessment of </w:t>
            </w:r>
            <w:r w:rsidRPr="00E8568F">
              <w:rPr>
                <w:rFonts w:eastAsia="Calibri"/>
                <w:szCs w:val="22"/>
                <w:lang w:val="en-US"/>
              </w:rPr>
              <w:lastRenderedPageBreak/>
              <w:t>effects due to exposure of the environment to LM algae will be required.</w:t>
            </w:r>
          </w:p>
        </w:tc>
      </w:tr>
      <w:tr w:rsidR="00D36DB5" w:rsidRPr="00E8568F" w:rsidTr="00F73422">
        <w:tc>
          <w:tcPr>
            <w:tcW w:w="3192" w:type="dxa"/>
            <w:shd w:val="clear" w:color="auto" w:fill="auto"/>
          </w:tcPr>
          <w:p w:rsidR="00D36DB5" w:rsidRPr="00E8568F" w:rsidRDefault="00D36DB5" w:rsidP="00F73422">
            <w:pPr>
              <w:spacing w:before="120" w:after="120"/>
              <w:jc w:val="left"/>
              <w:rPr>
                <w:rFonts w:eastAsia="Calibri"/>
                <w:szCs w:val="22"/>
                <w:lang w:val="en-US"/>
              </w:rPr>
            </w:pPr>
            <w:r w:rsidRPr="00E8568F">
              <w:rPr>
                <w:rFonts w:eastAsia="Calibri"/>
                <w:szCs w:val="22"/>
                <w:lang w:val="en-US"/>
              </w:rPr>
              <w:lastRenderedPageBreak/>
              <w:t xml:space="preserve">Risk assessment of </w:t>
            </w:r>
            <w:proofErr w:type="spellStart"/>
            <w:r w:rsidRPr="00E8568F">
              <w:rPr>
                <w:rFonts w:eastAsia="Calibri"/>
                <w:szCs w:val="22"/>
                <w:lang w:val="en-US"/>
              </w:rPr>
              <w:t>LMOs</w:t>
            </w:r>
            <w:proofErr w:type="spellEnd"/>
            <w:r w:rsidRPr="00E8568F">
              <w:rPr>
                <w:rFonts w:eastAsia="Calibri"/>
                <w:szCs w:val="22"/>
                <w:lang w:val="en-US"/>
              </w:rPr>
              <w:t xml:space="preserve"> involving </w:t>
            </w:r>
            <w:proofErr w:type="spellStart"/>
            <w:r w:rsidRPr="00E8568F">
              <w:rPr>
                <w:rFonts w:eastAsia="Calibri"/>
                <w:szCs w:val="22"/>
                <w:lang w:val="en-US"/>
              </w:rPr>
              <w:t>paratransgenesis</w:t>
            </w:r>
            <w:proofErr w:type="spellEnd"/>
          </w:p>
        </w:tc>
        <w:tc>
          <w:tcPr>
            <w:tcW w:w="2406" w:type="dxa"/>
            <w:shd w:val="clear" w:color="auto" w:fill="auto"/>
          </w:tcPr>
          <w:p w:rsidR="00D36DB5" w:rsidRPr="00E8568F" w:rsidRDefault="00D36DB5" w:rsidP="00F73422">
            <w:pPr>
              <w:spacing w:before="120" w:after="120"/>
              <w:jc w:val="left"/>
              <w:rPr>
                <w:rFonts w:eastAsia="Calibri"/>
                <w:szCs w:val="22"/>
                <w:lang w:val="en-US"/>
              </w:rPr>
            </w:pPr>
            <w:r w:rsidRPr="00E8568F">
              <w:rPr>
                <w:rFonts w:eastAsia="Calibri"/>
                <w:szCs w:val="22"/>
                <w:lang w:val="en-US"/>
              </w:rPr>
              <w:t>Austria</w:t>
            </w:r>
          </w:p>
        </w:tc>
        <w:tc>
          <w:tcPr>
            <w:tcW w:w="3780" w:type="dxa"/>
            <w:shd w:val="clear" w:color="auto" w:fill="auto"/>
          </w:tcPr>
          <w:p w:rsidR="00D36DB5" w:rsidRPr="00E8568F" w:rsidRDefault="00D36DB5" w:rsidP="00F73422">
            <w:pPr>
              <w:spacing w:before="120" w:after="120"/>
              <w:jc w:val="left"/>
              <w:rPr>
                <w:rFonts w:eastAsia="Calibri"/>
                <w:szCs w:val="22"/>
                <w:lang w:val="en-US"/>
              </w:rPr>
            </w:pPr>
            <w:r w:rsidRPr="00E8568F">
              <w:rPr>
                <w:rFonts w:eastAsia="Calibri"/>
                <w:szCs w:val="22"/>
                <w:lang w:val="en-US"/>
              </w:rPr>
              <w:t>Exposure of the environment to LM microorganisms associated with insects or other host organisms, may lead to risks for biodiversity and human health, the respective risk assessment will require specific considerations and is not adequately covered by existing guidance.</w:t>
            </w:r>
          </w:p>
        </w:tc>
      </w:tr>
      <w:tr w:rsidR="00D36DB5" w:rsidRPr="00E8568F" w:rsidTr="00F73422">
        <w:tc>
          <w:tcPr>
            <w:tcW w:w="3192" w:type="dxa"/>
            <w:tcBorders>
              <w:top w:val="single" w:sz="4" w:space="0" w:color="auto"/>
              <w:left w:val="single" w:sz="4" w:space="0" w:color="auto"/>
              <w:bottom w:val="single" w:sz="4" w:space="0" w:color="auto"/>
              <w:right w:val="single" w:sz="4" w:space="0" w:color="auto"/>
            </w:tcBorders>
            <w:shd w:val="clear" w:color="auto" w:fill="auto"/>
          </w:tcPr>
          <w:p w:rsidR="00D36DB5" w:rsidRPr="00E8568F" w:rsidRDefault="00D36DB5" w:rsidP="00F73422">
            <w:pPr>
              <w:spacing w:before="120" w:after="120"/>
              <w:jc w:val="left"/>
              <w:rPr>
                <w:rFonts w:eastAsia="Calibri"/>
                <w:szCs w:val="22"/>
                <w:lang w:val="en-US"/>
              </w:rPr>
            </w:pPr>
            <w:r w:rsidRPr="00E8568F">
              <w:rPr>
                <w:rFonts w:eastAsia="Calibri"/>
                <w:szCs w:val="22"/>
                <w:lang w:val="en-US"/>
              </w:rPr>
              <w:t>Risk assessment of living modified birds</w:t>
            </w:r>
          </w:p>
        </w:tc>
        <w:tc>
          <w:tcPr>
            <w:tcW w:w="2406" w:type="dxa"/>
            <w:tcBorders>
              <w:top w:val="single" w:sz="4" w:space="0" w:color="auto"/>
              <w:left w:val="single" w:sz="4" w:space="0" w:color="auto"/>
              <w:bottom w:val="single" w:sz="4" w:space="0" w:color="auto"/>
              <w:right w:val="single" w:sz="4" w:space="0" w:color="auto"/>
            </w:tcBorders>
            <w:shd w:val="clear" w:color="auto" w:fill="auto"/>
          </w:tcPr>
          <w:p w:rsidR="00D36DB5" w:rsidRPr="00E8568F" w:rsidRDefault="00D36DB5" w:rsidP="00F73422">
            <w:pPr>
              <w:spacing w:before="120" w:after="120"/>
              <w:jc w:val="left"/>
              <w:rPr>
                <w:rFonts w:eastAsia="Calibri"/>
                <w:szCs w:val="22"/>
                <w:lang w:val="en-US"/>
              </w:rPr>
            </w:pPr>
            <w:r w:rsidRPr="00E8568F">
              <w:rPr>
                <w:rFonts w:eastAsia="Calibri"/>
                <w:szCs w:val="22"/>
                <w:lang w:val="en-US"/>
              </w:rPr>
              <w:t>Finland</w:t>
            </w:r>
          </w:p>
        </w:tc>
        <w:tc>
          <w:tcPr>
            <w:tcW w:w="3780" w:type="dxa"/>
            <w:tcBorders>
              <w:top w:val="single" w:sz="4" w:space="0" w:color="auto"/>
              <w:left w:val="single" w:sz="4" w:space="0" w:color="auto"/>
              <w:bottom w:val="single" w:sz="4" w:space="0" w:color="auto"/>
              <w:right w:val="single" w:sz="4" w:space="0" w:color="auto"/>
            </w:tcBorders>
            <w:shd w:val="clear" w:color="auto" w:fill="auto"/>
          </w:tcPr>
          <w:p w:rsidR="00D36DB5" w:rsidRPr="00E8568F" w:rsidRDefault="00D36DB5" w:rsidP="00F73422">
            <w:pPr>
              <w:spacing w:before="120" w:after="120"/>
              <w:jc w:val="left"/>
              <w:rPr>
                <w:rFonts w:eastAsia="Calibri"/>
                <w:szCs w:val="22"/>
                <w:lang w:val="en-US"/>
              </w:rPr>
            </w:pPr>
            <w:r w:rsidRPr="00E8568F">
              <w:rPr>
                <w:rFonts w:eastAsia="Calibri"/>
                <w:szCs w:val="22"/>
                <w:lang w:val="en-US"/>
              </w:rPr>
              <w:t>LM birds have been developed for various applications. The mobility of birds, their migratory, courting and nesting behaviors as well as their important role as zoonosis carriers sets special challenges for their risk assessment.</w:t>
            </w:r>
          </w:p>
        </w:tc>
      </w:tr>
      <w:tr w:rsidR="00D36DB5" w:rsidRPr="00E8568F" w:rsidTr="00F73422">
        <w:tc>
          <w:tcPr>
            <w:tcW w:w="3192" w:type="dxa"/>
            <w:shd w:val="clear" w:color="auto" w:fill="auto"/>
          </w:tcPr>
          <w:p w:rsidR="00D36DB5" w:rsidRPr="00E8568F" w:rsidRDefault="00D36DB5" w:rsidP="00F73422">
            <w:pPr>
              <w:spacing w:before="120" w:after="120"/>
              <w:jc w:val="left"/>
              <w:rPr>
                <w:rFonts w:eastAsia="Calibri"/>
                <w:snapToGrid w:val="0"/>
                <w:color w:val="000000"/>
                <w:kern w:val="22"/>
                <w:szCs w:val="22"/>
                <w:lang w:val="en-US" w:eastAsia="x-none"/>
              </w:rPr>
            </w:pPr>
            <w:r w:rsidRPr="00E8568F">
              <w:rPr>
                <w:rFonts w:eastAsia="Calibri"/>
                <w:szCs w:val="22"/>
                <w:lang w:val="en-US"/>
              </w:rPr>
              <w:t>Assessment of impacts due to the acceleration and accumulation of LMOs present in the environment</w:t>
            </w:r>
          </w:p>
        </w:tc>
        <w:tc>
          <w:tcPr>
            <w:tcW w:w="2406" w:type="dxa"/>
            <w:shd w:val="clear" w:color="auto" w:fill="auto"/>
          </w:tcPr>
          <w:p w:rsidR="00D36DB5" w:rsidRPr="00E8568F" w:rsidRDefault="00D36DB5" w:rsidP="00F73422">
            <w:pPr>
              <w:spacing w:before="120" w:after="120"/>
              <w:jc w:val="left"/>
              <w:rPr>
                <w:rFonts w:eastAsia="Calibri"/>
                <w:szCs w:val="22"/>
                <w:lang w:val="en-US"/>
              </w:rPr>
            </w:pPr>
            <w:r w:rsidRPr="00E8568F">
              <w:rPr>
                <w:rFonts w:eastAsia="Calibri"/>
                <w:szCs w:val="22"/>
                <w:lang w:val="en-US"/>
              </w:rPr>
              <w:t>France</w:t>
            </w:r>
          </w:p>
        </w:tc>
        <w:tc>
          <w:tcPr>
            <w:tcW w:w="3780" w:type="dxa"/>
            <w:shd w:val="clear" w:color="auto" w:fill="auto"/>
          </w:tcPr>
          <w:p w:rsidR="00D36DB5" w:rsidRPr="00E8568F" w:rsidRDefault="00D36DB5" w:rsidP="00F73422">
            <w:pPr>
              <w:spacing w:before="120" w:after="120"/>
              <w:jc w:val="left"/>
              <w:rPr>
                <w:rFonts w:eastAsia="Calibri"/>
                <w:szCs w:val="22"/>
                <w:lang w:val="en-US"/>
              </w:rPr>
            </w:pPr>
            <w:r w:rsidRPr="00E8568F">
              <w:rPr>
                <w:rFonts w:eastAsia="Calibri"/>
                <w:szCs w:val="22"/>
                <w:lang w:val="en-US"/>
              </w:rPr>
              <w:t xml:space="preserve">Further guidance is needed to assess cumulative and delayed impacts of LMOs, including case-by-case analysis completed by a more inclusive analysis, to better assess potential pleiotropic effects due to cross-talk mechanisms. </w:t>
            </w:r>
          </w:p>
        </w:tc>
      </w:tr>
      <w:tr w:rsidR="00D36DB5" w:rsidRPr="00E8568F" w:rsidTr="00F73422">
        <w:tc>
          <w:tcPr>
            <w:tcW w:w="3192" w:type="dxa"/>
            <w:shd w:val="clear" w:color="auto" w:fill="auto"/>
          </w:tcPr>
          <w:p w:rsidR="00D36DB5" w:rsidRPr="00E8568F" w:rsidRDefault="00D36DB5" w:rsidP="00F73422">
            <w:pPr>
              <w:suppressLineNumbers/>
              <w:tabs>
                <w:tab w:val="left" w:pos="720"/>
              </w:tabs>
              <w:suppressAutoHyphens/>
              <w:spacing w:before="120" w:after="120"/>
              <w:jc w:val="left"/>
              <w:rPr>
                <w:rFonts w:eastAsia="Calibri"/>
                <w:snapToGrid w:val="0"/>
                <w:color w:val="000000"/>
                <w:kern w:val="22"/>
                <w:szCs w:val="22"/>
                <w:lang w:val="en-US" w:eastAsia="x-none"/>
              </w:rPr>
            </w:pPr>
            <w:r w:rsidRPr="00E8568F">
              <w:rPr>
                <w:rFonts w:eastAsia="Calibri"/>
                <w:szCs w:val="22"/>
                <w:lang w:val="en-US"/>
              </w:rPr>
              <w:t>Risk assessment of living modified organisms created using RNAi technology</w:t>
            </w:r>
          </w:p>
        </w:tc>
        <w:tc>
          <w:tcPr>
            <w:tcW w:w="2406" w:type="dxa"/>
            <w:shd w:val="clear" w:color="auto" w:fill="auto"/>
          </w:tcPr>
          <w:p w:rsidR="00D36DB5" w:rsidRPr="00E8568F" w:rsidRDefault="00D36DB5" w:rsidP="00F73422">
            <w:pPr>
              <w:spacing w:before="120" w:after="120"/>
              <w:jc w:val="left"/>
              <w:rPr>
                <w:rFonts w:eastAsia="Calibri"/>
                <w:szCs w:val="22"/>
                <w:lang w:val="en-US"/>
              </w:rPr>
            </w:pPr>
            <w:r w:rsidRPr="00E8568F">
              <w:rPr>
                <w:rFonts w:eastAsia="Calibri"/>
                <w:szCs w:val="22"/>
                <w:lang w:val="en-US"/>
              </w:rPr>
              <w:t>South Africa</w:t>
            </w:r>
          </w:p>
        </w:tc>
        <w:tc>
          <w:tcPr>
            <w:tcW w:w="3780" w:type="dxa"/>
            <w:shd w:val="clear" w:color="auto" w:fill="auto"/>
          </w:tcPr>
          <w:p w:rsidR="00D36DB5" w:rsidRPr="00E8568F" w:rsidRDefault="00D36DB5" w:rsidP="00F73422">
            <w:pPr>
              <w:spacing w:before="120" w:after="120"/>
              <w:jc w:val="left"/>
              <w:rPr>
                <w:rFonts w:eastAsia="Calibri"/>
                <w:szCs w:val="22"/>
                <w:lang w:val="en-US"/>
              </w:rPr>
            </w:pPr>
            <w:r w:rsidRPr="00E8568F">
              <w:rPr>
                <w:rFonts w:eastAsia="Calibri"/>
                <w:szCs w:val="22"/>
                <w:lang w:val="en-US"/>
              </w:rPr>
              <w:t>In assessing potential adverse effects linked to RNAi-derived LMOs intended for release into the environment, risk assessment guidance is needed on characterizing potential exposure pathways and hazards, including off-target gene silencing, target gene silencing in non-target organisms, environmental persistence of small RNAs.</w:t>
            </w:r>
          </w:p>
        </w:tc>
      </w:tr>
    </w:tbl>
    <w:p w:rsidR="00D36DB5" w:rsidRPr="00D36DB5" w:rsidRDefault="00D36DB5" w:rsidP="00D36DB5">
      <w:pPr>
        <w:pStyle w:val="Para1"/>
        <w:numPr>
          <w:ilvl w:val="0"/>
          <w:numId w:val="0"/>
        </w:numPr>
        <w:adjustRightInd w:val="0"/>
        <w:snapToGrid w:val="0"/>
        <w:rPr>
          <w:kern w:val="22"/>
          <w:szCs w:val="22"/>
        </w:rPr>
      </w:pPr>
    </w:p>
    <w:p w:rsidR="00D36DB5" w:rsidRPr="00D36DB5" w:rsidRDefault="00D36DB5" w:rsidP="00BC5BBE">
      <w:pPr>
        <w:pStyle w:val="Para1"/>
        <w:numPr>
          <w:ilvl w:val="0"/>
          <w:numId w:val="36"/>
        </w:numPr>
        <w:tabs>
          <w:tab w:val="clear" w:pos="360"/>
        </w:tabs>
        <w:adjustRightInd w:val="0"/>
        <w:snapToGrid w:val="0"/>
        <w:rPr>
          <w:kern w:val="22"/>
          <w:szCs w:val="22"/>
        </w:rPr>
      </w:pPr>
      <w:r w:rsidRPr="00D36DB5">
        <w:rPr>
          <w:kern w:val="22"/>
          <w:szCs w:val="22"/>
        </w:rPr>
        <w:t>Process to facilitate the selection of topics for the development of further guidance on risk assessment of LMOs</w:t>
      </w:r>
    </w:p>
    <w:p w:rsidR="00D36DB5" w:rsidRPr="00D36DB5" w:rsidRDefault="00D36DB5" w:rsidP="00BC5BBE">
      <w:pPr>
        <w:pStyle w:val="Para1"/>
        <w:numPr>
          <w:ilvl w:val="0"/>
          <w:numId w:val="36"/>
        </w:numPr>
        <w:tabs>
          <w:tab w:val="clear" w:pos="360"/>
        </w:tabs>
        <w:adjustRightInd w:val="0"/>
        <w:snapToGrid w:val="0"/>
        <w:rPr>
          <w:kern w:val="22"/>
          <w:szCs w:val="22"/>
        </w:rPr>
      </w:pPr>
      <w:r w:rsidRPr="00D36DB5">
        <w:rPr>
          <w:kern w:val="22"/>
          <w:szCs w:val="22"/>
        </w:rPr>
        <w:t xml:space="preserve">Sixteen Parties provided views on the process for the selection of topics for the development of new guidance on risk assessment. Based on the submissions, specific topics, identified on the basis of Parties’ needs, might be prioritized for the development of guidance if they relate to risk assessments that: </w:t>
      </w:r>
    </w:p>
    <w:p w:rsidR="00D36DB5" w:rsidRPr="00D36DB5" w:rsidRDefault="00D36DB5" w:rsidP="00BC5BBE">
      <w:pPr>
        <w:pStyle w:val="Para1"/>
        <w:numPr>
          <w:ilvl w:val="0"/>
          <w:numId w:val="0"/>
        </w:numPr>
        <w:adjustRightInd w:val="0"/>
        <w:snapToGrid w:val="0"/>
        <w:ind w:firstLine="709"/>
        <w:rPr>
          <w:kern w:val="22"/>
          <w:szCs w:val="22"/>
        </w:rPr>
      </w:pPr>
      <w:r w:rsidRPr="00D36DB5">
        <w:rPr>
          <w:kern w:val="22"/>
          <w:szCs w:val="22"/>
        </w:rPr>
        <w:t xml:space="preserve">(a) </w:t>
      </w:r>
      <w:r w:rsidRPr="00D36DB5">
        <w:rPr>
          <w:kern w:val="22"/>
          <w:szCs w:val="22"/>
        </w:rPr>
        <w:tab/>
        <w:t>Fall within the scope and objectives of the Cartagena Protocol;</w:t>
      </w:r>
    </w:p>
    <w:p w:rsidR="00D36DB5" w:rsidRPr="00D36DB5" w:rsidRDefault="00D36DB5" w:rsidP="00BC5BBE">
      <w:pPr>
        <w:pStyle w:val="Para1"/>
        <w:numPr>
          <w:ilvl w:val="0"/>
          <w:numId w:val="0"/>
        </w:numPr>
        <w:adjustRightInd w:val="0"/>
        <w:snapToGrid w:val="0"/>
        <w:ind w:firstLine="709"/>
        <w:rPr>
          <w:kern w:val="22"/>
          <w:szCs w:val="22"/>
        </w:rPr>
      </w:pPr>
      <w:r w:rsidRPr="00D36DB5">
        <w:rPr>
          <w:kern w:val="22"/>
          <w:szCs w:val="22"/>
        </w:rPr>
        <w:t xml:space="preserve">(b) </w:t>
      </w:r>
      <w:r w:rsidRPr="00D36DB5">
        <w:rPr>
          <w:kern w:val="22"/>
          <w:szCs w:val="22"/>
        </w:rPr>
        <w:tab/>
        <w:t xml:space="preserve">Cannot be performed by using existing guidance documents and pose new challenges to risk assessment frameworks and methodologies (for example, due to the complexity of the LMO in question, lack of suitable comparators, new and relevant ways of exposure of the environment and human beings); </w:t>
      </w:r>
    </w:p>
    <w:p w:rsidR="00D36DB5" w:rsidRPr="00D36DB5" w:rsidRDefault="00D36DB5" w:rsidP="00BC5BBE">
      <w:pPr>
        <w:pStyle w:val="Para1"/>
        <w:numPr>
          <w:ilvl w:val="0"/>
          <w:numId w:val="0"/>
        </w:numPr>
        <w:adjustRightInd w:val="0"/>
        <w:snapToGrid w:val="0"/>
        <w:ind w:firstLine="709"/>
        <w:rPr>
          <w:kern w:val="22"/>
          <w:szCs w:val="22"/>
        </w:rPr>
      </w:pPr>
      <w:r w:rsidRPr="00D36DB5">
        <w:rPr>
          <w:kern w:val="22"/>
          <w:szCs w:val="22"/>
        </w:rPr>
        <w:lastRenderedPageBreak/>
        <w:t xml:space="preserve">(c) </w:t>
      </w:r>
      <w:r w:rsidRPr="00D36DB5">
        <w:rPr>
          <w:kern w:val="22"/>
          <w:szCs w:val="22"/>
        </w:rPr>
        <w:tab/>
        <w:t>Involve technical knowledge and expertise which are available in the scientific community at large;</w:t>
      </w:r>
    </w:p>
    <w:p w:rsidR="00D36DB5" w:rsidRPr="00D36DB5" w:rsidRDefault="00D36DB5" w:rsidP="00BC5BBE">
      <w:pPr>
        <w:pStyle w:val="Para1"/>
        <w:numPr>
          <w:ilvl w:val="0"/>
          <w:numId w:val="0"/>
        </w:numPr>
        <w:adjustRightInd w:val="0"/>
        <w:snapToGrid w:val="0"/>
        <w:ind w:firstLine="709"/>
        <w:rPr>
          <w:kern w:val="22"/>
          <w:szCs w:val="22"/>
        </w:rPr>
      </w:pPr>
      <w:r w:rsidRPr="00D36DB5">
        <w:rPr>
          <w:kern w:val="22"/>
          <w:szCs w:val="22"/>
        </w:rPr>
        <w:t xml:space="preserve">(d) </w:t>
      </w:r>
      <w:r w:rsidRPr="00D36DB5">
        <w:rPr>
          <w:kern w:val="22"/>
          <w:szCs w:val="22"/>
        </w:rPr>
        <w:tab/>
        <w:t>Concern techniques with a high pace of scientific and technological advancement;</w:t>
      </w:r>
    </w:p>
    <w:p w:rsidR="00D36DB5" w:rsidRPr="00D36DB5" w:rsidRDefault="00D36DB5" w:rsidP="00BC5BBE">
      <w:pPr>
        <w:pStyle w:val="Para1"/>
        <w:numPr>
          <w:ilvl w:val="0"/>
          <w:numId w:val="0"/>
        </w:numPr>
        <w:adjustRightInd w:val="0"/>
        <w:snapToGrid w:val="0"/>
        <w:ind w:firstLine="709"/>
        <w:rPr>
          <w:kern w:val="22"/>
          <w:szCs w:val="22"/>
        </w:rPr>
      </w:pPr>
      <w:r w:rsidRPr="00D36DB5">
        <w:rPr>
          <w:kern w:val="22"/>
          <w:szCs w:val="22"/>
        </w:rPr>
        <w:t xml:space="preserve">(e) </w:t>
      </w:r>
      <w:r w:rsidRPr="00D36DB5">
        <w:rPr>
          <w:kern w:val="22"/>
          <w:szCs w:val="22"/>
        </w:rPr>
        <w:tab/>
        <w:t xml:space="preserve">Concern LMOs that have the potential to cause serious or irreversible adverse effects on biodiversity, taking into account the urgent need to protect specific aspects of biodiversity such as an endemic/rare species, or </w:t>
      </w:r>
      <w:r>
        <w:rPr>
          <w:kern w:val="22"/>
          <w:szCs w:val="22"/>
        </w:rPr>
        <w:t xml:space="preserve">a unique habitat or ecosystem; </w:t>
      </w:r>
    </w:p>
    <w:p w:rsidR="00D36DB5" w:rsidRPr="00D36DB5" w:rsidRDefault="00D36DB5" w:rsidP="00BC5BBE">
      <w:pPr>
        <w:pStyle w:val="Para1"/>
        <w:numPr>
          <w:ilvl w:val="0"/>
          <w:numId w:val="0"/>
        </w:numPr>
        <w:adjustRightInd w:val="0"/>
        <w:snapToGrid w:val="0"/>
        <w:ind w:firstLine="709"/>
        <w:rPr>
          <w:kern w:val="22"/>
          <w:szCs w:val="22"/>
        </w:rPr>
      </w:pPr>
      <w:r w:rsidRPr="00D36DB5">
        <w:rPr>
          <w:kern w:val="22"/>
          <w:szCs w:val="22"/>
        </w:rPr>
        <w:t xml:space="preserve">(f) </w:t>
      </w:r>
      <w:r w:rsidRPr="00D36DB5">
        <w:rPr>
          <w:kern w:val="22"/>
          <w:szCs w:val="22"/>
        </w:rPr>
        <w:tab/>
        <w:t>Concern LMOs that may be introduced into the environment either deliberately or accidentally;</w:t>
      </w:r>
    </w:p>
    <w:p w:rsidR="00D36DB5" w:rsidRPr="00D36DB5" w:rsidRDefault="00D36DB5" w:rsidP="00BC5BBE">
      <w:pPr>
        <w:pStyle w:val="Para1"/>
        <w:numPr>
          <w:ilvl w:val="0"/>
          <w:numId w:val="0"/>
        </w:numPr>
        <w:adjustRightInd w:val="0"/>
        <w:snapToGrid w:val="0"/>
        <w:ind w:firstLine="709"/>
        <w:rPr>
          <w:kern w:val="22"/>
          <w:szCs w:val="22"/>
        </w:rPr>
      </w:pPr>
      <w:r w:rsidRPr="00D36DB5">
        <w:rPr>
          <w:kern w:val="22"/>
          <w:szCs w:val="22"/>
        </w:rPr>
        <w:t xml:space="preserve">(g) </w:t>
      </w:r>
      <w:r w:rsidRPr="00D36DB5">
        <w:rPr>
          <w:kern w:val="22"/>
          <w:szCs w:val="22"/>
        </w:rPr>
        <w:tab/>
        <w:t>Concern LMOs which have the potential to disseminate across territorial borders;</w:t>
      </w:r>
    </w:p>
    <w:p w:rsidR="00D36DB5" w:rsidRPr="00D36DB5" w:rsidRDefault="00D36DB5" w:rsidP="00BC5BBE">
      <w:pPr>
        <w:pStyle w:val="Para1"/>
        <w:numPr>
          <w:ilvl w:val="0"/>
          <w:numId w:val="0"/>
        </w:numPr>
        <w:adjustRightInd w:val="0"/>
        <w:snapToGrid w:val="0"/>
        <w:ind w:firstLine="709"/>
        <w:rPr>
          <w:kern w:val="22"/>
          <w:szCs w:val="22"/>
        </w:rPr>
      </w:pPr>
      <w:r w:rsidRPr="00D36DB5">
        <w:rPr>
          <w:kern w:val="22"/>
          <w:szCs w:val="22"/>
        </w:rPr>
        <w:t xml:space="preserve">(h) </w:t>
      </w:r>
      <w:r w:rsidRPr="00D36DB5">
        <w:rPr>
          <w:kern w:val="22"/>
          <w:szCs w:val="22"/>
        </w:rPr>
        <w:tab/>
        <w:t>Concern LMOs that are already, or are likely to be, commercialised or in use somewhere in the world.</w:t>
      </w:r>
    </w:p>
    <w:p w:rsidR="00D36DB5" w:rsidRPr="00D36DB5" w:rsidRDefault="00D36DB5" w:rsidP="00BC5BBE">
      <w:pPr>
        <w:pStyle w:val="Para1"/>
        <w:numPr>
          <w:ilvl w:val="0"/>
          <w:numId w:val="36"/>
        </w:numPr>
        <w:tabs>
          <w:tab w:val="clear" w:pos="360"/>
        </w:tabs>
        <w:adjustRightInd w:val="0"/>
        <w:snapToGrid w:val="0"/>
        <w:rPr>
          <w:kern w:val="22"/>
          <w:szCs w:val="22"/>
        </w:rPr>
      </w:pPr>
      <w:r w:rsidRPr="00D36DB5">
        <w:rPr>
          <w:kern w:val="22"/>
          <w:szCs w:val="22"/>
        </w:rPr>
        <w:t xml:space="preserve">The EU, its member states, and South Africa supported the undertaking of a structured analysis to apply the criteria above when considering possible topics for the development of new guidance. In addition, Brazil recommended looking whether guidance on similar topics have been developed by national, regional and international bodies and, if so, whether they can be revised or adapted to the objectives of the Protocol, as appropriate. </w:t>
      </w:r>
    </w:p>
    <w:p w:rsidR="00D36DB5" w:rsidRPr="00D36DB5" w:rsidRDefault="00D36DB5" w:rsidP="00BC5BBE">
      <w:pPr>
        <w:pStyle w:val="Para1"/>
        <w:numPr>
          <w:ilvl w:val="0"/>
          <w:numId w:val="36"/>
        </w:numPr>
        <w:tabs>
          <w:tab w:val="clear" w:pos="360"/>
        </w:tabs>
        <w:adjustRightInd w:val="0"/>
        <w:snapToGrid w:val="0"/>
        <w:rPr>
          <w:kern w:val="22"/>
          <w:szCs w:val="22"/>
        </w:rPr>
      </w:pPr>
      <w:r w:rsidRPr="00D36DB5">
        <w:rPr>
          <w:kern w:val="22"/>
          <w:szCs w:val="22"/>
        </w:rPr>
        <w:t xml:space="preserve">With regard to applying the criteria to the topic of risk assessment of organisms developed through synthetic biology, New Zealand considered that the lack of a comparator organism for risk assessment of organism developed through synthetic biology is insufficient as a technical criterion/justification for the selection of this topic, since such organisms fall within the LMO definition under the Cartagena Protocol, and numerous freely available risk assessment guidelines provide ample direction on the evaluation of scientific uncertainty in risk assessment and subsequent decision-making processes. On the other hand, Bulgaria noted that no guidance documents that specifically address risk assessment of organisms that contain gene drives are available, and that the necessity of broad (international) cooperation when assessing the risks for the environment from such organisms has been identified by the leading scientists in the field, learned societies, national political bodies and scientific advisory committees. </w:t>
      </w:r>
    </w:p>
    <w:p w:rsidR="00D36DB5" w:rsidRPr="00D36DB5" w:rsidRDefault="00D36DB5" w:rsidP="00BC5BBE">
      <w:pPr>
        <w:pStyle w:val="Para1"/>
        <w:numPr>
          <w:ilvl w:val="0"/>
          <w:numId w:val="36"/>
        </w:numPr>
        <w:tabs>
          <w:tab w:val="clear" w:pos="360"/>
        </w:tabs>
        <w:adjustRightInd w:val="0"/>
        <w:snapToGrid w:val="0"/>
        <w:rPr>
          <w:kern w:val="22"/>
          <w:szCs w:val="22"/>
        </w:rPr>
      </w:pPr>
      <w:r w:rsidRPr="00D36DB5">
        <w:rPr>
          <w:kern w:val="22"/>
          <w:szCs w:val="22"/>
        </w:rPr>
        <w:t>In order to ensure transparency and enable broader participation of experts in any future development of guidance, Japan further recommended that Parties should agree on the process to develop such gu</w:t>
      </w:r>
      <w:r>
        <w:rPr>
          <w:kern w:val="22"/>
          <w:szCs w:val="22"/>
        </w:rPr>
        <w:t>idance once a topic is selected</w:t>
      </w:r>
    </w:p>
    <w:p w:rsidR="00736BC2" w:rsidRPr="00D36DB5" w:rsidRDefault="00AE7D6E" w:rsidP="00D36DB5">
      <w:pPr>
        <w:pStyle w:val="Para1"/>
        <w:numPr>
          <w:ilvl w:val="0"/>
          <w:numId w:val="0"/>
        </w:numPr>
        <w:adjustRightInd w:val="0"/>
        <w:snapToGrid w:val="0"/>
        <w:jc w:val="center"/>
        <w:rPr>
          <w:kern w:val="22"/>
          <w:szCs w:val="22"/>
        </w:rPr>
      </w:pPr>
      <w:r w:rsidRPr="00D36DB5">
        <w:rPr>
          <w:kern w:val="22"/>
          <w:szCs w:val="22"/>
        </w:rPr>
        <w:t>___________</w:t>
      </w:r>
    </w:p>
    <w:sectPr w:rsidR="00736BC2" w:rsidRPr="00D36DB5" w:rsidSect="00CA1572">
      <w:headerReference w:type="even" r:id="rId12"/>
      <w:headerReference w:type="default" r:id="rId13"/>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0724" w:rsidRDefault="00580724">
      <w:r>
        <w:separator/>
      </w:r>
    </w:p>
  </w:endnote>
  <w:endnote w:type="continuationSeparator" w:id="0">
    <w:p w:rsidR="00580724" w:rsidRDefault="00580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00000000" w:usb2="00000000" w:usb3="00000000" w:csb0="000001FF" w:csb1="00000000"/>
  </w:font>
  <w:font w:name="Univers">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0724" w:rsidRDefault="00580724">
      <w:r>
        <w:separator/>
      </w:r>
    </w:p>
  </w:footnote>
  <w:footnote w:type="continuationSeparator" w:id="0">
    <w:p w:rsidR="00580724" w:rsidRDefault="00580724">
      <w:r>
        <w:continuationSeparator/>
      </w:r>
    </w:p>
  </w:footnote>
  <w:footnote w:id="1">
    <w:p w:rsidR="00D51069" w:rsidRPr="00D51069" w:rsidRDefault="00D51069" w:rsidP="00D51069">
      <w:pPr>
        <w:pStyle w:val="FootnoteText"/>
        <w:ind w:firstLine="0"/>
        <w:rPr>
          <w:lang w:val="en-US"/>
        </w:rPr>
      </w:pPr>
      <w:r w:rsidRPr="00D51069">
        <w:rPr>
          <w:rStyle w:val="FootnoteReference"/>
          <w:u w:val="none"/>
        </w:rPr>
        <w:t>*</w:t>
      </w:r>
      <w:r>
        <w:t xml:space="preserve"> CBD/</w:t>
      </w:r>
      <w:r w:rsidR="00C85EA4">
        <w:rPr>
          <w:lang w:val="en-US"/>
        </w:rPr>
        <w:t>SBSTTA/22</w:t>
      </w:r>
      <w:r>
        <w:rPr>
          <w:lang w:val="en-US"/>
        </w:rPr>
        <w:t>/1.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rPr>
      <w:alias w:val="Subject"/>
      <w:tag w:val=""/>
      <w:id w:val="435956939"/>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EndPr/>
    <w:sdtContent>
      <w:p w:rsidR="00BA3233" w:rsidRPr="00DC7E54" w:rsidRDefault="00F32737" w:rsidP="005440A6">
        <w:pPr>
          <w:pStyle w:val="Header"/>
          <w:tabs>
            <w:tab w:val="clear" w:pos="4320"/>
            <w:tab w:val="clear" w:pos="8640"/>
          </w:tabs>
          <w:jc w:val="left"/>
          <w:rPr>
            <w:noProof/>
            <w:kern w:val="22"/>
          </w:rPr>
        </w:pPr>
        <w:r>
          <w:rPr>
            <w:noProof/>
            <w:kern w:val="22"/>
          </w:rPr>
          <w:t>CBD/SBSTTA/22/INF/11</w:t>
        </w:r>
      </w:p>
    </w:sdtContent>
  </w:sdt>
  <w:p w:rsidR="00BA3233" w:rsidRPr="005440A6" w:rsidRDefault="00BA3233" w:rsidP="005440A6">
    <w:pPr>
      <w:pStyle w:val="Header"/>
      <w:tabs>
        <w:tab w:val="clear" w:pos="4320"/>
        <w:tab w:val="clear" w:pos="8640"/>
      </w:tabs>
      <w:jc w:val="lef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EA1592">
      <w:rPr>
        <w:noProof/>
        <w:kern w:val="22"/>
      </w:rPr>
      <w:t>2</w:t>
    </w:r>
    <w:r w:rsidRPr="005440A6">
      <w:rPr>
        <w:noProof/>
        <w:kern w:val="22"/>
      </w:rPr>
      <w:fldChar w:fldCharType="end"/>
    </w:r>
  </w:p>
  <w:p w:rsidR="00BA3233" w:rsidRPr="005440A6" w:rsidRDefault="00BA3233" w:rsidP="005440A6">
    <w:pPr>
      <w:pStyle w:val="Header"/>
      <w:tabs>
        <w:tab w:val="clear" w:pos="4320"/>
        <w:tab w:val="clear" w:pos="8640"/>
      </w:tabs>
      <w:jc w:val="left"/>
      <w:rPr>
        <w:noProof/>
        <w:kern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rPr>
      <w:alias w:val="Subject"/>
      <w:tag w:val=""/>
      <w:id w:val="599458323"/>
      <w:placeholder>
        <w:docPart w:val="6A8193A12B42491F9EFE82214EBC85A8"/>
      </w:placeholder>
      <w:dataBinding w:prefixMappings="xmlns:ns0='http://purl.org/dc/elements/1.1/' xmlns:ns1='http://schemas.openxmlformats.org/package/2006/metadata/core-properties' " w:xpath="/ns1:coreProperties[1]/ns0:subject[1]" w:storeItemID="{6C3C8BC8-F283-45AE-878A-BAB7291924A1}"/>
      <w:text/>
    </w:sdtPr>
    <w:sdtEndPr/>
    <w:sdtContent>
      <w:p w:rsidR="00BA3233" w:rsidRPr="00DC7E54" w:rsidRDefault="00F32737" w:rsidP="00BE45DE">
        <w:pPr>
          <w:pStyle w:val="Header"/>
          <w:tabs>
            <w:tab w:val="clear" w:pos="4320"/>
            <w:tab w:val="clear" w:pos="8640"/>
          </w:tabs>
          <w:jc w:val="right"/>
          <w:rPr>
            <w:noProof/>
            <w:kern w:val="22"/>
          </w:rPr>
        </w:pPr>
        <w:r>
          <w:rPr>
            <w:noProof/>
            <w:kern w:val="22"/>
          </w:rPr>
          <w:t>CBD/SBSTTA/22/INF/11</w:t>
        </w:r>
      </w:p>
    </w:sdtContent>
  </w:sdt>
  <w:p w:rsidR="00BA3233" w:rsidRPr="005440A6" w:rsidRDefault="00BA3233" w:rsidP="005440A6">
    <w:pPr>
      <w:pStyle w:val="Header"/>
      <w:tabs>
        <w:tab w:val="clear" w:pos="4320"/>
        <w:tab w:val="clear" w:pos="8640"/>
      </w:tabs>
      <w:jc w:val="righ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EA1592">
      <w:rPr>
        <w:noProof/>
        <w:kern w:val="22"/>
      </w:rPr>
      <w:t>5</w:t>
    </w:r>
    <w:r w:rsidRPr="005440A6">
      <w:rPr>
        <w:noProof/>
        <w:kern w:val="22"/>
      </w:rPr>
      <w:fldChar w:fldCharType="end"/>
    </w:r>
  </w:p>
  <w:p w:rsidR="00BA3233" w:rsidRPr="005440A6" w:rsidRDefault="00BA3233" w:rsidP="005440A6">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81.15pt;height:408.15pt;visibility:visible;mso-wrap-style:square" o:bullet="t">
        <v:imagedata r:id="rId1" o:title=""/>
      </v:shape>
    </w:pict>
  </w:numPicBullet>
  <w:abstractNum w:abstractNumId="0">
    <w:nsid w:val="FFFFFF1D"/>
    <w:multiLevelType w:val="multilevel"/>
    <w:tmpl w:val="84763D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2B8063F"/>
    <w:multiLevelType w:val="hybridMultilevel"/>
    <w:tmpl w:val="FF5C2D9C"/>
    <w:lvl w:ilvl="0" w:tplc="402C42D2">
      <w:start w:val="15"/>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nsid w:val="0ECE3861"/>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114F0E"/>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8D42DBC"/>
    <w:multiLevelType w:val="hybridMultilevel"/>
    <w:tmpl w:val="364080C6"/>
    <w:lvl w:ilvl="0" w:tplc="E07A4D8A">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F6E7FAB"/>
    <w:multiLevelType w:val="hybridMultilevel"/>
    <w:tmpl w:val="DE90C014"/>
    <w:lvl w:ilvl="0" w:tplc="877AD062">
      <w:start w:val="1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0674565"/>
    <w:multiLevelType w:val="hybridMultilevel"/>
    <w:tmpl w:val="E38CF422"/>
    <w:lvl w:ilvl="0" w:tplc="65026076">
      <w:start w:val="1"/>
      <w:numFmt w:val="low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82018A3"/>
    <w:multiLevelType w:val="hybridMultilevel"/>
    <w:tmpl w:val="98D0F8D6"/>
    <w:lvl w:ilvl="0" w:tplc="FFFFFFFF">
      <w:start w:val="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9">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nsid w:val="2D2F11A0"/>
    <w:multiLevelType w:val="hybridMultilevel"/>
    <w:tmpl w:val="8368943E"/>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EDB318A"/>
    <w:multiLevelType w:val="hybridMultilevel"/>
    <w:tmpl w:val="940E8760"/>
    <w:lvl w:ilvl="0" w:tplc="E266F2B0">
      <w:start w:val="1"/>
      <w:numFmt w:val="lowerLetter"/>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3">
    <w:nsid w:val="3AEB0B1E"/>
    <w:multiLevelType w:val="multilevel"/>
    <w:tmpl w:val="151C492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2016"/>
        </w:tabs>
        <w:ind w:left="2016" w:hanging="43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3CE43C91"/>
    <w:multiLevelType w:val="singleLevel"/>
    <w:tmpl w:val="7174E9C0"/>
    <w:lvl w:ilvl="0">
      <w:start w:val="1"/>
      <w:numFmt w:val="decimal"/>
      <w:lvlText w:val="%1."/>
      <w:lvlJc w:val="left"/>
      <w:pPr>
        <w:tabs>
          <w:tab w:val="num" w:pos="360"/>
        </w:tabs>
        <w:ind w:left="0" w:firstLine="0"/>
      </w:pPr>
    </w:lvl>
  </w:abstractNum>
  <w:abstractNum w:abstractNumId="15">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nsid w:val="469C0FCD"/>
    <w:multiLevelType w:val="hybridMultilevel"/>
    <w:tmpl w:val="839ED9B2"/>
    <w:lvl w:ilvl="0" w:tplc="FFFFFFFF">
      <w:start w:val="2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7">
    <w:nsid w:val="4762318C"/>
    <w:multiLevelType w:val="multilevel"/>
    <w:tmpl w:val="F9AC009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nsid w:val="52FA0D9A"/>
    <w:multiLevelType w:val="multilevel"/>
    <w:tmpl w:val="187822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nsid w:val="5BDA15C7"/>
    <w:multiLevelType w:val="hybridMultilevel"/>
    <w:tmpl w:val="0A9A1A24"/>
    <w:lvl w:ilvl="0" w:tplc="7CC8A896">
      <w:start w:val="10"/>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5CC009D4"/>
    <w:multiLevelType w:val="multilevel"/>
    <w:tmpl w:val="66CADF46"/>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3">
    <w:nsid w:val="5D3F71C9"/>
    <w:multiLevelType w:val="hybridMultilevel"/>
    <w:tmpl w:val="DCE4A288"/>
    <w:lvl w:ilvl="0" w:tplc="C0786CE8">
      <w:start w:val="1"/>
      <w:numFmt w:val="bullet"/>
      <w:lvlText w:val=""/>
      <w:lvlPicBulletId w:val="0"/>
      <w:lvlJc w:val="left"/>
      <w:pPr>
        <w:tabs>
          <w:tab w:val="num" w:pos="720"/>
        </w:tabs>
        <w:ind w:left="720" w:hanging="360"/>
      </w:pPr>
      <w:rPr>
        <w:rFonts w:ascii="Symbol" w:hAnsi="Symbol" w:hint="default"/>
      </w:rPr>
    </w:lvl>
    <w:lvl w:ilvl="1" w:tplc="92EE5C64" w:tentative="1">
      <w:start w:val="1"/>
      <w:numFmt w:val="bullet"/>
      <w:lvlText w:val=""/>
      <w:lvlJc w:val="left"/>
      <w:pPr>
        <w:tabs>
          <w:tab w:val="num" w:pos="1440"/>
        </w:tabs>
        <w:ind w:left="1440" w:hanging="360"/>
      </w:pPr>
      <w:rPr>
        <w:rFonts w:ascii="Symbol" w:hAnsi="Symbol" w:hint="default"/>
      </w:rPr>
    </w:lvl>
    <w:lvl w:ilvl="2" w:tplc="D130A87A" w:tentative="1">
      <w:start w:val="1"/>
      <w:numFmt w:val="bullet"/>
      <w:lvlText w:val=""/>
      <w:lvlJc w:val="left"/>
      <w:pPr>
        <w:tabs>
          <w:tab w:val="num" w:pos="2160"/>
        </w:tabs>
        <w:ind w:left="2160" w:hanging="360"/>
      </w:pPr>
      <w:rPr>
        <w:rFonts w:ascii="Symbol" w:hAnsi="Symbol" w:hint="default"/>
      </w:rPr>
    </w:lvl>
    <w:lvl w:ilvl="3" w:tplc="F45AB0A4" w:tentative="1">
      <w:start w:val="1"/>
      <w:numFmt w:val="bullet"/>
      <w:lvlText w:val=""/>
      <w:lvlJc w:val="left"/>
      <w:pPr>
        <w:tabs>
          <w:tab w:val="num" w:pos="2880"/>
        </w:tabs>
        <w:ind w:left="2880" w:hanging="360"/>
      </w:pPr>
      <w:rPr>
        <w:rFonts w:ascii="Symbol" w:hAnsi="Symbol" w:hint="default"/>
      </w:rPr>
    </w:lvl>
    <w:lvl w:ilvl="4" w:tplc="222403E4" w:tentative="1">
      <w:start w:val="1"/>
      <w:numFmt w:val="bullet"/>
      <w:lvlText w:val=""/>
      <w:lvlJc w:val="left"/>
      <w:pPr>
        <w:tabs>
          <w:tab w:val="num" w:pos="3600"/>
        </w:tabs>
        <w:ind w:left="3600" w:hanging="360"/>
      </w:pPr>
      <w:rPr>
        <w:rFonts w:ascii="Symbol" w:hAnsi="Symbol" w:hint="default"/>
      </w:rPr>
    </w:lvl>
    <w:lvl w:ilvl="5" w:tplc="C486EF36" w:tentative="1">
      <w:start w:val="1"/>
      <w:numFmt w:val="bullet"/>
      <w:lvlText w:val=""/>
      <w:lvlJc w:val="left"/>
      <w:pPr>
        <w:tabs>
          <w:tab w:val="num" w:pos="4320"/>
        </w:tabs>
        <w:ind w:left="4320" w:hanging="360"/>
      </w:pPr>
      <w:rPr>
        <w:rFonts w:ascii="Symbol" w:hAnsi="Symbol" w:hint="default"/>
      </w:rPr>
    </w:lvl>
    <w:lvl w:ilvl="6" w:tplc="7AE65F96" w:tentative="1">
      <w:start w:val="1"/>
      <w:numFmt w:val="bullet"/>
      <w:lvlText w:val=""/>
      <w:lvlJc w:val="left"/>
      <w:pPr>
        <w:tabs>
          <w:tab w:val="num" w:pos="5040"/>
        </w:tabs>
        <w:ind w:left="5040" w:hanging="360"/>
      </w:pPr>
      <w:rPr>
        <w:rFonts w:ascii="Symbol" w:hAnsi="Symbol" w:hint="default"/>
      </w:rPr>
    </w:lvl>
    <w:lvl w:ilvl="7" w:tplc="538C7674" w:tentative="1">
      <w:start w:val="1"/>
      <w:numFmt w:val="bullet"/>
      <w:lvlText w:val=""/>
      <w:lvlJc w:val="left"/>
      <w:pPr>
        <w:tabs>
          <w:tab w:val="num" w:pos="5760"/>
        </w:tabs>
        <w:ind w:left="5760" w:hanging="360"/>
      </w:pPr>
      <w:rPr>
        <w:rFonts w:ascii="Symbol" w:hAnsi="Symbol" w:hint="default"/>
      </w:rPr>
    </w:lvl>
    <w:lvl w:ilvl="8" w:tplc="D4AC8160" w:tentative="1">
      <w:start w:val="1"/>
      <w:numFmt w:val="bullet"/>
      <w:lvlText w:val=""/>
      <w:lvlJc w:val="left"/>
      <w:pPr>
        <w:tabs>
          <w:tab w:val="num" w:pos="6480"/>
        </w:tabs>
        <w:ind w:left="6480" w:hanging="360"/>
      </w:pPr>
      <w:rPr>
        <w:rFonts w:ascii="Symbol" w:hAnsi="Symbol" w:hint="default"/>
      </w:rPr>
    </w:lvl>
  </w:abstractNum>
  <w:abstractNum w:abstractNumId="24">
    <w:nsid w:val="614608C6"/>
    <w:multiLevelType w:val="hybridMultilevel"/>
    <w:tmpl w:val="BC6CFBDC"/>
    <w:lvl w:ilvl="0" w:tplc="81F04CD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65814BD9"/>
    <w:multiLevelType w:val="hybridMultilevel"/>
    <w:tmpl w:val="4A5E6682"/>
    <w:lvl w:ilvl="0" w:tplc="3808F94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6EE23244"/>
    <w:multiLevelType w:val="multilevel"/>
    <w:tmpl w:val="B3C03A2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nsid w:val="7232295C"/>
    <w:multiLevelType w:val="hybridMultilevel"/>
    <w:tmpl w:val="E786B338"/>
    <w:lvl w:ilvl="0" w:tplc="7B54AE6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30A2A3B"/>
    <w:multiLevelType w:val="hybridMultilevel"/>
    <w:tmpl w:val="541C3456"/>
    <w:lvl w:ilvl="0" w:tplc="AC5CB2AC">
      <w:start w:val="1"/>
      <w:numFmt w:val="decimal"/>
      <w:lvlText w:val="%1."/>
      <w:lvlJc w:val="left"/>
      <w:pPr>
        <w:tabs>
          <w:tab w:val="num" w:pos="576"/>
        </w:tabs>
        <w:ind w:left="576" w:hanging="576"/>
      </w:pPr>
      <w:rPr>
        <w:rFonts w:hint="default"/>
      </w:rPr>
    </w:lvl>
    <w:lvl w:ilvl="1" w:tplc="E7C89700">
      <w:start w:val="1"/>
      <w:numFmt w:val="lowerLetter"/>
      <w:lvlText w:val="(%2)"/>
      <w:lvlJc w:val="left"/>
      <w:pPr>
        <w:tabs>
          <w:tab w:val="num" w:pos="1287"/>
        </w:tabs>
        <w:ind w:left="0" w:firstLine="567"/>
      </w:pPr>
      <w:rPr>
        <w:rFonts w:hint="default"/>
      </w:rPr>
    </w:lvl>
    <w:lvl w:ilvl="2" w:tplc="EC168E4E">
      <w:numFmt w:val="bullet"/>
      <w:lvlText w:val=""/>
      <w:lvlJc w:val="left"/>
      <w:pPr>
        <w:tabs>
          <w:tab w:val="num" w:pos="2340"/>
        </w:tabs>
        <w:ind w:left="2340" w:hanging="360"/>
      </w:pPr>
      <w:rPr>
        <w:rFonts w:ascii="Symbol" w:eastAsia="Times New Roman" w:hAnsi="Symbol"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7EC637CE"/>
    <w:multiLevelType w:val="hybridMultilevel"/>
    <w:tmpl w:val="E28240F6"/>
    <w:lvl w:ilvl="0" w:tplc="E90E797A">
      <w:start w:val="18"/>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0"/>
  </w:num>
  <w:num w:numId="2">
    <w:abstractNumId w:val="11"/>
  </w:num>
  <w:num w:numId="3">
    <w:abstractNumId w:val="9"/>
  </w:num>
  <w:num w:numId="4">
    <w:abstractNumId w:val="28"/>
  </w:num>
  <w:num w:numId="5">
    <w:abstractNumId w:val="12"/>
  </w:num>
  <w:num w:numId="6">
    <w:abstractNumId w:val="19"/>
  </w:num>
  <w:num w:numId="7">
    <w:abstractNumId w:val="15"/>
  </w:num>
  <w:num w:numId="8">
    <w:abstractNumId w:val="13"/>
  </w:num>
  <w:num w:numId="9">
    <w:abstractNumId w:val="19"/>
  </w:num>
  <w:num w:numId="10">
    <w:abstractNumId w:val="18"/>
  </w:num>
  <w:num w:numId="11">
    <w:abstractNumId w:val="14"/>
  </w:num>
  <w:num w:numId="12">
    <w:abstractNumId w:val="7"/>
  </w:num>
  <w:num w:numId="13">
    <w:abstractNumId w:val="17"/>
  </w:num>
  <w:num w:numId="14">
    <w:abstractNumId w:val="1"/>
  </w:num>
  <w:num w:numId="15">
    <w:abstractNumId w:val="29"/>
  </w:num>
  <w:num w:numId="16">
    <w:abstractNumId w:val="21"/>
  </w:num>
  <w:num w:numId="17">
    <w:abstractNumId w:val="6"/>
  </w:num>
  <w:num w:numId="18">
    <w:abstractNumId w:val="19"/>
    <w:lvlOverride w:ilvl="0">
      <w:startOverride w:val="1"/>
    </w:lvlOverride>
    <w:lvlOverride w:ilvl="1">
      <w:startOverride w:val="1"/>
    </w:lvlOverride>
    <w:lvlOverride w:ilvl="2">
      <w:startOverride w:val="2"/>
    </w:lvlOverride>
  </w:num>
  <w:num w:numId="19">
    <w:abstractNumId w:val="19"/>
    <w:lvlOverride w:ilvl="0">
      <w:startOverride w:val="1"/>
    </w:lvlOverride>
    <w:lvlOverride w:ilvl="1">
      <w:startOverride w:val="1"/>
    </w:lvlOverride>
    <w:lvlOverride w:ilvl="2">
      <w:startOverride w:val="3"/>
    </w:lvlOverride>
  </w:num>
  <w:num w:numId="20">
    <w:abstractNumId w:val="5"/>
  </w:num>
  <w:num w:numId="21">
    <w:abstractNumId w:val="22"/>
  </w:num>
  <w:num w:numId="22">
    <w:abstractNumId w:val="20"/>
  </w:num>
  <w:num w:numId="23">
    <w:abstractNumId w:val="8"/>
  </w:num>
  <w:num w:numId="24">
    <w:abstractNumId w:val="24"/>
  </w:num>
  <w:num w:numId="25">
    <w:abstractNumId w:val="25"/>
  </w:num>
  <w:num w:numId="26">
    <w:abstractNumId w:val="16"/>
  </w:num>
  <w:num w:numId="27">
    <w:abstractNumId w:val="19"/>
  </w:num>
  <w:num w:numId="28">
    <w:abstractNumId w:val="19"/>
  </w:num>
  <w:num w:numId="29">
    <w:abstractNumId w:val="19"/>
  </w:num>
  <w:num w:numId="30">
    <w:abstractNumId w:val="19"/>
  </w:num>
  <w:num w:numId="31">
    <w:abstractNumId w:val="2"/>
  </w:num>
  <w:num w:numId="32">
    <w:abstractNumId w:val="3"/>
  </w:num>
  <w:num w:numId="33">
    <w:abstractNumId w:val="4"/>
  </w:num>
  <w:num w:numId="34">
    <w:abstractNumId w:val="0"/>
  </w:num>
  <w:num w:numId="35">
    <w:abstractNumId w:val="23"/>
  </w:num>
  <w:num w:numId="36">
    <w:abstractNumId w:val="26"/>
  </w:num>
  <w:num w:numId="3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4"/>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B3B"/>
    <w:rsid w:val="000219AC"/>
    <w:rsid w:val="00031D24"/>
    <w:rsid w:val="00037873"/>
    <w:rsid w:val="00054381"/>
    <w:rsid w:val="000711E1"/>
    <w:rsid w:val="00073708"/>
    <w:rsid w:val="000E637D"/>
    <w:rsid w:val="000E7E6A"/>
    <w:rsid w:val="000F63AB"/>
    <w:rsid w:val="0012214B"/>
    <w:rsid w:val="00166367"/>
    <w:rsid w:val="00175501"/>
    <w:rsid w:val="00176AC5"/>
    <w:rsid w:val="00190AFE"/>
    <w:rsid w:val="00192E06"/>
    <w:rsid w:val="001A5072"/>
    <w:rsid w:val="001F32F0"/>
    <w:rsid w:val="001F6379"/>
    <w:rsid w:val="00204415"/>
    <w:rsid w:val="00207A6E"/>
    <w:rsid w:val="00224B92"/>
    <w:rsid w:val="002357E1"/>
    <w:rsid w:val="00252897"/>
    <w:rsid w:val="002A3C12"/>
    <w:rsid w:val="002B0942"/>
    <w:rsid w:val="003210FF"/>
    <w:rsid w:val="00325DE3"/>
    <w:rsid w:val="00336766"/>
    <w:rsid w:val="003B10B9"/>
    <w:rsid w:val="003C113F"/>
    <w:rsid w:val="003E2DAE"/>
    <w:rsid w:val="003F6E44"/>
    <w:rsid w:val="00406BC6"/>
    <w:rsid w:val="0044424E"/>
    <w:rsid w:val="004B597A"/>
    <w:rsid w:val="00500530"/>
    <w:rsid w:val="005032C9"/>
    <w:rsid w:val="00516C26"/>
    <w:rsid w:val="005440A6"/>
    <w:rsid w:val="00580724"/>
    <w:rsid w:val="005955D2"/>
    <w:rsid w:val="005A4284"/>
    <w:rsid w:val="005B2339"/>
    <w:rsid w:val="005D139C"/>
    <w:rsid w:val="005F4C74"/>
    <w:rsid w:val="006260D5"/>
    <w:rsid w:val="0064688C"/>
    <w:rsid w:val="006507F2"/>
    <w:rsid w:val="00690847"/>
    <w:rsid w:val="006B074E"/>
    <w:rsid w:val="006B2BD5"/>
    <w:rsid w:val="006D0E3D"/>
    <w:rsid w:val="006D4DA7"/>
    <w:rsid w:val="006E3EA6"/>
    <w:rsid w:val="006F284C"/>
    <w:rsid w:val="006F5365"/>
    <w:rsid w:val="006F7227"/>
    <w:rsid w:val="00702366"/>
    <w:rsid w:val="007163BC"/>
    <w:rsid w:val="00730AE3"/>
    <w:rsid w:val="00736BC2"/>
    <w:rsid w:val="007565F8"/>
    <w:rsid w:val="0079325E"/>
    <w:rsid w:val="007B1587"/>
    <w:rsid w:val="007C5285"/>
    <w:rsid w:val="007C633B"/>
    <w:rsid w:val="007D3182"/>
    <w:rsid w:val="00825524"/>
    <w:rsid w:val="0083211E"/>
    <w:rsid w:val="00845935"/>
    <w:rsid w:val="00870D40"/>
    <w:rsid w:val="008B749A"/>
    <w:rsid w:val="008C013C"/>
    <w:rsid w:val="008C1E35"/>
    <w:rsid w:val="008D5AA2"/>
    <w:rsid w:val="008E5F84"/>
    <w:rsid w:val="008E7500"/>
    <w:rsid w:val="009067F8"/>
    <w:rsid w:val="00922EAD"/>
    <w:rsid w:val="0092794B"/>
    <w:rsid w:val="00953856"/>
    <w:rsid w:val="009554D5"/>
    <w:rsid w:val="009B5E1D"/>
    <w:rsid w:val="009D2F92"/>
    <w:rsid w:val="009E2B79"/>
    <w:rsid w:val="00A10051"/>
    <w:rsid w:val="00A20F36"/>
    <w:rsid w:val="00A265C6"/>
    <w:rsid w:val="00A30DAD"/>
    <w:rsid w:val="00AA014E"/>
    <w:rsid w:val="00AB4AF4"/>
    <w:rsid w:val="00AC1E69"/>
    <w:rsid w:val="00AE7D6E"/>
    <w:rsid w:val="00B271A0"/>
    <w:rsid w:val="00B3299A"/>
    <w:rsid w:val="00B56B11"/>
    <w:rsid w:val="00B85F9B"/>
    <w:rsid w:val="00BA1498"/>
    <w:rsid w:val="00BA3233"/>
    <w:rsid w:val="00BC5BBE"/>
    <w:rsid w:val="00BD77D0"/>
    <w:rsid w:val="00BE37A4"/>
    <w:rsid w:val="00BE45DE"/>
    <w:rsid w:val="00C05456"/>
    <w:rsid w:val="00C076A9"/>
    <w:rsid w:val="00C15BBB"/>
    <w:rsid w:val="00C31FC0"/>
    <w:rsid w:val="00C37FF1"/>
    <w:rsid w:val="00C4738B"/>
    <w:rsid w:val="00C507CD"/>
    <w:rsid w:val="00C65983"/>
    <w:rsid w:val="00C85EA4"/>
    <w:rsid w:val="00C912FE"/>
    <w:rsid w:val="00CA1572"/>
    <w:rsid w:val="00CA6B87"/>
    <w:rsid w:val="00CC2031"/>
    <w:rsid w:val="00CE51C3"/>
    <w:rsid w:val="00CF4F69"/>
    <w:rsid w:val="00D15589"/>
    <w:rsid w:val="00D21C30"/>
    <w:rsid w:val="00D22AE8"/>
    <w:rsid w:val="00D36DB5"/>
    <w:rsid w:val="00D432AD"/>
    <w:rsid w:val="00D51069"/>
    <w:rsid w:val="00D9537D"/>
    <w:rsid w:val="00DC7E54"/>
    <w:rsid w:val="00DD52CC"/>
    <w:rsid w:val="00DE308B"/>
    <w:rsid w:val="00E37A7A"/>
    <w:rsid w:val="00E47630"/>
    <w:rsid w:val="00E55B3B"/>
    <w:rsid w:val="00E55E91"/>
    <w:rsid w:val="00EA1592"/>
    <w:rsid w:val="00EA7525"/>
    <w:rsid w:val="00EC0891"/>
    <w:rsid w:val="00EE51DB"/>
    <w:rsid w:val="00F13DC0"/>
    <w:rsid w:val="00F14485"/>
    <w:rsid w:val="00F16F02"/>
    <w:rsid w:val="00F2350C"/>
    <w:rsid w:val="00F26A60"/>
    <w:rsid w:val="00F32737"/>
    <w:rsid w:val="00F41016"/>
    <w:rsid w:val="00F465B6"/>
    <w:rsid w:val="00F5107D"/>
    <w:rsid w:val="00F64CB9"/>
    <w:rsid w:val="00F67181"/>
    <w:rsid w:val="00F67855"/>
    <w:rsid w:val="00F77628"/>
    <w:rsid w:val="00F838DD"/>
    <w:rsid w:val="00FB3B70"/>
    <w:rsid w:val="00FC6159"/>
    <w:rsid w:val="00FD061C"/>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1F9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Table Grid" w:semiHidden="0" w:uiPriority="59" w:unhideWhenUsed="0"/>
    <w:lsdException w:name="Table Theme" w:locked="1"/>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link w:val="Para1Char1"/>
    <w:rsid w:val="00F13DC0"/>
    <w:pPr>
      <w:numPr>
        <w:numId w:val="6"/>
      </w:numPr>
      <w:tabs>
        <w:tab w:val="clear" w:pos="360"/>
      </w:tabs>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basedOn w:val="Normal"/>
    <w:link w:val="BodyTextChar"/>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Pr>
      <w:sz w:val="16"/>
    </w:rPr>
  </w:style>
  <w:style w:type="paragraph" w:styleId="CommentText">
    <w:name w:val="annotation text"/>
    <w:basedOn w:val="Normal"/>
    <w:link w:val="CommentTextChar"/>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10"/>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9"/>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7"/>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72"/>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176AC5"/>
    <w:rPr>
      <w:iCs/>
      <w:sz w:val="22"/>
      <w:szCs w:val="24"/>
      <w:lang w:val="en-GB"/>
    </w:rPr>
  </w:style>
  <w:style w:type="character" w:customStyle="1" w:styleId="Para1Char1">
    <w:name w:val="Para1 Char1"/>
    <w:link w:val="Para1"/>
    <w:rsid w:val="00AB4AF4"/>
    <w:rPr>
      <w:snapToGrid w:val="0"/>
      <w:sz w:val="22"/>
      <w:szCs w:val="18"/>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Table Grid" w:semiHidden="0" w:uiPriority="59" w:unhideWhenUsed="0"/>
    <w:lsdException w:name="Table Theme" w:locked="1"/>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link w:val="Para1Char1"/>
    <w:rsid w:val="00F13DC0"/>
    <w:pPr>
      <w:numPr>
        <w:numId w:val="6"/>
      </w:numPr>
      <w:tabs>
        <w:tab w:val="clear" w:pos="360"/>
      </w:tabs>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basedOn w:val="Normal"/>
    <w:link w:val="BodyTextChar"/>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Pr>
      <w:sz w:val="16"/>
    </w:rPr>
  </w:style>
  <w:style w:type="paragraph" w:styleId="CommentText">
    <w:name w:val="annotation text"/>
    <w:basedOn w:val="Normal"/>
    <w:link w:val="CommentTextChar"/>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10"/>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9"/>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7"/>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72"/>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176AC5"/>
    <w:rPr>
      <w:iCs/>
      <w:sz w:val="22"/>
      <w:szCs w:val="24"/>
      <w:lang w:val="en-GB"/>
    </w:rPr>
  </w:style>
  <w:style w:type="character" w:customStyle="1" w:styleId="Para1Char1">
    <w:name w:val="Para1 Char1"/>
    <w:link w:val="Para1"/>
    <w:rsid w:val="00AB4AF4"/>
    <w:rPr>
      <w:snapToGrid w:val="0"/>
      <w:sz w:val="22"/>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emf"/><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3.emf"/><Relationship Id="rId4" Type="http://schemas.microsoft.com/office/2007/relationships/stylesWithEffects" Target="stylesWithEffects.xml"/><Relationship Id="rId9" Type="http://schemas.openxmlformats.org/officeDocument/2006/relationships/image" Target="media/image2.emf"/><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79ABB9F55644AE3BB8290E8CB7F8968"/>
        <w:category>
          <w:name w:val="General"/>
          <w:gallery w:val="placeholder"/>
        </w:category>
        <w:types>
          <w:type w:val="bbPlcHdr"/>
        </w:types>
        <w:behaviors>
          <w:behavior w:val="content"/>
        </w:behaviors>
        <w:guid w:val="{148D9D33-A538-4B93-A316-BD0AD88243B2}"/>
      </w:docPartPr>
      <w:docPartBody>
        <w:p w:rsidR="0037757D" w:rsidRDefault="001B29AF">
          <w:r w:rsidRPr="00B903A7">
            <w:rPr>
              <w:rStyle w:val="PlaceholderText"/>
            </w:rPr>
            <w:t>[Title]</w:t>
          </w:r>
        </w:p>
      </w:docPartBody>
    </w:docPart>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PlaceholderText"/>
            </w:rPr>
            <w:t>[Subject]</w:t>
          </w:r>
        </w:p>
      </w:docPartBody>
    </w:docPart>
    <w:docPart>
      <w:docPartPr>
        <w:name w:val="6A8193A12B42491F9EFE82214EBC85A8"/>
        <w:category>
          <w:name w:val="General"/>
          <w:gallery w:val="placeholder"/>
        </w:category>
        <w:types>
          <w:type w:val="bbPlcHdr"/>
        </w:types>
        <w:behaviors>
          <w:behavior w:val="content"/>
        </w:behaviors>
        <w:guid w:val="{D3911701-6623-448F-813C-00DCE7EA9334}"/>
      </w:docPartPr>
      <w:docPartBody>
        <w:p w:rsidR="0037757D" w:rsidRDefault="001B29AF">
          <w:r w:rsidRPr="00B903A7">
            <w:rPr>
              <w:rStyle w:val="PlaceholderText"/>
            </w:rPr>
            <w:t>[Subject]</w:t>
          </w:r>
        </w:p>
      </w:docPartBody>
    </w:docPart>
    <w:docPart>
      <w:docPartPr>
        <w:name w:val="126C0E10A71F4EFDB18FEF1D2C7A7ABF"/>
        <w:category>
          <w:name w:val="General"/>
          <w:gallery w:val="placeholder"/>
        </w:category>
        <w:types>
          <w:type w:val="bbPlcHdr"/>
        </w:types>
        <w:behaviors>
          <w:behavior w:val="content"/>
        </w:behaviors>
        <w:guid w:val="{A2182327-EA3C-4375-8E82-83438B32D90C}"/>
      </w:docPartPr>
      <w:docPartBody>
        <w:p w:rsidR="007E501A" w:rsidRDefault="004A69EC" w:rsidP="004A69EC">
          <w:pPr>
            <w:pStyle w:val="126C0E10A71F4EFDB18FEF1D2C7A7ABF"/>
          </w:pPr>
          <w:r w:rsidRPr="00B903A7">
            <w:rPr>
              <w:rStyle w:val="PlaceholderText"/>
            </w:rPr>
            <w:t>[Subject]</w:t>
          </w:r>
        </w:p>
      </w:docPartBody>
    </w:docPart>
    <w:docPart>
      <w:docPartPr>
        <w:name w:val="DefaultPlaceholder_1082065158"/>
        <w:category>
          <w:name w:val="General"/>
          <w:gallery w:val="placeholder"/>
        </w:category>
        <w:types>
          <w:type w:val="bbPlcHdr"/>
        </w:types>
        <w:behaviors>
          <w:behavior w:val="content"/>
        </w:behaviors>
        <w:guid w:val="{B3C7E780-0CB4-4E4C-8A86-B91D13ADBF45}"/>
      </w:docPartPr>
      <w:docPartBody>
        <w:p w:rsidR="00D5481D" w:rsidRDefault="00015BC6">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00000000" w:usb2="00000000" w:usb3="00000000" w:csb0="000001FF" w:csb1="00000000"/>
  </w:font>
  <w:font w:name="Univers">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9AF"/>
    <w:rsid w:val="00015BC6"/>
    <w:rsid w:val="0017153F"/>
    <w:rsid w:val="001B29AF"/>
    <w:rsid w:val="00347A3F"/>
    <w:rsid w:val="0037757D"/>
    <w:rsid w:val="004A69EC"/>
    <w:rsid w:val="006A35AE"/>
    <w:rsid w:val="007C4A39"/>
    <w:rsid w:val="007E501A"/>
    <w:rsid w:val="0083264A"/>
    <w:rsid w:val="00855EDC"/>
    <w:rsid w:val="00921A59"/>
    <w:rsid w:val="00964A44"/>
    <w:rsid w:val="00985347"/>
    <w:rsid w:val="00A27574"/>
    <w:rsid w:val="00AC7178"/>
    <w:rsid w:val="00B36C7B"/>
    <w:rsid w:val="00BB2CFE"/>
    <w:rsid w:val="00D5481D"/>
    <w:rsid w:val="00EC17B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015BC6"/>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015BC6"/>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E22AA2-CBD6-4E43-99CF-66B318883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13</TotalTime>
  <Pages>6</Pages>
  <Words>2222</Words>
  <Characters>12668</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SYNTHESIS OF SUBMISSIONS BY PARTIES IN RESPONSE TO PARAGRAPH 6 OF DECISION CP-VII/12</vt:lpstr>
    </vt:vector>
  </TitlesOfParts>
  <Company>Biodiversity</Company>
  <LinksUpToDate>false</LinksUpToDate>
  <CharactersWithSpaces>14861</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SYNTHESIS OF SUBMISSIONS BY PARTIES IN RESPONSE TO PARAGRAPH 6 OF DECISION CP-VIII/12</dc:title>
  <dc:subject>CBD/SBSTTA/22/INF/11</dc:subject>
  <dc:creator>SCBD</dc:creator>
  <cp:lastModifiedBy>Orestes Plasencia</cp:lastModifiedBy>
  <cp:revision>5</cp:revision>
  <cp:lastPrinted>2017-02-22T20:35:00Z</cp:lastPrinted>
  <dcterms:created xsi:type="dcterms:W3CDTF">2018-05-23T16:09:00Z</dcterms:created>
  <dcterms:modified xsi:type="dcterms:W3CDTF">2018-06-29T20:59:00Z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SUBSIDIARY BODY ON SCIENTIFIC, TECHNICAL AND TECHNOLOGICAL ADVICE</vt:lpwstr>
  </property>
</Properties>
</file>