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1"/>
        <w:tblW w:w="10207" w:type="dxa"/>
        <w:tblInd w:w="-31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490865" w:rsidRPr="00964E40" w14:paraId="287D6BBD" w14:textId="77777777" w:rsidTr="00267BFD">
        <w:trPr>
          <w:trHeight w:val="851"/>
        </w:trPr>
        <w:tc>
          <w:tcPr>
            <w:tcW w:w="976" w:type="dxa"/>
          </w:tcPr>
          <w:p w14:paraId="6AFB3FA7" w14:textId="5FB9F96F" w:rsidR="00490865" w:rsidRPr="00964E40" w:rsidRDefault="00490865" w:rsidP="00A04EF0">
            <w:pPr>
              <w:suppressLineNumbers/>
              <w:suppressAutoHyphens/>
              <w:rPr>
                <w:rFonts w:eastAsia="MS Mincho" w:cs="Angsana New"/>
                <w:kern w:val="22"/>
              </w:rPr>
            </w:pPr>
            <w:bookmarkStart w:id="0" w:name="_Hlk505247837"/>
            <w:bookmarkStart w:id="1" w:name="_Toc522023191"/>
            <w:r w:rsidRPr="005F3D62">
              <w:rPr>
                <w:noProof/>
                <w:kern w:val="22"/>
              </w:rPr>
              <w:drawing>
                <wp:anchor distT="0" distB="0" distL="114300" distR="114300" simplePos="0" relativeHeight="251660288" behindDoc="0" locked="0" layoutInCell="1" allowOverlap="1" wp14:anchorId="2A7A7357" wp14:editId="69EA61E2">
                  <wp:simplePos x="0" y="0"/>
                  <wp:positionH relativeFrom="column">
                    <wp:posOffset>635</wp:posOffset>
                  </wp:positionH>
                  <wp:positionV relativeFrom="page">
                    <wp:posOffset>0</wp:posOffset>
                  </wp:positionV>
                  <wp:extent cx="476250" cy="402590"/>
                  <wp:effectExtent l="0" t="0" r="0" b="0"/>
                  <wp:wrapNone/>
                  <wp:docPr id="7" name="Picture 2"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141" w:type="dxa"/>
            <w:shd w:val="clear" w:color="auto" w:fill="auto"/>
            <w:tcFitText/>
          </w:tcPr>
          <w:p w14:paraId="43C5CA53" w14:textId="5154A159" w:rsidR="00490865" w:rsidRPr="00964E40" w:rsidRDefault="00490865" w:rsidP="00A04EF0">
            <w:pPr>
              <w:suppressLineNumbers/>
              <w:suppressAutoHyphens/>
              <w:rPr>
                <w:rFonts w:eastAsia="MS Mincho" w:cs="Angsana New"/>
                <w:kern w:val="22"/>
              </w:rPr>
            </w:pPr>
            <w:r w:rsidRPr="00964E40">
              <w:rPr>
                <w:noProof/>
              </w:rPr>
              <w:drawing>
                <wp:anchor distT="0" distB="0" distL="114300" distR="114300" simplePos="0" relativeHeight="251659264" behindDoc="0" locked="0" layoutInCell="1" allowOverlap="1" wp14:anchorId="36A7A127" wp14:editId="6D6EDE57">
                  <wp:simplePos x="0" y="0"/>
                  <wp:positionH relativeFrom="column">
                    <wp:posOffset>-175895</wp:posOffset>
                  </wp:positionH>
                  <wp:positionV relativeFrom="page">
                    <wp:posOffset>-78105</wp:posOffset>
                  </wp:positionV>
                  <wp:extent cx="941070" cy="593090"/>
                  <wp:effectExtent l="0" t="0" r="0" b="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41070" cy="5930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090" w:type="dxa"/>
          </w:tcPr>
          <w:p w14:paraId="15EFB848" w14:textId="77777777" w:rsidR="00490865" w:rsidRPr="00964E40" w:rsidRDefault="00490865" w:rsidP="00A04EF0">
            <w:pPr>
              <w:suppressLineNumbers/>
              <w:suppressAutoHyphens/>
              <w:jc w:val="right"/>
              <w:rPr>
                <w:rFonts w:ascii="Arial" w:eastAsia="MS Mincho" w:hAnsi="Arial"/>
                <w:b/>
                <w:kern w:val="22"/>
                <w:sz w:val="32"/>
                <w:szCs w:val="32"/>
              </w:rPr>
            </w:pPr>
            <w:r w:rsidRPr="00964E40">
              <w:rPr>
                <w:rFonts w:ascii="Arial" w:eastAsia="MS Mincho" w:hAnsi="Arial"/>
                <w:b/>
                <w:kern w:val="22"/>
                <w:sz w:val="32"/>
                <w:szCs w:val="32"/>
              </w:rPr>
              <w:t>CBD</w:t>
            </w:r>
          </w:p>
        </w:tc>
      </w:tr>
    </w:tbl>
    <w:tbl>
      <w:tblPr>
        <w:tblStyle w:val="TableGrid2"/>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17"/>
        <w:gridCol w:w="4090"/>
      </w:tblGrid>
      <w:tr w:rsidR="00490865" w:rsidRPr="00964E40" w14:paraId="49509876" w14:textId="77777777" w:rsidTr="00267BFD">
        <w:tc>
          <w:tcPr>
            <w:tcW w:w="6117" w:type="dxa"/>
            <w:tcBorders>
              <w:top w:val="single" w:sz="12" w:space="0" w:color="auto"/>
              <w:bottom w:val="single" w:sz="36" w:space="0" w:color="auto"/>
            </w:tcBorders>
            <w:vAlign w:val="center"/>
          </w:tcPr>
          <w:bookmarkEnd w:id="0"/>
          <w:p w14:paraId="6E9AF35F" w14:textId="1973A651" w:rsidR="00490865" w:rsidRPr="00964E40" w:rsidRDefault="00490865" w:rsidP="005F3D62">
            <w:pPr>
              <w:suppressLineNumbers/>
              <w:suppressAutoHyphens/>
              <w:kinsoku w:val="0"/>
              <w:overflowPunct w:val="0"/>
              <w:autoSpaceDE w:val="0"/>
              <w:autoSpaceDN w:val="0"/>
              <w:rPr>
                <w:rFonts w:eastAsia="MS Mincho" w:cs="Angsana New"/>
                <w:snapToGrid w:val="0"/>
                <w:kern w:val="22"/>
              </w:rPr>
            </w:pPr>
            <w:r w:rsidRPr="00964E40">
              <w:rPr>
                <w:rFonts w:eastAsia="MS Mincho" w:cs="Angsana New"/>
                <w:noProof/>
                <w:kern w:val="22"/>
              </w:rPr>
              <w:drawing>
                <wp:inline distT="0" distB="0" distL="0" distR="0" wp14:anchorId="57DE391F" wp14:editId="23E814D3">
                  <wp:extent cx="2889250" cy="1078865"/>
                  <wp:effectExtent l="0" t="0" r="0" b="0"/>
                  <wp:docPr id="1" name="Picture 6"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bilodeau:Desktop:logos:template 2017:cbd.e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89250" cy="107886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497768D1" w14:textId="77777777" w:rsidR="00490865" w:rsidRPr="00964E40" w:rsidRDefault="00490865" w:rsidP="005F3D62">
            <w:pPr>
              <w:suppressLineNumbers/>
              <w:suppressAutoHyphens/>
              <w:kinsoku w:val="0"/>
              <w:overflowPunct w:val="0"/>
              <w:autoSpaceDE w:val="0"/>
              <w:autoSpaceDN w:val="0"/>
              <w:ind w:left="1213"/>
              <w:jc w:val="left"/>
              <w:rPr>
                <w:rFonts w:eastAsia="MS Mincho" w:cs="Angsana New"/>
                <w:snapToGrid w:val="0"/>
                <w:kern w:val="22"/>
              </w:rPr>
            </w:pPr>
            <w:r w:rsidRPr="00964E40">
              <w:rPr>
                <w:rFonts w:eastAsia="MS Mincho" w:cs="Angsana New"/>
                <w:snapToGrid w:val="0"/>
                <w:kern w:val="22"/>
              </w:rPr>
              <w:t>Distr.</w:t>
            </w:r>
          </w:p>
          <w:p w14:paraId="04FCE396" w14:textId="77777777" w:rsidR="00490865" w:rsidRPr="00964E40" w:rsidRDefault="00490865" w:rsidP="005F3D62">
            <w:pPr>
              <w:suppressLineNumbers/>
              <w:suppressAutoHyphens/>
              <w:kinsoku w:val="0"/>
              <w:overflowPunct w:val="0"/>
              <w:autoSpaceDE w:val="0"/>
              <w:autoSpaceDN w:val="0"/>
              <w:ind w:left="1213"/>
              <w:jc w:val="left"/>
              <w:rPr>
                <w:rFonts w:eastAsia="MS Mincho" w:cs="Angsana New"/>
                <w:snapToGrid w:val="0"/>
                <w:kern w:val="22"/>
              </w:rPr>
            </w:pPr>
            <w:r w:rsidRPr="005F3D62">
              <w:rPr>
                <w:rFonts w:eastAsia="MS Mincho" w:cs="Angsana New"/>
                <w:snapToGrid w:val="0"/>
                <w:kern w:val="22"/>
              </w:rPr>
              <w:t>GENERAL</w:t>
            </w:r>
          </w:p>
          <w:p w14:paraId="74B393CE" w14:textId="77777777" w:rsidR="00490865" w:rsidRPr="00964E40" w:rsidRDefault="00490865" w:rsidP="005F3D62">
            <w:pPr>
              <w:suppressLineNumbers/>
              <w:suppressAutoHyphens/>
              <w:kinsoku w:val="0"/>
              <w:overflowPunct w:val="0"/>
              <w:autoSpaceDE w:val="0"/>
              <w:autoSpaceDN w:val="0"/>
              <w:ind w:left="1213"/>
              <w:jc w:val="left"/>
              <w:rPr>
                <w:rFonts w:eastAsia="MS Mincho" w:cs="Angsana New"/>
                <w:snapToGrid w:val="0"/>
                <w:kern w:val="22"/>
              </w:rPr>
            </w:pPr>
          </w:p>
          <w:sdt>
            <w:sdtPr>
              <w:rPr>
                <w:rFonts w:eastAsia="MS Mincho" w:cs="Angsana New"/>
                <w:snapToGrid w:val="0"/>
                <w:kern w:val="22"/>
              </w:rPr>
              <w:alias w:val="Subject"/>
              <w:tag w:val=""/>
              <w:id w:val="1892459529"/>
              <w:placeholder>
                <w:docPart w:val="9F714200786149AA86FE5F9F764EAD39"/>
              </w:placeholder>
              <w:dataBinding w:prefixMappings="xmlns:ns0='http://purl.org/dc/elements/1.1/' xmlns:ns1='http://schemas.openxmlformats.org/package/2006/metadata/core-properties' " w:xpath="/ns1:coreProperties[1]/ns0:subject[1]" w:storeItemID="{6C3C8BC8-F283-45AE-878A-BAB7291924A1}"/>
              <w:text/>
            </w:sdtPr>
            <w:sdtEndPr/>
            <w:sdtContent>
              <w:p w14:paraId="283A4D62" w14:textId="5CA500EE" w:rsidR="00490865" w:rsidRPr="00964E40" w:rsidRDefault="00B05506" w:rsidP="005F3D62">
                <w:pPr>
                  <w:suppressLineNumbers/>
                  <w:suppressAutoHyphens/>
                  <w:ind w:left="1213"/>
                  <w:jc w:val="left"/>
                  <w:rPr>
                    <w:rFonts w:eastAsia="MS Mincho" w:cs="Angsana New"/>
                    <w:snapToGrid w:val="0"/>
                    <w:kern w:val="22"/>
                  </w:rPr>
                </w:pPr>
                <w:r w:rsidRPr="00964E40">
                  <w:rPr>
                    <w:rFonts w:eastAsia="MS Mincho" w:cs="Angsana New"/>
                    <w:snapToGrid w:val="0"/>
                    <w:kern w:val="22"/>
                  </w:rPr>
                  <w:t>CBD/</w:t>
                </w:r>
                <w:proofErr w:type="spellStart"/>
                <w:r w:rsidRPr="00964E40">
                  <w:rPr>
                    <w:rFonts w:eastAsia="MS Mincho" w:cs="Angsana New"/>
                    <w:snapToGrid w:val="0"/>
                    <w:kern w:val="22"/>
                  </w:rPr>
                  <w:t>SBI</w:t>
                </w:r>
                <w:proofErr w:type="spellEnd"/>
                <w:r w:rsidRPr="00964E40">
                  <w:rPr>
                    <w:rFonts w:eastAsia="MS Mincho" w:cs="Angsana New"/>
                    <w:snapToGrid w:val="0"/>
                    <w:kern w:val="22"/>
                  </w:rPr>
                  <w:t>/3/17</w:t>
                </w:r>
              </w:p>
            </w:sdtContent>
          </w:sdt>
          <w:p w14:paraId="5FB772B4" w14:textId="3D19D870" w:rsidR="00490865" w:rsidRPr="00964E40" w:rsidRDefault="00490865" w:rsidP="005F3D62">
            <w:pPr>
              <w:suppressLineNumbers/>
              <w:suppressAutoHyphens/>
              <w:kinsoku w:val="0"/>
              <w:overflowPunct w:val="0"/>
              <w:autoSpaceDE w:val="0"/>
              <w:autoSpaceDN w:val="0"/>
              <w:ind w:left="1213"/>
              <w:jc w:val="left"/>
              <w:rPr>
                <w:rFonts w:eastAsia="MS Mincho" w:cs="Angsana New"/>
                <w:snapToGrid w:val="0"/>
                <w:kern w:val="22"/>
              </w:rPr>
            </w:pPr>
            <w:r w:rsidRPr="00964E40">
              <w:rPr>
                <w:rFonts w:eastAsia="MS Mincho" w:cs="Angsana New"/>
                <w:snapToGrid w:val="0"/>
                <w:kern w:val="22"/>
              </w:rPr>
              <w:t>1 October 2020</w:t>
            </w:r>
          </w:p>
          <w:p w14:paraId="1BB855E2" w14:textId="77777777" w:rsidR="00490865" w:rsidRPr="00964E40" w:rsidRDefault="00490865" w:rsidP="005F3D62">
            <w:pPr>
              <w:suppressLineNumbers/>
              <w:suppressAutoHyphens/>
              <w:kinsoku w:val="0"/>
              <w:overflowPunct w:val="0"/>
              <w:autoSpaceDE w:val="0"/>
              <w:autoSpaceDN w:val="0"/>
              <w:ind w:left="1213"/>
              <w:jc w:val="left"/>
              <w:rPr>
                <w:rFonts w:eastAsia="MS Mincho" w:cs="Angsana New"/>
                <w:snapToGrid w:val="0"/>
                <w:kern w:val="22"/>
              </w:rPr>
            </w:pPr>
          </w:p>
          <w:p w14:paraId="09C38790" w14:textId="77777777" w:rsidR="00490865" w:rsidRPr="00964E40" w:rsidRDefault="00490865" w:rsidP="005F3D62">
            <w:pPr>
              <w:suppressLineNumbers/>
              <w:suppressAutoHyphens/>
              <w:kinsoku w:val="0"/>
              <w:overflowPunct w:val="0"/>
              <w:autoSpaceDE w:val="0"/>
              <w:autoSpaceDN w:val="0"/>
              <w:ind w:left="1213"/>
              <w:jc w:val="left"/>
              <w:rPr>
                <w:rFonts w:eastAsia="MS Mincho" w:cs="Angsana New"/>
                <w:snapToGrid w:val="0"/>
                <w:kern w:val="22"/>
              </w:rPr>
            </w:pPr>
            <w:r w:rsidRPr="00964E40">
              <w:rPr>
                <w:rFonts w:eastAsia="MS Mincho" w:cs="Angsana New"/>
                <w:snapToGrid w:val="0"/>
                <w:kern w:val="22"/>
              </w:rPr>
              <w:t>ORIGINAL: ENGLISH</w:t>
            </w:r>
          </w:p>
          <w:p w14:paraId="2D34453A" w14:textId="77777777" w:rsidR="00490865" w:rsidRPr="00964E40" w:rsidRDefault="00490865" w:rsidP="005F3D62">
            <w:pPr>
              <w:suppressLineNumbers/>
              <w:suppressAutoHyphens/>
              <w:kinsoku w:val="0"/>
              <w:overflowPunct w:val="0"/>
              <w:autoSpaceDE w:val="0"/>
              <w:autoSpaceDN w:val="0"/>
              <w:ind w:left="1213"/>
              <w:jc w:val="left"/>
              <w:rPr>
                <w:rFonts w:eastAsia="MS Mincho" w:cs="Angsana New"/>
                <w:snapToGrid w:val="0"/>
                <w:kern w:val="22"/>
              </w:rPr>
            </w:pPr>
          </w:p>
        </w:tc>
      </w:tr>
    </w:tbl>
    <w:p w14:paraId="33F5D144" w14:textId="239125C5" w:rsidR="00490865" w:rsidRPr="00964E40" w:rsidRDefault="00490865" w:rsidP="00A04EF0">
      <w:pPr>
        <w:suppressLineNumbers/>
        <w:suppressAutoHyphens/>
        <w:kinsoku w:val="0"/>
        <w:overflowPunct w:val="0"/>
        <w:autoSpaceDE w:val="0"/>
        <w:autoSpaceDN w:val="0"/>
        <w:ind w:left="227" w:right="3831" w:hanging="227"/>
        <w:rPr>
          <w:caps/>
          <w:kern w:val="22"/>
          <w:szCs w:val="22"/>
          <w:lang w:eastAsia="ko-KR"/>
        </w:rPr>
      </w:pPr>
      <w:bookmarkStart w:id="2" w:name="_Hlk2766040"/>
      <w:r w:rsidRPr="00964E40">
        <w:rPr>
          <w:caps/>
          <w:kern w:val="22"/>
          <w:szCs w:val="22"/>
          <w:lang w:eastAsia="ko-KR"/>
        </w:rPr>
        <w:t>Subsidiary Body on Implementation</w:t>
      </w:r>
    </w:p>
    <w:p w14:paraId="7869F4D7" w14:textId="77777777" w:rsidR="00490865" w:rsidRPr="00964E40" w:rsidRDefault="00490865" w:rsidP="00A04EF0">
      <w:pPr>
        <w:suppressLineNumbers/>
        <w:suppressAutoHyphens/>
        <w:kinsoku w:val="0"/>
        <w:overflowPunct w:val="0"/>
        <w:autoSpaceDE w:val="0"/>
        <w:autoSpaceDN w:val="0"/>
        <w:ind w:left="227" w:right="3831" w:hanging="227"/>
        <w:rPr>
          <w:kern w:val="22"/>
          <w:szCs w:val="22"/>
          <w:lang w:eastAsia="ko-KR"/>
        </w:rPr>
      </w:pPr>
      <w:bookmarkStart w:id="3" w:name="_Hlk2766324"/>
      <w:bookmarkEnd w:id="2"/>
      <w:r w:rsidRPr="00964E40">
        <w:rPr>
          <w:kern w:val="22"/>
          <w:szCs w:val="22"/>
          <w:lang w:eastAsia="ko-KR"/>
        </w:rPr>
        <w:t>Third meeting</w:t>
      </w:r>
    </w:p>
    <w:p w14:paraId="13E2E5D4" w14:textId="77777777" w:rsidR="00490865" w:rsidRPr="00964E40" w:rsidRDefault="00490865" w:rsidP="00A04EF0">
      <w:pPr>
        <w:suppressLineNumbers/>
        <w:suppressAutoHyphens/>
        <w:kinsoku w:val="0"/>
        <w:overflowPunct w:val="0"/>
        <w:autoSpaceDE w:val="0"/>
        <w:autoSpaceDN w:val="0"/>
        <w:ind w:left="227" w:right="3831" w:hanging="227"/>
        <w:rPr>
          <w:kern w:val="22"/>
          <w:szCs w:val="22"/>
          <w:lang w:eastAsia="ko-KR"/>
        </w:rPr>
      </w:pPr>
      <w:r w:rsidRPr="00964E40">
        <w:rPr>
          <w:kern w:val="22"/>
          <w:szCs w:val="22"/>
          <w:lang w:eastAsia="ko-KR"/>
        </w:rPr>
        <w:t>Venue and dates to be determined</w:t>
      </w:r>
    </w:p>
    <w:p w14:paraId="0297A41A" w14:textId="77777777" w:rsidR="00490865" w:rsidRPr="00964E40" w:rsidRDefault="00490865" w:rsidP="00A04EF0">
      <w:pPr>
        <w:suppressLineNumbers/>
        <w:suppressAutoHyphens/>
        <w:kinsoku w:val="0"/>
        <w:overflowPunct w:val="0"/>
        <w:autoSpaceDE w:val="0"/>
        <w:autoSpaceDN w:val="0"/>
        <w:ind w:left="227" w:right="3831" w:hanging="227"/>
        <w:rPr>
          <w:kern w:val="22"/>
          <w:szCs w:val="22"/>
          <w:lang w:eastAsia="ko-KR"/>
        </w:rPr>
      </w:pPr>
      <w:r w:rsidRPr="00964E40">
        <w:rPr>
          <w:kern w:val="22"/>
          <w:szCs w:val="22"/>
          <w:lang w:eastAsia="ko-KR"/>
        </w:rPr>
        <w:t>Item 14 of the provisional agenda</w:t>
      </w:r>
      <w:r w:rsidRPr="00964E40">
        <w:rPr>
          <w:kern w:val="22"/>
          <w:szCs w:val="22"/>
          <w:vertAlign w:val="superscript"/>
          <w:lang w:eastAsia="ko-KR"/>
        </w:rPr>
        <w:footnoteReference w:customMarkFollows="1" w:id="1"/>
        <w:t>*</w:t>
      </w:r>
    </w:p>
    <w:bookmarkEnd w:id="1"/>
    <w:bookmarkEnd w:id="3"/>
    <w:p w14:paraId="284D464C" w14:textId="02FFD5D1" w:rsidR="000D4DA8" w:rsidRDefault="00843E1A" w:rsidP="005F3D62">
      <w:pPr>
        <w:pStyle w:val="Heading1"/>
        <w:suppressLineNumbers/>
        <w:suppressAutoHyphens/>
        <w:rPr>
          <w:kern w:val="22"/>
          <w:szCs w:val="22"/>
        </w:rPr>
      </w:pPr>
      <w:sdt>
        <w:sdtPr>
          <w:rPr>
            <w:kern w:val="22"/>
            <w:szCs w:val="22"/>
          </w:rPr>
          <w:alias w:val="Title"/>
          <w:tag w:val=""/>
          <w:id w:val="-1926644933"/>
          <w:placeholder>
            <w:docPart w:val="24D16D66B82E4B04A826D3351ADD844D"/>
          </w:placeholder>
          <w:dataBinding w:prefixMappings="xmlns:ns0='http://purl.org/dc/elements/1.1/' xmlns:ns1='http://schemas.openxmlformats.org/package/2006/metadata/core-properties' " w:xpath="/ns1:coreProperties[1]/ns0:title[1]" w:storeItemID="{6C3C8BC8-F283-45AE-878A-BAB7291924A1}"/>
          <w:text/>
        </w:sdtPr>
        <w:sdtEndPr/>
        <w:sdtContent>
          <w:r w:rsidR="00B05506" w:rsidRPr="00964E40">
            <w:rPr>
              <w:kern w:val="22"/>
              <w:szCs w:val="22"/>
            </w:rPr>
            <w:t>Trends in the budgets of the Convention and its Protocols</w:t>
          </w:r>
        </w:sdtContent>
      </w:sdt>
    </w:p>
    <w:p w14:paraId="2BBA5D1D" w14:textId="3F2806A5" w:rsidR="00A53285" w:rsidRPr="00A53285" w:rsidRDefault="00A53285" w:rsidP="00A53285">
      <w:pPr>
        <w:pStyle w:val="Heading2"/>
        <w:rPr>
          <w:b w:val="0"/>
          <w:bCs w:val="0"/>
          <w:i/>
          <w:iCs w:val="0"/>
        </w:rPr>
      </w:pPr>
      <w:r w:rsidRPr="00A53285">
        <w:rPr>
          <w:b w:val="0"/>
          <w:bCs w:val="0"/>
          <w:i/>
          <w:iCs w:val="0"/>
        </w:rPr>
        <w:t>Note by the Executive Secretary</w:t>
      </w:r>
    </w:p>
    <w:p w14:paraId="378E91D3" w14:textId="7C3E6D54" w:rsidR="000D4DA8" w:rsidRPr="005F3D62" w:rsidRDefault="000D4DA8" w:rsidP="00776E11">
      <w:pPr>
        <w:pStyle w:val="Heading1"/>
        <w:numPr>
          <w:ilvl w:val="0"/>
          <w:numId w:val="6"/>
        </w:numPr>
        <w:suppressLineNumbers/>
        <w:tabs>
          <w:tab w:val="clear" w:pos="720"/>
          <w:tab w:val="left" w:pos="426"/>
        </w:tabs>
        <w:suppressAutoHyphens/>
        <w:spacing w:before="120"/>
        <w:ind w:left="0" w:firstLine="0"/>
        <w:rPr>
          <w:rFonts w:eastAsia="Times New Roman Bold"/>
          <w:b w:val="0"/>
          <w:caps w:val="0"/>
          <w:kern w:val="22"/>
          <w:szCs w:val="22"/>
        </w:rPr>
      </w:pPr>
      <w:r w:rsidRPr="005F3D62">
        <w:rPr>
          <w:rFonts w:eastAsia="Times New Roman Bold"/>
          <w:kern w:val="22"/>
          <w:szCs w:val="22"/>
        </w:rPr>
        <w:t>Introduction</w:t>
      </w:r>
    </w:p>
    <w:p w14:paraId="21289A90" w14:textId="4C1E4A22" w:rsidR="000D4DA8" w:rsidRPr="005F3D62" w:rsidRDefault="000D4DA8" w:rsidP="005F3D62">
      <w:pPr>
        <w:pStyle w:val="ListParagraph"/>
        <w:numPr>
          <w:ilvl w:val="0"/>
          <w:numId w:val="1"/>
        </w:numPr>
        <w:suppressLineNumbers/>
        <w:suppressAutoHyphens/>
        <w:spacing w:before="120" w:after="120"/>
        <w:ind w:left="0" w:firstLine="0"/>
        <w:contextualSpacing w:val="0"/>
        <w:rPr>
          <w:rFonts w:eastAsia="Malgun Gothic"/>
          <w:color w:val="000000"/>
          <w:kern w:val="22"/>
          <w:szCs w:val="22"/>
          <w:lang w:eastAsia="x-none"/>
        </w:rPr>
      </w:pPr>
      <w:r w:rsidRPr="005F3D62">
        <w:rPr>
          <w:rFonts w:eastAsia="Malgun Gothic"/>
          <w:iCs/>
          <w:color w:val="000000"/>
          <w:kern w:val="22"/>
          <w:szCs w:val="22"/>
          <w:lang w:eastAsia="ko-KR"/>
        </w:rPr>
        <w:t xml:space="preserve">In decision </w:t>
      </w:r>
      <w:hyperlink r:id="rId14" w:history="1">
        <w:r w:rsidRPr="005F3D62">
          <w:rPr>
            <w:rStyle w:val="Hyperlink"/>
            <w:rFonts w:eastAsia="Malgun Gothic"/>
            <w:iCs/>
            <w:kern w:val="22"/>
            <w:sz w:val="22"/>
            <w:szCs w:val="22"/>
            <w:lang w:eastAsia="ko-KR"/>
          </w:rPr>
          <w:t>14/37</w:t>
        </w:r>
      </w:hyperlink>
      <w:r w:rsidR="00507067" w:rsidRPr="00964E40">
        <w:rPr>
          <w:rFonts w:eastAsia="Malgun Gothic"/>
          <w:iCs/>
          <w:color w:val="000000"/>
          <w:kern w:val="22"/>
          <w:szCs w:val="22"/>
          <w:lang w:eastAsia="ko-KR"/>
        </w:rPr>
        <w:t>,</w:t>
      </w:r>
      <w:r w:rsidRPr="005F3D62">
        <w:rPr>
          <w:rFonts w:eastAsia="Malgun Gothic"/>
          <w:iCs/>
          <w:color w:val="000000"/>
          <w:kern w:val="22"/>
          <w:szCs w:val="22"/>
          <w:lang w:eastAsia="ko-KR"/>
        </w:rPr>
        <w:t xml:space="preserve"> the </w:t>
      </w:r>
      <w:r w:rsidRPr="005F3D62">
        <w:rPr>
          <w:rFonts w:eastAsia="Malgun Gothic"/>
          <w:color w:val="000000"/>
          <w:kern w:val="22"/>
          <w:szCs w:val="22"/>
          <w:lang w:eastAsia="x-none"/>
        </w:rPr>
        <w:t xml:space="preserve">Conference of the Parties </w:t>
      </w:r>
      <w:r w:rsidRPr="005F3D62">
        <w:rPr>
          <w:rFonts w:eastAsia="Malgun Gothic"/>
          <w:iCs/>
          <w:color w:val="000000"/>
          <w:kern w:val="22"/>
          <w:szCs w:val="22"/>
          <w:lang w:eastAsia="ko-KR"/>
        </w:rPr>
        <w:t xml:space="preserve">adopted an integrated programme of work and budget for the Convention on Biological Diversity, the Cartagena Protocol on Biosafety and the Nagoya Protocol on Access and Benefit-sharing. Complementary decisions were </w:t>
      </w:r>
      <w:r w:rsidR="00E77A10" w:rsidRPr="00964E40">
        <w:rPr>
          <w:rFonts w:eastAsia="Malgun Gothic"/>
          <w:iCs/>
          <w:color w:val="000000"/>
          <w:kern w:val="22"/>
          <w:szCs w:val="22"/>
          <w:lang w:eastAsia="ko-KR"/>
        </w:rPr>
        <w:t>adopted</w:t>
      </w:r>
      <w:r w:rsidR="00E77A10" w:rsidRPr="005F3D62">
        <w:rPr>
          <w:rFonts w:eastAsia="Malgun Gothic"/>
          <w:iCs/>
          <w:color w:val="000000"/>
          <w:kern w:val="22"/>
          <w:szCs w:val="22"/>
          <w:lang w:eastAsia="ko-KR"/>
        </w:rPr>
        <w:t xml:space="preserve"> </w:t>
      </w:r>
      <w:r w:rsidRPr="005F3D62">
        <w:rPr>
          <w:rFonts w:eastAsia="Malgun Gothic"/>
          <w:iCs/>
          <w:color w:val="000000"/>
          <w:kern w:val="22"/>
          <w:szCs w:val="22"/>
          <w:lang w:eastAsia="ko-KR"/>
        </w:rPr>
        <w:t xml:space="preserve">by </w:t>
      </w:r>
      <w:r w:rsidRPr="005F3D62">
        <w:rPr>
          <w:rFonts w:eastAsia="Malgun Gothic"/>
          <w:color w:val="000000"/>
          <w:kern w:val="22"/>
          <w:szCs w:val="22"/>
          <w:lang w:eastAsia="x-none"/>
        </w:rPr>
        <w:t>the Conference of the Parties serving as the meeting of the Parties to the Cartagena Protocol on Biosafety at its ninth meeting (</w:t>
      </w:r>
      <w:r w:rsidR="00D65CF7" w:rsidRPr="005F3D62">
        <w:rPr>
          <w:rFonts w:eastAsia="Malgun Gothic"/>
          <w:color w:val="000000"/>
          <w:kern w:val="22"/>
          <w:szCs w:val="22"/>
          <w:lang w:eastAsia="x-none"/>
        </w:rPr>
        <w:t>d</w:t>
      </w:r>
      <w:r w:rsidRPr="005F3D62">
        <w:rPr>
          <w:rFonts w:eastAsia="Malgun Gothic"/>
          <w:color w:val="000000"/>
          <w:kern w:val="22"/>
          <w:szCs w:val="22"/>
          <w:lang w:eastAsia="x-none"/>
        </w:rPr>
        <w:t xml:space="preserve">ecision </w:t>
      </w:r>
      <w:hyperlink r:id="rId15" w:history="1">
        <w:r w:rsidRPr="005F3D62">
          <w:rPr>
            <w:rStyle w:val="Hyperlink"/>
            <w:rFonts w:eastAsia="Malgun Gothic"/>
            <w:kern w:val="22"/>
            <w:sz w:val="22"/>
            <w:szCs w:val="22"/>
            <w:lang w:eastAsia="x-none"/>
          </w:rPr>
          <w:t>CP-9/16</w:t>
        </w:r>
      </w:hyperlink>
      <w:r w:rsidRPr="005F3D62">
        <w:rPr>
          <w:rFonts w:eastAsia="Malgun Gothic"/>
          <w:color w:val="000000"/>
          <w:kern w:val="22"/>
          <w:szCs w:val="22"/>
          <w:lang w:eastAsia="x-none"/>
        </w:rPr>
        <w:t>), and the Conference of the Parties serving as the meeting of the Parties to the Nagoya Protocol on Access and Benefit-sharing at its third meeting (</w:t>
      </w:r>
      <w:r w:rsidR="004E3EFD" w:rsidRPr="005F3D62">
        <w:rPr>
          <w:rFonts w:eastAsia="Malgun Gothic"/>
          <w:color w:val="000000"/>
          <w:kern w:val="22"/>
          <w:szCs w:val="22"/>
          <w:lang w:eastAsia="x-none"/>
        </w:rPr>
        <w:t>d</w:t>
      </w:r>
      <w:r w:rsidRPr="005F3D62">
        <w:rPr>
          <w:rFonts w:eastAsia="Malgun Gothic"/>
          <w:color w:val="000000"/>
          <w:kern w:val="22"/>
          <w:szCs w:val="22"/>
          <w:lang w:eastAsia="x-none"/>
        </w:rPr>
        <w:t xml:space="preserve">ecision </w:t>
      </w:r>
      <w:hyperlink r:id="rId16" w:history="1">
        <w:r w:rsidRPr="005F3D62">
          <w:rPr>
            <w:rStyle w:val="Hyperlink"/>
            <w:rFonts w:eastAsia="Malgun Gothic"/>
            <w:kern w:val="22"/>
            <w:sz w:val="22"/>
            <w:szCs w:val="22"/>
            <w:lang w:eastAsia="x-none"/>
          </w:rPr>
          <w:t>NP-3/16</w:t>
        </w:r>
      </w:hyperlink>
      <w:r w:rsidRPr="005F3D62">
        <w:rPr>
          <w:rFonts w:eastAsia="Malgun Gothic"/>
          <w:color w:val="000000"/>
          <w:kern w:val="22"/>
          <w:szCs w:val="22"/>
          <w:lang w:eastAsia="x-none"/>
        </w:rPr>
        <w:t>).</w:t>
      </w:r>
      <w:r w:rsidRPr="005F3D62">
        <w:rPr>
          <w:rFonts w:eastAsia="Malgun Gothic"/>
          <w:color w:val="000000"/>
          <w:kern w:val="22"/>
          <w:szCs w:val="22"/>
          <w:lang w:eastAsia="ko-KR"/>
        </w:rPr>
        <w:t xml:space="preserve"> The </w:t>
      </w:r>
      <w:r w:rsidRPr="005F3D62">
        <w:rPr>
          <w:rFonts w:eastAsia="Malgun Gothic"/>
          <w:color w:val="000000"/>
          <w:kern w:val="22"/>
          <w:szCs w:val="22"/>
          <w:lang w:eastAsia="x-none"/>
        </w:rPr>
        <w:t xml:space="preserve">Conference of the Parties and the </w:t>
      </w:r>
      <w:r w:rsidR="000E5816" w:rsidRPr="00964E40">
        <w:rPr>
          <w:rFonts w:eastAsia="Malgun Gothic"/>
          <w:color w:val="000000"/>
          <w:kern w:val="22"/>
          <w:szCs w:val="22"/>
          <w:lang w:eastAsia="x-none"/>
        </w:rPr>
        <w:t xml:space="preserve">Conference of the Parties serving as the meeting of the </w:t>
      </w:r>
      <w:r w:rsidRPr="005F3D62">
        <w:rPr>
          <w:rFonts w:eastAsia="Malgun Gothic"/>
          <w:color w:val="000000"/>
          <w:kern w:val="22"/>
          <w:szCs w:val="22"/>
          <w:lang w:eastAsia="x-none"/>
        </w:rPr>
        <w:t xml:space="preserve">Parties </w:t>
      </w:r>
      <w:r w:rsidR="00F942FA" w:rsidRPr="005F3D62">
        <w:rPr>
          <w:rFonts w:eastAsia="Malgun Gothic"/>
          <w:color w:val="000000"/>
          <w:kern w:val="22"/>
          <w:szCs w:val="22"/>
          <w:lang w:eastAsia="x-none"/>
        </w:rPr>
        <w:t xml:space="preserve">to </w:t>
      </w:r>
      <w:r w:rsidRPr="005F3D62">
        <w:rPr>
          <w:rFonts w:eastAsia="Malgun Gothic"/>
          <w:color w:val="000000"/>
          <w:kern w:val="22"/>
          <w:szCs w:val="22"/>
          <w:lang w:eastAsia="x-none"/>
        </w:rPr>
        <w:t xml:space="preserve">the </w:t>
      </w:r>
      <w:r w:rsidR="00411226" w:rsidRPr="00964E40">
        <w:rPr>
          <w:rFonts w:eastAsia="Malgun Gothic"/>
          <w:color w:val="000000"/>
          <w:kern w:val="22"/>
          <w:szCs w:val="22"/>
          <w:lang w:eastAsia="x-none"/>
        </w:rPr>
        <w:t xml:space="preserve">two </w:t>
      </w:r>
      <w:r w:rsidR="00F942FA" w:rsidRPr="005F3D62">
        <w:rPr>
          <w:rFonts w:eastAsia="Malgun Gothic"/>
          <w:color w:val="000000"/>
          <w:kern w:val="22"/>
          <w:szCs w:val="22"/>
          <w:lang w:eastAsia="x-none"/>
        </w:rPr>
        <w:t>P</w:t>
      </w:r>
      <w:r w:rsidRPr="005F3D62">
        <w:rPr>
          <w:rFonts w:eastAsia="Malgun Gothic"/>
          <w:color w:val="000000"/>
          <w:kern w:val="22"/>
          <w:szCs w:val="22"/>
          <w:lang w:eastAsia="x-none"/>
        </w:rPr>
        <w:t>rotocols approved an integrated core budget of US$</w:t>
      </w:r>
      <w:r w:rsidR="00992F02" w:rsidRPr="00964E40">
        <w:rPr>
          <w:rFonts w:eastAsia="Malgun Gothic"/>
          <w:color w:val="000000"/>
          <w:kern w:val="22"/>
          <w:szCs w:val="22"/>
          <w:lang w:eastAsia="x-none"/>
        </w:rPr>
        <w:t> </w:t>
      </w:r>
      <w:r w:rsidRPr="005F3D62">
        <w:rPr>
          <w:rFonts w:eastAsia="Malgun Gothic"/>
          <w:color w:val="000000"/>
          <w:kern w:val="22"/>
          <w:szCs w:val="22"/>
          <w:lang w:eastAsia="x-none"/>
        </w:rPr>
        <w:t>18,948,900 for the year 2019 and US$ 19,895,200 for the year 2020.</w:t>
      </w:r>
    </w:p>
    <w:p w14:paraId="53BF6E61" w14:textId="175835E0" w:rsidR="00D903C6" w:rsidRPr="005F3D62" w:rsidRDefault="000D4DA8" w:rsidP="005F3D62">
      <w:pPr>
        <w:pStyle w:val="ListParagraph"/>
        <w:numPr>
          <w:ilvl w:val="0"/>
          <w:numId w:val="1"/>
        </w:numPr>
        <w:suppressLineNumbers/>
        <w:suppressAutoHyphens/>
        <w:spacing w:before="120" w:after="120"/>
        <w:ind w:left="0" w:firstLine="0"/>
        <w:contextualSpacing w:val="0"/>
        <w:rPr>
          <w:bCs/>
          <w:caps/>
          <w:color w:val="000000"/>
          <w:kern w:val="22"/>
          <w:szCs w:val="22"/>
        </w:rPr>
      </w:pPr>
      <w:r w:rsidRPr="005F3D62">
        <w:rPr>
          <w:kern w:val="22"/>
          <w:szCs w:val="22"/>
        </w:rPr>
        <w:t xml:space="preserve">Given the delay in </w:t>
      </w:r>
      <w:r w:rsidR="006E3A48" w:rsidRPr="005F3D62">
        <w:rPr>
          <w:kern w:val="22"/>
          <w:szCs w:val="22"/>
        </w:rPr>
        <w:t xml:space="preserve">holding the fifteenth meeting of the Conference of the Parties to the Convention </w:t>
      </w:r>
      <w:r w:rsidRPr="005F3D62">
        <w:rPr>
          <w:kern w:val="22"/>
          <w:szCs w:val="22"/>
        </w:rPr>
        <w:t xml:space="preserve">due to </w:t>
      </w:r>
      <w:r w:rsidR="002C68B5" w:rsidRPr="005F3D62">
        <w:rPr>
          <w:kern w:val="22"/>
          <w:szCs w:val="22"/>
        </w:rPr>
        <w:t xml:space="preserve">the </w:t>
      </w:r>
      <w:r w:rsidR="00FF3068" w:rsidRPr="005F3D62">
        <w:rPr>
          <w:kern w:val="22"/>
          <w:szCs w:val="22"/>
        </w:rPr>
        <w:t xml:space="preserve">global </w:t>
      </w:r>
      <w:r w:rsidRPr="005F3D62">
        <w:rPr>
          <w:kern w:val="22"/>
          <w:szCs w:val="22"/>
        </w:rPr>
        <w:t>COV</w:t>
      </w:r>
      <w:r w:rsidR="00D237A9" w:rsidRPr="005F3D62">
        <w:rPr>
          <w:kern w:val="22"/>
          <w:szCs w:val="22"/>
        </w:rPr>
        <w:t>I</w:t>
      </w:r>
      <w:r w:rsidRPr="005F3D62">
        <w:rPr>
          <w:kern w:val="22"/>
          <w:szCs w:val="22"/>
        </w:rPr>
        <w:t>D-19</w:t>
      </w:r>
      <w:r w:rsidR="002C68B5" w:rsidRPr="005F3D62">
        <w:rPr>
          <w:kern w:val="22"/>
          <w:szCs w:val="22"/>
        </w:rPr>
        <w:t xml:space="preserve"> pandemic</w:t>
      </w:r>
      <w:r w:rsidRPr="005F3D62">
        <w:rPr>
          <w:kern w:val="22"/>
          <w:szCs w:val="22"/>
        </w:rPr>
        <w:t xml:space="preserve">, the present document </w:t>
      </w:r>
      <w:r w:rsidR="00622086" w:rsidRPr="00964E40">
        <w:rPr>
          <w:kern w:val="22"/>
          <w:szCs w:val="22"/>
        </w:rPr>
        <w:t xml:space="preserve">is issued </w:t>
      </w:r>
      <w:r w:rsidRPr="005F3D62">
        <w:rPr>
          <w:kern w:val="22"/>
          <w:szCs w:val="22"/>
        </w:rPr>
        <w:t xml:space="preserve">to provide an update on the financial and administrative matters of the Secretariat for the period </w:t>
      </w:r>
      <w:r w:rsidR="00622086" w:rsidRPr="00964E40">
        <w:rPr>
          <w:kern w:val="22"/>
          <w:szCs w:val="22"/>
        </w:rPr>
        <w:t>from</w:t>
      </w:r>
      <w:r w:rsidR="00622086" w:rsidRPr="005F3D62">
        <w:rPr>
          <w:kern w:val="22"/>
          <w:szCs w:val="22"/>
        </w:rPr>
        <w:t xml:space="preserve"> </w:t>
      </w:r>
      <w:r w:rsidRPr="005F3D62">
        <w:rPr>
          <w:kern w:val="22"/>
          <w:szCs w:val="22"/>
        </w:rPr>
        <w:t>January 2019 to August 2020. Section II addresses the financial and budgetary matters for the biennium 2019-2020</w:t>
      </w:r>
      <w:r w:rsidR="00622086" w:rsidRPr="00964E40">
        <w:rPr>
          <w:kern w:val="22"/>
          <w:szCs w:val="22"/>
        </w:rPr>
        <w:t>,</w:t>
      </w:r>
      <w:r w:rsidRPr="005F3D62">
        <w:rPr>
          <w:kern w:val="22"/>
          <w:szCs w:val="22"/>
        </w:rPr>
        <w:t xml:space="preserve"> and section III deals with general matters. Section </w:t>
      </w:r>
      <w:r w:rsidR="00EC2F29" w:rsidRPr="005F3D62">
        <w:rPr>
          <w:kern w:val="22"/>
          <w:szCs w:val="22"/>
        </w:rPr>
        <w:t>IV</w:t>
      </w:r>
      <w:r w:rsidRPr="005F3D62">
        <w:rPr>
          <w:kern w:val="22"/>
          <w:szCs w:val="22"/>
        </w:rPr>
        <w:t xml:space="preserve"> considers the </w:t>
      </w:r>
      <w:r w:rsidR="006F2842" w:rsidRPr="005F3D62">
        <w:rPr>
          <w:kern w:val="22"/>
          <w:szCs w:val="22"/>
        </w:rPr>
        <w:t>consequences</w:t>
      </w:r>
      <w:r w:rsidRPr="005F3D62">
        <w:rPr>
          <w:kern w:val="22"/>
          <w:szCs w:val="22"/>
        </w:rPr>
        <w:t xml:space="preserve"> of the </w:t>
      </w:r>
      <w:r w:rsidR="006F2842" w:rsidRPr="005F3D62">
        <w:rPr>
          <w:kern w:val="22"/>
          <w:szCs w:val="22"/>
        </w:rPr>
        <w:t>postponement</w:t>
      </w:r>
      <w:r w:rsidRPr="005F3D62">
        <w:rPr>
          <w:kern w:val="22"/>
          <w:szCs w:val="22"/>
        </w:rPr>
        <w:t xml:space="preserve"> ongoing pandemic.</w:t>
      </w:r>
    </w:p>
    <w:p w14:paraId="71FA64B0" w14:textId="4245AA7B" w:rsidR="000D4DA8" w:rsidRPr="005F3D62" w:rsidRDefault="00502BE1" w:rsidP="005F3D62">
      <w:pPr>
        <w:pStyle w:val="Heading1"/>
        <w:numPr>
          <w:ilvl w:val="0"/>
          <w:numId w:val="6"/>
        </w:numPr>
        <w:suppressLineNumbers/>
        <w:tabs>
          <w:tab w:val="clear" w:pos="720"/>
          <w:tab w:val="left" w:pos="426"/>
        </w:tabs>
        <w:suppressAutoHyphens/>
        <w:spacing w:before="0"/>
        <w:ind w:left="0" w:firstLine="0"/>
        <w:rPr>
          <w:caps w:val="0"/>
          <w:kern w:val="22"/>
          <w:szCs w:val="22"/>
        </w:rPr>
      </w:pPr>
      <w:r w:rsidRPr="005F3D62">
        <w:rPr>
          <w:kern w:val="22"/>
          <w:szCs w:val="22"/>
        </w:rPr>
        <w:t>S</w:t>
      </w:r>
      <w:r w:rsidR="000D4DA8" w:rsidRPr="005F3D62">
        <w:rPr>
          <w:kern w:val="22"/>
          <w:szCs w:val="22"/>
        </w:rPr>
        <w:t xml:space="preserve">tatus of trust funds under the </w:t>
      </w:r>
      <w:r w:rsidRPr="005F3D62">
        <w:rPr>
          <w:kern w:val="22"/>
          <w:szCs w:val="22"/>
        </w:rPr>
        <w:t>C</w:t>
      </w:r>
      <w:r w:rsidR="000D4DA8" w:rsidRPr="005F3D62">
        <w:rPr>
          <w:kern w:val="22"/>
          <w:szCs w:val="22"/>
        </w:rPr>
        <w:t xml:space="preserve">onvention and its </w:t>
      </w:r>
      <w:r w:rsidRPr="005F3D62">
        <w:rPr>
          <w:kern w:val="22"/>
          <w:szCs w:val="22"/>
        </w:rPr>
        <w:t>P</w:t>
      </w:r>
      <w:r w:rsidR="000D4DA8" w:rsidRPr="005F3D62">
        <w:rPr>
          <w:kern w:val="22"/>
          <w:szCs w:val="22"/>
        </w:rPr>
        <w:t>rotocols</w:t>
      </w:r>
    </w:p>
    <w:p w14:paraId="005C084B" w14:textId="05AA06A1" w:rsidR="000D4DA8" w:rsidRPr="005F3D62" w:rsidRDefault="000D4DA8" w:rsidP="005F3D62">
      <w:pPr>
        <w:pStyle w:val="Heading2"/>
        <w:numPr>
          <w:ilvl w:val="0"/>
          <w:numId w:val="11"/>
        </w:numPr>
        <w:suppressLineNumbers/>
        <w:suppressAutoHyphens/>
        <w:spacing w:before="0"/>
        <w:rPr>
          <w:rFonts w:eastAsia="Malgun Gothic"/>
          <w:b w:val="0"/>
          <w:iCs w:val="0"/>
          <w:kern w:val="22"/>
          <w:szCs w:val="22"/>
          <w:lang w:eastAsia="ko-KR"/>
        </w:rPr>
      </w:pPr>
      <w:r w:rsidRPr="005F3D62">
        <w:rPr>
          <w:rFonts w:eastAsia="Malgun Gothic"/>
          <w:kern w:val="22"/>
          <w:szCs w:val="22"/>
          <w:lang w:eastAsia="ko-KR"/>
        </w:rPr>
        <w:t>Core budget of the Convention and Protocols</w:t>
      </w:r>
    </w:p>
    <w:p w14:paraId="3459EF39" w14:textId="66CD0F13" w:rsidR="000D4DA8" w:rsidRPr="00B766C6" w:rsidRDefault="000D4DA8" w:rsidP="005F3D62">
      <w:pPr>
        <w:pStyle w:val="Heading3"/>
        <w:numPr>
          <w:ilvl w:val="0"/>
          <w:numId w:val="12"/>
        </w:numPr>
        <w:suppressLineNumbers/>
        <w:tabs>
          <w:tab w:val="clear" w:pos="567"/>
          <w:tab w:val="left" w:pos="426"/>
        </w:tabs>
        <w:suppressAutoHyphens/>
        <w:spacing w:before="0"/>
        <w:ind w:left="0" w:firstLine="0"/>
        <w:rPr>
          <w:rFonts w:eastAsia="Malgun Gothic"/>
          <w:iCs w:val="0"/>
          <w:kern w:val="22"/>
          <w:szCs w:val="22"/>
          <w:lang w:eastAsia="ko-KR"/>
        </w:rPr>
      </w:pPr>
      <w:r w:rsidRPr="00B766C6">
        <w:rPr>
          <w:rFonts w:eastAsia="Malgun Gothic"/>
          <w:iCs w:val="0"/>
          <w:kern w:val="22"/>
          <w:szCs w:val="22"/>
          <w:lang w:eastAsia="ko-KR"/>
        </w:rPr>
        <w:t>Inc</w:t>
      </w:r>
      <w:bookmarkStart w:id="4" w:name="_GoBack"/>
      <w:bookmarkEnd w:id="4"/>
      <w:r w:rsidRPr="00B766C6">
        <w:rPr>
          <w:rFonts w:eastAsia="Malgun Gothic"/>
          <w:iCs w:val="0"/>
          <w:kern w:val="22"/>
          <w:szCs w:val="22"/>
          <w:lang w:eastAsia="ko-KR"/>
        </w:rPr>
        <w:t>ome</w:t>
      </w:r>
    </w:p>
    <w:p w14:paraId="793B38E4" w14:textId="77276D4E" w:rsidR="000D4DA8" w:rsidRPr="005F3D62" w:rsidRDefault="000D4DA8" w:rsidP="005F3D62">
      <w:pPr>
        <w:pStyle w:val="Style1"/>
        <w:keepNext w:val="0"/>
        <w:numPr>
          <w:ilvl w:val="0"/>
          <w:numId w:val="1"/>
        </w:numPr>
        <w:suppressLineNumbers/>
        <w:tabs>
          <w:tab w:val="clear" w:pos="720"/>
        </w:tabs>
        <w:suppressAutoHyphens/>
        <w:ind w:left="0" w:firstLine="0"/>
        <w:jc w:val="both"/>
        <w:rPr>
          <w:b w:val="0"/>
          <w:bCs w:val="0"/>
          <w:i w:val="0"/>
          <w:iCs w:val="0"/>
          <w:kern w:val="22"/>
          <w:szCs w:val="22"/>
        </w:rPr>
      </w:pPr>
      <w:r w:rsidRPr="005F3D62">
        <w:rPr>
          <w:b w:val="0"/>
          <w:bCs w:val="0"/>
          <w:i w:val="0"/>
          <w:iCs w:val="0"/>
          <w:kern w:val="22"/>
          <w:szCs w:val="22"/>
        </w:rPr>
        <w:t>In decision 14/37</w:t>
      </w:r>
      <w:r w:rsidR="00E63926" w:rsidRPr="00964E40">
        <w:rPr>
          <w:b w:val="0"/>
          <w:bCs w:val="0"/>
          <w:i w:val="0"/>
          <w:iCs w:val="0"/>
          <w:kern w:val="22"/>
          <w:szCs w:val="22"/>
        </w:rPr>
        <w:t>,</w:t>
      </w:r>
      <w:r w:rsidRPr="005F3D62">
        <w:rPr>
          <w:b w:val="0"/>
          <w:bCs w:val="0"/>
          <w:i w:val="0"/>
          <w:iCs w:val="0"/>
          <w:kern w:val="22"/>
          <w:szCs w:val="22"/>
        </w:rPr>
        <w:t xml:space="preserve"> the Conference of the Parties approved an integrated core budget of US$</w:t>
      </w:r>
      <w:r w:rsidR="00411226" w:rsidRPr="00964E40">
        <w:rPr>
          <w:b w:val="0"/>
          <w:bCs w:val="0"/>
          <w:i w:val="0"/>
          <w:iCs w:val="0"/>
          <w:kern w:val="22"/>
          <w:szCs w:val="22"/>
        </w:rPr>
        <w:t> </w:t>
      </w:r>
      <w:r w:rsidRPr="005F3D62">
        <w:rPr>
          <w:b w:val="0"/>
          <w:bCs w:val="0"/>
          <w:i w:val="0"/>
          <w:iCs w:val="0"/>
          <w:kern w:val="22"/>
          <w:szCs w:val="22"/>
        </w:rPr>
        <w:t>18,94</w:t>
      </w:r>
      <w:r w:rsidR="009B43D9" w:rsidRPr="005F3D62">
        <w:rPr>
          <w:b w:val="0"/>
          <w:bCs w:val="0"/>
          <w:i w:val="0"/>
          <w:iCs w:val="0"/>
          <w:kern w:val="22"/>
          <w:szCs w:val="22"/>
        </w:rPr>
        <w:t>8</w:t>
      </w:r>
      <w:r w:rsidRPr="005F3D62">
        <w:rPr>
          <w:b w:val="0"/>
          <w:bCs w:val="0"/>
          <w:i w:val="0"/>
          <w:iCs w:val="0"/>
          <w:kern w:val="22"/>
          <w:szCs w:val="22"/>
        </w:rPr>
        <w:t>,</w:t>
      </w:r>
      <w:r w:rsidR="006D2C80" w:rsidRPr="005F3D62">
        <w:rPr>
          <w:b w:val="0"/>
          <w:bCs w:val="0"/>
          <w:i w:val="0"/>
          <w:iCs w:val="0"/>
          <w:kern w:val="22"/>
          <w:szCs w:val="22"/>
        </w:rPr>
        <w:t>9</w:t>
      </w:r>
      <w:r w:rsidRPr="005F3D62">
        <w:rPr>
          <w:b w:val="0"/>
          <w:bCs w:val="0"/>
          <w:i w:val="0"/>
          <w:iCs w:val="0"/>
          <w:kern w:val="22"/>
          <w:szCs w:val="22"/>
        </w:rPr>
        <w:t>00 for the year 2019 and US$</w:t>
      </w:r>
      <w:r w:rsidR="002544C5" w:rsidRPr="00964E40">
        <w:rPr>
          <w:b w:val="0"/>
          <w:bCs w:val="0"/>
          <w:i w:val="0"/>
          <w:iCs w:val="0"/>
          <w:kern w:val="22"/>
          <w:szCs w:val="22"/>
        </w:rPr>
        <w:t> </w:t>
      </w:r>
      <w:r w:rsidRPr="005F3D62">
        <w:rPr>
          <w:b w:val="0"/>
          <w:bCs w:val="0"/>
          <w:i w:val="0"/>
          <w:iCs w:val="0"/>
          <w:kern w:val="22"/>
          <w:szCs w:val="22"/>
        </w:rPr>
        <w:t>19,895,</w:t>
      </w:r>
      <w:r w:rsidR="006D2C80" w:rsidRPr="005F3D62">
        <w:rPr>
          <w:b w:val="0"/>
          <w:bCs w:val="0"/>
          <w:i w:val="0"/>
          <w:iCs w:val="0"/>
          <w:kern w:val="22"/>
          <w:szCs w:val="22"/>
        </w:rPr>
        <w:t>2</w:t>
      </w:r>
      <w:r w:rsidRPr="005F3D62">
        <w:rPr>
          <w:b w:val="0"/>
          <w:bCs w:val="0"/>
          <w:i w:val="0"/>
          <w:iCs w:val="0"/>
          <w:kern w:val="22"/>
          <w:szCs w:val="22"/>
        </w:rPr>
        <w:t>00 for the year 2020. After the deduction of savings from prior period and the contribution of the host country, the total assessed contributions for 2019 and 2020 amounted to US$</w:t>
      </w:r>
      <w:r w:rsidR="002544C5" w:rsidRPr="00964E40">
        <w:rPr>
          <w:b w:val="0"/>
          <w:bCs w:val="0"/>
          <w:i w:val="0"/>
          <w:iCs w:val="0"/>
          <w:kern w:val="22"/>
          <w:szCs w:val="22"/>
        </w:rPr>
        <w:t> </w:t>
      </w:r>
      <w:r w:rsidRPr="005F3D62">
        <w:rPr>
          <w:b w:val="0"/>
          <w:bCs w:val="0"/>
          <w:i w:val="0"/>
          <w:iCs w:val="0"/>
          <w:kern w:val="22"/>
          <w:szCs w:val="22"/>
        </w:rPr>
        <w:t xml:space="preserve">32,984,700. The assessed contributions of the new </w:t>
      </w:r>
      <w:r w:rsidR="00970CFF" w:rsidRPr="005F3D62">
        <w:rPr>
          <w:b w:val="0"/>
          <w:bCs w:val="0"/>
          <w:i w:val="0"/>
          <w:iCs w:val="0"/>
          <w:kern w:val="22"/>
          <w:szCs w:val="22"/>
        </w:rPr>
        <w:t>P</w:t>
      </w:r>
      <w:r w:rsidRPr="005F3D62">
        <w:rPr>
          <w:b w:val="0"/>
          <w:bCs w:val="0"/>
          <w:i w:val="0"/>
          <w:iCs w:val="0"/>
          <w:kern w:val="22"/>
          <w:szCs w:val="22"/>
        </w:rPr>
        <w:t xml:space="preserve">arties to the </w:t>
      </w:r>
      <w:r w:rsidR="00970CFF" w:rsidRPr="005F3D62">
        <w:rPr>
          <w:b w:val="0"/>
          <w:bCs w:val="0"/>
          <w:i w:val="0"/>
          <w:iCs w:val="0"/>
          <w:kern w:val="22"/>
          <w:szCs w:val="22"/>
        </w:rPr>
        <w:t>P</w:t>
      </w:r>
      <w:r w:rsidRPr="005F3D62">
        <w:rPr>
          <w:b w:val="0"/>
          <w:bCs w:val="0"/>
          <w:i w:val="0"/>
          <w:iCs w:val="0"/>
          <w:kern w:val="22"/>
          <w:szCs w:val="22"/>
        </w:rPr>
        <w:t xml:space="preserve">rotocols in 2019 and 2020 (16 countries ratified the Nagoya </w:t>
      </w:r>
      <w:r w:rsidR="00CA38D0" w:rsidRPr="00964E40">
        <w:rPr>
          <w:b w:val="0"/>
          <w:bCs w:val="0"/>
          <w:i w:val="0"/>
          <w:iCs w:val="0"/>
          <w:kern w:val="22"/>
          <w:szCs w:val="22"/>
        </w:rPr>
        <w:t>P</w:t>
      </w:r>
      <w:r w:rsidRPr="005F3D62">
        <w:rPr>
          <w:b w:val="0"/>
          <w:bCs w:val="0"/>
          <w:i w:val="0"/>
          <w:iCs w:val="0"/>
          <w:kern w:val="22"/>
          <w:szCs w:val="22"/>
        </w:rPr>
        <w:t>rotocol and one country became party to the Cartagena protocol) amount to US$</w:t>
      </w:r>
      <w:r w:rsidR="006015BD" w:rsidRPr="00964E40">
        <w:rPr>
          <w:b w:val="0"/>
          <w:bCs w:val="0"/>
          <w:i w:val="0"/>
          <w:iCs w:val="0"/>
          <w:kern w:val="22"/>
          <w:szCs w:val="22"/>
        </w:rPr>
        <w:t> </w:t>
      </w:r>
      <w:r w:rsidRPr="005F3D62">
        <w:rPr>
          <w:b w:val="0"/>
          <w:bCs w:val="0"/>
          <w:i w:val="0"/>
          <w:iCs w:val="0"/>
          <w:kern w:val="22"/>
          <w:szCs w:val="22"/>
        </w:rPr>
        <w:t xml:space="preserve">90,200. Thus, the total assessment of contributions is </w:t>
      </w:r>
      <w:r w:rsidR="002544C5" w:rsidRPr="00964E40">
        <w:rPr>
          <w:b w:val="0"/>
          <w:bCs w:val="0"/>
          <w:i w:val="0"/>
          <w:iCs w:val="0"/>
          <w:kern w:val="22"/>
          <w:szCs w:val="22"/>
        </w:rPr>
        <w:t>US$ </w:t>
      </w:r>
      <w:r w:rsidRPr="005F3D62">
        <w:rPr>
          <w:b w:val="0"/>
          <w:bCs w:val="0"/>
          <w:i w:val="0"/>
          <w:iCs w:val="0"/>
          <w:kern w:val="22"/>
          <w:szCs w:val="22"/>
        </w:rPr>
        <w:t>33,074,900, comprising</w:t>
      </w:r>
      <w:r w:rsidR="006015BD" w:rsidRPr="00964E40">
        <w:rPr>
          <w:b w:val="0"/>
          <w:bCs w:val="0"/>
          <w:i w:val="0"/>
          <w:iCs w:val="0"/>
          <w:kern w:val="22"/>
          <w:szCs w:val="22"/>
        </w:rPr>
        <w:t xml:space="preserve"> US$ </w:t>
      </w:r>
      <w:r w:rsidRPr="005F3D62">
        <w:rPr>
          <w:b w:val="0"/>
          <w:bCs w:val="0"/>
          <w:i w:val="0"/>
          <w:iCs w:val="0"/>
          <w:kern w:val="22"/>
          <w:szCs w:val="22"/>
        </w:rPr>
        <w:t xml:space="preserve">16,045,000 for 2019 and </w:t>
      </w:r>
      <w:r w:rsidR="004E0530" w:rsidRPr="00964E40">
        <w:rPr>
          <w:b w:val="0"/>
          <w:bCs w:val="0"/>
          <w:i w:val="0"/>
          <w:iCs w:val="0"/>
          <w:kern w:val="22"/>
          <w:szCs w:val="22"/>
        </w:rPr>
        <w:t>US$ </w:t>
      </w:r>
      <w:r w:rsidRPr="005F3D62">
        <w:rPr>
          <w:b w:val="0"/>
          <w:bCs w:val="0"/>
          <w:i w:val="0"/>
          <w:iCs w:val="0"/>
          <w:kern w:val="22"/>
          <w:szCs w:val="22"/>
        </w:rPr>
        <w:t>17,029,900 for 2020. For the biennium 2019-2020, the Secretariat has received, as at 31 August 2020, contributions totalling US$</w:t>
      </w:r>
      <w:r w:rsidR="006015BD" w:rsidRPr="00964E40">
        <w:rPr>
          <w:b w:val="0"/>
          <w:bCs w:val="0"/>
          <w:i w:val="0"/>
          <w:iCs w:val="0"/>
          <w:kern w:val="22"/>
          <w:szCs w:val="22"/>
        </w:rPr>
        <w:t> </w:t>
      </w:r>
      <w:r w:rsidRPr="005F3D62">
        <w:rPr>
          <w:b w:val="0"/>
          <w:bCs w:val="0"/>
          <w:i w:val="0"/>
          <w:iCs w:val="0"/>
          <w:kern w:val="22"/>
          <w:szCs w:val="22"/>
        </w:rPr>
        <w:t>23,673,800.</w:t>
      </w:r>
    </w:p>
    <w:p w14:paraId="70028533" w14:textId="0144897C" w:rsidR="000D4DA8" w:rsidRPr="005F3D62" w:rsidRDefault="00A91DBB" w:rsidP="005F3D62">
      <w:pPr>
        <w:pStyle w:val="Style1"/>
        <w:keepNext w:val="0"/>
        <w:numPr>
          <w:ilvl w:val="0"/>
          <w:numId w:val="1"/>
        </w:numPr>
        <w:suppressLineNumbers/>
        <w:tabs>
          <w:tab w:val="clear" w:pos="720"/>
        </w:tabs>
        <w:suppressAutoHyphens/>
        <w:spacing w:line="259" w:lineRule="auto"/>
        <w:ind w:left="0" w:firstLine="0"/>
        <w:jc w:val="both"/>
        <w:rPr>
          <w:b w:val="0"/>
          <w:bCs w:val="0"/>
          <w:i w:val="0"/>
          <w:iCs w:val="0"/>
          <w:kern w:val="22"/>
          <w:szCs w:val="22"/>
        </w:rPr>
      </w:pPr>
      <w:r w:rsidRPr="00964E40">
        <w:rPr>
          <w:b w:val="0"/>
          <w:bCs w:val="0"/>
          <w:i w:val="0"/>
          <w:iCs w:val="0"/>
          <w:kern w:val="22"/>
          <w:szCs w:val="22"/>
        </w:rPr>
        <w:t>As at 31 August 2020, t</w:t>
      </w:r>
      <w:r w:rsidR="000D4DA8" w:rsidRPr="005F3D62">
        <w:rPr>
          <w:b w:val="0"/>
          <w:bCs w:val="0"/>
          <w:i w:val="0"/>
          <w:iCs w:val="0"/>
          <w:kern w:val="22"/>
          <w:szCs w:val="22"/>
        </w:rPr>
        <w:t>he collection rate for 2019 is 89.80</w:t>
      </w:r>
      <w:r w:rsidR="00A250E8" w:rsidRPr="005F3D62">
        <w:rPr>
          <w:b w:val="0"/>
          <w:bCs w:val="0"/>
          <w:i w:val="0"/>
          <w:iCs w:val="0"/>
          <w:kern w:val="22"/>
          <w:szCs w:val="22"/>
        </w:rPr>
        <w:t xml:space="preserve"> per cent</w:t>
      </w:r>
      <w:r w:rsidR="000D4DA8" w:rsidRPr="005F3D62">
        <w:rPr>
          <w:b w:val="0"/>
          <w:bCs w:val="0"/>
          <w:i w:val="0"/>
          <w:iCs w:val="0"/>
          <w:kern w:val="22"/>
          <w:szCs w:val="22"/>
        </w:rPr>
        <w:t xml:space="preserve"> and </w:t>
      </w:r>
      <w:r w:rsidR="00F65695" w:rsidRPr="00964E40">
        <w:rPr>
          <w:b w:val="0"/>
          <w:bCs w:val="0"/>
          <w:i w:val="0"/>
          <w:iCs w:val="0"/>
          <w:kern w:val="22"/>
          <w:szCs w:val="22"/>
        </w:rPr>
        <w:t xml:space="preserve">for 2020 it is </w:t>
      </w:r>
      <w:r w:rsidR="000D4DA8" w:rsidRPr="005F3D62">
        <w:rPr>
          <w:b w:val="0"/>
          <w:bCs w:val="0"/>
          <w:i w:val="0"/>
          <w:iCs w:val="0"/>
          <w:kern w:val="22"/>
          <w:szCs w:val="22"/>
        </w:rPr>
        <w:t>54.41</w:t>
      </w:r>
      <w:r w:rsidR="00A250E8" w:rsidRPr="005F3D62">
        <w:rPr>
          <w:b w:val="0"/>
          <w:bCs w:val="0"/>
          <w:i w:val="0"/>
          <w:iCs w:val="0"/>
          <w:kern w:val="22"/>
          <w:szCs w:val="22"/>
        </w:rPr>
        <w:t xml:space="preserve"> per cent</w:t>
      </w:r>
      <w:r w:rsidR="000D4DA8" w:rsidRPr="005F3D62">
        <w:rPr>
          <w:b w:val="0"/>
          <w:bCs w:val="0"/>
          <w:i w:val="0"/>
          <w:iCs w:val="0"/>
          <w:kern w:val="22"/>
          <w:szCs w:val="22"/>
        </w:rPr>
        <w:t>, giving an overall collection rate for the biennium of 71.58</w:t>
      </w:r>
      <w:r w:rsidR="009B6F39" w:rsidRPr="005F3D62">
        <w:rPr>
          <w:b w:val="0"/>
          <w:bCs w:val="0"/>
          <w:i w:val="0"/>
          <w:iCs w:val="0"/>
          <w:kern w:val="22"/>
          <w:szCs w:val="22"/>
        </w:rPr>
        <w:t xml:space="preserve"> per cent</w:t>
      </w:r>
      <w:r w:rsidR="000D4DA8" w:rsidRPr="005F3D62">
        <w:rPr>
          <w:b w:val="0"/>
          <w:bCs w:val="0"/>
          <w:i w:val="0"/>
          <w:iCs w:val="0"/>
          <w:kern w:val="22"/>
          <w:szCs w:val="22"/>
        </w:rPr>
        <w:t xml:space="preserve"> to date. The payments of assessed contributions for 2020 are slower than usual, which likely </w:t>
      </w:r>
      <w:r w:rsidR="00D40149" w:rsidRPr="005F3D62">
        <w:rPr>
          <w:b w:val="0"/>
          <w:bCs w:val="0"/>
          <w:i w:val="0"/>
          <w:iCs w:val="0"/>
          <w:kern w:val="22"/>
          <w:szCs w:val="22"/>
        </w:rPr>
        <w:t xml:space="preserve">has </w:t>
      </w:r>
      <w:r w:rsidR="000D4DA8" w:rsidRPr="005F3D62">
        <w:rPr>
          <w:b w:val="0"/>
          <w:bCs w:val="0"/>
          <w:i w:val="0"/>
          <w:iCs w:val="0"/>
          <w:kern w:val="22"/>
          <w:szCs w:val="22"/>
        </w:rPr>
        <w:t>various causes related to the C</w:t>
      </w:r>
      <w:r w:rsidR="00D237A9" w:rsidRPr="005F3D62">
        <w:rPr>
          <w:b w:val="0"/>
          <w:bCs w:val="0"/>
          <w:i w:val="0"/>
          <w:iCs w:val="0"/>
          <w:kern w:val="22"/>
          <w:szCs w:val="22"/>
        </w:rPr>
        <w:t>OVID</w:t>
      </w:r>
      <w:r w:rsidR="009B6F39" w:rsidRPr="005F3D62">
        <w:rPr>
          <w:b w:val="0"/>
          <w:bCs w:val="0"/>
          <w:i w:val="0"/>
          <w:iCs w:val="0"/>
          <w:kern w:val="22"/>
          <w:szCs w:val="22"/>
        </w:rPr>
        <w:t>-</w:t>
      </w:r>
      <w:r w:rsidR="000D4DA8" w:rsidRPr="005F3D62">
        <w:rPr>
          <w:b w:val="0"/>
          <w:bCs w:val="0"/>
          <w:i w:val="0"/>
          <w:iCs w:val="0"/>
          <w:kern w:val="22"/>
          <w:szCs w:val="22"/>
        </w:rPr>
        <w:t>19 pandemic.</w:t>
      </w:r>
    </w:p>
    <w:p w14:paraId="2BBCF7D4" w14:textId="3D5AFE16" w:rsidR="000D4DA8" w:rsidRPr="005F3D62" w:rsidRDefault="000D4DA8" w:rsidP="005F3D62">
      <w:pPr>
        <w:keepNext/>
        <w:suppressLineNumbers/>
        <w:suppressAutoHyphens/>
        <w:ind w:left="1559"/>
        <w:jc w:val="left"/>
        <w:rPr>
          <w:b/>
          <w:bCs/>
          <w:kern w:val="22"/>
          <w:szCs w:val="22"/>
        </w:rPr>
      </w:pPr>
      <w:r w:rsidRPr="005F3D62">
        <w:rPr>
          <w:b/>
          <w:bCs/>
          <w:color w:val="000000"/>
          <w:kern w:val="22"/>
          <w:szCs w:val="22"/>
        </w:rPr>
        <w:lastRenderedPageBreak/>
        <w:t>Table 1</w:t>
      </w:r>
      <w:r w:rsidR="00C47561" w:rsidRPr="00964E40">
        <w:rPr>
          <w:b/>
          <w:bCs/>
          <w:color w:val="000000"/>
          <w:kern w:val="22"/>
          <w:szCs w:val="22"/>
        </w:rPr>
        <w:br/>
      </w:r>
      <w:r w:rsidRPr="005F3D62">
        <w:rPr>
          <w:b/>
          <w:bCs/>
          <w:color w:val="000000"/>
          <w:kern w:val="22"/>
          <w:szCs w:val="22"/>
        </w:rPr>
        <w:t xml:space="preserve">Overall </w:t>
      </w:r>
      <w:r w:rsidRPr="005F3D62">
        <w:rPr>
          <w:b/>
          <w:bCs/>
          <w:kern w:val="22"/>
          <w:szCs w:val="22"/>
        </w:rPr>
        <w:t>status of assessed contributions for the biennium 2019-2020</w:t>
      </w:r>
    </w:p>
    <w:p w14:paraId="0B7C5510" w14:textId="6C9B6316" w:rsidR="000D4DA8" w:rsidRPr="005F3D62" w:rsidRDefault="00733DE3" w:rsidP="005F3D62">
      <w:pPr>
        <w:keepNext/>
        <w:suppressLineNumbers/>
        <w:suppressAutoHyphens/>
        <w:spacing w:after="120"/>
        <w:ind w:left="1559"/>
        <w:jc w:val="left"/>
        <w:rPr>
          <w:kern w:val="22"/>
          <w:szCs w:val="22"/>
        </w:rPr>
      </w:pPr>
      <w:r w:rsidRPr="00964E40">
        <w:rPr>
          <w:i/>
          <w:iCs/>
          <w:color w:val="000000"/>
          <w:kern w:val="22"/>
          <w:szCs w:val="22"/>
        </w:rPr>
        <w:t>(Thousands of United States dollars)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53"/>
        <w:gridCol w:w="2559"/>
      </w:tblGrid>
      <w:tr w:rsidR="00733DE3" w:rsidRPr="00964E40" w14:paraId="363B07E7" w14:textId="77777777" w:rsidTr="005F3D62">
        <w:trPr>
          <w:cantSplit/>
          <w:trHeight w:val="516"/>
          <w:jc w:val="center"/>
        </w:trPr>
        <w:tc>
          <w:tcPr>
            <w:tcW w:w="3553" w:type="dxa"/>
            <w:vAlign w:val="center"/>
          </w:tcPr>
          <w:p w14:paraId="3BD80082" w14:textId="5CF9FD17" w:rsidR="00733DE3" w:rsidRPr="005F3D62" w:rsidRDefault="00733DE3" w:rsidP="005F3D62">
            <w:pPr>
              <w:suppressLineNumbers/>
              <w:suppressAutoHyphens/>
              <w:jc w:val="center"/>
              <w:rPr>
                <w:kern w:val="22"/>
                <w:szCs w:val="22"/>
              </w:rPr>
            </w:pPr>
            <w:r w:rsidRPr="005F3D62">
              <w:rPr>
                <w:i/>
                <w:iCs/>
                <w:color w:val="000000"/>
                <w:kern w:val="22"/>
                <w:szCs w:val="22"/>
              </w:rPr>
              <w:t>Funding source</w:t>
            </w:r>
          </w:p>
        </w:tc>
        <w:tc>
          <w:tcPr>
            <w:tcW w:w="2559" w:type="dxa"/>
            <w:vAlign w:val="center"/>
          </w:tcPr>
          <w:p w14:paraId="68984FD2" w14:textId="734671A8" w:rsidR="00733DE3" w:rsidRPr="005F3D62" w:rsidRDefault="00733DE3" w:rsidP="005F3D62">
            <w:pPr>
              <w:suppressLineNumbers/>
              <w:suppressAutoHyphens/>
              <w:jc w:val="center"/>
              <w:rPr>
                <w:kern w:val="22"/>
                <w:szCs w:val="22"/>
              </w:rPr>
            </w:pPr>
            <w:r w:rsidRPr="005F3D62">
              <w:rPr>
                <w:i/>
                <w:iCs/>
                <w:color w:val="000000"/>
                <w:kern w:val="22"/>
                <w:szCs w:val="22"/>
              </w:rPr>
              <w:t>Resources</w:t>
            </w:r>
            <w:r w:rsidR="002D40F5" w:rsidRPr="00964E40">
              <w:rPr>
                <w:i/>
                <w:iCs/>
                <w:color w:val="000000"/>
                <w:kern w:val="22"/>
                <w:szCs w:val="22"/>
              </w:rPr>
              <w:br/>
            </w:r>
            <w:r w:rsidRPr="005F3D62">
              <w:rPr>
                <w:i/>
                <w:iCs/>
                <w:color w:val="000000"/>
                <w:kern w:val="22"/>
                <w:szCs w:val="22"/>
              </w:rPr>
              <w:t>2019-2020</w:t>
            </w:r>
          </w:p>
        </w:tc>
      </w:tr>
      <w:tr w:rsidR="000D4DA8" w:rsidRPr="00964E40" w14:paraId="2BE61E2F" w14:textId="77777777" w:rsidTr="005F3D62">
        <w:trPr>
          <w:jc w:val="center"/>
        </w:trPr>
        <w:tc>
          <w:tcPr>
            <w:tcW w:w="3553" w:type="dxa"/>
          </w:tcPr>
          <w:p w14:paraId="6772E64A" w14:textId="77777777" w:rsidR="000D4DA8" w:rsidRPr="005F3D62" w:rsidRDefault="000D4DA8" w:rsidP="005F3D62">
            <w:pPr>
              <w:suppressLineNumbers/>
              <w:suppressAutoHyphens/>
              <w:jc w:val="left"/>
              <w:rPr>
                <w:kern w:val="22"/>
                <w:szCs w:val="22"/>
              </w:rPr>
            </w:pPr>
          </w:p>
        </w:tc>
        <w:tc>
          <w:tcPr>
            <w:tcW w:w="2559" w:type="dxa"/>
          </w:tcPr>
          <w:p w14:paraId="3DF99C18" w14:textId="77777777" w:rsidR="000D4DA8" w:rsidRPr="005F3D62" w:rsidRDefault="000D4DA8" w:rsidP="005F3D62">
            <w:pPr>
              <w:suppressLineNumbers/>
              <w:suppressAutoHyphens/>
              <w:rPr>
                <w:kern w:val="22"/>
                <w:szCs w:val="22"/>
              </w:rPr>
            </w:pPr>
          </w:p>
        </w:tc>
      </w:tr>
      <w:tr w:rsidR="000D4DA8" w:rsidRPr="00964E40" w14:paraId="4CEAFB61" w14:textId="77777777" w:rsidTr="005F3D62">
        <w:trPr>
          <w:jc w:val="center"/>
        </w:trPr>
        <w:tc>
          <w:tcPr>
            <w:tcW w:w="3553" w:type="dxa"/>
          </w:tcPr>
          <w:p w14:paraId="3620C645" w14:textId="77777777" w:rsidR="000D4DA8" w:rsidRPr="005F3D62" w:rsidRDefault="000D4DA8" w:rsidP="005F3D62">
            <w:pPr>
              <w:suppressLineNumbers/>
              <w:suppressAutoHyphens/>
              <w:jc w:val="left"/>
              <w:rPr>
                <w:kern w:val="22"/>
                <w:szCs w:val="22"/>
              </w:rPr>
            </w:pPr>
            <w:r w:rsidRPr="005F3D62">
              <w:rPr>
                <w:color w:val="000000"/>
                <w:kern w:val="22"/>
                <w:szCs w:val="22"/>
              </w:rPr>
              <w:t>Approved budget</w:t>
            </w:r>
          </w:p>
        </w:tc>
        <w:tc>
          <w:tcPr>
            <w:tcW w:w="2559" w:type="dxa"/>
          </w:tcPr>
          <w:p w14:paraId="22630CB3" w14:textId="75FBFA81" w:rsidR="000D4DA8" w:rsidRPr="005F3D62" w:rsidRDefault="000D4DA8" w:rsidP="005F3D62">
            <w:pPr>
              <w:suppressLineNumbers/>
              <w:suppressAutoHyphens/>
              <w:ind w:right="762"/>
              <w:jc w:val="right"/>
              <w:rPr>
                <w:kern w:val="22"/>
                <w:szCs w:val="22"/>
              </w:rPr>
            </w:pPr>
            <w:r w:rsidRPr="005F3D62">
              <w:rPr>
                <w:color w:val="000000"/>
                <w:kern w:val="22"/>
                <w:szCs w:val="22"/>
              </w:rPr>
              <w:t>38</w:t>
            </w:r>
            <w:r w:rsidR="002D40F5" w:rsidRPr="00964E40">
              <w:rPr>
                <w:color w:val="000000"/>
                <w:kern w:val="22"/>
                <w:szCs w:val="22"/>
              </w:rPr>
              <w:t xml:space="preserve"> </w:t>
            </w:r>
            <w:r w:rsidRPr="005F3D62">
              <w:rPr>
                <w:color w:val="000000"/>
                <w:kern w:val="22"/>
                <w:szCs w:val="22"/>
              </w:rPr>
              <w:t>844.1</w:t>
            </w:r>
          </w:p>
        </w:tc>
      </w:tr>
      <w:tr w:rsidR="000D4DA8" w:rsidRPr="00964E40" w14:paraId="5B037383" w14:textId="77777777" w:rsidTr="005F3D62">
        <w:trPr>
          <w:jc w:val="center"/>
        </w:trPr>
        <w:tc>
          <w:tcPr>
            <w:tcW w:w="3553" w:type="dxa"/>
          </w:tcPr>
          <w:p w14:paraId="6DBA9599" w14:textId="77777777" w:rsidR="000D4DA8" w:rsidRPr="005F3D62" w:rsidRDefault="000D4DA8" w:rsidP="005F3D62">
            <w:pPr>
              <w:suppressLineNumbers/>
              <w:suppressAutoHyphens/>
              <w:jc w:val="left"/>
              <w:rPr>
                <w:kern w:val="22"/>
                <w:szCs w:val="22"/>
              </w:rPr>
            </w:pPr>
            <w:r w:rsidRPr="005F3D62">
              <w:rPr>
                <w:color w:val="000000"/>
                <w:kern w:val="22"/>
                <w:szCs w:val="22"/>
              </w:rPr>
              <w:t>Host country</w:t>
            </w:r>
          </w:p>
        </w:tc>
        <w:tc>
          <w:tcPr>
            <w:tcW w:w="2559" w:type="dxa"/>
          </w:tcPr>
          <w:p w14:paraId="2A09F4DC" w14:textId="6FA52DA6" w:rsidR="000D4DA8" w:rsidRPr="005F3D62" w:rsidRDefault="000D4DA8" w:rsidP="005F3D62">
            <w:pPr>
              <w:suppressLineNumbers/>
              <w:suppressAutoHyphens/>
              <w:ind w:right="762"/>
              <w:jc w:val="right"/>
              <w:rPr>
                <w:kern w:val="22"/>
                <w:szCs w:val="22"/>
              </w:rPr>
            </w:pPr>
            <w:r w:rsidRPr="005F3D62">
              <w:rPr>
                <w:color w:val="000000"/>
                <w:kern w:val="22"/>
                <w:szCs w:val="22"/>
              </w:rPr>
              <w:t>-2</w:t>
            </w:r>
            <w:r w:rsidR="002D40F5" w:rsidRPr="00964E40">
              <w:rPr>
                <w:color w:val="000000"/>
                <w:kern w:val="22"/>
                <w:szCs w:val="22"/>
              </w:rPr>
              <w:t xml:space="preserve"> </w:t>
            </w:r>
            <w:r w:rsidRPr="005F3D62">
              <w:rPr>
                <w:color w:val="000000"/>
                <w:kern w:val="22"/>
                <w:szCs w:val="22"/>
              </w:rPr>
              <w:t>652.8</w:t>
            </w:r>
          </w:p>
        </w:tc>
      </w:tr>
      <w:tr w:rsidR="000D4DA8" w:rsidRPr="00964E40" w14:paraId="22067A54" w14:textId="77777777" w:rsidTr="005F3D62">
        <w:trPr>
          <w:jc w:val="center"/>
        </w:trPr>
        <w:tc>
          <w:tcPr>
            <w:tcW w:w="3553" w:type="dxa"/>
          </w:tcPr>
          <w:p w14:paraId="2E734F65" w14:textId="77777777" w:rsidR="000D4DA8" w:rsidRPr="005F3D62" w:rsidRDefault="000D4DA8" w:rsidP="005F3D62">
            <w:pPr>
              <w:suppressLineNumbers/>
              <w:suppressAutoHyphens/>
              <w:jc w:val="left"/>
              <w:rPr>
                <w:kern w:val="22"/>
                <w:szCs w:val="22"/>
              </w:rPr>
            </w:pPr>
            <w:r w:rsidRPr="005F3D62">
              <w:rPr>
                <w:color w:val="000000"/>
                <w:kern w:val="22"/>
                <w:szCs w:val="22"/>
              </w:rPr>
              <w:t>Savings from prior year</w:t>
            </w:r>
          </w:p>
        </w:tc>
        <w:tc>
          <w:tcPr>
            <w:tcW w:w="2559" w:type="dxa"/>
          </w:tcPr>
          <w:p w14:paraId="18B99143" w14:textId="4331B763" w:rsidR="000D4DA8" w:rsidRPr="005F3D62" w:rsidRDefault="000D4DA8" w:rsidP="005F3D62">
            <w:pPr>
              <w:suppressLineNumbers/>
              <w:suppressAutoHyphens/>
              <w:ind w:right="762"/>
              <w:jc w:val="right"/>
              <w:rPr>
                <w:kern w:val="22"/>
                <w:szCs w:val="22"/>
              </w:rPr>
            </w:pPr>
            <w:r w:rsidRPr="005F3D62">
              <w:rPr>
                <w:color w:val="000000"/>
                <w:kern w:val="22"/>
                <w:szCs w:val="22"/>
              </w:rPr>
              <w:t>-3</w:t>
            </w:r>
            <w:r w:rsidR="002D40F5" w:rsidRPr="00964E40">
              <w:rPr>
                <w:color w:val="000000"/>
                <w:kern w:val="22"/>
                <w:szCs w:val="22"/>
              </w:rPr>
              <w:t xml:space="preserve"> </w:t>
            </w:r>
            <w:r w:rsidRPr="005F3D62">
              <w:rPr>
                <w:color w:val="000000"/>
                <w:kern w:val="22"/>
                <w:szCs w:val="22"/>
              </w:rPr>
              <w:t>206.6</w:t>
            </w:r>
          </w:p>
        </w:tc>
      </w:tr>
      <w:tr w:rsidR="000D4DA8" w:rsidRPr="00964E40" w14:paraId="04B873A9" w14:textId="77777777" w:rsidTr="005F3D62">
        <w:trPr>
          <w:jc w:val="center"/>
        </w:trPr>
        <w:tc>
          <w:tcPr>
            <w:tcW w:w="3553" w:type="dxa"/>
          </w:tcPr>
          <w:p w14:paraId="6D8FAAD3" w14:textId="77777777" w:rsidR="000D4DA8" w:rsidRPr="005F3D62" w:rsidRDefault="000D4DA8" w:rsidP="005F3D62">
            <w:pPr>
              <w:suppressLineNumbers/>
              <w:suppressAutoHyphens/>
              <w:jc w:val="left"/>
              <w:rPr>
                <w:kern w:val="22"/>
                <w:szCs w:val="22"/>
              </w:rPr>
            </w:pPr>
            <w:r w:rsidRPr="005F3D62">
              <w:rPr>
                <w:color w:val="000000"/>
                <w:kern w:val="22"/>
                <w:szCs w:val="22"/>
              </w:rPr>
              <w:t>Additional Parties to the Convention</w:t>
            </w:r>
          </w:p>
        </w:tc>
        <w:tc>
          <w:tcPr>
            <w:tcW w:w="2559" w:type="dxa"/>
          </w:tcPr>
          <w:p w14:paraId="3B995757" w14:textId="65552DB9" w:rsidR="000D4DA8" w:rsidRPr="005F3D62" w:rsidRDefault="000D4DA8" w:rsidP="005F3D62">
            <w:pPr>
              <w:suppressLineNumbers/>
              <w:suppressAutoHyphens/>
              <w:ind w:right="762"/>
              <w:jc w:val="right"/>
              <w:rPr>
                <w:kern w:val="22"/>
                <w:szCs w:val="22"/>
              </w:rPr>
            </w:pPr>
            <w:r w:rsidRPr="005F3D62">
              <w:rPr>
                <w:color w:val="000000"/>
                <w:kern w:val="22"/>
                <w:szCs w:val="22"/>
              </w:rPr>
              <w:t>90.2</w:t>
            </w:r>
          </w:p>
        </w:tc>
      </w:tr>
      <w:tr w:rsidR="000D4DA8" w:rsidRPr="00964E40" w14:paraId="4599A6A1" w14:textId="77777777" w:rsidTr="005F3D62">
        <w:trPr>
          <w:jc w:val="center"/>
        </w:trPr>
        <w:tc>
          <w:tcPr>
            <w:tcW w:w="3553" w:type="dxa"/>
          </w:tcPr>
          <w:p w14:paraId="3339BFB6" w14:textId="77777777" w:rsidR="000D4DA8" w:rsidRPr="005F3D62" w:rsidRDefault="000D4DA8" w:rsidP="005F3D62">
            <w:pPr>
              <w:suppressLineNumbers/>
              <w:suppressAutoHyphens/>
              <w:jc w:val="left"/>
              <w:rPr>
                <w:kern w:val="22"/>
                <w:szCs w:val="22"/>
              </w:rPr>
            </w:pPr>
            <w:r w:rsidRPr="005F3D62">
              <w:rPr>
                <w:b/>
                <w:bCs/>
                <w:color w:val="000000"/>
                <w:kern w:val="22"/>
                <w:szCs w:val="22"/>
              </w:rPr>
              <w:t>Total assessment</w:t>
            </w:r>
          </w:p>
        </w:tc>
        <w:tc>
          <w:tcPr>
            <w:tcW w:w="2559" w:type="dxa"/>
          </w:tcPr>
          <w:p w14:paraId="497C6E20" w14:textId="0FC80D78" w:rsidR="000D4DA8" w:rsidRPr="005F3D62" w:rsidRDefault="000D4DA8" w:rsidP="005F3D62">
            <w:pPr>
              <w:suppressLineNumbers/>
              <w:suppressAutoHyphens/>
              <w:ind w:right="762"/>
              <w:jc w:val="right"/>
              <w:rPr>
                <w:kern w:val="22"/>
                <w:szCs w:val="22"/>
              </w:rPr>
            </w:pPr>
            <w:r w:rsidRPr="005F3D62">
              <w:rPr>
                <w:b/>
                <w:bCs/>
                <w:color w:val="000000"/>
                <w:kern w:val="22"/>
                <w:szCs w:val="22"/>
              </w:rPr>
              <w:t>33</w:t>
            </w:r>
            <w:r w:rsidR="002D40F5" w:rsidRPr="00964E40">
              <w:rPr>
                <w:b/>
                <w:bCs/>
                <w:color w:val="000000"/>
                <w:kern w:val="22"/>
                <w:szCs w:val="22"/>
              </w:rPr>
              <w:t xml:space="preserve"> </w:t>
            </w:r>
            <w:r w:rsidRPr="005F3D62">
              <w:rPr>
                <w:b/>
                <w:bCs/>
                <w:color w:val="000000"/>
                <w:kern w:val="22"/>
                <w:szCs w:val="22"/>
              </w:rPr>
              <w:t>074.9</w:t>
            </w:r>
          </w:p>
        </w:tc>
      </w:tr>
      <w:tr w:rsidR="000D4DA8" w:rsidRPr="00964E40" w14:paraId="5621EB23" w14:textId="77777777" w:rsidTr="005F3D62">
        <w:trPr>
          <w:jc w:val="center"/>
        </w:trPr>
        <w:tc>
          <w:tcPr>
            <w:tcW w:w="3553" w:type="dxa"/>
          </w:tcPr>
          <w:p w14:paraId="329A42A2" w14:textId="77777777" w:rsidR="000D4DA8" w:rsidRPr="005F3D62" w:rsidRDefault="000D4DA8" w:rsidP="005F3D62">
            <w:pPr>
              <w:suppressLineNumbers/>
              <w:suppressAutoHyphens/>
              <w:jc w:val="left"/>
              <w:rPr>
                <w:kern w:val="22"/>
                <w:szCs w:val="22"/>
              </w:rPr>
            </w:pPr>
            <w:r w:rsidRPr="005F3D62">
              <w:rPr>
                <w:color w:val="000000"/>
                <w:kern w:val="22"/>
                <w:szCs w:val="22"/>
              </w:rPr>
              <w:t>Amount received as of 15 July 2020</w:t>
            </w:r>
          </w:p>
        </w:tc>
        <w:tc>
          <w:tcPr>
            <w:tcW w:w="2559" w:type="dxa"/>
          </w:tcPr>
          <w:p w14:paraId="62FB1A04" w14:textId="08B9605B" w:rsidR="000D4DA8" w:rsidRPr="005F3D62" w:rsidRDefault="000D4DA8" w:rsidP="005F3D62">
            <w:pPr>
              <w:suppressLineNumbers/>
              <w:suppressAutoHyphens/>
              <w:ind w:right="762"/>
              <w:jc w:val="right"/>
              <w:rPr>
                <w:kern w:val="22"/>
                <w:szCs w:val="22"/>
              </w:rPr>
            </w:pPr>
            <w:r w:rsidRPr="005F3D62">
              <w:rPr>
                <w:color w:val="000000"/>
                <w:kern w:val="22"/>
                <w:szCs w:val="22"/>
              </w:rPr>
              <w:t>23</w:t>
            </w:r>
            <w:r w:rsidR="002D40F5" w:rsidRPr="00964E40">
              <w:rPr>
                <w:color w:val="000000"/>
                <w:kern w:val="22"/>
                <w:szCs w:val="22"/>
              </w:rPr>
              <w:t xml:space="preserve"> </w:t>
            </w:r>
            <w:r w:rsidRPr="005F3D62">
              <w:rPr>
                <w:color w:val="000000"/>
                <w:kern w:val="22"/>
                <w:szCs w:val="22"/>
              </w:rPr>
              <w:t>673.8</w:t>
            </w:r>
          </w:p>
        </w:tc>
      </w:tr>
      <w:tr w:rsidR="000D4DA8" w:rsidRPr="00964E40" w14:paraId="020ABDF6" w14:textId="77777777" w:rsidTr="005F3D62">
        <w:trPr>
          <w:jc w:val="center"/>
        </w:trPr>
        <w:tc>
          <w:tcPr>
            <w:tcW w:w="3553" w:type="dxa"/>
          </w:tcPr>
          <w:p w14:paraId="6E4675D4" w14:textId="77777777" w:rsidR="000D4DA8" w:rsidRPr="005F3D62" w:rsidRDefault="000D4DA8" w:rsidP="005F3D62">
            <w:pPr>
              <w:suppressLineNumbers/>
              <w:suppressAutoHyphens/>
              <w:jc w:val="left"/>
              <w:rPr>
                <w:kern w:val="22"/>
                <w:szCs w:val="22"/>
              </w:rPr>
            </w:pPr>
            <w:r w:rsidRPr="005F3D62">
              <w:rPr>
                <w:b/>
                <w:bCs/>
                <w:color w:val="000000"/>
                <w:kern w:val="22"/>
                <w:szCs w:val="22"/>
              </w:rPr>
              <w:t>Unpaid balance</w:t>
            </w:r>
          </w:p>
        </w:tc>
        <w:tc>
          <w:tcPr>
            <w:tcW w:w="2559" w:type="dxa"/>
          </w:tcPr>
          <w:p w14:paraId="2023373C" w14:textId="4AB23988" w:rsidR="000D4DA8" w:rsidRPr="005F3D62" w:rsidRDefault="000D4DA8" w:rsidP="005F3D62">
            <w:pPr>
              <w:suppressLineNumbers/>
              <w:suppressAutoHyphens/>
              <w:ind w:right="762"/>
              <w:jc w:val="right"/>
              <w:rPr>
                <w:kern w:val="22"/>
                <w:szCs w:val="22"/>
              </w:rPr>
            </w:pPr>
            <w:r w:rsidRPr="005F3D62">
              <w:rPr>
                <w:b/>
                <w:bCs/>
                <w:color w:val="000000"/>
                <w:kern w:val="22"/>
                <w:szCs w:val="22"/>
              </w:rPr>
              <w:t>9</w:t>
            </w:r>
            <w:r w:rsidR="002D40F5" w:rsidRPr="00964E40">
              <w:rPr>
                <w:b/>
                <w:bCs/>
                <w:color w:val="000000"/>
                <w:kern w:val="22"/>
                <w:szCs w:val="22"/>
              </w:rPr>
              <w:t xml:space="preserve"> </w:t>
            </w:r>
            <w:r w:rsidRPr="005F3D62">
              <w:rPr>
                <w:b/>
                <w:bCs/>
                <w:color w:val="000000"/>
                <w:kern w:val="22"/>
                <w:szCs w:val="22"/>
              </w:rPr>
              <w:t>401.1</w:t>
            </w:r>
          </w:p>
        </w:tc>
      </w:tr>
      <w:tr w:rsidR="000D4DA8" w:rsidRPr="00964E40" w14:paraId="07054FD4" w14:textId="77777777" w:rsidTr="005F3D62">
        <w:trPr>
          <w:jc w:val="center"/>
        </w:trPr>
        <w:tc>
          <w:tcPr>
            <w:tcW w:w="3553" w:type="dxa"/>
          </w:tcPr>
          <w:p w14:paraId="71262C94" w14:textId="77777777" w:rsidR="000D4DA8" w:rsidRPr="005F3D62" w:rsidRDefault="000D4DA8" w:rsidP="005F3D62">
            <w:pPr>
              <w:suppressLineNumbers/>
              <w:suppressAutoHyphens/>
              <w:jc w:val="left"/>
              <w:rPr>
                <w:kern w:val="22"/>
                <w:szCs w:val="22"/>
              </w:rPr>
            </w:pPr>
            <w:r w:rsidRPr="005F3D62">
              <w:rPr>
                <w:b/>
                <w:bCs/>
                <w:color w:val="000000"/>
                <w:kern w:val="22"/>
                <w:szCs w:val="22"/>
              </w:rPr>
              <w:t>Collection rate</w:t>
            </w:r>
          </w:p>
        </w:tc>
        <w:tc>
          <w:tcPr>
            <w:tcW w:w="2559" w:type="dxa"/>
          </w:tcPr>
          <w:p w14:paraId="60891C08" w14:textId="77777777" w:rsidR="000D4DA8" w:rsidRPr="005F3D62" w:rsidRDefault="000D4DA8" w:rsidP="005F3D62">
            <w:pPr>
              <w:suppressLineNumbers/>
              <w:suppressAutoHyphens/>
              <w:ind w:right="762"/>
              <w:jc w:val="right"/>
              <w:rPr>
                <w:kern w:val="22"/>
                <w:szCs w:val="22"/>
              </w:rPr>
            </w:pPr>
            <w:r w:rsidRPr="005F3D62">
              <w:rPr>
                <w:b/>
                <w:bCs/>
                <w:color w:val="000000"/>
                <w:kern w:val="22"/>
                <w:szCs w:val="22"/>
              </w:rPr>
              <w:t>71.58%</w:t>
            </w:r>
          </w:p>
        </w:tc>
      </w:tr>
    </w:tbl>
    <w:p w14:paraId="3EDA0DDC" w14:textId="1A90EC9B" w:rsidR="000D4DA8" w:rsidRPr="00964E40" w:rsidRDefault="000D4DA8" w:rsidP="005F3D62">
      <w:pPr>
        <w:pStyle w:val="ListParagraph"/>
        <w:numPr>
          <w:ilvl w:val="0"/>
          <w:numId w:val="1"/>
        </w:numPr>
        <w:suppressLineNumbers/>
        <w:suppressAutoHyphens/>
        <w:spacing w:before="240" w:after="240"/>
        <w:ind w:left="0" w:firstLine="0"/>
        <w:contextualSpacing w:val="0"/>
        <w:rPr>
          <w:kern w:val="22"/>
          <w:szCs w:val="22"/>
        </w:rPr>
      </w:pPr>
      <w:r w:rsidRPr="005F3D62">
        <w:rPr>
          <w:kern w:val="22"/>
          <w:szCs w:val="22"/>
        </w:rPr>
        <w:t>Arrears of contributions for 2018 and prior years amount to US$ 3,279,324, which represents 25.86</w:t>
      </w:r>
      <w:r w:rsidR="003627BD" w:rsidRPr="005F3D62">
        <w:rPr>
          <w:kern w:val="22"/>
          <w:szCs w:val="22"/>
        </w:rPr>
        <w:t xml:space="preserve"> per cent</w:t>
      </w:r>
      <w:r w:rsidRPr="005F3D62">
        <w:rPr>
          <w:kern w:val="22"/>
          <w:szCs w:val="22"/>
        </w:rPr>
        <w:t xml:space="preserve"> of the total unpaid contributions as at 31 August 2020. </w:t>
      </w:r>
      <w:r w:rsidR="00374241" w:rsidRPr="00964E40">
        <w:rPr>
          <w:kern w:val="22"/>
          <w:szCs w:val="22"/>
        </w:rPr>
        <w:t>In addition</w:t>
      </w:r>
      <w:r w:rsidRPr="005F3D62">
        <w:rPr>
          <w:kern w:val="22"/>
          <w:szCs w:val="22"/>
        </w:rPr>
        <w:t xml:space="preserve">, there are </w:t>
      </w:r>
      <w:r w:rsidR="004B7007" w:rsidRPr="005F3D62">
        <w:rPr>
          <w:kern w:val="22"/>
          <w:szCs w:val="22"/>
        </w:rPr>
        <w:t>P</w:t>
      </w:r>
      <w:r w:rsidRPr="005F3D62">
        <w:rPr>
          <w:kern w:val="22"/>
          <w:szCs w:val="22"/>
        </w:rPr>
        <w:t>arties that have never paid their contributions</w:t>
      </w:r>
      <w:r w:rsidR="00786EC4" w:rsidRPr="00964E40">
        <w:rPr>
          <w:kern w:val="22"/>
          <w:szCs w:val="22"/>
        </w:rPr>
        <w:t>:</w:t>
      </w:r>
      <w:r w:rsidRPr="005F3D62">
        <w:rPr>
          <w:kern w:val="22"/>
          <w:szCs w:val="22"/>
        </w:rPr>
        <w:t xml:space="preserve">  9 </w:t>
      </w:r>
      <w:r w:rsidR="00003B4B" w:rsidRPr="005F3D62">
        <w:rPr>
          <w:kern w:val="22"/>
          <w:szCs w:val="22"/>
        </w:rPr>
        <w:t>P</w:t>
      </w:r>
      <w:r w:rsidRPr="005F3D62">
        <w:rPr>
          <w:kern w:val="22"/>
          <w:szCs w:val="22"/>
        </w:rPr>
        <w:t xml:space="preserve">arties to the Convention, 14 </w:t>
      </w:r>
      <w:r w:rsidR="00003B4B" w:rsidRPr="005F3D62">
        <w:rPr>
          <w:kern w:val="22"/>
          <w:szCs w:val="22"/>
        </w:rPr>
        <w:t>P</w:t>
      </w:r>
      <w:r w:rsidRPr="005F3D62">
        <w:rPr>
          <w:kern w:val="22"/>
          <w:szCs w:val="22"/>
        </w:rPr>
        <w:t xml:space="preserve">arties to the Cartagena Protocol and 30 </w:t>
      </w:r>
      <w:r w:rsidR="00003B4B" w:rsidRPr="005F3D62">
        <w:rPr>
          <w:kern w:val="22"/>
          <w:szCs w:val="22"/>
        </w:rPr>
        <w:t>P</w:t>
      </w:r>
      <w:r w:rsidRPr="005F3D62">
        <w:rPr>
          <w:kern w:val="22"/>
          <w:szCs w:val="22"/>
        </w:rPr>
        <w:t>arties to the Nagoya Protocol.</w:t>
      </w:r>
    </w:p>
    <w:p w14:paraId="7CE738B8" w14:textId="2C6C7D18" w:rsidR="00154BE4" w:rsidRPr="005F3D62" w:rsidRDefault="00154BE4" w:rsidP="005F3D62">
      <w:pPr>
        <w:pStyle w:val="ListParagraph"/>
        <w:keepNext/>
        <w:suppressLineNumbers/>
        <w:suppressAutoHyphens/>
        <w:spacing w:before="240" w:after="120"/>
        <w:ind w:left="397"/>
        <w:contextualSpacing w:val="0"/>
        <w:jc w:val="left"/>
        <w:rPr>
          <w:i/>
          <w:iCs/>
          <w:kern w:val="22"/>
          <w:szCs w:val="22"/>
        </w:rPr>
      </w:pPr>
      <w:r w:rsidRPr="00964E40">
        <w:rPr>
          <w:b/>
          <w:bCs/>
          <w:color w:val="000000"/>
          <w:kern w:val="22"/>
          <w:szCs w:val="22"/>
        </w:rPr>
        <w:t>Table 2</w:t>
      </w:r>
      <w:r w:rsidR="0022378E" w:rsidRPr="00964E40">
        <w:rPr>
          <w:b/>
          <w:bCs/>
          <w:color w:val="000000"/>
          <w:kern w:val="22"/>
          <w:szCs w:val="22"/>
        </w:rPr>
        <w:br/>
      </w:r>
      <w:r w:rsidRPr="00964E40">
        <w:rPr>
          <w:b/>
          <w:bCs/>
          <w:color w:val="000000"/>
          <w:kern w:val="22"/>
          <w:szCs w:val="22"/>
        </w:rPr>
        <w:t>Assessed contributions - Status as at 31 August 2020</w:t>
      </w:r>
      <w:r w:rsidR="0022378E" w:rsidRPr="00964E40">
        <w:rPr>
          <w:b/>
          <w:bCs/>
          <w:color w:val="000000"/>
          <w:kern w:val="22"/>
          <w:szCs w:val="22"/>
        </w:rPr>
        <w:br/>
      </w:r>
      <w:r w:rsidR="0022378E" w:rsidRPr="005F3D62">
        <w:rPr>
          <w:i/>
          <w:iCs/>
          <w:kern w:val="22"/>
          <w:szCs w:val="22"/>
        </w:rPr>
        <w:t>(United States dollars)</w:t>
      </w:r>
    </w:p>
    <w:tbl>
      <w:tblPr>
        <w:tblW w:w="8594"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249"/>
        <w:gridCol w:w="1304"/>
        <w:gridCol w:w="2161"/>
        <w:gridCol w:w="1880"/>
      </w:tblGrid>
      <w:tr w:rsidR="000D4DA8" w:rsidRPr="00964E40" w14:paraId="3FB3AC65" w14:textId="77777777" w:rsidTr="005F3D62">
        <w:trPr>
          <w:cantSplit/>
          <w:jc w:val="center"/>
        </w:trPr>
        <w:tc>
          <w:tcPr>
            <w:tcW w:w="3249" w:type="dxa"/>
            <w:shd w:val="clear" w:color="auto" w:fill="auto"/>
            <w:noWrap/>
            <w:hideMark/>
          </w:tcPr>
          <w:p w14:paraId="5929F9F6" w14:textId="6CD40050" w:rsidR="000D4DA8" w:rsidRPr="005F3D62" w:rsidRDefault="000D4DA8" w:rsidP="005F3D62">
            <w:pPr>
              <w:suppressLineNumbers/>
              <w:suppressAutoHyphens/>
              <w:spacing w:before="40" w:after="40"/>
              <w:jc w:val="center"/>
              <w:rPr>
                <w:color w:val="000000"/>
                <w:kern w:val="22"/>
                <w:szCs w:val="22"/>
              </w:rPr>
            </w:pPr>
          </w:p>
        </w:tc>
        <w:tc>
          <w:tcPr>
            <w:tcW w:w="1304" w:type="dxa"/>
            <w:shd w:val="clear" w:color="auto" w:fill="auto"/>
            <w:noWrap/>
            <w:hideMark/>
          </w:tcPr>
          <w:p w14:paraId="3A67308D" w14:textId="77777777" w:rsidR="000D4DA8" w:rsidRPr="005F3D62" w:rsidRDefault="000D4DA8" w:rsidP="005F3D62">
            <w:pPr>
              <w:suppressLineNumbers/>
              <w:suppressAutoHyphens/>
              <w:spacing w:before="40" w:after="40"/>
              <w:jc w:val="center"/>
              <w:rPr>
                <w:b/>
                <w:bCs/>
                <w:color w:val="000000"/>
                <w:kern w:val="22"/>
                <w:szCs w:val="22"/>
              </w:rPr>
            </w:pPr>
            <w:r w:rsidRPr="005F3D62">
              <w:rPr>
                <w:b/>
                <w:bCs/>
                <w:color w:val="000000"/>
                <w:kern w:val="22"/>
                <w:szCs w:val="22"/>
              </w:rPr>
              <w:t>Convention</w:t>
            </w:r>
          </w:p>
        </w:tc>
        <w:tc>
          <w:tcPr>
            <w:tcW w:w="2161" w:type="dxa"/>
            <w:shd w:val="clear" w:color="auto" w:fill="auto"/>
            <w:noWrap/>
            <w:hideMark/>
          </w:tcPr>
          <w:p w14:paraId="23BE776D" w14:textId="77777777" w:rsidR="000D4DA8" w:rsidRPr="005F3D62" w:rsidRDefault="000D4DA8" w:rsidP="005F3D62">
            <w:pPr>
              <w:suppressLineNumbers/>
              <w:suppressAutoHyphens/>
              <w:spacing w:before="40" w:after="40"/>
              <w:jc w:val="center"/>
              <w:rPr>
                <w:b/>
                <w:bCs/>
                <w:color w:val="000000"/>
                <w:kern w:val="22"/>
                <w:szCs w:val="22"/>
              </w:rPr>
            </w:pPr>
            <w:r w:rsidRPr="005F3D62">
              <w:rPr>
                <w:b/>
                <w:bCs/>
                <w:color w:val="000000"/>
                <w:kern w:val="22"/>
                <w:szCs w:val="22"/>
              </w:rPr>
              <w:t>Cartagena Protocol</w:t>
            </w:r>
          </w:p>
        </w:tc>
        <w:tc>
          <w:tcPr>
            <w:tcW w:w="1880" w:type="dxa"/>
            <w:shd w:val="clear" w:color="auto" w:fill="auto"/>
            <w:noWrap/>
            <w:hideMark/>
          </w:tcPr>
          <w:p w14:paraId="5CF86125" w14:textId="77777777" w:rsidR="000D4DA8" w:rsidRPr="005F3D62" w:rsidRDefault="000D4DA8" w:rsidP="005F3D62">
            <w:pPr>
              <w:suppressLineNumbers/>
              <w:suppressAutoHyphens/>
              <w:spacing w:before="40" w:after="40"/>
              <w:jc w:val="center"/>
              <w:rPr>
                <w:b/>
                <w:bCs/>
                <w:color w:val="000000"/>
                <w:kern w:val="22"/>
                <w:szCs w:val="22"/>
              </w:rPr>
            </w:pPr>
            <w:r w:rsidRPr="005F3D62">
              <w:rPr>
                <w:b/>
                <w:bCs/>
                <w:color w:val="000000"/>
                <w:kern w:val="22"/>
                <w:szCs w:val="22"/>
              </w:rPr>
              <w:t>Nagoya Protocol</w:t>
            </w:r>
          </w:p>
        </w:tc>
      </w:tr>
      <w:tr w:rsidR="000D4DA8" w:rsidRPr="00964E40" w14:paraId="04B35A09" w14:textId="77777777" w:rsidTr="005F3D62">
        <w:trPr>
          <w:cantSplit/>
          <w:jc w:val="center"/>
        </w:trPr>
        <w:tc>
          <w:tcPr>
            <w:tcW w:w="3249" w:type="dxa"/>
            <w:shd w:val="clear" w:color="auto" w:fill="auto"/>
            <w:noWrap/>
          </w:tcPr>
          <w:p w14:paraId="6AE9845E" w14:textId="77777777" w:rsidR="000D4DA8" w:rsidRPr="005F3D62" w:rsidRDefault="000D4DA8" w:rsidP="005F3D62">
            <w:pPr>
              <w:suppressLineNumbers/>
              <w:suppressAutoHyphens/>
              <w:spacing w:before="40" w:after="40"/>
              <w:rPr>
                <w:color w:val="000000"/>
                <w:kern w:val="22"/>
                <w:szCs w:val="22"/>
              </w:rPr>
            </w:pPr>
            <w:r w:rsidRPr="005F3D62">
              <w:rPr>
                <w:color w:val="000000"/>
                <w:kern w:val="22"/>
                <w:szCs w:val="22"/>
              </w:rPr>
              <w:t>Unpaid 2019-2020 contributions</w:t>
            </w:r>
          </w:p>
        </w:tc>
        <w:tc>
          <w:tcPr>
            <w:tcW w:w="1304" w:type="dxa"/>
            <w:shd w:val="clear" w:color="auto" w:fill="auto"/>
            <w:noWrap/>
          </w:tcPr>
          <w:p w14:paraId="1B87F6A6" w14:textId="39997F22" w:rsidR="000D4DA8" w:rsidRPr="005F3D62" w:rsidRDefault="000D4DA8" w:rsidP="005F3D62">
            <w:pPr>
              <w:suppressLineNumbers/>
              <w:suppressAutoHyphens/>
              <w:spacing w:before="40" w:after="40"/>
              <w:ind w:right="57"/>
              <w:jc w:val="right"/>
              <w:rPr>
                <w:color w:val="000000"/>
                <w:kern w:val="22"/>
                <w:szCs w:val="22"/>
              </w:rPr>
            </w:pPr>
            <w:r w:rsidRPr="005F3D62">
              <w:rPr>
                <w:color w:val="000000"/>
                <w:kern w:val="22"/>
                <w:szCs w:val="22"/>
              </w:rPr>
              <w:t>6</w:t>
            </w:r>
            <w:r w:rsidR="00BB277C" w:rsidRPr="00964E40">
              <w:rPr>
                <w:color w:val="000000"/>
                <w:kern w:val="22"/>
                <w:szCs w:val="22"/>
              </w:rPr>
              <w:t xml:space="preserve"> </w:t>
            </w:r>
            <w:r w:rsidRPr="005F3D62">
              <w:rPr>
                <w:color w:val="000000"/>
                <w:kern w:val="22"/>
                <w:szCs w:val="22"/>
              </w:rPr>
              <w:t>424</w:t>
            </w:r>
            <w:r w:rsidR="00BB277C" w:rsidRPr="00964E40">
              <w:rPr>
                <w:color w:val="000000"/>
                <w:kern w:val="22"/>
                <w:szCs w:val="22"/>
              </w:rPr>
              <w:t xml:space="preserve"> </w:t>
            </w:r>
            <w:r w:rsidRPr="005F3D62">
              <w:rPr>
                <w:color w:val="000000"/>
                <w:kern w:val="22"/>
                <w:szCs w:val="22"/>
              </w:rPr>
              <w:t>330</w:t>
            </w:r>
          </w:p>
        </w:tc>
        <w:tc>
          <w:tcPr>
            <w:tcW w:w="2161" w:type="dxa"/>
            <w:shd w:val="clear" w:color="auto" w:fill="auto"/>
            <w:noWrap/>
          </w:tcPr>
          <w:p w14:paraId="4A0DF261" w14:textId="66D2B5B9" w:rsidR="000D4DA8" w:rsidRPr="005F3D62" w:rsidRDefault="000D4DA8" w:rsidP="005F3D62">
            <w:pPr>
              <w:suppressLineNumbers/>
              <w:suppressAutoHyphens/>
              <w:spacing w:before="40" w:after="40"/>
              <w:ind w:right="376"/>
              <w:jc w:val="right"/>
              <w:rPr>
                <w:color w:val="000000"/>
                <w:kern w:val="22"/>
                <w:szCs w:val="22"/>
              </w:rPr>
            </w:pPr>
            <w:r w:rsidRPr="005F3D62">
              <w:rPr>
                <w:color w:val="000000"/>
                <w:kern w:val="22"/>
                <w:szCs w:val="22"/>
              </w:rPr>
              <w:t>1</w:t>
            </w:r>
            <w:r w:rsidR="00BB277C" w:rsidRPr="00964E40">
              <w:rPr>
                <w:color w:val="000000"/>
                <w:kern w:val="22"/>
                <w:szCs w:val="22"/>
              </w:rPr>
              <w:t xml:space="preserve"> </w:t>
            </w:r>
            <w:r w:rsidRPr="005F3D62">
              <w:rPr>
                <w:color w:val="000000"/>
                <w:kern w:val="22"/>
                <w:szCs w:val="22"/>
              </w:rPr>
              <w:t>737</w:t>
            </w:r>
            <w:r w:rsidR="00BB277C" w:rsidRPr="00964E40">
              <w:rPr>
                <w:color w:val="000000"/>
                <w:kern w:val="22"/>
                <w:szCs w:val="22"/>
              </w:rPr>
              <w:t xml:space="preserve"> </w:t>
            </w:r>
            <w:r w:rsidRPr="005F3D62">
              <w:rPr>
                <w:color w:val="000000"/>
                <w:kern w:val="22"/>
                <w:szCs w:val="22"/>
              </w:rPr>
              <w:t>846</w:t>
            </w:r>
          </w:p>
        </w:tc>
        <w:tc>
          <w:tcPr>
            <w:tcW w:w="1880" w:type="dxa"/>
            <w:shd w:val="clear" w:color="auto" w:fill="auto"/>
            <w:noWrap/>
          </w:tcPr>
          <w:p w14:paraId="1418564C" w14:textId="569AABEA" w:rsidR="000D4DA8" w:rsidRPr="005F3D62" w:rsidRDefault="000D4DA8" w:rsidP="005F3D62">
            <w:pPr>
              <w:suppressLineNumbers/>
              <w:suppressAutoHyphens/>
              <w:spacing w:before="40" w:after="40"/>
              <w:ind w:right="376"/>
              <w:jc w:val="right"/>
              <w:rPr>
                <w:color w:val="000000"/>
                <w:kern w:val="22"/>
                <w:szCs w:val="22"/>
              </w:rPr>
            </w:pPr>
            <w:r w:rsidRPr="005F3D62">
              <w:rPr>
                <w:color w:val="000000"/>
                <w:kern w:val="22"/>
                <w:szCs w:val="22"/>
              </w:rPr>
              <w:t>1</w:t>
            </w:r>
            <w:r w:rsidR="00BB277C" w:rsidRPr="00964E40">
              <w:rPr>
                <w:color w:val="000000"/>
                <w:kern w:val="22"/>
                <w:szCs w:val="22"/>
              </w:rPr>
              <w:t xml:space="preserve"> </w:t>
            </w:r>
            <w:r w:rsidRPr="005F3D62">
              <w:rPr>
                <w:color w:val="000000"/>
                <w:kern w:val="22"/>
                <w:szCs w:val="22"/>
              </w:rPr>
              <w:t>238</w:t>
            </w:r>
            <w:r w:rsidR="00BB277C" w:rsidRPr="00964E40">
              <w:rPr>
                <w:color w:val="000000"/>
                <w:kern w:val="22"/>
                <w:szCs w:val="22"/>
              </w:rPr>
              <w:t xml:space="preserve"> </w:t>
            </w:r>
            <w:r w:rsidRPr="005F3D62">
              <w:rPr>
                <w:color w:val="000000"/>
                <w:kern w:val="22"/>
                <w:szCs w:val="22"/>
              </w:rPr>
              <w:t>942</w:t>
            </w:r>
          </w:p>
        </w:tc>
      </w:tr>
      <w:tr w:rsidR="000D4DA8" w:rsidRPr="00964E40" w14:paraId="6D758C16" w14:textId="77777777" w:rsidTr="005F3D62">
        <w:trPr>
          <w:cantSplit/>
          <w:jc w:val="center"/>
        </w:trPr>
        <w:tc>
          <w:tcPr>
            <w:tcW w:w="3249" w:type="dxa"/>
            <w:shd w:val="clear" w:color="auto" w:fill="auto"/>
            <w:noWrap/>
          </w:tcPr>
          <w:p w14:paraId="6F91B620" w14:textId="77777777" w:rsidR="000D4DA8" w:rsidRPr="005F3D62" w:rsidRDefault="000D4DA8" w:rsidP="005F3D62">
            <w:pPr>
              <w:suppressLineNumbers/>
              <w:suppressAutoHyphens/>
              <w:spacing w:before="40" w:after="40"/>
              <w:rPr>
                <w:color w:val="000000"/>
                <w:kern w:val="22"/>
                <w:szCs w:val="22"/>
              </w:rPr>
            </w:pPr>
            <w:r w:rsidRPr="005F3D62">
              <w:rPr>
                <w:color w:val="000000"/>
                <w:kern w:val="22"/>
                <w:szCs w:val="22"/>
              </w:rPr>
              <w:t>Unpaid prior years’ contributions</w:t>
            </w:r>
          </w:p>
        </w:tc>
        <w:tc>
          <w:tcPr>
            <w:tcW w:w="1304" w:type="dxa"/>
            <w:shd w:val="clear" w:color="auto" w:fill="auto"/>
            <w:noWrap/>
          </w:tcPr>
          <w:p w14:paraId="4404E5EE" w14:textId="608FD282" w:rsidR="000D4DA8" w:rsidRPr="005F3D62" w:rsidRDefault="000D4DA8" w:rsidP="005F3D62">
            <w:pPr>
              <w:suppressLineNumbers/>
              <w:suppressAutoHyphens/>
              <w:spacing w:before="40" w:after="40"/>
              <w:ind w:right="57"/>
              <w:jc w:val="right"/>
              <w:rPr>
                <w:color w:val="000000"/>
                <w:kern w:val="22"/>
                <w:szCs w:val="22"/>
              </w:rPr>
            </w:pPr>
            <w:r w:rsidRPr="005F3D62">
              <w:rPr>
                <w:color w:val="000000"/>
                <w:kern w:val="22"/>
                <w:szCs w:val="22"/>
              </w:rPr>
              <w:t>2</w:t>
            </w:r>
            <w:r w:rsidR="00BB277C" w:rsidRPr="00964E40">
              <w:rPr>
                <w:color w:val="000000"/>
                <w:kern w:val="22"/>
                <w:szCs w:val="22"/>
              </w:rPr>
              <w:t xml:space="preserve"> </w:t>
            </w:r>
            <w:r w:rsidRPr="005F3D62">
              <w:rPr>
                <w:color w:val="000000"/>
                <w:kern w:val="22"/>
                <w:szCs w:val="22"/>
              </w:rPr>
              <w:t>266</w:t>
            </w:r>
            <w:r w:rsidR="00BB277C" w:rsidRPr="00964E40">
              <w:rPr>
                <w:color w:val="000000"/>
                <w:kern w:val="22"/>
                <w:szCs w:val="22"/>
              </w:rPr>
              <w:t xml:space="preserve"> </w:t>
            </w:r>
            <w:r w:rsidRPr="005F3D62">
              <w:rPr>
                <w:color w:val="000000"/>
                <w:kern w:val="22"/>
                <w:szCs w:val="22"/>
              </w:rPr>
              <w:t>135</w:t>
            </w:r>
          </w:p>
        </w:tc>
        <w:tc>
          <w:tcPr>
            <w:tcW w:w="2161" w:type="dxa"/>
            <w:shd w:val="clear" w:color="auto" w:fill="auto"/>
            <w:noWrap/>
          </w:tcPr>
          <w:p w14:paraId="0AF5C27E" w14:textId="088B9C99" w:rsidR="000D4DA8" w:rsidRPr="005F3D62" w:rsidRDefault="000D4DA8" w:rsidP="005F3D62">
            <w:pPr>
              <w:suppressLineNumbers/>
              <w:suppressAutoHyphens/>
              <w:spacing w:before="40" w:after="40"/>
              <w:ind w:right="376"/>
              <w:jc w:val="right"/>
              <w:rPr>
                <w:color w:val="000000"/>
                <w:kern w:val="22"/>
                <w:szCs w:val="22"/>
              </w:rPr>
            </w:pPr>
            <w:r w:rsidRPr="005F3D62">
              <w:rPr>
                <w:color w:val="000000"/>
                <w:kern w:val="22"/>
                <w:szCs w:val="22"/>
              </w:rPr>
              <w:t>721</w:t>
            </w:r>
            <w:r w:rsidR="00BB277C" w:rsidRPr="00964E40">
              <w:rPr>
                <w:color w:val="000000"/>
                <w:kern w:val="22"/>
                <w:szCs w:val="22"/>
              </w:rPr>
              <w:t xml:space="preserve"> </w:t>
            </w:r>
            <w:r w:rsidRPr="005F3D62">
              <w:rPr>
                <w:color w:val="000000"/>
                <w:kern w:val="22"/>
                <w:szCs w:val="22"/>
              </w:rPr>
              <w:t>608</w:t>
            </w:r>
          </w:p>
        </w:tc>
        <w:tc>
          <w:tcPr>
            <w:tcW w:w="1880" w:type="dxa"/>
            <w:shd w:val="clear" w:color="auto" w:fill="auto"/>
            <w:noWrap/>
          </w:tcPr>
          <w:p w14:paraId="113305E3" w14:textId="6F03451D" w:rsidR="000D4DA8" w:rsidRPr="005F3D62" w:rsidRDefault="000D4DA8" w:rsidP="005F3D62">
            <w:pPr>
              <w:suppressLineNumbers/>
              <w:suppressAutoHyphens/>
              <w:spacing w:before="40" w:after="40"/>
              <w:ind w:right="376"/>
              <w:jc w:val="right"/>
              <w:rPr>
                <w:color w:val="000000"/>
                <w:kern w:val="22"/>
                <w:szCs w:val="22"/>
              </w:rPr>
            </w:pPr>
            <w:r w:rsidRPr="005F3D62">
              <w:rPr>
                <w:color w:val="000000"/>
                <w:kern w:val="22"/>
                <w:szCs w:val="22"/>
              </w:rPr>
              <w:t>291</w:t>
            </w:r>
            <w:r w:rsidR="00BB277C" w:rsidRPr="00964E40">
              <w:rPr>
                <w:color w:val="000000"/>
                <w:kern w:val="22"/>
                <w:szCs w:val="22"/>
              </w:rPr>
              <w:t xml:space="preserve"> </w:t>
            </w:r>
            <w:r w:rsidRPr="005F3D62">
              <w:rPr>
                <w:color w:val="000000"/>
                <w:kern w:val="22"/>
                <w:szCs w:val="22"/>
              </w:rPr>
              <w:t>581</w:t>
            </w:r>
          </w:p>
        </w:tc>
      </w:tr>
      <w:tr w:rsidR="000D4DA8" w:rsidRPr="00964E40" w14:paraId="2951B231" w14:textId="77777777" w:rsidTr="005F3D62">
        <w:trPr>
          <w:cantSplit/>
          <w:jc w:val="center"/>
        </w:trPr>
        <w:tc>
          <w:tcPr>
            <w:tcW w:w="3249" w:type="dxa"/>
            <w:shd w:val="clear" w:color="auto" w:fill="auto"/>
            <w:noWrap/>
          </w:tcPr>
          <w:p w14:paraId="518C11CA" w14:textId="77777777" w:rsidR="000D4DA8" w:rsidRPr="005F3D62" w:rsidRDefault="000D4DA8" w:rsidP="005F3D62">
            <w:pPr>
              <w:suppressLineNumbers/>
              <w:suppressAutoHyphens/>
              <w:spacing w:before="40" w:after="40"/>
              <w:rPr>
                <w:b/>
                <w:bCs/>
                <w:color w:val="000000"/>
                <w:kern w:val="22"/>
                <w:szCs w:val="22"/>
              </w:rPr>
            </w:pPr>
            <w:r w:rsidRPr="005F3D62">
              <w:rPr>
                <w:b/>
                <w:bCs/>
                <w:color w:val="000000"/>
                <w:kern w:val="22"/>
                <w:szCs w:val="22"/>
              </w:rPr>
              <w:t>Total</w:t>
            </w:r>
          </w:p>
        </w:tc>
        <w:tc>
          <w:tcPr>
            <w:tcW w:w="1304" w:type="dxa"/>
            <w:shd w:val="clear" w:color="auto" w:fill="auto"/>
            <w:noWrap/>
          </w:tcPr>
          <w:p w14:paraId="05935E82" w14:textId="0F59483F" w:rsidR="000D4DA8" w:rsidRPr="005F3D62" w:rsidRDefault="000D4DA8" w:rsidP="005F3D62">
            <w:pPr>
              <w:suppressLineNumbers/>
              <w:suppressAutoHyphens/>
              <w:spacing w:before="40" w:after="40"/>
              <w:ind w:right="57"/>
              <w:jc w:val="right"/>
              <w:rPr>
                <w:b/>
                <w:bCs/>
                <w:color w:val="000000"/>
                <w:kern w:val="22"/>
                <w:szCs w:val="22"/>
              </w:rPr>
            </w:pPr>
            <w:r w:rsidRPr="005F3D62">
              <w:rPr>
                <w:b/>
                <w:bCs/>
                <w:color w:val="000000"/>
                <w:kern w:val="22"/>
                <w:szCs w:val="22"/>
              </w:rPr>
              <w:t>8</w:t>
            </w:r>
            <w:r w:rsidR="00BB277C" w:rsidRPr="00964E40">
              <w:rPr>
                <w:b/>
                <w:bCs/>
                <w:color w:val="000000"/>
                <w:kern w:val="22"/>
                <w:szCs w:val="22"/>
              </w:rPr>
              <w:t xml:space="preserve"> </w:t>
            </w:r>
            <w:r w:rsidRPr="005F3D62">
              <w:rPr>
                <w:b/>
                <w:bCs/>
                <w:color w:val="000000"/>
                <w:kern w:val="22"/>
                <w:szCs w:val="22"/>
              </w:rPr>
              <w:t>690</w:t>
            </w:r>
            <w:r w:rsidR="00BB277C" w:rsidRPr="00964E40">
              <w:rPr>
                <w:b/>
                <w:bCs/>
                <w:color w:val="000000"/>
                <w:kern w:val="22"/>
                <w:szCs w:val="22"/>
              </w:rPr>
              <w:t xml:space="preserve"> </w:t>
            </w:r>
            <w:r w:rsidRPr="005F3D62">
              <w:rPr>
                <w:b/>
                <w:bCs/>
                <w:color w:val="000000"/>
                <w:kern w:val="22"/>
                <w:szCs w:val="22"/>
              </w:rPr>
              <w:t>465</w:t>
            </w:r>
          </w:p>
        </w:tc>
        <w:tc>
          <w:tcPr>
            <w:tcW w:w="2161" w:type="dxa"/>
            <w:shd w:val="clear" w:color="auto" w:fill="auto"/>
            <w:noWrap/>
          </w:tcPr>
          <w:p w14:paraId="019D58D4" w14:textId="68D0F3B3" w:rsidR="000D4DA8" w:rsidRPr="005F3D62" w:rsidRDefault="000D4DA8" w:rsidP="005F3D62">
            <w:pPr>
              <w:suppressLineNumbers/>
              <w:suppressAutoHyphens/>
              <w:spacing w:before="40" w:after="40"/>
              <w:ind w:right="376"/>
              <w:jc w:val="right"/>
              <w:rPr>
                <w:b/>
                <w:bCs/>
                <w:color w:val="000000"/>
                <w:kern w:val="22"/>
                <w:szCs w:val="22"/>
              </w:rPr>
            </w:pPr>
            <w:r w:rsidRPr="005F3D62">
              <w:rPr>
                <w:b/>
                <w:bCs/>
                <w:color w:val="000000"/>
                <w:kern w:val="22"/>
                <w:szCs w:val="22"/>
              </w:rPr>
              <w:t>2</w:t>
            </w:r>
            <w:r w:rsidR="00BB277C" w:rsidRPr="00964E40">
              <w:rPr>
                <w:b/>
                <w:bCs/>
                <w:color w:val="000000"/>
                <w:kern w:val="22"/>
                <w:szCs w:val="22"/>
              </w:rPr>
              <w:t xml:space="preserve"> </w:t>
            </w:r>
            <w:r w:rsidRPr="005F3D62">
              <w:rPr>
                <w:b/>
                <w:bCs/>
                <w:color w:val="000000"/>
                <w:kern w:val="22"/>
                <w:szCs w:val="22"/>
              </w:rPr>
              <w:t>459</w:t>
            </w:r>
            <w:r w:rsidR="00BB277C" w:rsidRPr="00964E40">
              <w:rPr>
                <w:b/>
                <w:bCs/>
                <w:color w:val="000000"/>
                <w:kern w:val="22"/>
                <w:szCs w:val="22"/>
              </w:rPr>
              <w:t xml:space="preserve"> </w:t>
            </w:r>
            <w:r w:rsidRPr="005F3D62">
              <w:rPr>
                <w:b/>
                <w:bCs/>
                <w:color w:val="000000"/>
                <w:kern w:val="22"/>
                <w:szCs w:val="22"/>
              </w:rPr>
              <w:t>453</w:t>
            </w:r>
          </w:p>
        </w:tc>
        <w:tc>
          <w:tcPr>
            <w:tcW w:w="1880" w:type="dxa"/>
            <w:shd w:val="clear" w:color="auto" w:fill="auto"/>
            <w:noWrap/>
          </w:tcPr>
          <w:p w14:paraId="0C6567F4" w14:textId="3B473E48" w:rsidR="000D4DA8" w:rsidRPr="005F3D62" w:rsidRDefault="000D4DA8" w:rsidP="005F3D62">
            <w:pPr>
              <w:suppressLineNumbers/>
              <w:suppressAutoHyphens/>
              <w:spacing w:before="40" w:after="40"/>
              <w:ind w:right="376"/>
              <w:jc w:val="right"/>
              <w:rPr>
                <w:b/>
                <w:bCs/>
                <w:color w:val="000000"/>
                <w:kern w:val="22"/>
                <w:szCs w:val="22"/>
              </w:rPr>
            </w:pPr>
            <w:r w:rsidRPr="005F3D62">
              <w:rPr>
                <w:b/>
                <w:bCs/>
                <w:color w:val="000000"/>
                <w:kern w:val="22"/>
                <w:szCs w:val="22"/>
              </w:rPr>
              <w:t>1</w:t>
            </w:r>
            <w:r w:rsidR="00BB277C" w:rsidRPr="00964E40">
              <w:rPr>
                <w:b/>
                <w:bCs/>
                <w:color w:val="000000"/>
                <w:kern w:val="22"/>
                <w:szCs w:val="22"/>
              </w:rPr>
              <w:t xml:space="preserve"> </w:t>
            </w:r>
            <w:r w:rsidRPr="005F3D62">
              <w:rPr>
                <w:b/>
                <w:bCs/>
                <w:color w:val="000000"/>
                <w:kern w:val="22"/>
                <w:szCs w:val="22"/>
              </w:rPr>
              <w:t>530</w:t>
            </w:r>
            <w:r w:rsidR="00BB277C" w:rsidRPr="00964E40">
              <w:rPr>
                <w:b/>
                <w:bCs/>
                <w:color w:val="000000"/>
                <w:kern w:val="22"/>
                <w:szCs w:val="22"/>
              </w:rPr>
              <w:t xml:space="preserve"> </w:t>
            </w:r>
            <w:r w:rsidRPr="005F3D62">
              <w:rPr>
                <w:b/>
                <w:bCs/>
                <w:color w:val="000000"/>
                <w:kern w:val="22"/>
                <w:szCs w:val="22"/>
              </w:rPr>
              <w:t>523</w:t>
            </w:r>
          </w:p>
        </w:tc>
      </w:tr>
    </w:tbl>
    <w:p w14:paraId="5DDC0026" w14:textId="77777777" w:rsidR="00981AE4" w:rsidRPr="005F3D62" w:rsidRDefault="00981AE4" w:rsidP="005F3D62">
      <w:pPr>
        <w:suppressLineNumbers/>
        <w:suppressAutoHyphens/>
        <w:rPr>
          <w:rFonts w:eastAsia="Malgun Gothic"/>
          <w:iCs/>
          <w:color w:val="000000"/>
          <w:kern w:val="22"/>
          <w:szCs w:val="22"/>
          <w:lang w:eastAsia="ko-KR"/>
        </w:rPr>
      </w:pPr>
    </w:p>
    <w:p w14:paraId="7DA26317" w14:textId="42308A94" w:rsidR="000D4DA8" w:rsidRPr="005F3D62" w:rsidRDefault="000D4DA8" w:rsidP="005F3D62">
      <w:pPr>
        <w:pStyle w:val="ListParagraph"/>
        <w:numPr>
          <w:ilvl w:val="0"/>
          <w:numId w:val="1"/>
        </w:numPr>
        <w:suppressLineNumbers/>
        <w:suppressAutoHyphens/>
        <w:spacing w:before="120" w:after="120"/>
        <w:ind w:left="0" w:firstLine="0"/>
        <w:contextualSpacing w:val="0"/>
        <w:rPr>
          <w:rFonts w:eastAsia="Malgun Gothic"/>
          <w:szCs w:val="22"/>
          <w:lang w:eastAsia="ko-KR"/>
        </w:rPr>
      </w:pPr>
      <w:r w:rsidRPr="005F3D62">
        <w:rPr>
          <w:rFonts w:eastAsia="Malgun Gothic"/>
          <w:szCs w:val="22"/>
          <w:lang w:eastAsia="ko-KR"/>
        </w:rPr>
        <w:t xml:space="preserve">In </w:t>
      </w:r>
      <w:r w:rsidRPr="005F3D62">
        <w:rPr>
          <w:rFonts w:eastAsia="Malgun Gothic"/>
          <w:color w:val="000000"/>
          <w:kern w:val="22"/>
          <w:szCs w:val="22"/>
          <w:lang w:eastAsia="ko-KR"/>
        </w:rPr>
        <w:t>decision</w:t>
      </w:r>
      <w:r w:rsidRPr="005F3D62">
        <w:rPr>
          <w:rFonts w:eastAsia="Malgun Gothic"/>
          <w:szCs w:val="22"/>
          <w:lang w:eastAsia="ko-KR"/>
        </w:rPr>
        <w:t xml:space="preserve"> 14/37, the </w:t>
      </w:r>
      <w:r w:rsidR="004B7007" w:rsidRPr="005F3D62">
        <w:rPr>
          <w:rFonts w:eastAsia="Malgun Gothic"/>
          <w:szCs w:val="22"/>
          <w:lang w:eastAsia="ko-KR"/>
        </w:rPr>
        <w:t xml:space="preserve">Conference of the Parties </w:t>
      </w:r>
      <w:r w:rsidRPr="005F3D62">
        <w:rPr>
          <w:rFonts w:eastAsia="Malgun Gothic"/>
          <w:szCs w:val="22"/>
          <w:lang w:eastAsia="ko-KR"/>
        </w:rPr>
        <w:t xml:space="preserve">urged Parties that </w:t>
      </w:r>
      <w:r w:rsidR="008B72EF" w:rsidRPr="00964E40">
        <w:rPr>
          <w:rFonts w:eastAsia="Malgun Gothic"/>
          <w:szCs w:val="22"/>
          <w:lang w:eastAsia="ko-KR"/>
        </w:rPr>
        <w:t>had</w:t>
      </w:r>
      <w:r w:rsidR="008B72EF" w:rsidRPr="005F3D62">
        <w:rPr>
          <w:rFonts w:eastAsia="Malgun Gothic"/>
          <w:szCs w:val="22"/>
          <w:lang w:eastAsia="ko-KR"/>
        </w:rPr>
        <w:t xml:space="preserve"> </w:t>
      </w:r>
      <w:r w:rsidRPr="005F3D62">
        <w:rPr>
          <w:rFonts w:eastAsia="Malgun Gothic"/>
          <w:szCs w:val="22"/>
          <w:lang w:eastAsia="ko-KR"/>
        </w:rPr>
        <w:t>still not paid their contributions to the core budgets for 2017 and prior years to do so without delay or conditionalities. The Executive Secretar</w:t>
      </w:r>
      <w:r w:rsidR="008B72EF" w:rsidRPr="00964E40">
        <w:rPr>
          <w:rFonts w:eastAsia="Malgun Gothic"/>
          <w:szCs w:val="22"/>
          <w:lang w:eastAsia="ko-KR"/>
        </w:rPr>
        <w:t>y</w:t>
      </w:r>
      <w:r w:rsidRPr="005F3D62">
        <w:rPr>
          <w:rFonts w:eastAsia="Malgun Gothic"/>
          <w:szCs w:val="22"/>
          <w:lang w:eastAsia="ko-KR"/>
        </w:rPr>
        <w:t xml:space="preserve"> will take follow</w:t>
      </w:r>
      <w:r w:rsidR="00A85DE9" w:rsidRPr="005F3D62">
        <w:rPr>
          <w:rFonts w:eastAsia="Malgun Gothic"/>
          <w:szCs w:val="22"/>
          <w:lang w:eastAsia="ko-KR"/>
        </w:rPr>
        <w:t>-</w:t>
      </w:r>
      <w:r w:rsidRPr="005F3D62">
        <w:rPr>
          <w:rFonts w:eastAsia="Malgun Gothic"/>
          <w:szCs w:val="22"/>
          <w:lang w:eastAsia="ko-KR"/>
        </w:rPr>
        <w:t xml:space="preserve">up action together with </w:t>
      </w:r>
      <w:r w:rsidR="00A85DE9" w:rsidRPr="005F3D62">
        <w:rPr>
          <w:rFonts w:eastAsia="Malgun Gothic"/>
          <w:szCs w:val="22"/>
          <w:lang w:eastAsia="ko-KR"/>
        </w:rPr>
        <w:t xml:space="preserve">the United Nations Environment Programme </w:t>
      </w:r>
      <w:r w:rsidRPr="005F3D62">
        <w:rPr>
          <w:rFonts w:eastAsia="Malgun Gothic"/>
          <w:szCs w:val="22"/>
          <w:lang w:eastAsia="ko-KR"/>
        </w:rPr>
        <w:t>and the President</w:t>
      </w:r>
      <w:r w:rsidR="00A85DE9" w:rsidRPr="005F3D62">
        <w:rPr>
          <w:rFonts w:eastAsia="Malgun Gothic"/>
          <w:szCs w:val="22"/>
          <w:lang w:eastAsia="ko-KR"/>
        </w:rPr>
        <w:t xml:space="preserve"> of the Conference of the Parties</w:t>
      </w:r>
      <w:r w:rsidRPr="005F3D62">
        <w:rPr>
          <w:rFonts w:eastAsia="Malgun Gothic"/>
          <w:szCs w:val="22"/>
          <w:lang w:eastAsia="ko-KR"/>
        </w:rPr>
        <w:t>, in line with paragraphs 25</w:t>
      </w:r>
      <w:r w:rsidR="00BD06C6" w:rsidRPr="00964E40">
        <w:rPr>
          <w:rFonts w:eastAsia="Malgun Gothic"/>
          <w:szCs w:val="22"/>
          <w:lang w:eastAsia="ko-KR"/>
        </w:rPr>
        <w:t xml:space="preserve"> to </w:t>
      </w:r>
      <w:r w:rsidRPr="005F3D62">
        <w:rPr>
          <w:rFonts w:eastAsia="Malgun Gothic"/>
          <w:szCs w:val="22"/>
          <w:lang w:eastAsia="ko-KR"/>
        </w:rPr>
        <w:t>31 of the decision.</w:t>
      </w:r>
    </w:p>
    <w:p w14:paraId="59C06DAD" w14:textId="65B8567D" w:rsidR="000D4DA8" w:rsidRPr="005F3D62" w:rsidRDefault="000D4DA8" w:rsidP="005F3D62">
      <w:pPr>
        <w:pStyle w:val="ListParagraph"/>
        <w:numPr>
          <w:ilvl w:val="0"/>
          <w:numId w:val="1"/>
        </w:numPr>
        <w:suppressLineNumbers/>
        <w:suppressAutoHyphens/>
        <w:spacing w:before="120" w:after="120"/>
        <w:ind w:left="0" w:firstLine="0"/>
        <w:contextualSpacing w:val="0"/>
        <w:rPr>
          <w:color w:val="000000"/>
          <w:kern w:val="22"/>
          <w:szCs w:val="22"/>
          <w:lang w:eastAsia="ko-KR"/>
        </w:rPr>
      </w:pPr>
      <w:r w:rsidRPr="005F3D62">
        <w:rPr>
          <w:rFonts w:eastAsia="Malgun Gothic"/>
          <w:color w:val="000000"/>
          <w:kern w:val="22"/>
          <w:szCs w:val="22"/>
          <w:lang w:eastAsia="ko-KR"/>
        </w:rPr>
        <w:t xml:space="preserve">The tables of assessed contributions to the core budgets for the Convention and Protocols can be found </w:t>
      </w:r>
      <w:r w:rsidR="009730B6" w:rsidRPr="00964E40">
        <w:rPr>
          <w:rFonts w:eastAsia="Malgun Gothic"/>
          <w:color w:val="000000"/>
          <w:kern w:val="22"/>
          <w:szCs w:val="22"/>
          <w:lang w:eastAsia="ko-KR"/>
        </w:rPr>
        <w:t>o</w:t>
      </w:r>
      <w:r w:rsidRPr="005F3D62">
        <w:rPr>
          <w:rFonts w:eastAsia="Malgun Gothic"/>
          <w:color w:val="000000"/>
          <w:kern w:val="22"/>
          <w:szCs w:val="22"/>
          <w:lang w:eastAsia="ko-KR"/>
        </w:rPr>
        <w:t xml:space="preserve">n the </w:t>
      </w:r>
      <w:r w:rsidRPr="005F3D62">
        <w:rPr>
          <w:rFonts w:eastAsia="Malgun Gothic"/>
          <w:color w:val="000000"/>
          <w:kern w:val="22"/>
          <w:szCs w:val="22"/>
          <w:lang w:eastAsia="x-none"/>
        </w:rPr>
        <w:t>Secretariat</w:t>
      </w:r>
      <w:r w:rsidR="009730B6" w:rsidRPr="00964E40">
        <w:rPr>
          <w:rFonts w:eastAsia="Malgun Gothic"/>
          <w:color w:val="000000"/>
          <w:kern w:val="22"/>
          <w:szCs w:val="22"/>
          <w:lang w:eastAsia="x-none"/>
        </w:rPr>
        <w:t>’s</w:t>
      </w:r>
      <w:r w:rsidRPr="005F3D62">
        <w:rPr>
          <w:rFonts w:eastAsia="Malgun Gothic"/>
          <w:color w:val="000000"/>
          <w:kern w:val="22"/>
          <w:szCs w:val="22"/>
          <w:lang w:eastAsia="x-none"/>
        </w:rPr>
        <w:t xml:space="preserve"> website</w:t>
      </w:r>
      <w:r w:rsidRPr="005F3D62">
        <w:rPr>
          <w:rFonts w:eastAsia="Malgun Gothic"/>
          <w:color w:val="000000"/>
          <w:kern w:val="22"/>
          <w:szCs w:val="22"/>
          <w:lang w:eastAsia="ko-KR"/>
        </w:rPr>
        <w:t>.</w:t>
      </w:r>
      <w:r w:rsidR="009B3807" w:rsidRPr="00964E40">
        <w:rPr>
          <w:rStyle w:val="FootnoteReference"/>
          <w:rFonts w:eastAsia="Malgun Gothic"/>
          <w:color w:val="000000"/>
          <w:kern w:val="22"/>
          <w:szCs w:val="22"/>
          <w:lang w:eastAsia="ko-KR"/>
        </w:rPr>
        <w:footnoteReference w:id="2"/>
      </w:r>
    </w:p>
    <w:p w14:paraId="463C7DA8" w14:textId="7679C619" w:rsidR="000D4DA8" w:rsidRPr="005F3D62" w:rsidRDefault="000D4DA8" w:rsidP="005F3D62">
      <w:pPr>
        <w:pStyle w:val="ListParagraph"/>
        <w:numPr>
          <w:ilvl w:val="0"/>
          <w:numId w:val="1"/>
        </w:numPr>
        <w:suppressLineNumbers/>
        <w:suppressAutoHyphens/>
        <w:spacing w:before="120" w:after="120"/>
        <w:ind w:left="0" w:firstLine="0"/>
        <w:contextualSpacing w:val="0"/>
        <w:rPr>
          <w:rFonts w:eastAsia="Malgun Gothic"/>
          <w:color w:val="000000"/>
          <w:kern w:val="22"/>
          <w:szCs w:val="22"/>
          <w:lang w:eastAsia="ko-KR"/>
        </w:rPr>
      </w:pPr>
      <w:r w:rsidRPr="005F3D62">
        <w:rPr>
          <w:rFonts w:eastAsia="Malgun Gothic"/>
          <w:color w:val="000000"/>
          <w:kern w:val="22"/>
          <w:szCs w:val="22"/>
          <w:lang w:eastAsia="ko-KR"/>
        </w:rPr>
        <w:t>In addition to the assessed contributions, the Secretariat received in 2020 a generous contribution of CAD 750,000 from the Government of Canada to renovate the Secretariat</w:t>
      </w:r>
      <w:r w:rsidR="00410043" w:rsidRPr="00964E40">
        <w:rPr>
          <w:rFonts w:eastAsia="Malgun Gothic"/>
          <w:color w:val="000000"/>
          <w:kern w:val="22"/>
          <w:szCs w:val="22"/>
          <w:lang w:eastAsia="ko-KR"/>
        </w:rPr>
        <w:t>’s</w:t>
      </w:r>
      <w:r w:rsidRPr="005F3D62">
        <w:rPr>
          <w:rFonts w:eastAsia="Malgun Gothic"/>
          <w:color w:val="000000"/>
          <w:kern w:val="22"/>
          <w:szCs w:val="22"/>
          <w:lang w:eastAsia="ko-KR"/>
        </w:rPr>
        <w:t xml:space="preserve"> conference rooms </w:t>
      </w:r>
      <w:r w:rsidR="00460ACB" w:rsidRPr="00964E40">
        <w:rPr>
          <w:rFonts w:eastAsia="Malgun Gothic"/>
          <w:color w:val="000000"/>
          <w:kern w:val="22"/>
          <w:szCs w:val="22"/>
          <w:lang w:eastAsia="ko-KR"/>
        </w:rPr>
        <w:t>with a</w:t>
      </w:r>
      <w:r w:rsidR="00460ACB" w:rsidRPr="005F3D62">
        <w:rPr>
          <w:rFonts w:eastAsia="Malgun Gothic"/>
          <w:color w:val="000000"/>
          <w:kern w:val="22"/>
          <w:szCs w:val="22"/>
          <w:lang w:eastAsia="ko-KR"/>
        </w:rPr>
        <w:t xml:space="preserve"> </w:t>
      </w:r>
      <w:r w:rsidRPr="005F3D62">
        <w:rPr>
          <w:rFonts w:eastAsia="Malgun Gothic"/>
          <w:color w:val="000000"/>
          <w:kern w:val="22"/>
          <w:szCs w:val="22"/>
          <w:lang w:eastAsia="ko-KR"/>
        </w:rPr>
        <w:t xml:space="preserve">view </w:t>
      </w:r>
      <w:r w:rsidR="00460ACB" w:rsidRPr="00964E40">
        <w:rPr>
          <w:rFonts w:eastAsia="Malgun Gothic"/>
          <w:color w:val="000000"/>
          <w:kern w:val="22"/>
          <w:szCs w:val="22"/>
          <w:lang w:eastAsia="ko-KR"/>
        </w:rPr>
        <w:t>to</w:t>
      </w:r>
      <w:r w:rsidRPr="005F3D62">
        <w:rPr>
          <w:rFonts w:eastAsia="Malgun Gothic"/>
          <w:color w:val="000000"/>
          <w:kern w:val="22"/>
          <w:szCs w:val="22"/>
          <w:lang w:eastAsia="ko-KR"/>
        </w:rPr>
        <w:t xml:space="preserve"> facilitating the virtual meetings and thus reduce the environmental impact of the operations of the Secretariat. The renovation works are expected to be finalized by February 2021.</w:t>
      </w:r>
    </w:p>
    <w:p w14:paraId="19AD80E2" w14:textId="5CE1233F" w:rsidR="000D4DA8" w:rsidRPr="005F3D62" w:rsidRDefault="000D4DA8" w:rsidP="005F3D62">
      <w:pPr>
        <w:pStyle w:val="Heading3"/>
        <w:numPr>
          <w:ilvl w:val="0"/>
          <w:numId w:val="12"/>
        </w:numPr>
        <w:suppressLineNumbers/>
        <w:tabs>
          <w:tab w:val="clear" w:pos="567"/>
          <w:tab w:val="left" w:pos="426"/>
        </w:tabs>
        <w:suppressAutoHyphens/>
        <w:ind w:left="0" w:firstLine="0"/>
        <w:rPr>
          <w:rFonts w:eastAsia="Malgun Gothic"/>
          <w:i w:val="0"/>
          <w:kern w:val="22"/>
          <w:szCs w:val="22"/>
          <w:lang w:eastAsia="ko-KR"/>
        </w:rPr>
      </w:pPr>
      <w:r w:rsidRPr="005F3D62">
        <w:rPr>
          <w:rFonts w:eastAsia="Malgun Gothic"/>
          <w:kern w:val="22"/>
          <w:szCs w:val="22"/>
          <w:lang w:eastAsia="ko-KR"/>
        </w:rPr>
        <w:t>Expenditure</w:t>
      </w:r>
    </w:p>
    <w:p w14:paraId="30361254" w14:textId="4B2E4DD0" w:rsidR="000D4DA8" w:rsidRPr="005F3D62" w:rsidRDefault="000D4DA8" w:rsidP="005F3D62">
      <w:pPr>
        <w:pStyle w:val="ListParagraph"/>
        <w:numPr>
          <w:ilvl w:val="0"/>
          <w:numId w:val="1"/>
        </w:numPr>
        <w:suppressLineNumbers/>
        <w:suppressAutoHyphens/>
        <w:spacing w:before="120" w:after="120"/>
        <w:ind w:left="0" w:firstLine="0"/>
        <w:contextualSpacing w:val="0"/>
        <w:rPr>
          <w:color w:val="000000"/>
          <w:kern w:val="22"/>
          <w:szCs w:val="22"/>
          <w:lang w:eastAsia="ko-KR"/>
        </w:rPr>
      </w:pPr>
      <w:r w:rsidRPr="005F3D62">
        <w:rPr>
          <w:kern w:val="22"/>
          <w:szCs w:val="22"/>
        </w:rPr>
        <w:t xml:space="preserve">From January 2019 to December 2020, a total amount of US$ </w:t>
      </w:r>
      <w:r w:rsidRPr="005F3D62">
        <w:rPr>
          <w:color w:val="000000"/>
          <w:kern w:val="22"/>
          <w:szCs w:val="22"/>
        </w:rPr>
        <w:t>31,005,400</w:t>
      </w:r>
      <w:r w:rsidRPr="005F3D62">
        <w:rPr>
          <w:kern w:val="22"/>
          <w:szCs w:val="22"/>
        </w:rPr>
        <w:t xml:space="preserve"> is forecast to be spent (</w:t>
      </w:r>
      <w:r w:rsidR="00B065AC" w:rsidRPr="00964E40">
        <w:rPr>
          <w:kern w:val="22"/>
          <w:szCs w:val="22"/>
        </w:rPr>
        <w:t xml:space="preserve">see </w:t>
      </w:r>
      <w:r w:rsidR="0030153C" w:rsidRPr="00964E40">
        <w:rPr>
          <w:kern w:val="22"/>
          <w:szCs w:val="22"/>
        </w:rPr>
        <w:t>t</w:t>
      </w:r>
      <w:r w:rsidRPr="005F3D62">
        <w:rPr>
          <w:kern w:val="22"/>
          <w:szCs w:val="22"/>
        </w:rPr>
        <w:t>able</w:t>
      </w:r>
      <w:r w:rsidR="0030153C" w:rsidRPr="00964E40">
        <w:rPr>
          <w:kern w:val="22"/>
          <w:szCs w:val="22"/>
        </w:rPr>
        <w:t> </w:t>
      </w:r>
      <w:r w:rsidRPr="005F3D62">
        <w:rPr>
          <w:kern w:val="22"/>
          <w:szCs w:val="22"/>
        </w:rPr>
        <w:t xml:space="preserve">3). This amount does not include the costs for </w:t>
      </w:r>
      <w:r w:rsidR="00010F9E" w:rsidRPr="005F3D62">
        <w:rPr>
          <w:kern w:val="22"/>
          <w:szCs w:val="22"/>
        </w:rPr>
        <w:t xml:space="preserve">the fifteenth meeting of the Conference of the Parties, the twenty-fourth meeting of the Subsidiary Body on Scientific, Technical and </w:t>
      </w:r>
      <w:r w:rsidR="00CE68D4" w:rsidRPr="005F3D62">
        <w:rPr>
          <w:kern w:val="22"/>
          <w:szCs w:val="22"/>
        </w:rPr>
        <w:t xml:space="preserve">Technological Advice, the third meeting of the Subsidiary Body on Implementation </w:t>
      </w:r>
      <w:r w:rsidR="0028207C" w:rsidRPr="00964E40">
        <w:rPr>
          <w:kern w:val="22"/>
          <w:szCs w:val="22"/>
        </w:rPr>
        <w:t>or</w:t>
      </w:r>
      <w:r w:rsidR="00CE68D4" w:rsidRPr="005F3D62">
        <w:rPr>
          <w:kern w:val="22"/>
          <w:szCs w:val="22"/>
        </w:rPr>
        <w:t xml:space="preserve"> the third meeting of the Open-ended Working Group on the Post-2020 Global Biodiversity</w:t>
      </w:r>
      <w:r w:rsidR="00D36E57" w:rsidRPr="005F3D62">
        <w:rPr>
          <w:kern w:val="22"/>
          <w:szCs w:val="22"/>
        </w:rPr>
        <w:t xml:space="preserve"> Framework</w:t>
      </w:r>
      <w:r w:rsidR="0028207C" w:rsidRPr="00964E40">
        <w:rPr>
          <w:kern w:val="22"/>
          <w:szCs w:val="22"/>
        </w:rPr>
        <w:t>,</w:t>
      </w:r>
      <w:r w:rsidR="00D36E57" w:rsidRPr="005F3D62">
        <w:rPr>
          <w:kern w:val="22"/>
          <w:szCs w:val="22"/>
        </w:rPr>
        <w:t xml:space="preserve"> </w:t>
      </w:r>
      <w:r w:rsidRPr="005F3D62">
        <w:rPr>
          <w:kern w:val="22"/>
          <w:szCs w:val="22"/>
        </w:rPr>
        <w:t>which are postponed to 2021</w:t>
      </w:r>
      <w:r w:rsidR="00B22746" w:rsidRPr="00964E40">
        <w:rPr>
          <w:kern w:val="22"/>
          <w:szCs w:val="22"/>
        </w:rPr>
        <w:t>.</w:t>
      </w:r>
      <w:r w:rsidRPr="005F3D62">
        <w:rPr>
          <w:kern w:val="22"/>
          <w:szCs w:val="22"/>
        </w:rPr>
        <w:t xml:space="preserve"> </w:t>
      </w:r>
      <w:r w:rsidR="00B22746" w:rsidRPr="00964E40">
        <w:rPr>
          <w:kern w:val="22"/>
          <w:szCs w:val="22"/>
        </w:rPr>
        <w:t>H</w:t>
      </w:r>
      <w:r w:rsidRPr="005F3D62">
        <w:rPr>
          <w:kern w:val="22"/>
          <w:szCs w:val="22"/>
        </w:rPr>
        <w:t xml:space="preserve">owever, it </w:t>
      </w:r>
      <w:r w:rsidR="009D000A" w:rsidRPr="00964E40">
        <w:rPr>
          <w:kern w:val="22"/>
          <w:szCs w:val="22"/>
        </w:rPr>
        <w:t>does include</w:t>
      </w:r>
      <w:r w:rsidRPr="005F3D62">
        <w:rPr>
          <w:kern w:val="22"/>
          <w:szCs w:val="22"/>
        </w:rPr>
        <w:t xml:space="preserve"> additional costs of US$</w:t>
      </w:r>
      <w:r w:rsidR="00B22746" w:rsidRPr="00964E40">
        <w:rPr>
          <w:szCs w:val="22"/>
        </w:rPr>
        <w:t> </w:t>
      </w:r>
      <w:r w:rsidRPr="005F3D62">
        <w:rPr>
          <w:kern w:val="22"/>
          <w:szCs w:val="22"/>
        </w:rPr>
        <w:t xml:space="preserve">278,500 that the Secretariat will likely incur for virtual </w:t>
      </w:r>
      <w:r w:rsidRPr="005F3D62">
        <w:rPr>
          <w:kern w:val="22"/>
          <w:szCs w:val="22"/>
        </w:rPr>
        <w:lastRenderedPageBreak/>
        <w:t xml:space="preserve">meetings related to </w:t>
      </w:r>
      <w:r w:rsidR="00C13808" w:rsidRPr="005F3D62">
        <w:rPr>
          <w:kern w:val="22"/>
          <w:szCs w:val="22"/>
        </w:rPr>
        <w:t>the twenty-fourth meeting of the Subsidiary Body on Scientific, Technical and Technological Advice</w:t>
      </w:r>
      <w:r w:rsidRPr="005F3D62">
        <w:rPr>
          <w:kern w:val="22"/>
          <w:szCs w:val="22"/>
        </w:rPr>
        <w:t xml:space="preserve"> and </w:t>
      </w:r>
      <w:r w:rsidR="00C13808" w:rsidRPr="005F3D62">
        <w:rPr>
          <w:kern w:val="22"/>
          <w:szCs w:val="22"/>
        </w:rPr>
        <w:t>the third meeting of the Subsidiary Body on Implementation</w:t>
      </w:r>
      <w:r w:rsidRPr="005F3D62">
        <w:rPr>
          <w:kern w:val="22"/>
          <w:szCs w:val="22"/>
        </w:rPr>
        <w:t xml:space="preserve">, including the special virtual sessions </w:t>
      </w:r>
      <w:r w:rsidR="00401E63" w:rsidRPr="00964E40">
        <w:rPr>
          <w:kern w:val="22"/>
          <w:szCs w:val="22"/>
        </w:rPr>
        <w:t xml:space="preserve">held </w:t>
      </w:r>
      <w:r w:rsidRPr="005F3D62">
        <w:rPr>
          <w:kern w:val="22"/>
          <w:szCs w:val="22"/>
        </w:rPr>
        <w:t>in September 2020 and the virtual sessions provisionally planned for November and December 2020. The budget</w:t>
      </w:r>
      <w:r w:rsidR="00226147" w:rsidRPr="00964E40">
        <w:rPr>
          <w:kern w:val="22"/>
          <w:szCs w:val="22"/>
        </w:rPr>
        <w:t>ary</w:t>
      </w:r>
      <w:r w:rsidRPr="005F3D62">
        <w:rPr>
          <w:kern w:val="22"/>
          <w:szCs w:val="22"/>
        </w:rPr>
        <w:t xml:space="preserve"> provision for meetings of US$</w:t>
      </w:r>
      <w:r w:rsidR="00FB36D1" w:rsidRPr="00964E40">
        <w:rPr>
          <w:kern w:val="22"/>
          <w:szCs w:val="22"/>
        </w:rPr>
        <w:t> </w:t>
      </w:r>
      <w:r w:rsidRPr="005F3D62">
        <w:rPr>
          <w:kern w:val="22"/>
          <w:szCs w:val="22"/>
        </w:rPr>
        <w:t xml:space="preserve">3,688,000 as approved by </w:t>
      </w:r>
      <w:r w:rsidR="00FA5F3F" w:rsidRPr="005F3D62">
        <w:rPr>
          <w:kern w:val="22"/>
          <w:szCs w:val="22"/>
        </w:rPr>
        <w:t>the Conference of the Parties at its fourteenth meeting</w:t>
      </w:r>
      <w:r w:rsidRPr="005F3D62">
        <w:rPr>
          <w:kern w:val="22"/>
          <w:szCs w:val="22"/>
        </w:rPr>
        <w:t>, if extended to 2021, is thus expected to be overspent by the end of 2021 by US$</w:t>
      </w:r>
      <w:r w:rsidR="00226422" w:rsidRPr="00964E40">
        <w:rPr>
          <w:kern w:val="22"/>
          <w:szCs w:val="22"/>
        </w:rPr>
        <w:t> </w:t>
      </w:r>
      <w:r w:rsidRPr="005F3D62">
        <w:rPr>
          <w:kern w:val="22"/>
          <w:szCs w:val="22"/>
        </w:rPr>
        <w:t xml:space="preserve">278,500 since these costs were not </w:t>
      </w:r>
      <w:r w:rsidR="00DD7D05" w:rsidRPr="00964E40">
        <w:rPr>
          <w:kern w:val="22"/>
          <w:szCs w:val="22"/>
        </w:rPr>
        <w:t>anticipated at the time</w:t>
      </w:r>
      <w:r w:rsidRPr="005F3D62">
        <w:rPr>
          <w:kern w:val="22"/>
          <w:szCs w:val="22"/>
        </w:rPr>
        <w:t>.</w:t>
      </w:r>
    </w:p>
    <w:p w14:paraId="7101AC2E" w14:textId="4F745BD0" w:rsidR="00A2104C" w:rsidRPr="005F3D62" w:rsidRDefault="000D4DA8" w:rsidP="005F3D62">
      <w:pPr>
        <w:pStyle w:val="ListParagraph"/>
        <w:numPr>
          <w:ilvl w:val="0"/>
          <w:numId w:val="1"/>
        </w:numPr>
        <w:suppressLineNumbers/>
        <w:suppressAutoHyphens/>
        <w:spacing w:before="120" w:after="120"/>
        <w:ind w:left="0" w:firstLine="0"/>
        <w:contextualSpacing w:val="0"/>
        <w:rPr>
          <w:rFonts w:eastAsia="Malgun Gothic"/>
          <w:iCs/>
          <w:color w:val="000000"/>
          <w:kern w:val="22"/>
          <w:szCs w:val="22"/>
          <w:lang w:eastAsia="ko-KR"/>
        </w:rPr>
      </w:pPr>
      <w:r w:rsidRPr="005F3D62">
        <w:rPr>
          <w:kern w:val="22"/>
          <w:szCs w:val="22"/>
        </w:rPr>
        <w:t xml:space="preserve">Due to the COVID-19 pandemic and the restrictions on travel worldwide in 2020, the budget for staff travel, Bureau meetings and expert meetings will not be fully utilized. Several meetings of the Bureau </w:t>
      </w:r>
      <w:r w:rsidR="00454509" w:rsidRPr="005F3D62">
        <w:rPr>
          <w:kern w:val="22"/>
          <w:szCs w:val="22"/>
        </w:rPr>
        <w:t xml:space="preserve">of the Conference of the Parties </w:t>
      </w:r>
      <w:r w:rsidRPr="005F3D62">
        <w:rPr>
          <w:kern w:val="22"/>
          <w:szCs w:val="22"/>
        </w:rPr>
        <w:t>were held virtually</w:t>
      </w:r>
      <w:r w:rsidR="00A34FA1" w:rsidRPr="00964E40">
        <w:rPr>
          <w:kern w:val="22"/>
          <w:szCs w:val="22"/>
        </w:rPr>
        <w:t>,</w:t>
      </w:r>
      <w:r w:rsidRPr="005F3D62">
        <w:rPr>
          <w:kern w:val="22"/>
          <w:szCs w:val="22"/>
        </w:rPr>
        <w:t xml:space="preserve"> as we</w:t>
      </w:r>
      <w:r w:rsidR="00A34FA1" w:rsidRPr="00964E40">
        <w:rPr>
          <w:kern w:val="22"/>
          <w:szCs w:val="22"/>
        </w:rPr>
        <w:t>re</w:t>
      </w:r>
      <w:r w:rsidRPr="005F3D62">
        <w:rPr>
          <w:kern w:val="22"/>
          <w:szCs w:val="22"/>
        </w:rPr>
        <w:t xml:space="preserve"> </w:t>
      </w:r>
      <w:r w:rsidR="00991227" w:rsidRPr="00964E40">
        <w:rPr>
          <w:kern w:val="22"/>
          <w:szCs w:val="22"/>
        </w:rPr>
        <w:t xml:space="preserve">(a) </w:t>
      </w:r>
      <w:r w:rsidRPr="005F3D62">
        <w:rPr>
          <w:kern w:val="22"/>
          <w:szCs w:val="22"/>
        </w:rPr>
        <w:t xml:space="preserve">the </w:t>
      </w:r>
      <w:r w:rsidR="00454509" w:rsidRPr="005F3D62">
        <w:rPr>
          <w:kern w:val="22"/>
          <w:szCs w:val="22"/>
        </w:rPr>
        <w:t>s</w:t>
      </w:r>
      <w:r w:rsidRPr="005F3D62">
        <w:rPr>
          <w:kern w:val="22"/>
          <w:szCs w:val="22"/>
        </w:rPr>
        <w:t xml:space="preserve">eventeenth meeting of the Compliance Committee under the Cartagena Protocol on Biosafety, </w:t>
      </w:r>
      <w:r w:rsidR="004A7334" w:rsidRPr="00964E40">
        <w:rPr>
          <w:kern w:val="22"/>
          <w:szCs w:val="22"/>
        </w:rPr>
        <w:t xml:space="preserve">(b) </w:t>
      </w:r>
      <w:r w:rsidRPr="005F3D62">
        <w:rPr>
          <w:kern w:val="22"/>
          <w:szCs w:val="22"/>
        </w:rPr>
        <w:t xml:space="preserve">the </w:t>
      </w:r>
      <w:r w:rsidR="00454509" w:rsidRPr="005F3D62">
        <w:rPr>
          <w:kern w:val="22"/>
          <w:szCs w:val="22"/>
        </w:rPr>
        <w:t>f</w:t>
      </w:r>
      <w:r w:rsidRPr="005F3D62">
        <w:rPr>
          <w:kern w:val="22"/>
          <w:szCs w:val="22"/>
        </w:rPr>
        <w:t xml:space="preserve">ourteenth meeting of the Liaison Group on the Cartagena Protocol on Biosafety, </w:t>
      </w:r>
      <w:r w:rsidR="004A7334" w:rsidRPr="00964E40">
        <w:rPr>
          <w:kern w:val="22"/>
          <w:szCs w:val="22"/>
        </w:rPr>
        <w:t xml:space="preserve">(c) </w:t>
      </w:r>
      <w:r w:rsidRPr="005F3D62">
        <w:rPr>
          <w:kern w:val="22"/>
          <w:szCs w:val="22"/>
        </w:rPr>
        <w:t xml:space="preserve">the </w:t>
      </w:r>
      <w:r w:rsidR="002D4729" w:rsidRPr="005F3D62">
        <w:rPr>
          <w:kern w:val="22"/>
          <w:szCs w:val="22"/>
        </w:rPr>
        <w:t>t</w:t>
      </w:r>
      <w:r w:rsidRPr="005F3D62">
        <w:rPr>
          <w:kern w:val="22"/>
          <w:szCs w:val="22"/>
        </w:rPr>
        <w:t xml:space="preserve">hird meeting of the Compliance Committee under the Nagoya Protocol on Access and Benefit-sharing and </w:t>
      </w:r>
      <w:r w:rsidR="004A7334" w:rsidRPr="00964E40">
        <w:rPr>
          <w:kern w:val="22"/>
          <w:szCs w:val="22"/>
        </w:rPr>
        <w:t xml:space="preserve">(d) </w:t>
      </w:r>
      <w:r w:rsidR="002D4729" w:rsidRPr="005F3D62">
        <w:rPr>
          <w:kern w:val="22"/>
          <w:szCs w:val="22"/>
        </w:rPr>
        <w:t>a m</w:t>
      </w:r>
      <w:r w:rsidRPr="005F3D62">
        <w:rPr>
          <w:kern w:val="22"/>
          <w:szCs w:val="22"/>
        </w:rPr>
        <w:t>eeting of the Informal Advisory Committee to the Clearing</w:t>
      </w:r>
      <w:r w:rsidR="002D4729" w:rsidRPr="005F3D62">
        <w:rPr>
          <w:kern w:val="22"/>
          <w:szCs w:val="22"/>
        </w:rPr>
        <w:noBreakHyphen/>
      </w:r>
      <w:r w:rsidRPr="005F3D62">
        <w:rPr>
          <w:kern w:val="22"/>
          <w:szCs w:val="22"/>
        </w:rPr>
        <w:t>House Mechanism.</w:t>
      </w:r>
    </w:p>
    <w:p w14:paraId="2EB34C96" w14:textId="1E0A2616" w:rsidR="000D4DA8" w:rsidRPr="005F3D62" w:rsidRDefault="000D4DA8" w:rsidP="005F3D62">
      <w:pPr>
        <w:pStyle w:val="ListParagraph"/>
        <w:keepNext/>
        <w:suppressLineNumbers/>
        <w:suppressAutoHyphens/>
        <w:spacing w:before="240" w:after="120"/>
        <w:ind w:left="0"/>
        <w:contextualSpacing w:val="0"/>
        <w:jc w:val="left"/>
        <w:rPr>
          <w:bCs/>
          <w:i/>
          <w:iCs/>
          <w:snapToGrid w:val="0"/>
          <w:kern w:val="22"/>
          <w:szCs w:val="22"/>
        </w:rPr>
      </w:pPr>
      <w:r w:rsidRPr="005F3D62">
        <w:rPr>
          <w:b/>
          <w:iCs/>
          <w:snapToGrid w:val="0"/>
          <w:kern w:val="22"/>
          <w:szCs w:val="22"/>
        </w:rPr>
        <w:t>Table 3</w:t>
      </w:r>
      <w:r w:rsidR="004A7334" w:rsidRPr="00964E40">
        <w:rPr>
          <w:b/>
          <w:iCs/>
          <w:snapToGrid w:val="0"/>
          <w:kern w:val="22"/>
          <w:szCs w:val="22"/>
        </w:rPr>
        <w:br/>
      </w:r>
      <w:r w:rsidRPr="005F3D62">
        <w:rPr>
          <w:b/>
          <w:iCs/>
          <w:snapToGrid w:val="0"/>
          <w:kern w:val="22"/>
          <w:szCs w:val="22"/>
        </w:rPr>
        <w:t>Projected expenditures by object of expenditure in relation to the 2019-2020 approved integrated budget</w:t>
      </w:r>
      <w:r w:rsidR="004A7334" w:rsidRPr="00964E40">
        <w:rPr>
          <w:color w:val="000000"/>
          <w:kern w:val="22"/>
          <w:szCs w:val="22"/>
          <w:lang w:eastAsia="en-CA"/>
        </w:rPr>
        <w:br/>
      </w:r>
      <w:r w:rsidRPr="005F3D62">
        <w:rPr>
          <w:i/>
          <w:iCs/>
          <w:color w:val="000000"/>
          <w:kern w:val="22"/>
          <w:szCs w:val="22"/>
          <w:lang w:eastAsia="en-CA"/>
        </w:rPr>
        <w:t>(Thousands of United States dollars)</w:t>
      </w:r>
    </w:p>
    <w:tbl>
      <w:tblPr>
        <w:tblW w:w="935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351"/>
        <w:gridCol w:w="1503"/>
        <w:gridCol w:w="1890"/>
        <w:gridCol w:w="1612"/>
      </w:tblGrid>
      <w:tr w:rsidR="00181F71" w:rsidRPr="00964E40" w14:paraId="67C8D643" w14:textId="77777777" w:rsidTr="005F3D62">
        <w:trPr>
          <w:cantSplit/>
          <w:jc w:val="center"/>
        </w:trPr>
        <w:tc>
          <w:tcPr>
            <w:tcW w:w="3823" w:type="dxa"/>
            <w:shd w:val="clear" w:color="auto" w:fill="auto"/>
            <w:vAlign w:val="center"/>
            <w:hideMark/>
          </w:tcPr>
          <w:p w14:paraId="2F8DD6C8" w14:textId="77777777" w:rsidR="00181F71" w:rsidRPr="005F3D62" w:rsidRDefault="00181F71" w:rsidP="005F3D62">
            <w:pPr>
              <w:suppressLineNumbers/>
              <w:suppressAutoHyphens/>
              <w:jc w:val="center"/>
              <w:rPr>
                <w:i/>
                <w:iCs/>
                <w:color w:val="000000"/>
                <w:kern w:val="22"/>
                <w:szCs w:val="22"/>
                <w:lang w:eastAsia="en-CA"/>
              </w:rPr>
            </w:pPr>
            <w:r w:rsidRPr="005F3D62">
              <w:rPr>
                <w:i/>
                <w:iCs/>
                <w:color w:val="000000"/>
                <w:kern w:val="22"/>
                <w:szCs w:val="22"/>
                <w:lang w:eastAsia="en-CA"/>
              </w:rPr>
              <w:t>Object of expenditure</w:t>
            </w:r>
          </w:p>
        </w:tc>
        <w:tc>
          <w:tcPr>
            <w:tcW w:w="1321" w:type="dxa"/>
            <w:shd w:val="clear" w:color="auto" w:fill="auto"/>
            <w:vAlign w:val="center"/>
            <w:hideMark/>
          </w:tcPr>
          <w:p w14:paraId="6F758AA6" w14:textId="77777777" w:rsidR="00181F71" w:rsidRPr="005F3D62" w:rsidRDefault="00181F71" w:rsidP="005F3D62">
            <w:pPr>
              <w:suppressLineNumbers/>
              <w:suppressAutoHyphens/>
              <w:jc w:val="center"/>
              <w:rPr>
                <w:i/>
                <w:iCs/>
                <w:color w:val="000000"/>
                <w:kern w:val="22"/>
                <w:szCs w:val="22"/>
                <w:lang w:eastAsia="en-CA"/>
              </w:rPr>
            </w:pPr>
            <w:r w:rsidRPr="005F3D62">
              <w:rPr>
                <w:i/>
                <w:iCs/>
                <w:color w:val="000000"/>
                <w:kern w:val="22"/>
                <w:szCs w:val="22"/>
                <w:lang w:eastAsia="en-CA"/>
              </w:rPr>
              <w:t>Total approved budget</w:t>
            </w:r>
          </w:p>
        </w:tc>
        <w:tc>
          <w:tcPr>
            <w:tcW w:w="1661" w:type="dxa"/>
            <w:shd w:val="clear" w:color="auto" w:fill="auto"/>
            <w:vAlign w:val="center"/>
          </w:tcPr>
          <w:p w14:paraId="0B54F3E6" w14:textId="3EA799C6" w:rsidR="00181F71" w:rsidRPr="005F3D62" w:rsidRDefault="00181F71" w:rsidP="005F3D62">
            <w:pPr>
              <w:suppressLineNumbers/>
              <w:suppressAutoHyphens/>
              <w:jc w:val="center"/>
              <w:rPr>
                <w:i/>
                <w:iCs/>
                <w:color w:val="000000"/>
                <w:kern w:val="22"/>
                <w:szCs w:val="22"/>
                <w:lang w:eastAsia="en-CA"/>
              </w:rPr>
            </w:pPr>
            <w:r w:rsidRPr="005F3D62">
              <w:rPr>
                <w:i/>
                <w:iCs/>
                <w:color w:val="000000"/>
                <w:kern w:val="22"/>
                <w:szCs w:val="22"/>
                <w:lang w:eastAsia="en-CA"/>
              </w:rPr>
              <w:t>Total expenditure commitments</w:t>
            </w:r>
            <w:r w:rsidRPr="00964E40">
              <w:rPr>
                <w:i/>
                <w:iCs/>
                <w:color w:val="000000"/>
                <w:kern w:val="22"/>
                <w:szCs w:val="22"/>
                <w:lang w:eastAsia="en-CA"/>
              </w:rPr>
              <w:br/>
            </w:r>
            <w:r w:rsidRPr="005F3D62">
              <w:rPr>
                <w:i/>
                <w:iCs/>
                <w:color w:val="000000"/>
                <w:spacing w:val="-6"/>
                <w:kern w:val="22"/>
                <w:szCs w:val="22"/>
                <w:lang w:eastAsia="en-CA"/>
              </w:rPr>
              <w:t>(1 January 2019-31 December 2020)</w:t>
            </w:r>
          </w:p>
        </w:tc>
        <w:tc>
          <w:tcPr>
            <w:tcW w:w="1417" w:type="dxa"/>
            <w:shd w:val="clear" w:color="auto" w:fill="auto"/>
            <w:vAlign w:val="center"/>
          </w:tcPr>
          <w:p w14:paraId="551D801E" w14:textId="77777777" w:rsidR="00181F71" w:rsidRPr="005F3D62" w:rsidRDefault="00181F71" w:rsidP="005F3D62">
            <w:pPr>
              <w:suppressLineNumbers/>
              <w:suppressAutoHyphens/>
              <w:jc w:val="center"/>
              <w:rPr>
                <w:i/>
                <w:iCs/>
                <w:color w:val="000000"/>
                <w:kern w:val="22"/>
                <w:szCs w:val="22"/>
                <w:lang w:eastAsia="en-CA"/>
              </w:rPr>
            </w:pPr>
            <w:r w:rsidRPr="005F3D62">
              <w:rPr>
                <w:i/>
                <w:iCs/>
                <w:color w:val="000000"/>
                <w:kern w:val="22"/>
                <w:szCs w:val="22"/>
                <w:lang w:eastAsia="en-CA"/>
              </w:rPr>
              <w:t>Variance</w:t>
            </w:r>
          </w:p>
        </w:tc>
      </w:tr>
      <w:tr w:rsidR="00964E40" w:rsidRPr="00964E40" w14:paraId="57F9F585" w14:textId="77777777" w:rsidTr="00D50DBD">
        <w:trPr>
          <w:cantSplit/>
          <w:jc w:val="center"/>
        </w:trPr>
        <w:tc>
          <w:tcPr>
            <w:tcW w:w="3823" w:type="dxa"/>
            <w:shd w:val="clear" w:color="auto" w:fill="auto"/>
            <w:hideMark/>
          </w:tcPr>
          <w:p w14:paraId="570DFDAE" w14:textId="3EC32376" w:rsidR="000D4DA8" w:rsidRPr="005F3D62" w:rsidRDefault="000D4DA8" w:rsidP="005F3D62">
            <w:pPr>
              <w:suppressLineNumbers/>
              <w:tabs>
                <w:tab w:val="left" w:pos="425"/>
              </w:tabs>
              <w:suppressAutoHyphens/>
              <w:jc w:val="left"/>
              <w:rPr>
                <w:color w:val="000000"/>
                <w:kern w:val="22"/>
                <w:szCs w:val="22"/>
                <w:lang w:eastAsia="en-CA"/>
              </w:rPr>
            </w:pPr>
            <w:r w:rsidRPr="005F3D62">
              <w:rPr>
                <w:color w:val="000000"/>
                <w:kern w:val="22"/>
                <w:szCs w:val="22"/>
                <w:lang w:eastAsia="en-CA"/>
              </w:rPr>
              <w:t>A.</w:t>
            </w:r>
            <w:r w:rsidR="00D33196" w:rsidRPr="00964E40">
              <w:rPr>
                <w:color w:val="000000"/>
                <w:kern w:val="22"/>
                <w:szCs w:val="22"/>
                <w:lang w:eastAsia="en-CA"/>
              </w:rPr>
              <w:tab/>
            </w:r>
            <w:r w:rsidRPr="005F3D62">
              <w:rPr>
                <w:color w:val="000000"/>
                <w:kern w:val="22"/>
                <w:szCs w:val="22"/>
                <w:lang w:eastAsia="en-CA"/>
              </w:rPr>
              <w:t>Staff costs</w:t>
            </w:r>
          </w:p>
        </w:tc>
        <w:tc>
          <w:tcPr>
            <w:tcW w:w="1321" w:type="dxa"/>
            <w:shd w:val="clear" w:color="auto" w:fill="auto"/>
            <w:hideMark/>
          </w:tcPr>
          <w:p w14:paraId="4EC9DD51" w14:textId="5F343A3C" w:rsidR="000D4DA8" w:rsidRPr="005F3D62" w:rsidRDefault="000D4DA8" w:rsidP="005F3D62">
            <w:pPr>
              <w:suppressLineNumbers/>
              <w:suppressAutoHyphens/>
              <w:ind w:right="227"/>
              <w:jc w:val="right"/>
              <w:rPr>
                <w:color w:val="000000"/>
                <w:kern w:val="22"/>
                <w:szCs w:val="22"/>
                <w:lang w:eastAsia="en-CA"/>
              </w:rPr>
            </w:pPr>
            <w:r w:rsidRPr="005F3D62">
              <w:rPr>
                <w:color w:val="000000"/>
                <w:kern w:val="22"/>
                <w:szCs w:val="22"/>
                <w:lang w:eastAsia="en-CA"/>
              </w:rPr>
              <w:t>23</w:t>
            </w:r>
            <w:r w:rsidR="00A4334E" w:rsidRPr="00964E40">
              <w:rPr>
                <w:color w:val="000000"/>
                <w:kern w:val="22"/>
                <w:szCs w:val="22"/>
                <w:lang w:eastAsia="en-CA"/>
              </w:rPr>
              <w:t xml:space="preserve"> </w:t>
            </w:r>
            <w:r w:rsidRPr="005F3D62">
              <w:rPr>
                <w:color w:val="000000"/>
                <w:kern w:val="22"/>
                <w:szCs w:val="22"/>
                <w:lang w:eastAsia="en-CA"/>
              </w:rPr>
              <w:t>080.5</w:t>
            </w:r>
          </w:p>
        </w:tc>
        <w:tc>
          <w:tcPr>
            <w:tcW w:w="1661" w:type="dxa"/>
            <w:shd w:val="clear" w:color="auto" w:fill="auto"/>
          </w:tcPr>
          <w:p w14:paraId="313C55DA" w14:textId="71AAFDDD" w:rsidR="000D4DA8" w:rsidRPr="005F3D62" w:rsidRDefault="000D4DA8" w:rsidP="005F3D62">
            <w:pPr>
              <w:suppressLineNumbers/>
              <w:suppressAutoHyphens/>
              <w:ind w:right="227"/>
              <w:jc w:val="right"/>
              <w:rPr>
                <w:color w:val="000000"/>
                <w:kern w:val="22"/>
                <w:szCs w:val="22"/>
                <w:lang w:eastAsia="en-CA"/>
              </w:rPr>
            </w:pPr>
            <w:r w:rsidRPr="005F3D62">
              <w:rPr>
                <w:color w:val="000000"/>
                <w:kern w:val="22"/>
                <w:szCs w:val="22"/>
                <w:lang w:eastAsia="en-CA"/>
              </w:rPr>
              <w:t>20</w:t>
            </w:r>
            <w:r w:rsidR="00A4334E" w:rsidRPr="00964E40">
              <w:rPr>
                <w:color w:val="000000"/>
                <w:kern w:val="22"/>
                <w:szCs w:val="22"/>
                <w:lang w:eastAsia="en-CA"/>
              </w:rPr>
              <w:t xml:space="preserve"> </w:t>
            </w:r>
            <w:r w:rsidRPr="005F3D62">
              <w:rPr>
                <w:color w:val="000000"/>
                <w:kern w:val="22"/>
                <w:szCs w:val="22"/>
                <w:lang w:eastAsia="en-CA"/>
              </w:rPr>
              <w:t>100.0</w:t>
            </w:r>
          </w:p>
        </w:tc>
        <w:tc>
          <w:tcPr>
            <w:tcW w:w="1417" w:type="dxa"/>
            <w:shd w:val="clear" w:color="auto" w:fill="auto"/>
          </w:tcPr>
          <w:p w14:paraId="72B65579" w14:textId="47DA00F8" w:rsidR="000D4DA8" w:rsidRPr="005F3D62" w:rsidRDefault="000D4DA8" w:rsidP="005F3D62">
            <w:pPr>
              <w:suppressLineNumbers/>
              <w:suppressAutoHyphens/>
              <w:ind w:right="227"/>
              <w:jc w:val="right"/>
              <w:rPr>
                <w:color w:val="000000"/>
                <w:kern w:val="22"/>
                <w:szCs w:val="22"/>
                <w:lang w:eastAsia="en-CA"/>
              </w:rPr>
            </w:pPr>
            <w:r w:rsidRPr="005F3D62">
              <w:rPr>
                <w:color w:val="000000"/>
                <w:kern w:val="22"/>
                <w:szCs w:val="22"/>
                <w:lang w:eastAsia="en-CA"/>
              </w:rPr>
              <w:t>2</w:t>
            </w:r>
            <w:r w:rsidR="00A4334E" w:rsidRPr="00964E40">
              <w:rPr>
                <w:color w:val="000000"/>
                <w:kern w:val="22"/>
                <w:szCs w:val="22"/>
                <w:lang w:eastAsia="en-CA"/>
              </w:rPr>
              <w:t xml:space="preserve"> </w:t>
            </w:r>
            <w:r w:rsidRPr="005F3D62">
              <w:rPr>
                <w:color w:val="000000"/>
                <w:kern w:val="22"/>
                <w:szCs w:val="22"/>
                <w:lang w:eastAsia="en-CA"/>
              </w:rPr>
              <w:t>980.5</w:t>
            </w:r>
          </w:p>
        </w:tc>
      </w:tr>
      <w:tr w:rsidR="00964E40" w:rsidRPr="00964E40" w14:paraId="06EE4483" w14:textId="77777777" w:rsidTr="00D50DBD">
        <w:trPr>
          <w:cantSplit/>
          <w:jc w:val="center"/>
        </w:trPr>
        <w:tc>
          <w:tcPr>
            <w:tcW w:w="3823" w:type="dxa"/>
            <w:shd w:val="clear" w:color="auto" w:fill="auto"/>
            <w:hideMark/>
          </w:tcPr>
          <w:p w14:paraId="2B4CE52E" w14:textId="11640356" w:rsidR="000D4DA8" w:rsidRPr="005F3D62" w:rsidRDefault="000D4DA8" w:rsidP="005F3D62">
            <w:pPr>
              <w:suppressLineNumbers/>
              <w:tabs>
                <w:tab w:val="left" w:pos="425"/>
              </w:tabs>
              <w:suppressAutoHyphens/>
              <w:jc w:val="left"/>
              <w:rPr>
                <w:color w:val="000000"/>
                <w:kern w:val="22"/>
                <w:szCs w:val="22"/>
                <w:lang w:eastAsia="en-CA"/>
              </w:rPr>
            </w:pPr>
            <w:r w:rsidRPr="005F3D62">
              <w:rPr>
                <w:color w:val="000000"/>
                <w:kern w:val="22"/>
                <w:szCs w:val="22"/>
                <w:lang w:eastAsia="en-CA"/>
              </w:rPr>
              <w:t>B.</w:t>
            </w:r>
            <w:r w:rsidR="00D33196" w:rsidRPr="00964E40">
              <w:rPr>
                <w:color w:val="000000"/>
                <w:kern w:val="22"/>
                <w:szCs w:val="22"/>
                <w:lang w:eastAsia="en-CA"/>
              </w:rPr>
              <w:tab/>
            </w:r>
            <w:r w:rsidRPr="005F3D62">
              <w:rPr>
                <w:color w:val="000000"/>
                <w:kern w:val="22"/>
                <w:szCs w:val="22"/>
                <w:lang w:eastAsia="en-CA"/>
              </w:rPr>
              <w:t>Bureau meetings</w:t>
            </w:r>
          </w:p>
        </w:tc>
        <w:tc>
          <w:tcPr>
            <w:tcW w:w="1321" w:type="dxa"/>
            <w:shd w:val="clear" w:color="auto" w:fill="auto"/>
            <w:hideMark/>
          </w:tcPr>
          <w:p w14:paraId="4000E4D6" w14:textId="77777777" w:rsidR="000D4DA8" w:rsidRPr="005F3D62" w:rsidRDefault="000D4DA8" w:rsidP="005F3D62">
            <w:pPr>
              <w:suppressLineNumbers/>
              <w:suppressAutoHyphens/>
              <w:ind w:right="227"/>
              <w:jc w:val="right"/>
              <w:rPr>
                <w:color w:val="000000"/>
                <w:kern w:val="22"/>
                <w:szCs w:val="22"/>
                <w:lang w:eastAsia="en-CA"/>
              </w:rPr>
            </w:pPr>
            <w:r w:rsidRPr="005F3D62">
              <w:rPr>
                <w:color w:val="000000"/>
                <w:kern w:val="22"/>
                <w:szCs w:val="22"/>
                <w:lang w:eastAsia="en-CA"/>
              </w:rPr>
              <w:t>365.0</w:t>
            </w:r>
          </w:p>
        </w:tc>
        <w:tc>
          <w:tcPr>
            <w:tcW w:w="1661" w:type="dxa"/>
            <w:shd w:val="clear" w:color="auto" w:fill="auto"/>
          </w:tcPr>
          <w:p w14:paraId="7D57B862" w14:textId="77777777" w:rsidR="000D4DA8" w:rsidRPr="005F3D62" w:rsidRDefault="000D4DA8" w:rsidP="005F3D62">
            <w:pPr>
              <w:suppressLineNumbers/>
              <w:suppressAutoHyphens/>
              <w:ind w:right="227"/>
              <w:jc w:val="right"/>
              <w:rPr>
                <w:color w:val="000000"/>
                <w:kern w:val="22"/>
                <w:szCs w:val="22"/>
                <w:lang w:eastAsia="en-CA"/>
              </w:rPr>
            </w:pPr>
            <w:r w:rsidRPr="005F3D62">
              <w:rPr>
                <w:color w:val="000000"/>
                <w:kern w:val="22"/>
                <w:szCs w:val="22"/>
                <w:lang w:eastAsia="en-CA"/>
              </w:rPr>
              <w:t>200.0</w:t>
            </w:r>
          </w:p>
        </w:tc>
        <w:tc>
          <w:tcPr>
            <w:tcW w:w="1417" w:type="dxa"/>
            <w:shd w:val="clear" w:color="auto" w:fill="auto"/>
          </w:tcPr>
          <w:p w14:paraId="29499538" w14:textId="77777777" w:rsidR="000D4DA8" w:rsidRPr="005F3D62" w:rsidRDefault="000D4DA8" w:rsidP="005F3D62">
            <w:pPr>
              <w:suppressLineNumbers/>
              <w:suppressAutoHyphens/>
              <w:ind w:right="227"/>
              <w:jc w:val="right"/>
              <w:rPr>
                <w:color w:val="000000"/>
                <w:kern w:val="22"/>
                <w:szCs w:val="22"/>
                <w:lang w:eastAsia="en-CA"/>
              </w:rPr>
            </w:pPr>
            <w:r w:rsidRPr="005F3D62">
              <w:rPr>
                <w:color w:val="000000"/>
                <w:kern w:val="22"/>
                <w:szCs w:val="22"/>
                <w:lang w:eastAsia="en-CA"/>
              </w:rPr>
              <w:t>165.0</w:t>
            </w:r>
          </w:p>
        </w:tc>
      </w:tr>
      <w:tr w:rsidR="00964E40" w:rsidRPr="00964E40" w14:paraId="36F3F6B7" w14:textId="77777777" w:rsidTr="00D50DBD">
        <w:trPr>
          <w:cantSplit/>
          <w:jc w:val="center"/>
        </w:trPr>
        <w:tc>
          <w:tcPr>
            <w:tcW w:w="3823" w:type="dxa"/>
            <w:shd w:val="clear" w:color="auto" w:fill="auto"/>
            <w:hideMark/>
          </w:tcPr>
          <w:p w14:paraId="7DC70DC8" w14:textId="44E0BA88" w:rsidR="000D4DA8" w:rsidRPr="005F3D62" w:rsidRDefault="000D4DA8" w:rsidP="005F3D62">
            <w:pPr>
              <w:suppressLineNumbers/>
              <w:tabs>
                <w:tab w:val="left" w:pos="425"/>
              </w:tabs>
              <w:suppressAutoHyphens/>
              <w:jc w:val="left"/>
              <w:rPr>
                <w:color w:val="000000"/>
                <w:kern w:val="22"/>
                <w:szCs w:val="22"/>
                <w:lang w:eastAsia="en-CA"/>
              </w:rPr>
            </w:pPr>
            <w:r w:rsidRPr="005F3D62">
              <w:rPr>
                <w:color w:val="000000"/>
                <w:kern w:val="22"/>
                <w:szCs w:val="22"/>
                <w:lang w:eastAsia="en-CA"/>
              </w:rPr>
              <w:t>C.</w:t>
            </w:r>
            <w:r w:rsidR="00D33196" w:rsidRPr="00964E40">
              <w:rPr>
                <w:color w:val="000000"/>
                <w:kern w:val="22"/>
                <w:szCs w:val="22"/>
                <w:lang w:eastAsia="en-CA"/>
              </w:rPr>
              <w:tab/>
            </w:r>
            <w:r w:rsidRPr="005F3D62">
              <w:rPr>
                <w:color w:val="000000"/>
                <w:kern w:val="22"/>
                <w:szCs w:val="22"/>
                <w:lang w:eastAsia="en-CA"/>
              </w:rPr>
              <w:t>Travel on official business</w:t>
            </w:r>
          </w:p>
        </w:tc>
        <w:tc>
          <w:tcPr>
            <w:tcW w:w="1321" w:type="dxa"/>
            <w:shd w:val="clear" w:color="auto" w:fill="auto"/>
            <w:hideMark/>
          </w:tcPr>
          <w:p w14:paraId="5868BAB3" w14:textId="77777777" w:rsidR="000D4DA8" w:rsidRPr="005F3D62" w:rsidRDefault="000D4DA8" w:rsidP="005F3D62">
            <w:pPr>
              <w:suppressLineNumbers/>
              <w:suppressAutoHyphens/>
              <w:ind w:right="227"/>
              <w:jc w:val="right"/>
              <w:rPr>
                <w:color w:val="000000"/>
                <w:kern w:val="22"/>
                <w:szCs w:val="22"/>
                <w:lang w:eastAsia="en-CA"/>
              </w:rPr>
            </w:pPr>
            <w:r w:rsidRPr="005F3D62">
              <w:rPr>
                <w:color w:val="000000"/>
                <w:kern w:val="22"/>
                <w:szCs w:val="22"/>
                <w:lang w:eastAsia="en-CA"/>
              </w:rPr>
              <w:t>800.0</w:t>
            </w:r>
          </w:p>
        </w:tc>
        <w:tc>
          <w:tcPr>
            <w:tcW w:w="1661" w:type="dxa"/>
            <w:shd w:val="clear" w:color="auto" w:fill="auto"/>
          </w:tcPr>
          <w:p w14:paraId="44CF4769" w14:textId="77777777" w:rsidR="000D4DA8" w:rsidRPr="005F3D62" w:rsidRDefault="000D4DA8" w:rsidP="005F3D62">
            <w:pPr>
              <w:suppressLineNumbers/>
              <w:suppressAutoHyphens/>
              <w:ind w:right="227"/>
              <w:jc w:val="right"/>
              <w:rPr>
                <w:color w:val="000000"/>
                <w:kern w:val="22"/>
                <w:szCs w:val="22"/>
                <w:lang w:eastAsia="en-CA"/>
              </w:rPr>
            </w:pPr>
            <w:r w:rsidRPr="005F3D62">
              <w:rPr>
                <w:color w:val="000000"/>
                <w:kern w:val="22"/>
                <w:szCs w:val="22"/>
                <w:lang w:eastAsia="en-CA"/>
              </w:rPr>
              <w:t>559.6</w:t>
            </w:r>
          </w:p>
        </w:tc>
        <w:tc>
          <w:tcPr>
            <w:tcW w:w="1417" w:type="dxa"/>
            <w:shd w:val="clear" w:color="auto" w:fill="auto"/>
          </w:tcPr>
          <w:p w14:paraId="5EF34D93" w14:textId="77777777" w:rsidR="000D4DA8" w:rsidRPr="005F3D62" w:rsidRDefault="000D4DA8" w:rsidP="005F3D62">
            <w:pPr>
              <w:suppressLineNumbers/>
              <w:suppressAutoHyphens/>
              <w:ind w:right="227"/>
              <w:jc w:val="right"/>
              <w:rPr>
                <w:color w:val="000000"/>
                <w:kern w:val="22"/>
                <w:szCs w:val="22"/>
                <w:lang w:eastAsia="en-CA"/>
              </w:rPr>
            </w:pPr>
            <w:r w:rsidRPr="005F3D62">
              <w:rPr>
                <w:color w:val="000000"/>
                <w:kern w:val="22"/>
                <w:szCs w:val="22"/>
                <w:lang w:eastAsia="en-CA"/>
              </w:rPr>
              <w:t>240.4</w:t>
            </w:r>
          </w:p>
        </w:tc>
      </w:tr>
      <w:tr w:rsidR="00964E40" w:rsidRPr="00964E40" w14:paraId="5D51D8D9" w14:textId="77777777" w:rsidTr="00D50DBD">
        <w:trPr>
          <w:cantSplit/>
          <w:jc w:val="center"/>
        </w:trPr>
        <w:tc>
          <w:tcPr>
            <w:tcW w:w="3823" w:type="dxa"/>
            <w:shd w:val="clear" w:color="auto" w:fill="auto"/>
            <w:hideMark/>
          </w:tcPr>
          <w:p w14:paraId="484C9D0D" w14:textId="7C60C766" w:rsidR="000D4DA8" w:rsidRPr="005F3D62" w:rsidRDefault="000D4DA8" w:rsidP="005F3D62">
            <w:pPr>
              <w:suppressLineNumbers/>
              <w:tabs>
                <w:tab w:val="left" w:pos="425"/>
              </w:tabs>
              <w:suppressAutoHyphens/>
              <w:jc w:val="left"/>
              <w:rPr>
                <w:color w:val="000000"/>
                <w:kern w:val="22"/>
                <w:szCs w:val="22"/>
                <w:lang w:eastAsia="en-CA"/>
              </w:rPr>
            </w:pPr>
            <w:r w:rsidRPr="005F3D62">
              <w:rPr>
                <w:color w:val="000000"/>
                <w:kern w:val="22"/>
                <w:szCs w:val="22"/>
                <w:lang w:eastAsia="en-CA"/>
              </w:rPr>
              <w:t>D.</w:t>
            </w:r>
            <w:r w:rsidR="00D33196" w:rsidRPr="00964E40">
              <w:rPr>
                <w:color w:val="000000"/>
                <w:kern w:val="22"/>
                <w:szCs w:val="22"/>
                <w:lang w:eastAsia="en-CA"/>
              </w:rPr>
              <w:tab/>
            </w:r>
            <w:r w:rsidRPr="005F3D62">
              <w:rPr>
                <w:color w:val="000000"/>
                <w:kern w:val="22"/>
                <w:szCs w:val="22"/>
                <w:lang w:eastAsia="en-CA"/>
              </w:rPr>
              <w:t>Consultants/subcontractors</w:t>
            </w:r>
          </w:p>
        </w:tc>
        <w:tc>
          <w:tcPr>
            <w:tcW w:w="1321" w:type="dxa"/>
            <w:shd w:val="clear" w:color="auto" w:fill="auto"/>
            <w:hideMark/>
          </w:tcPr>
          <w:p w14:paraId="3E31DC02" w14:textId="77777777" w:rsidR="000D4DA8" w:rsidRPr="005F3D62" w:rsidRDefault="000D4DA8" w:rsidP="005F3D62">
            <w:pPr>
              <w:suppressLineNumbers/>
              <w:suppressAutoHyphens/>
              <w:ind w:right="227"/>
              <w:jc w:val="right"/>
              <w:rPr>
                <w:color w:val="000000"/>
                <w:kern w:val="22"/>
                <w:szCs w:val="22"/>
                <w:lang w:eastAsia="en-CA"/>
              </w:rPr>
            </w:pPr>
            <w:r w:rsidRPr="005F3D62">
              <w:rPr>
                <w:color w:val="000000"/>
                <w:kern w:val="22"/>
                <w:szCs w:val="22"/>
                <w:lang w:eastAsia="en-CA"/>
              </w:rPr>
              <w:t>100.0</w:t>
            </w:r>
          </w:p>
        </w:tc>
        <w:tc>
          <w:tcPr>
            <w:tcW w:w="1661" w:type="dxa"/>
            <w:shd w:val="clear" w:color="auto" w:fill="auto"/>
          </w:tcPr>
          <w:p w14:paraId="19D1FBDD" w14:textId="77777777" w:rsidR="000D4DA8" w:rsidRPr="005F3D62" w:rsidRDefault="000D4DA8" w:rsidP="005F3D62">
            <w:pPr>
              <w:suppressLineNumbers/>
              <w:suppressAutoHyphens/>
              <w:ind w:right="227"/>
              <w:jc w:val="right"/>
              <w:rPr>
                <w:color w:val="000000"/>
                <w:kern w:val="22"/>
                <w:szCs w:val="22"/>
                <w:lang w:eastAsia="en-CA"/>
              </w:rPr>
            </w:pPr>
            <w:r w:rsidRPr="005F3D62">
              <w:rPr>
                <w:color w:val="000000"/>
                <w:kern w:val="22"/>
                <w:szCs w:val="22"/>
                <w:lang w:eastAsia="en-CA"/>
              </w:rPr>
              <w:t>100.0</w:t>
            </w:r>
          </w:p>
        </w:tc>
        <w:tc>
          <w:tcPr>
            <w:tcW w:w="1417" w:type="dxa"/>
            <w:shd w:val="clear" w:color="auto" w:fill="auto"/>
          </w:tcPr>
          <w:p w14:paraId="27B81D89" w14:textId="77777777" w:rsidR="000D4DA8" w:rsidRPr="005F3D62" w:rsidRDefault="000D4DA8" w:rsidP="005F3D62">
            <w:pPr>
              <w:suppressLineNumbers/>
              <w:suppressAutoHyphens/>
              <w:ind w:right="227"/>
              <w:jc w:val="right"/>
              <w:rPr>
                <w:color w:val="000000"/>
                <w:kern w:val="22"/>
                <w:szCs w:val="22"/>
                <w:lang w:eastAsia="en-CA"/>
              </w:rPr>
            </w:pPr>
            <w:r w:rsidRPr="005F3D62">
              <w:rPr>
                <w:color w:val="000000"/>
                <w:kern w:val="22"/>
                <w:szCs w:val="22"/>
                <w:lang w:eastAsia="en-CA"/>
              </w:rPr>
              <w:t>0.0</w:t>
            </w:r>
          </w:p>
        </w:tc>
      </w:tr>
      <w:tr w:rsidR="00964E40" w:rsidRPr="00964E40" w14:paraId="75D8C699" w14:textId="77777777" w:rsidTr="00D50DBD">
        <w:trPr>
          <w:cantSplit/>
          <w:jc w:val="center"/>
        </w:trPr>
        <w:tc>
          <w:tcPr>
            <w:tcW w:w="3823" w:type="dxa"/>
            <w:shd w:val="clear" w:color="auto" w:fill="auto"/>
            <w:hideMark/>
          </w:tcPr>
          <w:p w14:paraId="27F8F2FF" w14:textId="27CE85A6" w:rsidR="000D4DA8" w:rsidRPr="005F3D62" w:rsidRDefault="000D4DA8" w:rsidP="005F3D62">
            <w:pPr>
              <w:suppressLineNumbers/>
              <w:tabs>
                <w:tab w:val="left" w:pos="425"/>
              </w:tabs>
              <w:suppressAutoHyphens/>
              <w:jc w:val="left"/>
              <w:rPr>
                <w:color w:val="000000"/>
                <w:kern w:val="22"/>
                <w:szCs w:val="22"/>
                <w:lang w:eastAsia="en-CA"/>
              </w:rPr>
            </w:pPr>
            <w:r w:rsidRPr="005F3D62">
              <w:rPr>
                <w:color w:val="000000"/>
                <w:kern w:val="22"/>
                <w:szCs w:val="22"/>
                <w:lang w:eastAsia="en-CA"/>
              </w:rPr>
              <w:t>E.</w:t>
            </w:r>
            <w:r w:rsidR="00D33196" w:rsidRPr="00964E40">
              <w:rPr>
                <w:color w:val="000000"/>
                <w:kern w:val="22"/>
                <w:szCs w:val="22"/>
                <w:lang w:eastAsia="en-CA"/>
              </w:rPr>
              <w:tab/>
            </w:r>
            <w:r w:rsidRPr="005F3D62">
              <w:rPr>
                <w:color w:val="000000"/>
                <w:kern w:val="22"/>
                <w:szCs w:val="22"/>
                <w:lang w:eastAsia="en-CA"/>
              </w:rPr>
              <w:t>Public awareness material/</w:t>
            </w:r>
            <w:r w:rsidR="007907BC" w:rsidRPr="00964E40">
              <w:rPr>
                <w:color w:val="000000"/>
                <w:kern w:val="22"/>
                <w:szCs w:val="22"/>
                <w:lang w:eastAsia="en-CA"/>
              </w:rPr>
              <w:softHyphen/>
            </w:r>
            <w:r w:rsidRPr="005F3D62">
              <w:rPr>
                <w:color w:val="000000"/>
                <w:kern w:val="22"/>
                <w:szCs w:val="22"/>
                <w:lang w:eastAsia="en-CA"/>
              </w:rPr>
              <w:t>communications</w:t>
            </w:r>
          </w:p>
        </w:tc>
        <w:tc>
          <w:tcPr>
            <w:tcW w:w="1321" w:type="dxa"/>
            <w:shd w:val="clear" w:color="auto" w:fill="auto"/>
            <w:hideMark/>
          </w:tcPr>
          <w:p w14:paraId="148EE546" w14:textId="77777777" w:rsidR="000D4DA8" w:rsidRPr="005F3D62" w:rsidRDefault="000D4DA8" w:rsidP="005F3D62">
            <w:pPr>
              <w:suppressLineNumbers/>
              <w:suppressAutoHyphens/>
              <w:ind w:right="227"/>
              <w:jc w:val="right"/>
              <w:rPr>
                <w:color w:val="000000"/>
                <w:kern w:val="22"/>
                <w:szCs w:val="22"/>
                <w:lang w:eastAsia="en-CA"/>
              </w:rPr>
            </w:pPr>
            <w:r w:rsidRPr="005F3D62">
              <w:rPr>
                <w:color w:val="000000"/>
                <w:kern w:val="22"/>
                <w:szCs w:val="22"/>
                <w:lang w:eastAsia="en-CA"/>
              </w:rPr>
              <w:t>100.0</w:t>
            </w:r>
          </w:p>
        </w:tc>
        <w:tc>
          <w:tcPr>
            <w:tcW w:w="1661" w:type="dxa"/>
            <w:shd w:val="clear" w:color="auto" w:fill="auto"/>
          </w:tcPr>
          <w:p w14:paraId="48FE7097" w14:textId="77777777" w:rsidR="000D4DA8" w:rsidRPr="005F3D62" w:rsidRDefault="000D4DA8" w:rsidP="005F3D62">
            <w:pPr>
              <w:suppressLineNumbers/>
              <w:suppressAutoHyphens/>
              <w:ind w:right="227"/>
              <w:jc w:val="right"/>
              <w:rPr>
                <w:color w:val="000000"/>
                <w:kern w:val="22"/>
                <w:szCs w:val="22"/>
                <w:lang w:eastAsia="en-CA"/>
              </w:rPr>
            </w:pPr>
            <w:r w:rsidRPr="005F3D62">
              <w:rPr>
                <w:color w:val="000000"/>
                <w:kern w:val="22"/>
                <w:szCs w:val="22"/>
                <w:lang w:eastAsia="en-CA"/>
              </w:rPr>
              <w:t>100.0</w:t>
            </w:r>
          </w:p>
        </w:tc>
        <w:tc>
          <w:tcPr>
            <w:tcW w:w="1417" w:type="dxa"/>
            <w:shd w:val="clear" w:color="auto" w:fill="auto"/>
          </w:tcPr>
          <w:p w14:paraId="6432399A" w14:textId="77777777" w:rsidR="000D4DA8" w:rsidRPr="005F3D62" w:rsidRDefault="000D4DA8" w:rsidP="005F3D62">
            <w:pPr>
              <w:suppressLineNumbers/>
              <w:suppressAutoHyphens/>
              <w:ind w:right="227"/>
              <w:jc w:val="right"/>
              <w:rPr>
                <w:color w:val="000000"/>
                <w:kern w:val="22"/>
                <w:szCs w:val="22"/>
                <w:lang w:eastAsia="en-CA"/>
              </w:rPr>
            </w:pPr>
            <w:r w:rsidRPr="005F3D62">
              <w:rPr>
                <w:color w:val="000000"/>
                <w:kern w:val="22"/>
                <w:szCs w:val="22"/>
                <w:lang w:eastAsia="en-CA"/>
              </w:rPr>
              <w:t>0.0</w:t>
            </w:r>
          </w:p>
        </w:tc>
      </w:tr>
      <w:tr w:rsidR="00964E40" w:rsidRPr="00964E40" w14:paraId="6B05325D" w14:textId="77777777" w:rsidTr="00D50DBD">
        <w:trPr>
          <w:cantSplit/>
          <w:jc w:val="center"/>
        </w:trPr>
        <w:tc>
          <w:tcPr>
            <w:tcW w:w="3823" w:type="dxa"/>
            <w:shd w:val="clear" w:color="auto" w:fill="auto"/>
            <w:hideMark/>
          </w:tcPr>
          <w:p w14:paraId="1847CCE0" w14:textId="38E9F2DE" w:rsidR="000D4DA8" w:rsidRPr="005F3D62" w:rsidRDefault="000D4DA8" w:rsidP="005F3D62">
            <w:pPr>
              <w:suppressLineNumbers/>
              <w:tabs>
                <w:tab w:val="left" w:pos="425"/>
              </w:tabs>
              <w:suppressAutoHyphens/>
              <w:jc w:val="left"/>
              <w:rPr>
                <w:color w:val="000000"/>
                <w:kern w:val="22"/>
                <w:szCs w:val="22"/>
                <w:lang w:eastAsia="en-CA"/>
              </w:rPr>
            </w:pPr>
            <w:r w:rsidRPr="005F3D62">
              <w:rPr>
                <w:color w:val="000000"/>
                <w:kern w:val="22"/>
                <w:szCs w:val="22"/>
                <w:lang w:eastAsia="en-CA"/>
              </w:rPr>
              <w:t>F.</w:t>
            </w:r>
            <w:r w:rsidR="00C5494B" w:rsidRPr="00964E40">
              <w:rPr>
                <w:color w:val="000000"/>
                <w:kern w:val="22"/>
                <w:szCs w:val="22"/>
                <w:lang w:eastAsia="en-CA"/>
              </w:rPr>
              <w:tab/>
            </w:r>
            <w:r w:rsidRPr="005F3D62">
              <w:rPr>
                <w:color w:val="000000"/>
                <w:kern w:val="22"/>
                <w:szCs w:val="22"/>
                <w:lang w:eastAsia="en-CA"/>
              </w:rPr>
              <w:t>Temporary assistance/overtime</w:t>
            </w:r>
          </w:p>
        </w:tc>
        <w:tc>
          <w:tcPr>
            <w:tcW w:w="1321" w:type="dxa"/>
            <w:shd w:val="clear" w:color="auto" w:fill="auto"/>
            <w:hideMark/>
          </w:tcPr>
          <w:p w14:paraId="158B796E" w14:textId="77777777" w:rsidR="000D4DA8" w:rsidRPr="005F3D62" w:rsidRDefault="000D4DA8" w:rsidP="005F3D62">
            <w:pPr>
              <w:suppressLineNumbers/>
              <w:suppressAutoHyphens/>
              <w:ind w:right="227"/>
              <w:jc w:val="right"/>
              <w:rPr>
                <w:color w:val="000000"/>
                <w:kern w:val="22"/>
                <w:szCs w:val="22"/>
                <w:lang w:eastAsia="en-CA"/>
              </w:rPr>
            </w:pPr>
            <w:r w:rsidRPr="005F3D62">
              <w:rPr>
                <w:color w:val="000000"/>
                <w:kern w:val="22"/>
                <w:szCs w:val="22"/>
                <w:lang w:eastAsia="en-CA"/>
              </w:rPr>
              <w:t>200.0</w:t>
            </w:r>
          </w:p>
        </w:tc>
        <w:tc>
          <w:tcPr>
            <w:tcW w:w="1661" w:type="dxa"/>
            <w:shd w:val="clear" w:color="auto" w:fill="auto"/>
          </w:tcPr>
          <w:p w14:paraId="22BE3273" w14:textId="77777777" w:rsidR="000D4DA8" w:rsidRPr="005F3D62" w:rsidRDefault="000D4DA8" w:rsidP="005F3D62">
            <w:pPr>
              <w:suppressLineNumbers/>
              <w:suppressAutoHyphens/>
              <w:ind w:right="227"/>
              <w:jc w:val="right"/>
              <w:rPr>
                <w:color w:val="000000"/>
                <w:kern w:val="22"/>
                <w:szCs w:val="22"/>
                <w:lang w:eastAsia="en-CA"/>
              </w:rPr>
            </w:pPr>
            <w:r w:rsidRPr="005F3D62">
              <w:rPr>
                <w:color w:val="000000"/>
                <w:kern w:val="22"/>
                <w:szCs w:val="22"/>
                <w:lang w:eastAsia="en-CA"/>
              </w:rPr>
              <w:t>200.0</w:t>
            </w:r>
          </w:p>
        </w:tc>
        <w:tc>
          <w:tcPr>
            <w:tcW w:w="1417" w:type="dxa"/>
            <w:shd w:val="clear" w:color="auto" w:fill="auto"/>
          </w:tcPr>
          <w:p w14:paraId="75A2362C" w14:textId="77777777" w:rsidR="000D4DA8" w:rsidRPr="005F3D62" w:rsidRDefault="000D4DA8" w:rsidP="005F3D62">
            <w:pPr>
              <w:suppressLineNumbers/>
              <w:suppressAutoHyphens/>
              <w:ind w:right="227"/>
              <w:jc w:val="right"/>
              <w:rPr>
                <w:color w:val="000000"/>
                <w:kern w:val="22"/>
                <w:szCs w:val="22"/>
                <w:lang w:eastAsia="en-CA"/>
              </w:rPr>
            </w:pPr>
            <w:r w:rsidRPr="005F3D62">
              <w:rPr>
                <w:color w:val="000000"/>
                <w:kern w:val="22"/>
                <w:szCs w:val="22"/>
                <w:lang w:eastAsia="en-CA"/>
              </w:rPr>
              <w:t>0.0</w:t>
            </w:r>
          </w:p>
        </w:tc>
      </w:tr>
      <w:tr w:rsidR="00964E40" w:rsidRPr="00964E40" w14:paraId="60875B6A" w14:textId="77777777" w:rsidTr="00D50DBD">
        <w:trPr>
          <w:cantSplit/>
          <w:jc w:val="center"/>
        </w:trPr>
        <w:tc>
          <w:tcPr>
            <w:tcW w:w="3823" w:type="dxa"/>
            <w:shd w:val="clear" w:color="auto" w:fill="auto"/>
            <w:hideMark/>
          </w:tcPr>
          <w:p w14:paraId="416A07B5" w14:textId="02170605" w:rsidR="000D4DA8" w:rsidRPr="005F3D62" w:rsidRDefault="000D4DA8" w:rsidP="005F3D62">
            <w:pPr>
              <w:suppressLineNumbers/>
              <w:tabs>
                <w:tab w:val="left" w:pos="425"/>
              </w:tabs>
              <w:suppressAutoHyphens/>
              <w:jc w:val="left"/>
              <w:rPr>
                <w:color w:val="000000"/>
                <w:kern w:val="22"/>
                <w:szCs w:val="22"/>
                <w:lang w:eastAsia="en-CA"/>
              </w:rPr>
            </w:pPr>
            <w:r w:rsidRPr="005F3D62">
              <w:rPr>
                <w:color w:val="000000"/>
                <w:kern w:val="22"/>
                <w:szCs w:val="22"/>
                <w:lang w:eastAsia="en-CA"/>
              </w:rPr>
              <w:t>G.</w:t>
            </w:r>
            <w:r w:rsidR="00C5494B" w:rsidRPr="00964E40">
              <w:rPr>
                <w:color w:val="000000"/>
                <w:kern w:val="22"/>
                <w:szCs w:val="22"/>
                <w:lang w:eastAsia="en-CA"/>
              </w:rPr>
              <w:tab/>
            </w:r>
            <w:r w:rsidRPr="005F3D62">
              <w:rPr>
                <w:color w:val="000000"/>
                <w:kern w:val="22"/>
                <w:szCs w:val="22"/>
                <w:lang w:eastAsia="en-CA"/>
              </w:rPr>
              <w:t>Training</w:t>
            </w:r>
          </w:p>
        </w:tc>
        <w:tc>
          <w:tcPr>
            <w:tcW w:w="1321" w:type="dxa"/>
            <w:shd w:val="clear" w:color="auto" w:fill="auto"/>
            <w:hideMark/>
          </w:tcPr>
          <w:p w14:paraId="1BB67037" w14:textId="77777777" w:rsidR="000D4DA8" w:rsidRPr="005F3D62" w:rsidRDefault="000D4DA8" w:rsidP="005F3D62">
            <w:pPr>
              <w:suppressLineNumbers/>
              <w:suppressAutoHyphens/>
              <w:ind w:right="227"/>
              <w:jc w:val="right"/>
              <w:rPr>
                <w:color w:val="000000"/>
                <w:kern w:val="22"/>
                <w:szCs w:val="22"/>
                <w:lang w:eastAsia="en-CA"/>
              </w:rPr>
            </w:pPr>
            <w:r w:rsidRPr="005F3D62">
              <w:rPr>
                <w:color w:val="000000"/>
                <w:kern w:val="22"/>
                <w:szCs w:val="22"/>
                <w:lang w:eastAsia="en-CA"/>
              </w:rPr>
              <w:t>10.0</w:t>
            </w:r>
          </w:p>
        </w:tc>
        <w:tc>
          <w:tcPr>
            <w:tcW w:w="1661" w:type="dxa"/>
            <w:shd w:val="clear" w:color="auto" w:fill="auto"/>
          </w:tcPr>
          <w:p w14:paraId="40FBB011" w14:textId="77777777" w:rsidR="000D4DA8" w:rsidRPr="005F3D62" w:rsidRDefault="000D4DA8" w:rsidP="005F3D62">
            <w:pPr>
              <w:suppressLineNumbers/>
              <w:suppressAutoHyphens/>
              <w:ind w:right="227"/>
              <w:jc w:val="right"/>
              <w:rPr>
                <w:color w:val="000000"/>
                <w:kern w:val="22"/>
                <w:szCs w:val="22"/>
                <w:lang w:eastAsia="en-CA"/>
              </w:rPr>
            </w:pPr>
            <w:r w:rsidRPr="005F3D62">
              <w:rPr>
                <w:color w:val="000000"/>
                <w:kern w:val="22"/>
                <w:szCs w:val="22"/>
                <w:lang w:eastAsia="en-CA"/>
              </w:rPr>
              <w:t>10.0</w:t>
            </w:r>
          </w:p>
        </w:tc>
        <w:tc>
          <w:tcPr>
            <w:tcW w:w="1417" w:type="dxa"/>
            <w:shd w:val="clear" w:color="auto" w:fill="auto"/>
          </w:tcPr>
          <w:p w14:paraId="129E5DF6" w14:textId="77777777" w:rsidR="000D4DA8" w:rsidRPr="005F3D62" w:rsidRDefault="000D4DA8" w:rsidP="005F3D62">
            <w:pPr>
              <w:suppressLineNumbers/>
              <w:suppressAutoHyphens/>
              <w:ind w:right="227"/>
              <w:jc w:val="right"/>
              <w:rPr>
                <w:color w:val="000000"/>
                <w:kern w:val="22"/>
                <w:szCs w:val="22"/>
                <w:lang w:eastAsia="en-CA"/>
              </w:rPr>
            </w:pPr>
            <w:r w:rsidRPr="005F3D62">
              <w:rPr>
                <w:color w:val="000000"/>
                <w:kern w:val="22"/>
                <w:szCs w:val="22"/>
                <w:lang w:eastAsia="en-CA"/>
              </w:rPr>
              <w:t>0.0</w:t>
            </w:r>
          </w:p>
        </w:tc>
      </w:tr>
      <w:tr w:rsidR="00964E40" w:rsidRPr="00964E40" w14:paraId="79D83F01" w14:textId="77777777" w:rsidTr="00D50DBD">
        <w:trPr>
          <w:cantSplit/>
          <w:jc w:val="center"/>
        </w:trPr>
        <w:tc>
          <w:tcPr>
            <w:tcW w:w="3823" w:type="dxa"/>
            <w:shd w:val="clear" w:color="auto" w:fill="auto"/>
            <w:hideMark/>
          </w:tcPr>
          <w:p w14:paraId="43CAE26D" w14:textId="0A5DD9A2" w:rsidR="000D4DA8" w:rsidRPr="005F3D62" w:rsidRDefault="000D4DA8" w:rsidP="005F3D62">
            <w:pPr>
              <w:suppressLineNumbers/>
              <w:tabs>
                <w:tab w:val="left" w:pos="425"/>
              </w:tabs>
              <w:suppressAutoHyphens/>
              <w:jc w:val="left"/>
              <w:rPr>
                <w:color w:val="000000"/>
                <w:kern w:val="22"/>
                <w:szCs w:val="22"/>
                <w:lang w:eastAsia="en-CA"/>
              </w:rPr>
            </w:pPr>
            <w:r w:rsidRPr="005F3D62">
              <w:rPr>
                <w:color w:val="000000"/>
                <w:kern w:val="22"/>
                <w:szCs w:val="22"/>
                <w:lang w:eastAsia="en-CA"/>
              </w:rPr>
              <w:t>H.</w:t>
            </w:r>
            <w:r w:rsidR="00C5494B" w:rsidRPr="00964E40">
              <w:rPr>
                <w:color w:val="000000"/>
                <w:kern w:val="22"/>
                <w:szCs w:val="22"/>
                <w:lang w:eastAsia="en-CA"/>
              </w:rPr>
              <w:tab/>
            </w:r>
            <w:r w:rsidRPr="005F3D62">
              <w:rPr>
                <w:color w:val="000000"/>
                <w:kern w:val="22"/>
                <w:szCs w:val="22"/>
                <w:lang w:eastAsia="en-CA"/>
              </w:rPr>
              <w:t>Translation of CHM website/website projects</w:t>
            </w:r>
          </w:p>
        </w:tc>
        <w:tc>
          <w:tcPr>
            <w:tcW w:w="1321" w:type="dxa"/>
            <w:shd w:val="clear" w:color="auto" w:fill="auto"/>
            <w:hideMark/>
          </w:tcPr>
          <w:p w14:paraId="595D3F2C" w14:textId="77777777" w:rsidR="000D4DA8" w:rsidRPr="005F3D62" w:rsidRDefault="000D4DA8" w:rsidP="005F3D62">
            <w:pPr>
              <w:suppressLineNumbers/>
              <w:suppressAutoHyphens/>
              <w:ind w:right="227"/>
              <w:jc w:val="right"/>
              <w:rPr>
                <w:color w:val="000000"/>
                <w:kern w:val="22"/>
                <w:szCs w:val="22"/>
                <w:lang w:eastAsia="en-CA"/>
              </w:rPr>
            </w:pPr>
            <w:r w:rsidRPr="005F3D62">
              <w:rPr>
                <w:color w:val="000000"/>
                <w:kern w:val="22"/>
                <w:szCs w:val="22"/>
                <w:lang w:eastAsia="en-CA"/>
              </w:rPr>
              <w:t>130.0</w:t>
            </w:r>
          </w:p>
        </w:tc>
        <w:tc>
          <w:tcPr>
            <w:tcW w:w="1661" w:type="dxa"/>
            <w:shd w:val="clear" w:color="auto" w:fill="auto"/>
          </w:tcPr>
          <w:p w14:paraId="694D5113" w14:textId="77777777" w:rsidR="000D4DA8" w:rsidRPr="005F3D62" w:rsidRDefault="000D4DA8" w:rsidP="005F3D62">
            <w:pPr>
              <w:suppressLineNumbers/>
              <w:suppressAutoHyphens/>
              <w:ind w:right="227"/>
              <w:jc w:val="right"/>
              <w:rPr>
                <w:color w:val="000000"/>
                <w:kern w:val="22"/>
                <w:szCs w:val="22"/>
                <w:lang w:eastAsia="en-CA"/>
              </w:rPr>
            </w:pPr>
            <w:r w:rsidRPr="005F3D62">
              <w:rPr>
                <w:color w:val="000000"/>
                <w:kern w:val="22"/>
                <w:szCs w:val="22"/>
                <w:lang w:eastAsia="en-CA"/>
              </w:rPr>
              <w:t>130.0</w:t>
            </w:r>
          </w:p>
        </w:tc>
        <w:tc>
          <w:tcPr>
            <w:tcW w:w="1417" w:type="dxa"/>
            <w:shd w:val="clear" w:color="auto" w:fill="auto"/>
          </w:tcPr>
          <w:p w14:paraId="562C3ACA" w14:textId="77777777" w:rsidR="000D4DA8" w:rsidRPr="005F3D62" w:rsidRDefault="000D4DA8" w:rsidP="005F3D62">
            <w:pPr>
              <w:suppressLineNumbers/>
              <w:suppressAutoHyphens/>
              <w:ind w:right="227"/>
              <w:jc w:val="right"/>
              <w:rPr>
                <w:color w:val="000000"/>
                <w:kern w:val="22"/>
                <w:szCs w:val="22"/>
                <w:lang w:eastAsia="en-CA"/>
              </w:rPr>
            </w:pPr>
            <w:r w:rsidRPr="005F3D62">
              <w:rPr>
                <w:color w:val="000000"/>
                <w:kern w:val="22"/>
                <w:szCs w:val="22"/>
                <w:lang w:eastAsia="en-CA"/>
              </w:rPr>
              <w:t>0.0</w:t>
            </w:r>
          </w:p>
        </w:tc>
      </w:tr>
      <w:tr w:rsidR="00964E40" w:rsidRPr="00964E40" w14:paraId="5AC483DB" w14:textId="77777777" w:rsidTr="00D50DBD">
        <w:trPr>
          <w:cantSplit/>
          <w:jc w:val="center"/>
        </w:trPr>
        <w:tc>
          <w:tcPr>
            <w:tcW w:w="3823" w:type="dxa"/>
            <w:shd w:val="clear" w:color="auto" w:fill="auto"/>
            <w:hideMark/>
          </w:tcPr>
          <w:p w14:paraId="77F61194" w14:textId="4D72CE5A" w:rsidR="000D4DA8" w:rsidRPr="005F3D62" w:rsidRDefault="000D4DA8" w:rsidP="005F3D62">
            <w:pPr>
              <w:suppressLineNumbers/>
              <w:tabs>
                <w:tab w:val="left" w:pos="425"/>
              </w:tabs>
              <w:suppressAutoHyphens/>
              <w:jc w:val="left"/>
              <w:rPr>
                <w:color w:val="000000"/>
                <w:kern w:val="22"/>
                <w:szCs w:val="22"/>
                <w:lang w:eastAsia="en-CA"/>
              </w:rPr>
            </w:pPr>
            <w:r w:rsidRPr="005F3D62">
              <w:rPr>
                <w:color w:val="000000"/>
                <w:kern w:val="22"/>
                <w:szCs w:val="22"/>
                <w:lang w:eastAsia="en-CA"/>
              </w:rPr>
              <w:t>I.</w:t>
            </w:r>
            <w:r w:rsidR="00C5494B" w:rsidRPr="00964E40">
              <w:rPr>
                <w:color w:val="000000"/>
                <w:kern w:val="22"/>
                <w:szCs w:val="22"/>
                <w:lang w:eastAsia="en-CA"/>
              </w:rPr>
              <w:tab/>
            </w:r>
            <w:r w:rsidRPr="005F3D62">
              <w:rPr>
                <w:color w:val="000000"/>
                <w:kern w:val="22"/>
                <w:szCs w:val="22"/>
                <w:lang w:eastAsia="en-CA"/>
              </w:rPr>
              <w:t>Meetings</w:t>
            </w:r>
          </w:p>
        </w:tc>
        <w:tc>
          <w:tcPr>
            <w:tcW w:w="1321" w:type="dxa"/>
            <w:shd w:val="clear" w:color="auto" w:fill="auto"/>
            <w:hideMark/>
          </w:tcPr>
          <w:p w14:paraId="360D63A9" w14:textId="48633CDE" w:rsidR="000D4DA8" w:rsidRPr="005F3D62" w:rsidRDefault="000D4DA8" w:rsidP="005F3D62">
            <w:pPr>
              <w:suppressLineNumbers/>
              <w:suppressAutoHyphens/>
              <w:ind w:right="227"/>
              <w:jc w:val="right"/>
              <w:rPr>
                <w:color w:val="000000"/>
                <w:kern w:val="22"/>
                <w:szCs w:val="22"/>
                <w:lang w:eastAsia="en-CA"/>
              </w:rPr>
            </w:pPr>
            <w:r w:rsidRPr="005F3D62">
              <w:rPr>
                <w:color w:val="000000"/>
                <w:kern w:val="22"/>
                <w:szCs w:val="22"/>
                <w:lang w:eastAsia="en-CA"/>
              </w:rPr>
              <w:t>3</w:t>
            </w:r>
            <w:r w:rsidR="00A4334E" w:rsidRPr="00964E40">
              <w:rPr>
                <w:color w:val="000000"/>
                <w:kern w:val="22"/>
                <w:szCs w:val="22"/>
                <w:lang w:eastAsia="en-CA"/>
              </w:rPr>
              <w:t xml:space="preserve"> </w:t>
            </w:r>
            <w:r w:rsidRPr="005F3D62">
              <w:rPr>
                <w:color w:val="000000"/>
                <w:kern w:val="22"/>
                <w:szCs w:val="22"/>
                <w:lang w:eastAsia="en-CA"/>
              </w:rPr>
              <w:t>688.0</w:t>
            </w:r>
          </w:p>
        </w:tc>
        <w:tc>
          <w:tcPr>
            <w:tcW w:w="1661" w:type="dxa"/>
            <w:shd w:val="clear" w:color="auto" w:fill="auto"/>
          </w:tcPr>
          <w:p w14:paraId="3AB51ED7" w14:textId="77777777" w:rsidR="000D4DA8" w:rsidRPr="005F3D62" w:rsidRDefault="000D4DA8" w:rsidP="005F3D62">
            <w:pPr>
              <w:suppressLineNumbers/>
              <w:suppressAutoHyphens/>
              <w:ind w:right="227"/>
              <w:jc w:val="right"/>
              <w:rPr>
                <w:color w:val="000000"/>
                <w:kern w:val="22"/>
                <w:szCs w:val="22"/>
                <w:lang w:eastAsia="en-CA"/>
              </w:rPr>
            </w:pPr>
            <w:r w:rsidRPr="005F3D62">
              <w:rPr>
                <w:color w:val="000000"/>
                <w:kern w:val="22"/>
                <w:szCs w:val="22"/>
                <w:lang w:eastAsia="en-CA"/>
              </w:rPr>
              <w:t>749.0</w:t>
            </w:r>
          </w:p>
        </w:tc>
        <w:tc>
          <w:tcPr>
            <w:tcW w:w="1417" w:type="dxa"/>
            <w:shd w:val="clear" w:color="auto" w:fill="auto"/>
          </w:tcPr>
          <w:p w14:paraId="516CECC8" w14:textId="2222F940" w:rsidR="000D4DA8" w:rsidRPr="005F3D62" w:rsidRDefault="000D4DA8" w:rsidP="005F3D62">
            <w:pPr>
              <w:suppressLineNumbers/>
              <w:suppressAutoHyphens/>
              <w:ind w:right="227"/>
              <w:jc w:val="right"/>
              <w:rPr>
                <w:color w:val="000000"/>
                <w:kern w:val="22"/>
                <w:szCs w:val="22"/>
                <w:lang w:eastAsia="en-CA"/>
              </w:rPr>
            </w:pPr>
            <w:r w:rsidRPr="005F3D62">
              <w:rPr>
                <w:color w:val="000000"/>
                <w:kern w:val="22"/>
                <w:szCs w:val="22"/>
                <w:lang w:eastAsia="en-CA"/>
              </w:rPr>
              <w:t>2</w:t>
            </w:r>
            <w:r w:rsidR="00A4334E" w:rsidRPr="00964E40">
              <w:rPr>
                <w:color w:val="000000"/>
                <w:kern w:val="22"/>
                <w:szCs w:val="22"/>
                <w:lang w:eastAsia="en-CA"/>
              </w:rPr>
              <w:t xml:space="preserve"> </w:t>
            </w:r>
            <w:r w:rsidRPr="005F3D62">
              <w:rPr>
                <w:color w:val="000000"/>
                <w:kern w:val="22"/>
                <w:szCs w:val="22"/>
                <w:lang w:eastAsia="en-CA"/>
              </w:rPr>
              <w:t>939.0</w:t>
            </w:r>
          </w:p>
        </w:tc>
      </w:tr>
      <w:tr w:rsidR="00964E40" w:rsidRPr="00964E40" w14:paraId="2E9207DE" w14:textId="77777777" w:rsidTr="00D50DBD">
        <w:trPr>
          <w:cantSplit/>
          <w:jc w:val="center"/>
        </w:trPr>
        <w:tc>
          <w:tcPr>
            <w:tcW w:w="3823" w:type="dxa"/>
            <w:shd w:val="clear" w:color="auto" w:fill="auto"/>
            <w:hideMark/>
          </w:tcPr>
          <w:p w14:paraId="4003422C" w14:textId="32C0D59B" w:rsidR="000D4DA8" w:rsidRPr="005F3D62" w:rsidRDefault="000D4DA8" w:rsidP="005F3D62">
            <w:pPr>
              <w:suppressLineNumbers/>
              <w:tabs>
                <w:tab w:val="left" w:pos="425"/>
              </w:tabs>
              <w:suppressAutoHyphens/>
              <w:jc w:val="left"/>
              <w:rPr>
                <w:color w:val="000000"/>
                <w:kern w:val="22"/>
                <w:szCs w:val="22"/>
                <w:lang w:eastAsia="en-CA"/>
              </w:rPr>
            </w:pPr>
            <w:r w:rsidRPr="005F3D62">
              <w:rPr>
                <w:color w:val="000000"/>
                <w:kern w:val="22"/>
                <w:szCs w:val="22"/>
                <w:lang w:eastAsia="en-CA"/>
              </w:rPr>
              <w:t>J.</w:t>
            </w:r>
            <w:r w:rsidR="00C5494B" w:rsidRPr="00964E40">
              <w:rPr>
                <w:color w:val="000000"/>
                <w:kern w:val="22"/>
                <w:szCs w:val="22"/>
                <w:lang w:eastAsia="en-CA"/>
              </w:rPr>
              <w:tab/>
            </w:r>
            <w:r w:rsidRPr="005F3D62">
              <w:rPr>
                <w:color w:val="000000"/>
                <w:kern w:val="22"/>
                <w:szCs w:val="22"/>
                <w:lang w:eastAsia="en-CA"/>
              </w:rPr>
              <w:t>Expert meetings</w:t>
            </w:r>
          </w:p>
        </w:tc>
        <w:tc>
          <w:tcPr>
            <w:tcW w:w="1321" w:type="dxa"/>
            <w:shd w:val="clear" w:color="auto" w:fill="auto"/>
            <w:hideMark/>
          </w:tcPr>
          <w:p w14:paraId="580E751D" w14:textId="77777777" w:rsidR="000D4DA8" w:rsidRPr="005F3D62" w:rsidRDefault="000D4DA8" w:rsidP="005F3D62">
            <w:pPr>
              <w:suppressLineNumbers/>
              <w:suppressAutoHyphens/>
              <w:ind w:right="227"/>
              <w:jc w:val="right"/>
              <w:rPr>
                <w:color w:val="000000"/>
                <w:kern w:val="22"/>
                <w:szCs w:val="22"/>
                <w:lang w:eastAsia="en-CA"/>
              </w:rPr>
            </w:pPr>
            <w:r w:rsidRPr="005F3D62">
              <w:rPr>
                <w:color w:val="000000"/>
                <w:kern w:val="22"/>
                <w:szCs w:val="22"/>
                <w:lang w:eastAsia="en-CA"/>
              </w:rPr>
              <w:t>320.0</w:t>
            </w:r>
          </w:p>
        </w:tc>
        <w:tc>
          <w:tcPr>
            <w:tcW w:w="1661" w:type="dxa"/>
            <w:shd w:val="clear" w:color="auto" w:fill="auto"/>
          </w:tcPr>
          <w:p w14:paraId="3DAFBF4A" w14:textId="77777777" w:rsidR="000D4DA8" w:rsidRPr="005F3D62" w:rsidRDefault="000D4DA8" w:rsidP="005F3D62">
            <w:pPr>
              <w:suppressLineNumbers/>
              <w:suppressAutoHyphens/>
              <w:ind w:right="227"/>
              <w:jc w:val="right"/>
              <w:rPr>
                <w:color w:val="000000"/>
                <w:kern w:val="22"/>
                <w:szCs w:val="22"/>
                <w:lang w:eastAsia="en-CA"/>
              </w:rPr>
            </w:pPr>
            <w:r w:rsidRPr="005F3D62">
              <w:rPr>
                <w:color w:val="000000"/>
                <w:kern w:val="22"/>
                <w:szCs w:val="22"/>
                <w:lang w:eastAsia="en-CA"/>
              </w:rPr>
              <w:t>83.7</w:t>
            </w:r>
          </w:p>
        </w:tc>
        <w:tc>
          <w:tcPr>
            <w:tcW w:w="1417" w:type="dxa"/>
            <w:shd w:val="clear" w:color="auto" w:fill="auto"/>
          </w:tcPr>
          <w:p w14:paraId="1A4A46FD" w14:textId="77777777" w:rsidR="000D4DA8" w:rsidRPr="005F3D62" w:rsidRDefault="000D4DA8" w:rsidP="005F3D62">
            <w:pPr>
              <w:suppressLineNumbers/>
              <w:suppressAutoHyphens/>
              <w:ind w:right="227"/>
              <w:jc w:val="right"/>
              <w:rPr>
                <w:color w:val="000000"/>
                <w:kern w:val="22"/>
                <w:szCs w:val="22"/>
                <w:lang w:eastAsia="en-CA"/>
              </w:rPr>
            </w:pPr>
            <w:r w:rsidRPr="005F3D62">
              <w:rPr>
                <w:color w:val="000000"/>
                <w:kern w:val="22"/>
                <w:szCs w:val="22"/>
                <w:lang w:eastAsia="en-CA"/>
              </w:rPr>
              <w:t>236.3</w:t>
            </w:r>
          </w:p>
        </w:tc>
      </w:tr>
      <w:tr w:rsidR="00964E40" w:rsidRPr="00964E40" w14:paraId="5070EB0E" w14:textId="77777777" w:rsidTr="00D50DBD">
        <w:trPr>
          <w:cantSplit/>
          <w:jc w:val="center"/>
        </w:trPr>
        <w:tc>
          <w:tcPr>
            <w:tcW w:w="3823" w:type="dxa"/>
            <w:shd w:val="clear" w:color="auto" w:fill="auto"/>
            <w:hideMark/>
          </w:tcPr>
          <w:p w14:paraId="33448CB7" w14:textId="2ACF6E7B" w:rsidR="000D4DA8" w:rsidRPr="005F3D62" w:rsidRDefault="000D4DA8" w:rsidP="005F3D62">
            <w:pPr>
              <w:suppressLineNumbers/>
              <w:tabs>
                <w:tab w:val="left" w:pos="425"/>
              </w:tabs>
              <w:suppressAutoHyphens/>
              <w:jc w:val="left"/>
              <w:rPr>
                <w:color w:val="000000"/>
                <w:kern w:val="22"/>
                <w:szCs w:val="22"/>
                <w:lang w:eastAsia="en-CA"/>
              </w:rPr>
            </w:pPr>
            <w:r w:rsidRPr="005F3D62">
              <w:rPr>
                <w:color w:val="000000"/>
                <w:kern w:val="22"/>
                <w:szCs w:val="22"/>
                <w:lang w:eastAsia="en-CA"/>
              </w:rPr>
              <w:t>K.</w:t>
            </w:r>
            <w:r w:rsidR="00C5494B" w:rsidRPr="00964E40">
              <w:rPr>
                <w:color w:val="000000"/>
                <w:kern w:val="22"/>
                <w:szCs w:val="22"/>
                <w:lang w:eastAsia="en-CA"/>
              </w:rPr>
              <w:tab/>
            </w:r>
            <w:r w:rsidRPr="005F3D62">
              <w:rPr>
                <w:color w:val="000000"/>
                <w:kern w:val="22"/>
                <w:szCs w:val="22"/>
                <w:lang w:eastAsia="en-CA"/>
              </w:rPr>
              <w:t>Extraordinary meetings on post-2020</w:t>
            </w:r>
          </w:p>
        </w:tc>
        <w:tc>
          <w:tcPr>
            <w:tcW w:w="1321" w:type="dxa"/>
            <w:shd w:val="clear" w:color="auto" w:fill="auto"/>
            <w:hideMark/>
          </w:tcPr>
          <w:p w14:paraId="67D723BE" w14:textId="72CE2FFC" w:rsidR="000D4DA8" w:rsidRPr="005F3D62" w:rsidRDefault="000D4DA8" w:rsidP="005F3D62">
            <w:pPr>
              <w:suppressLineNumbers/>
              <w:suppressAutoHyphens/>
              <w:ind w:right="227"/>
              <w:jc w:val="right"/>
              <w:rPr>
                <w:color w:val="000000"/>
                <w:kern w:val="22"/>
                <w:szCs w:val="22"/>
                <w:lang w:eastAsia="en-CA"/>
              </w:rPr>
            </w:pPr>
            <w:r w:rsidRPr="005F3D62">
              <w:rPr>
                <w:color w:val="000000"/>
                <w:kern w:val="22"/>
                <w:szCs w:val="22"/>
                <w:lang w:eastAsia="en-CA"/>
              </w:rPr>
              <w:t>1</w:t>
            </w:r>
            <w:r w:rsidR="00A4334E" w:rsidRPr="00964E40">
              <w:rPr>
                <w:color w:val="000000"/>
                <w:kern w:val="22"/>
                <w:szCs w:val="22"/>
                <w:lang w:eastAsia="en-CA"/>
              </w:rPr>
              <w:t xml:space="preserve"> </w:t>
            </w:r>
            <w:r w:rsidRPr="005F3D62">
              <w:rPr>
                <w:color w:val="000000"/>
                <w:kern w:val="22"/>
                <w:szCs w:val="22"/>
                <w:lang w:eastAsia="en-CA"/>
              </w:rPr>
              <w:t>310.0</w:t>
            </w:r>
          </w:p>
        </w:tc>
        <w:tc>
          <w:tcPr>
            <w:tcW w:w="1661" w:type="dxa"/>
            <w:shd w:val="clear" w:color="auto" w:fill="auto"/>
          </w:tcPr>
          <w:p w14:paraId="43831301" w14:textId="6B13C570" w:rsidR="000D4DA8" w:rsidRPr="005F3D62" w:rsidRDefault="000D4DA8" w:rsidP="005F3D62">
            <w:pPr>
              <w:suppressLineNumbers/>
              <w:suppressAutoHyphens/>
              <w:ind w:right="227"/>
              <w:jc w:val="right"/>
              <w:rPr>
                <w:color w:val="000000"/>
                <w:kern w:val="22"/>
                <w:szCs w:val="22"/>
                <w:lang w:eastAsia="en-CA"/>
              </w:rPr>
            </w:pPr>
            <w:r w:rsidRPr="005F3D62">
              <w:rPr>
                <w:color w:val="000000"/>
                <w:kern w:val="22"/>
                <w:szCs w:val="22"/>
                <w:lang w:eastAsia="en-CA"/>
              </w:rPr>
              <w:t>1</w:t>
            </w:r>
            <w:r w:rsidR="00A4334E" w:rsidRPr="00964E40">
              <w:rPr>
                <w:color w:val="000000"/>
                <w:kern w:val="22"/>
                <w:szCs w:val="22"/>
                <w:lang w:eastAsia="en-CA"/>
              </w:rPr>
              <w:t xml:space="preserve"> </w:t>
            </w:r>
            <w:r w:rsidRPr="005F3D62">
              <w:rPr>
                <w:color w:val="000000"/>
                <w:kern w:val="22"/>
                <w:szCs w:val="22"/>
                <w:lang w:eastAsia="en-CA"/>
              </w:rPr>
              <w:t>100.0</w:t>
            </w:r>
          </w:p>
        </w:tc>
        <w:tc>
          <w:tcPr>
            <w:tcW w:w="1417" w:type="dxa"/>
            <w:shd w:val="clear" w:color="auto" w:fill="auto"/>
          </w:tcPr>
          <w:p w14:paraId="167CE52F" w14:textId="77777777" w:rsidR="000D4DA8" w:rsidRPr="005F3D62" w:rsidRDefault="000D4DA8" w:rsidP="005F3D62">
            <w:pPr>
              <w:suppressLineNumbers/>
              <w:suppressAutoHyphens/>
              <w:ind w:right="227"/>
              <w:jc w:val="right"/>
              <w:rPr>
                <w:color w:val="000000"/>
                <w:kern w:val="22"/>
                <w:szCs w:val="22"/>
                <w:lang w:eastAsia="en-CA"/>
              </w:rPr>
            </w:pPr>
            <w:r w:rsidRPr="005F3D62">
              <w:rPr>
                <w:color w:val="000000"/>
                <w:kern w:val="22"/>
                <w:szCs w:val="22"/>
                <w:lang w:eastAsia="en-CA"/>
              </w:rPr>
              <w:t>210.0</w:t>
            </w:r>
          </w:p>
        </w:tc>
      </w:tr>
      <w:tr w:rsidR="00964E40" w:rsidRPr="00964E40" w14:paraId="6CB3AF27" w14:textId="77777777" w:rsidTr="00D50DBD">
        <w:trPr>
          <w:cantSplit/>
          <w:jc w:val="center"/>
        </w:trPr>
        <w:tc>
          <w:tcPr>
            <w:tcW w:w="3823" w:type="dxa"/>
            <w:shd w:val="clear" w:color="auto" w:fill="auto"/>
            <w:hideMark/>
          </w:tcPr>
          <w:p w14:paraId="16F64DA8" w14:textId="708A534B" w:rsidR="000D4DA8" w:rsidRPr="005F3D62" w:rsidRDefault="000D4DA8" w:rsidP="005F3D62">
            <w:pPr>
              <w:suppressLineNumbers/>
              <w:tabs>
                <w:tab w:val="left" w:pos="425"/>
              </w:tabs>
              <w:suppressAutoHyphens/>
              <w:jc w:val="left"/>
              <w:rPr>
                <w:color w:val="000000"/>
                <w:kern w:val="22"/>
                <w:szCs w:val="22"/>
                <w:lang w:eastAsia="en-CA"/>
              </w:rPr>
            </w:pPr>
            <w:r w:rsidRPr="005F3D62">
              <w:rPr>
                <w:color w:val="000000"/>
                <w:kern w:val="22"/>
                <w:szCs w:val="22"/>
                <w:lang w:eastAsia="en-CA"/>
              </w:rPr>
              <w:t>L.</w:t>
            </w:r>
            <w:r w:rsidR="00C5494B" w:rsidRPr="00964E40">
              <w:rPr>
                <w:color w:val="000000"/>
                <w:kern w:val="22"/>
                <w:szCs w:val="22"/>
                <w:lang w:eastAsia="en-CA"/>
              </w:rPr>
              <w:tab/>
            </w:r>
            <w:r w:rsidRPr="005F3D62">
              <w:rPr>
                <w:color w:val="000000"/>
                <w:kern w:val="22"/>
                <w:szCs w:val="22"/>
                <w:lang w:eastAsia="en-CA"/>
              </w:rPr>
              <w:t>Rent and associated costs</w:t>
            </w:r>
          </w:p>
        </w:tc>
        <w:tc>
          <w:tcPr>
            <w:tcW w:w="1321" w:type="dxa"/>
            <w:shd w:val="clear" w:color="auto" w:fill="auto"/>
            <w:hideMark/>
          </w:tcPr>
          <w:p w14:paraId="020DEA25" w14:textId="05AA5CF6" w:rsidR="000D4DA8" w:rsidRPr="005F3D62" w:rsidRDefault="000D4DA8" w:rsidP="005F3D62">
            <w:pPr>
              <w:suppressLineNumbers/>
              <w:suppressAutoHyphens/>
              <w:ind w:right="227"/>
              <w:jc w:val="right"/>
              <w:rPr>
                <w:color w:val="000000"/>
                <w:kern w:val="22"/>
                <w:szCs w:val="22"/>
                <w:lang w:eastAsia="en-CA"/>
              </w:rPr>
            </w:pPr>
            <w:r w:rsidRPr="005F3D62">
              <w:rPr>
                <w:color w:val="000000"/>
                <w:kern w:val="22"/>
                <w:szCs w:val="22"/>
                <w:lang w:eastAsia="en-CA"/>
              </w:rPr>
              <w:t>2</w:t>
            </w:r>
            <w:r w:rsidR="00A4334E" w:rsidRPr="00964E40">
              <w:rPr>
                <w:color w:val="000000"/>
                <w:kern w:val="22"/>
                <w:szCs w:val="22"/>
                <w:lang w:eastAsia="en-CA"/>
              </w:rPr>
              <w:t xml:space="preserve"> </w:t>
            </w:r>
            <w:r w:rsidRPr="005F3D62">
              <w:rPr>
                <w:color w:val="000000"/>
                <w:kern w:val="22"/>
                <w:szCs w:val="22"/>
                <w:lang w:eastAsia="en-CA"/>
              </w:rPr>
              <w:t>652.9</w:t>
            </w:r>
          </w:p>
        </w:tc>
        <w:tc>
          <w:tcPr>
            <w:tcW w:w="1661" w:type="dxa"/>
            <w:shd w:val="clear" w:color="auto" w:fill="auto"/>
          </w:tcPr>
          <w:p w14:paraId="6ADC4530" w14:textId="73BCEE74" w:rsidR="000D4DA8" w:rsidRPr="005F3D62" w:rsidRDefault="000D4DA8" w:rsidP="005F3D62">
            <w:pPr>
              <w:suppressLineNumbers/>
              <w:suppressAutoHyphens/>
              <w:ind w:right="227"/>
              <w:jc w:val="right"/>
              <w:rPr>
                <w:color w:val="000000"/>
                <w:kern w:val="22"/>
                <w:szCs w:val="22"/>
                <w:lang w:eastAsia="en-CA"/>
              </w:rPr>
            </w:pPr>
            <w:r w:rsidRPr="005F3D62">
              <w:rPr>
                <w:color w:val="000000"/>
                <w:kern w:val="22"/>
                <w:szCs w:val="22"/>
                <w:lang w:eastAsia="en-CA"/>
              </w:rPr>
              <w:t>2</w:t>
            </w:r>
            <w:r w:rsidR="00A4334E" w:rsidRPr="00964E40">
              <w:rPr>
                <w:color w:val="000000"/>
                <w:kern w:val="22"/>
                <w:szCs w:val="22"/>
                <w:lang w:eastAsia="en-CA"/>
              </w:rPr>
              <w:t xml:space="preserve"> </w:t>
            </w:r>
            <w:r w:rsidRPr="005F3D62">
              <w:rPr>
                <w:color w:val="000000"/>
                <w:kern w:val="22"/>
                <w:szCs w:val="22"/>
                <w:lang w:eastAsia="en-CA"/>
              </w:rPr>
              <w:t>652.9</w:t>
            </w:r>
          </w:p>
        </w:tc>
        <w:tc>
          <w:tcPr>
            <w:tcW w:w="1417" w:type="dxa"/>
            <w:shd w:val="clear" w:color="auto" w:fill="auto"/>
          </w:tcPr>
          <w:p w14:paraId="1F5721AD" w14:textId="77777777" w:rsidR="000D4DA8" w:rsidRPr="005F3D62" w:rsidRDefault="000D4DA8" w:rsidP="005F3D62">
            <w:pPr>
              <w:suppressLineNumbers/>
              <w:suppressAutoHyphens/>
              <w:ind w:right="227"/>
              <w:jc w:val="right"/>
              <w:rPr>
                <w:color w:val="000000"/>
                <w:kern w:val="22"/>
                <w:szCs w:val="22"/>
                <w:lang w:eastAsia="en-CA"/>
              </w:rPr>
            </w:pPr>
            <w:r w:rsidRPr="005F3D62">
              <w:rPr>
                <w:color w:val="000000"/>
                <w:kern w:val="22"/>
                <w:szCs w:val="22"/>
                <w:lang w:eastAsia="en-CA"/>
              </w:rPr>
              <w:t>0.0</w:t>
            </w:r>
          </w:p>
        </w:tc>
      </w:tr>
      <w:tr w:rsidR="00964E40" w:rsidRPr="00964E40" w14:paraId="37A9C294" w14:textId="77777777" w:rsidTr="00D50DBD">
        <w:trPr>
          <w:cantSplit/>
          <w:jc w:val="center"/>
        </w:trPr>
        <w:tc>
          <w:tcPr>
            <w:tcW w:w="3823" w:type="dxa"/>
            <w:shd w:val="clear" w:color="auto" w:fill="auto"/>
            <w:hideMark/>
          </w:tcPr>
          <w:p w14:paraId="44536C0B" w14:textId="3214D4F9" w:rsidR="000D4DA8" w:rsidRPr="005F3D62" w:rsidRDefault="000D4DA8" w:rsidP="005F3D62">
            <w:pPr>
              <w:suppressLineNumbers/>
              <w:tabs>
                <w:tab w:val="left" w:pos="425"/>
              </w:tabs>
              <w:suppressAutoHyphens/>
              <w:jc w:val="left"/>
              <w:rPr>
                <w:color w:val="000000"/>
                <w:kern w:val="22"/>
                <w:szCs w:val="22"/>
                <w:lang w:eastAsia="en-CA"/>
              </w:rPr>
            </w:pPr>
            <w:r w:rsidRPr="005F3D62">
              <w:rPr>
                <w:color w:val="000000"/>
                <w:kern w:val="22"/>
                <w:szCs w:val="22"/>
                <w:lang w:eastAsia="en-CA"/>
              </w:rPr>
              <w:t>M.</w:t>
            </w:r>
            <w:r w:rsidR="00C5494B" w:rsidRPr="00964E40">
              <w:rPr>
                <w:color w:val="000000"/>
                <w:kern w:val="22"/>
                <w:szCs w:val="22"/>
                <w:lang w:eastAsia="en-CA"/>
              </w:rPr>
              <w:tab/>
            </w:r>
            <w:r w:rsidRPr="005F3D62">
              <w:rPr>
                <w:color w:val="000000"/>
                <w:kern w:val="22"/>
                <w:szCs w:val="22"/>
                <w:lang w:eastAsia="en-CA"/>
              </w:rPr>
              <w:t>General operating expenses</w:t>
            </w:r>
          </w:p>
        </w:tc>
        <w:tc>
          <w:tcPr>
            <w:tcW w:w="1321" w:type="dxa"/>
            <w:shd w:val="clear" w:color="auto" w:fill="auto"/>
            <w:hideMark/>
          </w:tcPr>
          <w:p w14:paraId="4F64CC05" w14:textId="643B1F9C" w:rsidR="000D4DA8" w:rsidRPr="005F3D62" w:rsidRDefault="000D4DA8" w:rsidP="005F3D62">
            <w:pPr>
              <w:suppressLineNumbers/>
              <w:suppressAutoHyphens/>
              <w:ind w:right="227"/>
              <w:jc w:val="right"/>
              <w:rPr>
                <w:color w:val="000000"/>
                <w:kern w:val="22"/>
                <w:szCs w:val="22"/>
                <w:lang w:eastAsia="en-CA"/>
              </w:rPr>
            </w:pPr>
            <w:r w:rsidRPr="005F3D62">
              <w:rPr>
                <w:color w:val="000000"/>
                <w:kern w:val="22"/>
                <w:szCs w:val="22"/>
                <w:lang w:eastAsia="en-CA"/>
              </w:rPr>
              <w:t>1</w:t>
            </w:r>
            <w:r w:rsidR="00A4334E" w:rsidRPr="00964E40">
              <w:rPr>
                <w:color w:val="000000"/>
                <w:kern w:val="22"/>
                <w:szCs w:val="22"/>
                <w:lang w:eastAsia="en-CA"/>
              </w:rPr>
              <w:t xml:space="preserve"> </w:t>
            </w:r>
            <w:r w:rsidRPr="005F3D62">
              <w:rPr>
                <w:color w:val="000000"/>
                <w:kern w:val="22"/>
                <w:szCs w:val="22"/>
                <w:lang w:eastAsia="en-CA"/>
              </w:rPr>
              <w:t>453.2</w:t>
            </w:r>
          </w:p>
        </w:tc>
        <w:tc>
          <w:tcPr>
            <w:tcW w:w="1661" w:type="dxa"/>
            <w:shd w:val="clear" w:color="auto" w:fill="auto"/>
          </w:tcPr>
          <w:p w14:paraId="68F3B67A" w14:textId="4B3884A1" w:rsidR="000D4DA8" w:rsidRPr="005F3D62" w:rsidRDefault="000D4DA8" w:rsidP="005F3D62">
            <w:pPr>
              <w:suppressLineNumbers/>
              <w:suppressAutoHyphens/>
              <w:ind w:right="227"/>
              <w:jc w:val="right"/>
              <w:rPr>
                <w:color w:val="000000"/>
                <w:kern w:val="22"/>
                <w:szCs w:val="22"/>
                <w:lang w:eastAsia="en-CA"/>
              </w:rPr>
            </w:pPr>
            <w:r w:rsidRPr="005F3D62">
              <w:rPr>
                <w:color w:val="000000"/>
                <w:kern w:val="22"/>
                <w:szCs w:val="22"/>
                <w:lang w:eastAsia="en-CA"/>
              </w:rPr>
              <w:t>1</w:t>
            </w:r>
            <w:r w:rsidR="00A4334E" w:rsidRPr="00964E40">
              <w:rPr>
                <w:color w:val="000000"/>
                <w:kern w:val="22"/>
                <w:szCs w:val="22"/>
                <w:lang w:eastAsia="en-CA"/>
              </w:rPr>
              <w:t xml:space="preserve"> </w:t>
            </w:r>
            <w:r w:rsidRPr="005F3D62">
              <w:rPr>
                <w:color w:val="000000"/>
                <w:kern w:val="22"/>
                <w:szCs w:val="22"/>
                <w:lang w:eastAsia="en-CA"/>
              </w:rPr>
              <w:t>453.2</w:t>
            </w:r>
          </w:p>
        </w:tc>
        <w:tc>
          <w:tcPr>
            <w:tcW w:w="1417" w:type="dxa"/>
            <w:shd w:val="clear" w:color="auto" w:fill="auto"/>
          </w:tcPr>
          <w:p w14:paraId="68AC5E47" w14:textId="77777777" w:rsidR="000D4DA8" w:rsidRPr="005F3D62" w:rsidRDefault="000D4DA8" w:rsidP="005F3D62">
            <w:pPr>
              <w:suppressLineNumbers/>
              <w:suppressAutoHyphens/>
              <w:ind w:right="227"/>
              <w:jc w:val="right"/>
              <w:rPr>
                <w:color w:val="000000"/>
                <w:kern w:val="22"/>
                <w:szCs w:val="22"/>
                <w:lang w:eastAsia="en-CA"/>
              </w:rPr>
            </w:pPr>
            <w:r w:rsidRPr="005F3D62">
              <w:rPr>
                <w:color w:val="000000"/>
                <w:kern w:val="22"/>
                <w:szCs w:val="22"/>
                <w:lang w:eastAsia="en-CA"/>
              </w:rPr>
              <w:t>0.0</w:t>
            </w:r>
          </w:p>
        </w:tc>
      </w:tr>
      <w:tr w:rsidR="00964E40" w:rsidRPr="00964E40" w14:paraId="20AC3A37" w14:textId="77777777" w:rsidTr="00D50DBD">
        <w:trPr>
          <w:cantSplit/>
          <w:jc w:val="center"/>
        </w:trPr>
        <w:tc>
          <w:tcPr>
            <w:tcW w:w="3823" w:type="dxa"/>
            <w:shd w:val="clear" w:color="auto" w:fill="auto"/>
            <w:hideMark/>
          </w:tcPr>
          <w:p w14:paraId="069A7A1E" w14:textId="77777777" w:rsidR="000D4DA8" w:rsidRPr="005F3D62" w:rsidRDefault="000D4DA8" w:rsidP="005F3D62">
            <w:pPr>
              <w:suppressLineNumbers/>
              <w:tabs>
                <w:tab w:val="left" w:pos="425"/>
              </w:tabs>
              <w:suppressAutoHyphens/>
              <w:jc w:val="left"/>
              <w:rPr>
                <w:b/>
                <w:bCs/>
                <w:color w:val="000000"/>
                <w:kern w:val="22"/>
                <w:szCs w:val="22"/>
                <w:lang w:eastAsia="en-CA"/>
              </w:rPr>
            </w:pPr>
            <w:r w:rsidRPr="005F3D62">
              <w:rPr>
                <w:b/>
                <w:bCs/>
                <w:color w:val="000000"/>
                <w:kern w:val="22"/>
                <w:szCs w:val="22"/>
                <w:lang w:eastAsia="en-CA"/>
              </w:rPr>
              <w:t>Sub-total (I)</w:t>
            </w:r>
          </w:p>
        </w:tc>
        <w:tc>
          <w:tcPr>
            <w:tcW w:w="1321" w:type="dxa"/>
            <w:shd w:val="clear" w:color="auto" w:fill="auto"/>
            <w:hideMark/>
          </w:tcPr>
          <w:p w14:paraId="6F4B75E9" w14:textId="5244EFFA" w:rsidR="000D4DA8" w:rsidRPr="005F3D62" w:rsidRDefault="000D4DA8" w:rsidP="005F3D62">
            <w:pPr>
              <w:suppressLineNumbers/>
              <w:suppressAutoHyphens/>
              <w:ind w:right="227"/>
              <w:jc w:val="right"/>
              <w:rPr>
                <w:b/>
                <w:bCs/>
                <w:color w:val="000000"/>
                <w:kern w:val="22"/>
                <w:szCs w:val="22"/>
                <w:lang w:eastAsia="en-CA"/>
              </w:rPr>
            </w:pPr>
            <w:r w:rsidRPr="005F3D62">
              <w:rPr>
                <w:b/>
                <w:bCs/>
                <w:color w:val="000000"/>
                <w:kern w:val="22"/>
                <w:szCs w:val="22"/>
                <w:lang w:eastAsia="en-CA"/>
              </w:rPr>
              <w:t>34</w:t>
            </w:r>
            <w:r w:rsidR="00A4334E" w:rsidRPr="00964E40">
              <w:rPr>
                <w:b/>
                <w:bCs/>
                <w:color w:val="000000"/>
                <w:kern w:val="22"/>
                <w:szCs w:val="22"/>
                <w:lang w:eastAsia="en-CA"/>
              </w:rPr>
              <w:t xml:space="preserve"> </w:t>
            </w:r>
            <w:r w:rsidRPr="005F3D62">
              <w:rPr>
                <w:b/>
                <w:bCs/>
                <w:color w:val="000000"/>
                <w:kern w:val="22"/>
                <w:szCs w:val="22"/>
                <w:lang w:eastAsia="en-CA"/>
              </w:rPr>
              <w:t>209.6</w:t>
            </w:r>
          </w:p>
        </w:tc>
        <w:tc>
          <w:tcPr>
            <w:tcW w:w="1661" w:type="dxa"/>
            <w:shd w:val="clear" w:color="auto" w:fill="auto"/>
          </w:tcPr>
          <w:p w14:paraId="3CF76182" w14:textId="39B71B58" w:rsidR="000D4DA8" w:rsidRPr="005F3D62" w:rsidRDefault="000D4DA8" w:rsidP="005F3D62">
            <w:pPr>
              <w:suppressLineNumbers/>
              <w:suppressAutoHyphens/>
              <w:ind w:right="227"/>
              <w:jc w:val="right"/>
              <w:rPr>
                <w:b/>
                <w:bCs/>
                <w:color w:val="000000"/>
                <w:kern w:val="22"/>
                <w:szCs w:val="22"/>
                <w:lang w:eastAsia="en-CA"/>
              </w:rPr>
            </w:pPr>
            <w:r w:rsidRPr="005F3D62">
              <w:rPr>
                <w:b/>
                <w:bCs/>
                <w:color w:val="000000"/>
                <w:kern w:val="22"/>
                <w:szCs w:val="22"/>
                <w:lang w:eastAsia="en-CA"/>
              </w:rPr>
              <w:t>27</w:t>
            </w:r>
            <w:r w:rsidR="00A4334E" w:rsidRPr="00964E40">
              <w:rPr>
                <w:b/>
                <w:bCs/>
                <w:color w:val="000000"/>
                <w:kern w:val="22"/>
                <w:szCs w:val="22"/>
                <w:lang w:eastAsia="en-CA"/>
              </w:rPr>
              <w:t xml:space="preserve"> </w:t>
            </w:r>
            <w:r w:rsidRPr="005F3D62">
              <w:rPr>
                <w:b/>
                <w:bCs/>
                <w:color w:val="000000"/>
                <w:kern w:val="22"/>
                <w:szCs w:val="22"/>
                <w:lang w:eastAsia="en-CA"/>
              </w:rPr>
              <w:t>438.4</w:t>
            </w:r>
          </w:p>
        </w:tc>
        <w:tc>
          <w:tcPr>
            <w:tcW w:w="1417" w:type="dxa"/>
            <w:shd w:val="clear" w:color="auto" w:fill="auto"/>
          </w:tcPr>
          <w:p w14:paraId="7964876C" w14:textId="40A0CA6C" w:rsidR="000D4DA8" w:rsidRPr="005F3D62" w:rsidRDefault="000D4DA8" w:rsidP="005F3D62">
            <w:pPr>
              <w:suppressLineNumbers/>
              <w:suppressAutoHyphens/>
              <w:ind w:right="227"/>
              <w:jc w:val="right"/>
              <w:rPr>
                <w:b/>
                <w:bCs/>
                <w:color w:val="000000"/>
                <w:kern w:val="22"/>
                <w:szCs w:val="22"/>
                <w:lang w:eastAsia="en-CA"/>
              </w:rPr>
            </w:pPr>
            <w:r w:rsidRPr="005F3D62">
              <w:rPr>
                <w:b/>
                <w:bCs/>
                <w:color w:val="000000"/>
                <w:kern w:val="22"/>
                <w:szCs w:val="22"/>
                <w:lang w:eastAsia="en-CA"/>
              </w:rPr>
              <w:t>6</w:t>
            </w:r>
            <w:r w:rsidR="00A4334E" w:rsidRPr="00964E40">
              <w:rPr>
                <w:b/>
                <w:bCs/>
                <w:color w:val="000000"/>
                <w:kern w:val="22"/>
                <w:szCs w:val="22"/>
                <w:lang w:eastAsia="en-CA"/>
              </w:rPr>
              <w:t xml:space="preserve"> </w:t>
            </w:r>
            <w:r w:rsidRPr="005F3D62">
              <w:rPr>
                <w:b/>
                <w:bCs/>
                <w:color w:val="000000"/>
                <w:kern w:val="22"/>
                <w:szCs w:val="22"/>
                <w:lang w:eastAsia="en-CA"/>
              </w:rPr>
              <w:t>771.2</w:t>
            </w:r>
          </w:p>
        </w:tc>
      </w:tr>
      <w:tr w:rsidR="00964E40" w:rsidRPr="00964E40" w14:paraId="66A585F9" w14:textId="77777777" w:rsidTr="00D50DBD">
        <w:trPr>
          <w:cantSplit/>
          <w:jc w:val="center"/>
        </w:trPr>
        <w:tc>
          <w:tcPr>
            <w:tcW w:w="3823" w:type="dxa"/>
            <w:shd w:val="clear" w:color="auto" w:fill="auto"/>
            <w:hideMark/>
          </w:tcPr>
          <w:p w14:paraId="0A420CC0" w14:textId="738267B3" w:rsidR="000D4DA8" w:rsidRPr="005F3D62" w:rsidRDefault="000D4DA8" w:rsidP="005F3D62">
            <w:pPr>
              <w:suppressLineNumbers/>
              <w:tabs>
                <w:tab w:val="left" w:pos="425"/>
              </w:tabs>
              <w:suppressAutoHyphens/>
              <w:jc w:val="left"/>
              <w:rPr>
                <w:color w:val="000000"/>
                <w:kern w:val="22"/>
                <w:szCs w:val="22"/>
                <w:lang w:eastAsia="en-CA"/>
              </w:rPr>
            </w:pPr>
            <w:r w:rsidRPr="005F3D62">
              <w:rPr>
                <w:color w:val="000000"/>
                <w:kern w:val="22"/>
                <w:szCs w:val="22"/>
                <w:lang w:eastAsia="en-CA"/>
              </w:rPr>
              <w:t>II.</w:t>
            </w:r>
            <w:r w:rsidR="00C5494B" w:rsidRPr="00964E40">
              <w:rPr>
                <w:color w:val="000000"/>
                <w:kern w:val="22"/>
                <w:szCs w:val="22"/>
                <w:lang w:eastAsia="en-CA"/>
              </w:rPr>
              <w:tab/>
            </w:r>
            <w:r w:rsidRPr="005F3D62">
              <w:rPr>
                <w:color w:val="000000"/>
                <w:kern w:val="22"/>
                <w:szCs w:val="22"/>
                <w:lang w:eastAsia="en-CA"/>
              </w:rPr>
              <w:t>Programme support costs (13%)</w:t>
            </w:r>
          </w:p>
        </w:tc>
        <w:tc>
          <w:tcPr>
            <w:tcW w:w="1321" w:type="dxa"/>
            <w:shd w:val="clear" w:color="auto" w:fill="auto"/>
            <w:hideMark/>
          </w:tcPr>
          <w:p w14:paraId="22EFE124" w14:textId="6CD12F64" w:rsidR="000D4DA8" w:rsidRPr="005F3D62" w:rsidRDefault="000D4DA8" w:rsidP="005F3D62">
            <w:pPr>
              <w:suppressLineNumbers/>
              <w:suppressAutoHyphens/>
              <w:ind w:right="227"/>
              <w:jc w:val="right"/>
              <w:rPr>
                <w:b/>
                <w:bCs/>
                <w:color w:val="000000"/>
                <w:kern w:val="22"/>
                <w:szCs w:val="22"/>
                <w:lang w:eastAsia="en-CA"/>
              </w:rPr>
            </w:pPr>
            <w:r w:rsidRPr="005F3D62">
              <w:rPr>
                <w:b/>
                <w:bCs/>
                <w:color w:val="000000"/>
                <w:kern w:val="22"/>
                <w:szCs w:val="22"/>
                <w:lang w:eastAsia="en-CA"/>
              </w:rPr>
              <w:t>4</w:t>
            </w:r>
            <w:r w:rsidR="00A4334E" w:rsidRPr="00964E40">
              <w:rPr>
                <w:b/>
                <w:bCs/>
                <w:color w:val="000000"/>
                <w:kern w:val="22"/>
                <w:szCs w:val="22"/>
                <w:lang w:eastAsia="en-CA"/>
              </w:rPr>
              <w:t xml:space="preserve"> </w:t>
            </w:r>
            <w:r w:rsidRPr="005F3D62">
              <w:rPr>
                <w:b/>
                <w:bCs/>
                <w:color w:val="000000"/>
                <w:kern w:val="22"/>
                <w:szCs w:val="22"/>
                <w:lang w:eastAsia="en-CA"/>
              </w:rPr>
              <w:t>447.2</w:t>
            </w:r>
          </w:p>
        </w:tc>
        <w:tc>
          <w:tcPr>
            <w:tcW w:w="1661" w:type="dxa"/>
            <w:shd w:val="clear" w:color="auto" w:fill="auto"/>
          </w:tcPr>
          <w:p w14:paraId="679CEF2D" w14:textId="301408CA" w:rsidR="000D4DA8" w:rsidRPr="005F3D62" w:rsidRDefault="000D4DA8" w:rsidP="005F3D62">
            <w:pPr>
              <w:suppressLineNumbers/>
              <w:suppressAutoHyphens/>
              <w:ind w:right="227"/>
              <w:jc w:val="right"/>
              <w:rPr>
                <w:b/>
                <w:bCs/>
                <w:color w:val="000000"/>
                <w:kern w:val="22"/>
                <w:szCs w:val="22"/>
                <w:lang w:eastAsia="en-CA"/>
              </w:rPr>
            </w:pPr>
            <w:r w:rsidRPr="005F3D62">
              <w:rPr>
                <w:b/>
                <w:bCs/>
                <w:color w:val="000000"/>
                <w:kern w:val="22"/>
                <w:szCs w:val="22"/>
                <w:lang w:eastAsia="en-CA"/>
              </w:rPr>
              <w:t>3</w:t>
            </w:r>
            <w:r w:rsidR="00A4334E" w:rsidRPr="00964E40">
              <w:rPr>
                <w:b/>
                <w:bCs/>
                <w:color w:val="000000"/>
                <w:kern w:val="22"/>
                <w:szCs w:val="22"/>
                <w:lang w:eastAsia="en-CA"/>
              </w:rPr>
              <w:t xml:space="preserve"> </w:t>
            </w:r>
            <w:r w:rsidRPr="005F3D62">
              <w:rPr>
                <w:b/>
                <w:bCs/>
                <w:color w:val="000000"/>
                <w:kern w:val="22"/>
                <w:szCs w:val="22"/>
                <w:lang w:eastAsia="en-CA"/>
              </w:rPr>
              <w:t>567.0</w:t>
            </w:r>
          </w:p>
        </w:tc>
        <w:tc>
          <w:tcPr>
            <w:tcW w:w="1417" w:type="dxa"/>
            <w:shd w:val="clear" w:color="auto" w:fill="auto"/>
          </w:tcPr>
          <w:p w14:paraId="0A908E08" w14:textId="77777777" w:rsidR="000D4DA8" w:rsidRPr="005F3D62" w:rsidRDefault="000D4DA8" w:rsidP="005F3D62">
            <w:pPr>
              <w:suppressLineNumbers/>
              <w:suppressAutoHyphens/>
              <w:ind w:right="227"/>
              <w:jc w:val="right"/>
              <w:rPr>
                <w:b/>
                <w:bCs/>
                <w:color w:val="000000"/>
                <w:kern w:val="22"/>
                <w:szCs w:val="22"/>
                <w:lang w:eastAsia="en-CA"/>
              </w:rPr>
            </w:pPr>
            <w:r w:rsidRPr="005F3D62">
              <w:rPr>
                <w:b/>
                <w:bCs/>
                <w:color w:val="000000"/>
                <w:kern w:val="22"/>
                <w:szCs w:val="22"/>
                <w:lang w:eastAsia="en-CA"/>
              </w:rPr>
              <w:t>880.2</w:t>
            </w:r>
          </w:p>
        </w:tc>
      </w:tr>
      <w:tr w:rsidR="00964E40" w:rsidRPr="00964E40" w14:paraId="79EED184" w14:textId="77777777" w:rsidTr="00D50DBD">
        <w:trPr>
          <w:cantSplit/>
          <w:jc w:val="center"/>
        </w:trPr>
        <w:tc>
          <w:tcPr>
            <w:tcW w:w="3823" w:type="dxa"/>
            <w:shd w:val="clear" w:color="auto" w:fill="auto"/>
            <w:hideMark/>
          </w:tcPr>
          <w:p w14:paraId="77117CB7" w14:textId="77777777" w:rsidR="000D4DA8" w:rsidRPr="005F3D62" w:rsidRDefault="000D4DA8" w:rsidP="005F3D62">
            <w:pPr>
              <w:suppressLineNumbers/>
              <w:tabs>
                <w:tab w:val="left" w:pos="425"/>
              </w:tabs>
              <w:suppressAutoHyphens/>
              <w:jc w:val="left"/>
              <w:rPr>
                <w:b/>
                <w:bCs/>
                <w:color w:val="000000"/>
                <w:kern w:val="22"/>
                <w:szCs w:val="22"/>
                <w:lang w:eastAsia="en-CA"/>
              </w:rPr>
            </w:pPr>
            <w:r w:rsidRPr="005F3D62">
              <w:rPr>
                <w:b/>
                <w:bCs/>
                <w:color w:val="000000"/>
                <w:kern w:val="22"/>
                <w:szCs w:val="22"/>
                <w:lang w:eastAsia="en-CA"/>
              </w:rPr>
              <w:t>Sub-Total (I + II)</w:t>
            </w:r>
          </w:p>
        </w:tc>
        <w:tc>
          <w:tcPr>
            <w:tcW w:w="1321" w:type="dxa"/>
            <w:shd w:val="clear" w:color="auto" w:fill="auto"/>
            <w:hideMark/>
          </w:tcPr>
          <w:p w14:paraId="74EA81D2" w14:textId="0BA1F1CC" w:rsidR="000D4DA8" w:rsidRPr="005F3D62" w:rsidRDefault="000D4DA8" w:rsidP="005F3D62">
            <w:pPr>
              <w:suppressLineNumbers/>
              <w:suppressAutoHyphens/>
              <w:ind w:right="227"/>
              <w:jc w:val="right"/>
              <w:rPr>
                <w:b/>
                <w:bCs/>
                <w:color w:val="000000"/>
                <w:kern w:val="22"/>
                <w:szCs w:val="22"/>
                <w:lang w:eastAsia="en-CA"/>
              </w:rPr>
            </w:pPr>
            <w:r w:rsidRPr="005F3D62">
              <w:rPr>
                <w:b/>
                <w:bCs/>
                <w:color w:val="000000"/>
                <w:kern w:val="22"/>
                <w:szCs w:val="22"/>
                <w:lang w:eastAsia="en-CA"/>
              </w:rPr>
              <w:t>38</w:t>
            </w:r>
            <w:r w:rsidR="00A4334E" w:rsidRPr="00964E40">
              <w:rPr>
                <w:b/>
                <w:bCs/>
                <w:color w:val="000000"/>
                <w:kern w:val="22"/>
                <w:szCs w:val="22"/>
                <w:lang w:eastAsia="en-CA"/>
              </w:rPr>
              <w:t xml:space="preserve"> </w:t>
            </w:r>
            <w:r w:rsidRPr="005F3D62">
              <w:rPr>
                <w:b/>
                <w:bCs/>
                <w:color w:val="000000"/>
                <w:kern w:val="22"/>
                <w:szCs w:val="22"/>
                <w:lang w:eastAsia="en-CA"/>
              </w:rPr>
              <w:t>656.8</w:t>
            </w:r>
          </w:p>
        </w:tc>
        <w:tc>
          <w:tcPr>
            <w:tcW w:w="1661" w:type="dxa"/>
            <w:shd w:val="clear" w:color="auto" w:fill="auto"/>
          </w:tcPr>
          <w:p w14:paraId="6383538B" w14:textId="5EC5CC5D" w:rsidR="000D4DA8" w:rsidRPr="005F3D62" w:rsidRDefault="000D4DA8" w:rsidP="005F3D62">
            <w:pPr>
              <w:suppressLineNumbers/>
              <w:suppressAutoHyphens/>
              <w:ind w:right="227"/>
              <w:jc w:val="right"/>
              <w:rPr>
                <w:b/>
                <w:bCs/>
                <w:color w:val="000000"/>
                <w:kern w:val="22"/>
                <w:szCs w:val="22"/>
                <w:lang w:eastAsia="en-CA"/>
              </w:rPr>
            </w:pPr>
            <w:r w:rsidRPr="005F3D62">
              <w:rPr>
                <w:b/>
                <w:bCs/>
                <w:color w:val="000000"/>
                <w:kern w:val="22"/>
                <w:szCs w:val="22"/>
                <w:lang w:eastAsia="en-CA"/>
              </w:rPr>
              <w:t>31</w:t>
            </w:r>
            <w:r w:rsidR="00A4334E" w:rsidRPr="00964E40">
              <w:rPr>
                <w:b/>
                <w:bCs/>
                <w:color w:val="000000"/>
                <w:kern w:val="22"/>
                <w:szCs w:val="22"/>
                <w:lang w:eastAsia="en-CA"/>
              </w:rPr>
              <w:t xml:space="preserve"> </w:t>
            </w:r>
            <w:r w:rsidRPr="005F3D62">
              <w:rPr>
                <w:b/>
                <w:bCs/>
                <w:color w:val="000000"/>
                <w:kern w:val="22"/>
                <w:szCs w:val="22"/>
                <w:lang w:eastAsia="en-CA"/>
              </w:rPr>
              <w:t>005.4</w:t>
            </w:r>
          </w:p>
        </w:tc>
        <w:tc>
          <w:tcPr>
            <w:tcW w:w="1417" w:type="dxa"/>
            <w:shd w:val="clear" w:color="auto" w:fill="auto"/>
          </w:tcPr>
          <w:p w14:paraId="4028D7E2" w14:textId="653E00E5" w:rsidR="000D4DA8" w:rsidRPr="005F3D62" w:rsidRDefault="000D4DA8" w:rsidP="005F3D62">
            <w:pPr>
              <w:suppressLineNumbers/>
              <w:suppressAutoHyphens/>
              <w:ind w:right="227"/>
              <w:jc w:val="right"/>
              <w:rPr>
                <w:b/>
                <w:bCs/>
                <w:color w:val="000000"/>
                <w:kern w:val="22"/>
                <w:szCs w:val="22"/>
                <w:lang w:eastAsia="en-CA"/>
              </w:rPr>
            </w:pPr>
            <w:r w:rsidRPr="005F3D62">
              <w:rPr>
                <w:b/>
                <w:bCs/>
                <w:color w:val="000000"/>
                <w:kern w:val="22"/>
                <w:szCs w:val="22"/>
                <w:lang w:eastAsia="en-CA"/>
              </w:rPr>
              <w:t>7</w:t>
            </w:r>
            <w:r w:rsidR="00A4334E" w:rsidRPr="00964E40">
              <w:rPr>
                <w:b/>
                <w:bCs/>
                <w:color w:val="000000"/>
                <w:kern w:val="22"/>
                <w:szCs w:val="22"/>
                <w:lang w:eastAsia="en-CA"/>
              </w:rPr>
              <w:t xml:space="preserve"> </w:t>
            </w:r>
            <w:r w:rsidRPr="005F3D62">
              <w:rPr>
                <w:b/>
                <w:bCs/>
                <w:color w:val="000000"/>
                <w:kern w:val="22"/>
                <w:szCs w:val="22"/>
                <w:lang w:eastAsia="en-CA"/>
              </w:rPr>
              <w:t>651.4</w:t>
            </w:r>
          </w:p>
        </w:tc>
      </w:tr>
      <w:tr w:rsidR="00964E40" w:rsidRPr="00964E40" w14:paraId="56E19319" w14:textId="77777777" w:rsidTr="00D50DBD">
        <w:trPr>
          <w:cantSplit/>
          <w:jc w:val="center"/>
        </w:trPr>
        <w:tc>
          <w:tcPr>
            <w:tcW w:w="3823" w:type="dxa"/>
            <w:shd w:val="clear" w:color="auto" w:fill="auto"/>
            <w:hideMark/>
          </w:tcPr>
          <w:p w14:paraId="59E89BAE" w14:textId="1F29C189" w:rsidR="000D4DA8" w:rsidRPr="005F3D62" w:rsidRDefault="000D4DA8" w:rsidP="005F3D62">
            <w:pPr>
              <w:suppressLineNumbers/>
              <w:tabs>
                <w:tab w:val="left" w:pos="425"/>
              </w:tabs>
              <w:suppressAutoHyphens/>
              <w:jc w:val="left"/>
              <w:rPr>
                <w:color w:val="000000"/>
                <w:kern w:val="22"/>
                <w:szCs w:val="22"/>
                <w:lang w:eastAsia="en-CA"/>
              </w:rPr>
            </w:pPr>
            <w:r w:rsidRPr="005F3D62">
              <w:rPr>
                <w:color w:val="000000"/>
                <w:kern w:val="22"/>
                <w:szCs w:val="22"/>
                <w:lang w:eastAsia="en-CA"/>
              </w:rPr>
              <w:t>III.</w:t>
            </w:r>
            <w:r w:rsidR="00C5494B" w:rsidRPr="00964E40">
              <w:rPr>
                <w:color w:val="000000"/>
                <w:kern w:val="22"/>
                <w:szCs w:val="22"/>
                <w:lang w:eastAsia="en-CA"/>
              </w:rPr>
              <w:tab/>
            </w:r>
            <w:r w:rsidRPr="005F3D62">
              <w:rPr>
                <w:color w:val="000000"/>
                <w:kern w:val="22"/>
                <w:szCs w:val="22"/>
                <w:lang w:eastAsia="en-CA"/>
              </w:rPr>
              <w:t xml:space="preserve">Working </w:t>
            </w:r>
            <w:r w:rsidR="005C177D" w:rsidRPr="00964E40">
              <w:rPr>
                <w:color w:val="000000"/>
                <w:kern w:val="22"/>
                <w:szCs w:val="22"/>
                <w:lang w:eastAsia="en-CA"/>
              </w:rPr>
              <w:t>c</w:t>
            </w:r>
            <w:r w:rsidRPr="005F3D62">
              <w:rPr>
                <w:color w:val="000000"/>
                <w:kern w:val="22"/>
                <w:szCs w:val="22"/>
                <w:lang w:eastAsia="en-CA"/>
              </w:rPr>
              <w:t xml:space="preserve">apital </w:t>
            </w:r>
            <w:r w:rsidR="005C177D" w:rsidRPr="00964E40">
              <w:rPr>
                <w:color w:val="000000"/>
                <w:kern w:val="22"/>
                <w:szCs w:val="22"/>
                <w:lang w:eastAsia="en-CA"/>
              </w:rPr>
              <w:t>r</w:t>
            </w:r>
            <w:r w:rsidRPr="005F3D62">
              <w:rPr>
                <w:color w:val="000000"/>
                <w:kern w:val="22"/>
                <w:szCs w:val="22"/>
                <w:lang w:eastAsia="en-CA"/>
              </w:rPr>
              <w:t>eserve</w:t>
            </w:r>
          </w:p>
        </w:tc>
        <w:tc>
          <w:tcPr>
            <w:tcW w:w="1321" w:type="dxa"/>
            <w:shd w:val="clear" w:color="auto" w:fill="auto"/>
            <w:hideMark/>
          </w:tcPr>
          <w:p w14:paraId="4BA93D40" w14:textId="77777777" w:rsidR="000D4DA8" w:rsidRPr="005F3D62" w:rsidRDefault="000D4DA8" w:rsidP="005F3D62">
            <w:pPr>
              <w:suppressLineNumbers/>
              <w:suppressAutoHyphens/>
              <w:ind w:right="227"/>
              <w:jc w:val="right"/>
              <w:rPr>
                <w:color w:val="000000"/>
                <w:kern w:val="22"/>
                <w:szCs w:val="22"/>
                <w:lang w:eastAsia="en-CA"/>
              </w:rPr>
            </w:pPr>
            <w:r w:rsidRPr="005F3D62">
              <w:rPr>
                <w:color w:val="000000"/>
                <w:kern w:val="22"/>
                <w:szCs w:val="22"/>
                <w:lang w:eastAsia="en-CA"/>
              </w:rPr>
              <w:t>187.3</w:t>
            </w:r>
          </w:p>
        </w:tc>
        <w:tc>
          <w:tcPr>
            <w:tcW w:w="1661" w:type="dxa"/>
            <w:shd w:val="clear" w:color="auto" w:fill="auto"/>
          </w:tcPr>
          <w:p w14:paraId="369F8E54" w14:textId="77777777" w:rsidR="000D4DA8" w:rsidRPr="005F3D62" w:rsidRDefault="000D4DA8" w:rsidP="005F3D62">
            <w:pPr>
              <w:suppressLineNumbers/>
              <w:suppressAutoHyphens/>
              <w:ind w:right="227"/>
              <w:jc w:val="right"/>
              <w:rPr>
                <w:color w:val="000000"/>
                <w:kern w:val="22"/>
                <w:szCs w:val="22"/>
                <w:lang w:eastAsia="en-CA"/>
              </w:rPr>
            </w:pPr>
            <w:r w:rsidRPr="005F3D62">
              <w:rPr>
                <w:color w:val="000000"/>
                <w:kern w:val="22"/>
                <w:szCs w:val="22"/>
                <w:lang w:eastAsia="en-CA"/>
              </w:rPr>
              <w:t>187.3</w:t>
            </w:r>
          </w:p>
        </w:tc>
        <w:tc>
          <w:tcPr>
            <w:tcW w:w="1417" w:type="dxa"/>
            <w:shd w:val="clear" w:color="auto" w:fill="auto"/>
          </w:tcPr>
          <w:p w14:paraId="2223EA55" w14:textId="77777777" w:rsidR="000D4DA8" w:rsidRPr="005F3D62" w:rsidRDefault="000D4DA8" w:rsidP="005F3D62">
            <w:pPr>
              <w:suppressLineNumbers/>
              <w:suppressAutoHyphens/>
              <w:ind w:right="227"/>
              <w:jc w:val="right"/>
              <w:rPr>
                <w:color w:val="000000"/>
                <w:kern w:val="22"/>
                <w:szCs w:val="22"/>
                <w:lang w:eastAsia="en-CA"/>
              </w:rPr>
            </w:pPr>
            <w:r w:rsidRPr="005F3D62">
              <w:rPr>
                <w:color w:val="000000"/>
                <w:kern w:val="22"/>
                <w:szCs w:val="22"/>
                <w:lang w:eastAsia="en-CA"/>
              </w:rPr>
              <w:t> </w:t>
            </w:r>
          </w:p>
        </w:tc>
      </w:tr>
      <w:tr w:rsidR="00964E40" w:rsidRPr="00964E40" w14:paraId="4777DD5D" w14:textId="77777777" w:rsidTr="00D50DBD">
        <w:trPr>
          <w:cantSplit/>
          <w:jc w:val="center"/>
        </w:trPr>
        <w:tc>
          <w:tcPr>
            <w:tcW w:w="3823" w:type="dxa"/>
            <w:shd w:val="clear" w:color="auto" w:fill="auto"/>
            <w:hideMark/>
          </w:tcPr>
          <w:p w14:paraId="26D50638" w14:textId="77777777" w:rsidR="000D4DA8" w:rsidRPr="005F3D62" w:rsidRDefault="000D4DA8" w:rsidP="005F3D62">
            <w:pPr>
              <w:suppressLineNumbers/>
              <w:tabs>
                <w:tab w:val="left" w:pos="425"/>
              </w:tabs>
              <w:suppressAutoHyphens/>
              <w:jc w:val="left"/>
              <w:rPr>
                <w:b/>
                <w:bCs/>
                <w:color w:val="000000"/>
                <w:kern w:val="22"/>
                <w:szCs w:val="22"/>
                <w:lang w:eastAsia="en-CA"/>
              </w:rPr>
            </w:pPr>
            <w:r w:rsidRPr="005F3D62">
              <w:rPr>
                <w:b/>
                <w:bCs/>
                <w:color w:val="000000"/>
                <w:kern w:val="22"/>
                <w:szCs w:val="22"/>
                <w:lang w:eastAsia="en-CA"/>
              </w:rPr>
              <w:t>Grand-Total (I + II + II)</w:t>
            </w:r>
          </w:p>
        </w:tc>
        <w:tc>
          <w:tcPr>
            <w:tcW w:w="1321" w:type="dxa"/>
            <w:shd w:val="clear" w:color="auto" w:fill="auto"/>
            <w:hideMark/>
          </w:tcPr>
          <w:p w14:paraId="555C478B" w14:textId="1FF260A4" w:rsidR="000D4DA8" w:rsidRPr="005F3D62" w:rsidRDefault="000D4DA8" w:rsidP="005F3D62">
            <w:pPr>
              <w:suppressLineNumbers/>
              <w:suppressAutoHyphens/>
              <w:ind w:right="227"/>
              <w:jc w:val="right"/>
              <w:rPr>
                <w:b/>
                <w:bCs/>
                <w:color w:val="000000"/>
                <w:kern w:val="22"/>
                <w:szCs w:val="22"/>
                <w:lang w:eastAsia="en-CA"/>
              </w:rPr>
            </w:pPr>
            <w:r w:rsidRPr="005F3D62">
              <w:rPr>
                <w:b/>
                <w:bCs/>
                <w:color w:val="000000"/>
                <w:kern w:val="22"/>
                <w:szCs w:val="22"/>
                <w:lang w:eastAsia="en-CA"/>
              </w:rPr>
              <w:t>38</w:t>
            </w:r>
            <w:r w:rsidR="00A4334E" w:rsidRPr="00964E40">
              <w:rPr>
                <w:b/>
                <w:bCs/>
                <w:color w:val="000000"/>
                <w:kern w:val="22"/>
                <w:szCs w:val="22"/>
                <w:lang w:eastAsia="en-CA"/>
              </w:rPr>
              <w:t xml:space="preserve"> </w:t>
            </w:r>
            <w:r w:rsidRPr="005F3D62">
              <w:rPr>
                <w:b/>
                <w:bCs/>
                <w:color w:val="000000"/>
                <w:kern w:val="22"/>
                <w:szCs w:val="22"/>
                <w:lang w:eastAsia="en-CA"/>
              </w:rPr>
              <w:t>844.1</w:t>
            </w:r>
          </w:p>
        </w:tc>
        <w:tc>
          <w:tcPr>
            <w:tcW w:w="1661" w:type="dxa"/>
            <w:shd w:val="clear" w:color="auto" w:fill="auto"/>
          </w:tcPr>
          <w:p w14:paraId="503177FC" w14:textId="30722C13" w:rsidR="000D4DA8" w:rsidRPr="005F3D62" w:rsidRDefault="000D4DA8" w:rsidP="005F3D62">
            <w:pPr>
              <w:suppressLineNumbers/>
              <w:suppressAutoHyphens/>
              <w:ind w:right="227"/>
              <w:jc w:val="right"/>
              <w:rPr>
                <w:b/>
                <w:bCs/>
                <w:color w:val="000000"/>
                <w:kern w:val="22"/>
                <w:szCs w:val="22"/>
                <w:lang w:eastAsia="en-CA"/>
              </w:rPr>
            </w:pPr>
            <w:r w:rsidRPr="005F3D62">
              <w:rPr>
                <w:b/>
                <w:bCs/>
                <w:color w:val="000000"/>
                <w:kern w:val="22"/>
                <w:szCs w:val="22"/>
                <w:lang w:eastAsia="en-CA"/>
              </w:rPr>
              <w:t>31</w:t>
            </w:r>
            <w:r w:rsidR="00A4334E" w:rsidRPr="00964E40">
              <w:rPr>
                <w:b/>
                <w:bCs/>
                <w:color w:val="000000"/>
                <w:kern w:val="22"/>
                <w:szCs w:val="22"/>
                <w:lang w:eastAsia="en-CA"/>
              </w:rPr>
              <w:t xml:space="preserve"> </w:t>
            </w:r>
            <w:r w:rsidRPr="005F3D62">
              <w:rPr>
                <w:b/>
                <w:bCs/>
                <w:color w:val="000000"/>
                <w:kern w:val="22"/>
                <w:szCs w:val="22"/>
                <w:lang w:eastAsia="en-CA"/>
              </w:rPr>
              <w:t>192.7</w:t>
            </w:r>
          </w:p>
        </w:tc>
        <w:tc>
          <w:tcPr>
            <w:tcW w:w="1417" w:type="dxa"/>
            <w:shd w:val="clear" w:color="auto" w:fill="auto"/>
          </w:tcPr>
          <w:p w14:paraId="14D4EC3F" w14:textId="2711AD18" w:rsidR="000D4DA8" w:rsidRPr="005F3D62" w:rsidRDefault="000D4DA8" w:rsidP="005F3D62">
            <w:pPr>
              <w:suppressLineNumbers/>
              <w:suppressAutoHyphens/>
              <w:ind w:right="227"/>
              <w:jc w:val="right"/>
              <w:rPr>
                <w:b/>
                <w:bCs/>
                <w:color w:val="000000"/>
                <w:kern w:val="22"/>
                <w:szCs w:val="22"/>
                <w:lang w:eastAsia="en-CA"/>
              </w:rPr>
            </w:pPr>
            <w:r w:rsidRPr="005F3D62">
              <w:rPr>
                <w:b/>
                <w:bCs/>
                <w:color w:val="000000"/>
                <w:kern w:val="22"/>
                <w:szCs w:val="22"/>
                <w:lang w:eastAsia="en-CA"/>
              </w:rPr>
              <w:t>7</w:t>
            </w:r>
            <w:r w:rsidR="00A4334E" w:rsidRPr="00964E40">
              <w:rPr>
                <w:b/>
                <w:bCs/>
                <w:color w:val="000000"/>
                <w:kern w:val="22"/>
                <w:szCs w:val="22"/>
                <w:lang w:eastAsia="en-CA"/>
              </w:rPr>
              <w:t xml:space="preserve"> </w:t>
            </w:r>
            <w:r w:rsidRPr="005F3D62">
              <w:rPr>
                <w:b/>
                <w:bCs/>
                <w:color w:val="000000"/>
                <w:kern w:val="22"/>
                <w:szCs w:val="22"/>
                <w:lang w:eastAsia="en-CA"/>
              </w:rPr>
              <w:t>651.4</w:t>
            </w:r>
          </w:p>
        </w:tc>
      </w:tr>
    </w:tbl>
    <w:p w14:paraId="5C7426A1" w14:textId="77777777" w:rsidR="000D4DA8" w:rsidRPr="005F3D62" w:rsidRDefault="000D4DA8" w:rsidP="005F3D62">
      <w:pPr>
        <w:pStyle w:val="ListParagraph"/>
        <w:suppressLineNumbers/>
        <w:suppressAutoHyphens/>
        <w:ind w:left="0"/>
        <w:contextualSpacing w:val="0"/>
        <w:rPr>
          <w:rFonts w:eastAsia="Malgun Gothic"/>
          <w:iCs/>
          <w:color w:val="000000"/>
          <w:kern w:val="22"/>
          <w:szCs w:val="22"/>
          <w:lang w:eastAsia="ko-KR"/>
        </w:rPr>
      </w:pPr>
    </w:p>
    <w:p w14:paraId="6EFAD344" w14:textId="6398200D" w:rsidR="000D4DA8" w:rsidRPr="005F3D62" w:rsidRDefault="000D4DA8" w:rsidP="005F3D62">
      <w:pPr>
        <w:pStyle w:val="Heading2"/>
        <w:numPr>
          <w:ilvl w:val="0"/>
          <w:numId w:val="11"/>
        </w:numPr>
        <w:suppressLineNumbers/>
        <w:tabs>
          <w:tab w:val="clear" w:pos="720"/>
          <w:tab w:val="left" w:pos="284"/>
        </w:tabs>
        <w:suppressAutoHyphens/>
        <w:ind w:left="0" w:firstLine="0"/>
        <w:rPr>
          <w:rFonts w:eastAsia="Malgun Gothic"/>
          <w:iCs w:val="0"/>
          <w:spacing w:val="-2"/>
          <w:kern w:val="22"/>
          <w:szCs w:val="22"/>
          <w:lang w:eastAsia="ko-KR"/>
        </w:rPr>
      </w:pPr>
      <w:r w:rsidRPr="005F3D62">
        <w:rPr>
          <w:rFonts w:eastAsia="Malgun Gothic"/>
          <w:spacing w:val="-2"/>
          <w:kern w:val="22"/>
          <w:szCs w:val="22"/>
          <w:lang w:eastAsia="ko-KR"/>
        </w:rPr>
        <w:t xml:space="preserve">Special </w:t>
      </w:r>
      <w:r w:rsidR="00642044" w:rsidRPr="005F3D62">
        <w:rPr>
          <w:rFonts w:eastAsia="Malgun Gothic"/>
          <w:spacing w:val="-2"/>
          <w:kern w:val="22"/>
          <w:szCs w:val="22"/>
          <w:lang w:eastAsia="ko-KR"/>
        </w:rPr>
        <w:t>V</w:t>
      </w:r>
      <w:r w:rsidRPr="005F3D62">
        <w:rPr>
          <w:rFonts w:eastAsia="Malgun Gothic"/>
          <w:spacing w:val="-2"/>
          <w:kern w:val="22"/>
          <w:szCs w:val="22"/>
          <w:lang w:eastAsia="ko-KR"/>
        </w:rPr>
        <w:t xml:space="preserve">oluntary </w:t>
      </w:r>
      <w:r w:rsidR="00642044" w:rsidRPr="005F3D62">
        <w:rPr>
          <w:rFonts w:eastAsia="Malgun Gothic"/>
          <w:spacing w:val="-2"/>
          <w:kern w:val="22"/>
          <w:szCs w:val="22"/>
          <w:lang w:eastAsia="ko-KR"/>
        </w:rPr>
        <w:t>T</w:t>
      </w:r>
      <w:r w:rsidRPr="005F3D62">
        <w:rPr>
          <w:rFonts w:eastAsia="Malgun Gothic"/>
          <w:spacing w:val="-2"/>
          <w:kern w:val="22"/>
          <w:szCs w:val="22"/>
          <w:lang w:eastAsia="ko-KR"/>
        </w:rPr>
        <w:t xml:space="preserve">rust </w:t>
      </w:r>
      <w:r w:rsidR="00642044" w:rsidRPr="005F3D62">
        <w:rPr>
          <w:rFonts w:eastAsia="Malgun Gothic"/>
          <w:spacing w:val="-2"/>
          <w:kern w:val="22"/>
          <w:szCs w:val="22"/>
          <w:lang w:eastAsia="ko-KR"/>
        </w:rPr>
        <w:t>F</w:t>
      </w:r>
      <w:r w:rsidRPr="005F3D62">
        <w:rPr>
          <w:rFonts w:eastAsia="Malgun Gothic"/>
          <w:spacing w:val="-2"/>
          <w:kern w:val="22"/>
          <w:szCs w:val="22"/>
          <w:lang w:eastAsia="ko-KR"/>
        </w:rPr>
        <w:t xml:space="preserve">und (BE) in </w:t>
      </w:r>
      <w:r w:rsidR="00642044" w:rsidRPr="005F3D62">
        <w:rPr>
          <w:rFonts w:eastAsia="Malgun Gothic"/>
          <w:spacing w:val="-2"/>
          <w:kern w:val="22"/>
          <w:szCs w:val="22"/>
          <w:lang w:eastAsia="ko-KR"/>
        </w:rPr>
        <w:t>S</w:t>
      </w:r>
      <w:r w:rsidRPr="005F3D62">
        <w:rPr>
          <w:rFonts w:eastAsia="Malgun Gothic"/>
          <w:spacing w:val="-2"/>
          <w:kern w:val="22"/>
          <w:szCs w:val="22"/>
          <w:lang w:eastAsia="ko-KR"/>
        </w:rPr>
        <w:t xml:space="preserve">upport of </w:t>
      </w:r>
      <w:r w:rsidR="00B9729E" w:rsidRPr="005F3D62">
        <w:rPr>
          <w:rFonts w:eastAsia="Malgun Gothic"/>
          <w:spacing w:val="-2"/>
          <w:kern w:val="22"/>
          <w:szCs w:val="22"/>
          <w:lang w:eastAsia="ko-KR"/>
        </w:rPr>
        <w:t>A</w:t>
      </w:r>
      <w:r w:rsidRPr="005F3D62">
        <w:rPr>
          <w:rFonts w:eastAsia="Malgun Gothic"/>
          <w:spacing w:val="-2"/>
          <w:kern w:val="22"/>
          <w:szCs w:val="22"/>
          <w:lang w:eastAsia="ko-KR"/>
        </w:rPr>
        <w:t xml:space="preserve">pproved </w:t>
      </w:r>
      <w:r w:rsidR="00B9729E" w:rsidRPr="005F3D62">
        <w:rPr>
          <w:rFonts w:eastAsia="Malgun Gothic"/>
          <w:spacing w:val="-2"/>
          <w:kern w:val="22"/>
          <w:szCs w:val="22"/>
          <w:lang w:eastAsia="ko-KR"/>
        </w:rPr>
        <w:t>A</w:t>
      </w:r>
      <w:r w:rsidRPr="005F3D62">
        <w:rPr>
          <w:rFonts w:eastAsia="Malgun Gothic"/>
          <w:spacing w:val="-2"/>
          <w:kern w:val="22"/>
          <w:szCs w:val="22"/>
          <w:lang w:eastAsia="ko-KR"/>
        </w:rPr>
        <w:t>ctivities for the period 2019-2020</w:t>
      </w:r>
    </w:p>
    <w:p w14:paraId="2787BD4F" w14:textId="7F20717A" w:rsidR="000D4DA8" w:rsidRPr="005F3D62" w:rsidRDefault="000D4DA8" w:rsidP="005F3D62">
      <w:pPr>
        <w:pStyle w:val="ListParagraph"/>
        <w:numPr>
          <w:ilvl w:val="0"/>
          <w:numId w:val="1"/>
        </w:numPr>
        <w:suppressLineNumbers/>
        <w:suppressAutoHyphens/>
        <w:spacing w:before="120" w:after="120"/>
        <w:ind w:left="0" w:firstLine="0"/>
        <w:contextualSpacing w:val="0"/>
        <w:rPr>
          <w:rFonts w:eastAsia="Malgun Gothic"/>
          <w:color w:val="000000"/>
          <w:kern w:val="22"/>
          <w:szCs w:val="22"/>
          <w:lang w:eastAsia="ko-KR"/>
        </w:rPr>
      </w:pPr>
      <w:r w:rsidRPr="005F3D62">
        <w:rPr>
          <w:rFonts w:eastAsia="Malgun Gothic"/>
          <w:color w:val="000000"/>
          <w:kern w:val="22"/>
          <w:szCs w:val="22"/>
          <w:lang w:eastAsia="ko-KR"/>
        </w:rPr>
        <w:t xml:space="preserve">The </w:t>
      </w:r>
      <w:r w:rsidRPr="005F3D62">
        <w:rPr>
          <w:rFonts w:eastAsia="Malgun Gothic"/>
          <w:color w:val="000000"/>
          <w:kern w:val="22"/>
          <w:szCs w:val="22"/>
          <w:lang w:eastAsia="x-none"/>
        </w:rPr>
        <w:t xml:space="preserve">Conference of the Parties and </w:t>
      </w:r>
      <w:r w:rsidR="0019688E" w:rsidRPr="00964E40">
        <w:rPr>
          <w:rFonts w:eastAsia="Malgun Gothic"/>
          <w:color w:val="000000"/>
          <w:kern w:val="22"/>
          <w:szCs w:val="22"/>
          <w:lang w:eastAsia="ko-KR"/>
        </w:rPr>
        <w:t>t</w:t>
      </w:r>
      <w:r w:rsidR="00144F09" w:rsidRPr="00964E40">
        <w:rPr>
          <w:rFonts w:eastAsia="Malgun Gothic"/>
          <w:color w:val="000000"/>
          <w:kern w:val="22"/>
          <w:szCs w:val="22"/>
          <w:lang w:eastAsia="ko-KR"/>
        </w:rPr>
        <w:t xml:space="preserve">he </w:t>
      </w:r>
      <w:r w:rsidR="00144F09" w:rsidRPr="00964E40">
        <w:rPr>
          <w:rFonts w:eastAsia="Malgun Gothic"/>
          <w:color w:val="000000"/>
          <w:kern w:val="22"/>
          <w:szCs w:val="22"/>
          <w:lang w:eastAsia="x-none"/>
        </w:rPr>
        <w:t>Conference of the Parties serving as the</w:t>
      </w:r>
      <w:r w:rsidR="00144F09" w:rsidRPr="005F3D62">
        <w:rPr>
          <w:rFonts w:eastAsia="Malgun Gothic"/>
          <w:color w:val="000000"/>
          <w:kern w:val="22"/>
          <w:szCs w:val="22"/>
          <w:lang w:eastAsia="x-none"/>
        </w:rPr>
        <w:t xml:space="preserve"> </w:t>
      </w:r>
      <w:r w:rsidRPr="005F3D62">
        <w:rPr>
          <w:rFonts w:eastAsia="Malgun Gothic"/>
          <w:color w:val="000000"/>
          <w:kern w:val="22"/>
          <w:szCs w:val="22"/>
          <w:lang w:eastAsia="x-none"/>
        </w:rPr>
        <w:t xml:space="preserve">meetings of the Parties </w:t>
      </w:r>
      <w:r w:rsidR="002D4729" w:rsidRPr="005F3D62">
        <w:rPr>
          <w:rFonts w:eastAsia="Malgun Gothic"/>
          <w:color w:val="000000"/>
          <w:kern w:val="22"/>
          <w:szCs w:val="22"/>
          <w:lang w:eastAsia="x-none"/>
        </w:rPr>
        <w:t xml:space="preserve">to </w:t>
      </w:r>
      <w:r w:rsidRPr="005F3D62">
        <w:rPr>
          <w:rFonts w:eastAsia="Malgun Gothic"/>
          <w:color w:val="000000"/>
          <w:kern w:val="22"/>
          <w:szCs w:val="22"/>
          <w:lang w:eastAsia="x-none"/>
        </w:rPr>
        <w:t xml:space="preserve">the </w:t>
      </w:r>
      <w:r w:rsidR="002D4729" w:rsidRPr="005F3D62">
        <w:rPr>
          <w:rFonts w:eastAsia="Malgun Gothic"/>
          <w:color w:val="000000"/>
          <w:kern w:val="22"/>
          <w:szCs w:val="22"/>
          <w:lang w:eastAsia="x-none"/>
        </w:rPr>
        <w:t>P</w:t>
      </w:r>
      <w:r w:rsidRPr="005F3D62">
        <w:rPr>
          <w:rFonts w:eastAsia="Malgun Gothic"/>
          <w:color w:val="000000"/>
          <w:kern w:val="22"/>
          <w:szCs w:val="22"/>
          <w:lang w:eastAsia="x-none"/>
        </w:rPr>
        <w:t xml:space="preserve">rotocols acknowledge funding estimates of US$ </w:t>
      </w:r>
      <w:r w:rsidRPr="005F3D62">
        <w:rPr>
          <w:rFonts w:eastAsia="Malgun Gothic"/>
          <w:color w:val="000000"/>
          <w:kern w:val="22"/>
          <w:szCs w:val="22"/>
          <w:lang w:eastAsia="ko-KR"/>
        </w:rPr>
        <w:t xml:space="preserve">23,291,600 for the Trust Fund for Additional </w:t>
      </w:r>
      <w:r w:rsidR="00807594" w:rsidRPr="00964E40">
        <w:rPr>
          <w:rFonts w:eastAsia="Malgun Gothic"/>
          <w:color w:val="000000"/>
          <w:kern w:val="22"/>
          <w:szCs w:val="22"/>
          <w:lang w:eastAsia="ko-KR"/>
        </w:rPr>
        <w:t>V</w:t>
      </w:r>
      <w:r w:rsidRPr="005F3D62">
        <w:rPr>
          <w:rFonts w:eastAsia="Malgun Gothic"/>
          <w:color w:val="000000"/>
          <w:kern w:val="22"/>
          <w:szCs w:val="22"/>
          <w:lang w:eastAsia="ko-KR"/>
        </w:rPr>
        <w:t xml:space="preserve">oluntary </w:t>
      </w:r>
      <w:r w:rsidR="00807594" w:rsidRPr="00964E40">
        <w:rPr>
          <w:rFonts w:eastAsia="Malgun Gothic"/>
          <w:color w:val="000000"/>
          <w:kern w:val="22"/>
          <w:szCs w:val="22"/>
          <w:lang w:eastAsia="ko-KR"/>
        </w:rPr>
        <w:t>C</w:t>
      </w:r>
      <w:r w:rsidRPr="005F3D62">
        <w:rPr>
          <w:rFonts w:eastAsia="Malgun Gothic"/>
          <w:color w:val="000000"/>
          <w:kern w:val="22"/>
          <w:szCs w:val="22"/>
          <w:lang w:eastAsia="ko-KR"/>
        </w:rPr>
        <w:t xml:space="preserve">ontributions in </w:t>
      </w:r>
      <w:r w:rsidR="00807594" w:rsidRPr="00964E40">
        <w:rPr>
          <w:rFonts w:eastAsia="Malgun Gothic"/>
          <w:color w:val="000000"/>
          <w:kern w:val="22"/>
          <w:szCs w:val="22"/>
          <w:lang w:eastAsia="ko-KR"/>
        </w:rPr>
        <w:t>S</w:t>
      </w:r>
      <w:r w:rsidRPr="005F3D62">
        <w:rPr>
          <w:rFonts w:eastAsia="Malgun Gothic"/>
          <w:color w:val="000000"/>
          <w:kern w:val="22"/>
          <w:szCs w:val="22"/>
          <w:lang w:eastAsia="ko-KR"/>
        </w:rPr>
        <w:t xml:space="preserve">upport of </w:t>
      </w:r>
      <w:r w:rsidR="00807594" w:rsidRPr="00964E40">
        <w:rPr>
          <w:rFonts w:eastAsia="Malgun Gothic"/>
          <w:color w:val="000000"/>
          <w:kern w:val="22"/>
          <w:szCs w:val="22"/>
          <w:lang w:eastAsia="ko-KR"/>
        </w:rPr>
        <w:t>A</w:t>
      </w:r>
      <w:r w:rsidRPr="005F3D62">
        <w:rPr>
          <w:rFonts w:eastAsia="Malgun Gothic"/>
          <w:color w:val="000000"/>
          <w:kern w:val="22"/>
          <w:szCs w:val="22"/>
          <w:lang w:eastAsia="ko-KR"/>
        </w:rPr>
        <w:t xml:space="preserve">pproved </w:t>
      </w:r>
      <w:r w:rsidR="00807594" w:rsidRPr="00964E40">
        <w:rPr>
          <w:rFonts w:eastAsia="Malgun Gothic"/>
          <w:color w:val="000000"/>
          <w:kern w:val="22"/>
          <w:szCs w:val="22"/>
          <w:lang w:eastAsia="ko-KR"/>
        </w:rPr>
        <w:t>A</w:t>
      </w:r>
      <w:r w:rsidRPr="005F3D62">
        <w:rPr>
          <w:rFonts w:eastAsia="Malgun Gothic"/>
          <w:color w:val="000000"/>
          <w:kern w:val="22"/>
          <w:szCs w:val="22"/>
          <w:lang w:eastAsia="ko-KR"/>
        </w:rPr>
        <w:t xml:space="preserve">ctivities under the Convention and its Protocols for the </w:t>
      </w:r>
      <w:r w:rsidR="00A04EF0" w:rsidRPr="00964E40">
        <w:rPr>
          <w:rFonts w:eastAsia="Malgun Gothic"/>
          <w:color w:val="000000"/>
          <w:kern w:val="22"/>
          <w:szCs w:val="22"/>
          <w:lang w:eastAsia="ko-KR"/>
        </w:rPr>
        <w:t>p</w:t>
      </w:r>
      <w:r w:rsidRPr="005F3D62">
        <w:rPr>
          <w:rFonts w:eastAsia="Malgun Gothic"/>
          <w:color w:val="000000"/>
          <w:kern w:val="22"/>
          <w:szCs w:val="22"/>
          <w:lang w:eastAsia="ko-KR"/>
        </w:rPr>
        <w:t>eriod 2019-2020.</w:t>
      </w:r>
    </w:p>
    <w:p w14:paraId="1D763EDE" w14:textId="2EEE1204" w:rsidR="000D4DA8" w:rsidRPr="00964E40" w:rsidRDefault="000D4DA8" w:rsidP="005F3D62">
      <w:pPr>
        <w:pStyle w:val="ListParagraph"/>
        <w:numPr>
          <w:ilvl w:val="0"/>
          <w:numId w:val="1"/>
        </w:numPr>
        <w:suppressLineNumbers/>
        <w:suppressAutoHyphens/>
        <w:spacing w:before="120" w:after="120"/>
        <w:ind w:left="0" w:firstLine="0"/>
        <w:contextualSpacing w:val="0"/>
        <w:rPr>
          <w:rFonts w:eastAsia="Malgun Gothic"/>
          <w:color w:val="000000"/>
          <w:kern w:val="22"/>
          <w:szCs w:val="22"/>
          <w:lang w:eastAsia="x-none"/>
        </w:rPr>
      </w:pPr>
      <w:r w:rsidRPr="005F3D62">
        <w:rPr>
          <w:rFonts w:eastAsia="Malgun Gothic"/>
          <w:color w:val="000000"/>
          <w:kern w:val="22"/>
          <w:szCs w:val="22"/>
          <w:lang w:eastAsia="x-none"/>
        </w:rPr>
        <w:lastRenderedPageBreak/>
        <w:t xml:space="preserve">As at 31 August 2020, contributions amounting to US$ 7,598,535 have been received </w:t>
      </w:r>
      <w:r w:rsidR="005E75DD" w:rsidRPr="00964E40">
        <w:rPr>
          <w:rFonts w:eastAsia="Malgun Gothic"/>
          <w:color w:val="000000"/>
          <w:kern w:val="22"/>
          <w:szCs w:val="22"/>
          <w:lang w:eastAsia="x-none"/>
        </w:rPr>
        <w:t>for</w:t>
      </w:r>
      <w:r w:rsidRPr="005F3D62">
        <w:rPr>
          <w:rFonts w:eastAsia="Malgun Gothic"/>
          <w:color w:val="000000"/>
          <w:kern w:val="22"/>
          <w:szCs w:val="22"/>
          <w:lang w:eastAsia="x-none"/>
        </w:rPr>
        <w:t xml:space="preserve"> the BE Trust </w:t>
      </w:r>
      <w:r w:rsidR="005E75DD" w:rsidRPr="00964E40">
        <w:rPr>
          <w:rFonts w:eastAsia="Malgun Gothic"/>
          <w:color w:val="000000"/>
          <w:kern w:val="22"/>
          <w:szCs w:val="22"/>
          <w:lang w:eastAsia="x-none"/>
        </w:rPr>
        <w:t>F</w:t>
      </w:r>
      <w:r w:rsidRPr="005F3D62">
        <w:rPr>
          <w:rFonts w:eastAsia="Malgun Gothic"/>
          <w:color w:val="000000"/>
          <w:kern w:val="22"/>
          <w:szCs w:val="22"/>
          <w:lang w:eastAsia="x-none"/>
        </w:rPr>
        <w:t>und. The activities with the largest voluntary contributions are listed in Table 4 below.</w:t>
      </w:r>
    </w:p>
    <w:p w14:paraId="33547B6C" w14:textId="02862350" w:rsidR="00AE0529" w:rsidRPr="005F3D62" w:rsidRDefault="00F92322" w:rsidP="005F3D62">
      <w:pPr>
        <w:pStyle w:val="ListParagraph"/>
        <w:keepNext/>
        <w:suppressLineNumbers/>
        <w:suppressAutoHyphens/>
        <w:spacing w:before="120" w:after="120"/>
        <w:ind w:left="567" w:right="992"/>
        <w:contextualSpacing w:val="0"/>
        <w:jc w:val="left"/>
        <w:rPr>
          <w:rFonts w:eastAsia="Malgun Gothic"/>
          <w:color w:val="000000"/>
          <w:kern w:val="22"/>
          <w:szCs w:val="22"/>
          <w:lang w:eastAsia="x-none"/>
        </w:rPr>
      </w:pPr>
      <w:r w:rsidRPr="00964E40">
        <w:rPr>
          <w:b/>
          <w:bCs/>
          <w:color w:val="000000"/>
          <w:kern w:val="22"/>
          <w:szCs w:val="22"/>
        </w:rPr>
        <w:t>Table 4</w:t>
      </w:r>
      <w:r w:rsidR="008177F5" w:rsidRPr="00964E40">
        <w:rPr>
          <w:b/>
          <w:bCs/>
          <w:color w:val="000000"/>
          <w:kern w:val="22"/>
          <w:szCs w:val="22"/>
        </w:rPr>
        <w:br/>
      </w:r>
      <w:r w:rsidRPr="00964E40">
        <w:rPr>
          <w:b/>
          <w:bCs/>
          <w:color w:val="000000"/>
          <w:kern w:val="22"/>
          <w:szCs w:val="22"/>
        </w:rPr>
        <w:t xml:space="preserve">Special </w:t>
      </w:r>
      <w:r w:rsidR="005D5152" w:rsidRPr="00964E40">
        <w:rPr>
          <w:b/>
          <w:bCs/>
          <w:color w:val="000000"/>
          <w:kern w:val="22"/>
          <w:szCs w:val="22"/>
        </w:rPr>
        <w:t>V</w:t>
      </w:r>
      <w:r w:rsidRPr="00964E40">
        <w:rPr>
          <w:b/>
          <w:bCs/>
          <w:color w:val="000000"/>
          <w:kern w:val="22"/>
          <w:szCs w:val="22"/>
        </w:rPr>
        <w:t xml:space="preserve">oluntary </w:t>
      </w:r>
      <w:r w:rsidR="005D5152" w:rsidRPr="00964E40">
        <w:rPr>
          <w:b/>
          <w:bCs/>
          <w:color w:val="000000"/>
          <w:kern w:val="22"/>
          <w:szCs w:val="22"/>
        </w:rPr>
        <w:t>T</w:t>
      </w:r>
      <w:r w:rsidRPr="00964E40">
        <w:rPr>
          <w:b/>
          <w:bCs/>
          <w:color w:val="000000"/>
          <w:kern w:val="22"/>
          <w:szCs w:val="22"/>
        </w:rPr>
        <w:t xml:space="preserve">rust </w:t>
      </w:r>
      <w:r w:rsidR="005D5152" w:rsidRPr="00964E40">
        <w:rPr>
          <w:b/>
          <w:bCs/>
          <w:color w:val="000000"/>
          <w:kern w:val="22"/>
          <w:szCs w:val="22"/>
        </w:rPr>
        <w:t>F</w:t>
      </w:r>
      <w:r w:rsidRPr="00964E40">
        <w:rPr>
          <w:b/>
          <w:bCs/>
          <w:color w:val="000000"/>
          <w:kern w:val="22"/>
          <w:szCs w:val="22"/>
        </w:rPr>
        <w:t xml:space="preserve">und (BE) in </w:t>
      </w:r>
      <w:r w:rsidR="005D5152" w:rsidRPr="00964E40">
        <w:rPr>
          <w:b/>
          <w:bCs/>
          <w:color w:val="000000"/>
          <w:kern w:val="22"/>
          <w:szCs w:val="22"/>
        </w:rPr>
        <w:t>S</w:t>
      </w:r>
      <w:r w:rsidRPr="00964E40">
        <w:rPr>
          <w:b/>
          <w:bCs/>
          <w:color w:val="000000"/>
          <w:kern w:val="22"/>
          <w:szCs w:val="22"/>
        </w:rPr>
        <w:t xml:space="preserve">upport of </w:t>
      </w:r>
      <w:r w:rsidR="005D5152" w:rsidRPr="00964E40">
        <w:rPr>
          <w:b/>
          <w:bCs/>
          <w:color w:val="000000"/>
          <w:kern w:val="22"/>
          <w:szCs w:val="22"/>
        </w:rPr>
        <w:t>A</w:t>
      </w:r>
      <w:r w:rsidRPr="00964E40">
        <w:rPr>
          <w:b/>
          <w:bCs/>
          <w:color w:val="000000"/>
          <w:kern w:val="22"/>
          <w:szCs w:val="22"/>
        </w:rPr>
        <w:t xml:space="preserve">pproved </w:t>
      </w:r>
      <w:r w:rsidR="005D5152" w:rsidRPr="00964E40">
        <w:rPr>
          <w:b/>
          <w:bCs/>
          <w:color w:val="000000"/>
          <w:kern w:val="22"/>
          <w:szCs w:val="22"/>
        </w:rPr>
        <w:t>A</w:t>
      </w:r>
      <w:r w:rsidRPr="00964E40">
        <w:rPr>
          <w:b/>
          <w:bCs/>
          <w:color w:val="000000"/>
          <w:kern w:val="22"/>
          <w:szCs w:val="22"/>
        </w:rPr>
        <w:t>ctivities for the period 2019-2020</w:t>
      </w:r>
      <w:r w:rsidRPr="00964E40">
        <w:rPr>
          <w:b/>
          <w:bCs/>
          <w:color w:val="000000"/>
          <w:kern w:val="22"/>
          <w:szCs w:val="22"/>
        </w:rPr>
        <w:br/>
      </w:r>
      <w:r w:rsidRPr="00964E40">
        <w:rPr>
          <w:i/>
          <w:iCs/>
          <w:color w:val="000000"/>
          <w:kern w:val="22"/>
          <w:szCs w:val="22"/>
        </w:rPr>
        <w:t>(United States dollars)</w:t>
      </w:r>
    </w:p>
    <w:tbl>
      <w:tblPr>
        <w:tblW w:w="822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662"/>
        <w:gridCol w:w="1559"/>
      </w:tblGrid>
      <w:tr w:rsidR="000D4DA8" w:rsidRPr="00964E40" w14:paraId="478062D8" w14:textId="77777777" w:rsidTr="005F3D62">
        <w:trPr>
          <w:cantSplit/>
          <w:jc w:val="center"/>
        </w:trPr>
        <w:tc>
          <w:tcPr>
            <w:tcW w:w="6662" w:type="dxa"/>
            <w:shd w:val="clear" w:color="auto" w:fill="auto"/>
            <w:noWrap/>
            <w:hideMark/>
          </w:tcPr>
          <w:p w14:paraId="45452712" w14:textId="7E35E10A" w:rsidR="000D4DA8" w:rsidRPr="005F3D62" w:rsidRDefault="000D4DA8" w:rsidP="005F3D62">
            <w:pPr>
              <w:suppressLineNumbers/>
              <w:suppressAutoHyphens/>
              <w:spacing w:before="20" w:after="20"/>
              <w:jc w:val="center"/>
              <w:rPr>
                <w:b/>
                <w:bCs/>
                <w:color w:val="000000"/>
                <w:kern w:val="22"/>
                <w:szCs w:val="22"/>
              </w:rPr>
            </w:pPr>
            <w:r w:rsidRPr="005F3D62">
              <w:rPr>
                <w:b/>
                <w:bCs/>
                <w:color w:val="000000"/>
                <w:kern w:val="22"/>
                <w:szCs w:val="22"/>
              </w:rPr>
              <w:t xml:space="preserve">Funded </w:t>
            </w:r>
            <w:r w:rsidR="002D4729" w:rsidRPr="005F3D62">
              <w:rPr>
                <w:b/>
                <w:bCs/>
                <w:color w:val="000000"/>
                <w:kern w:val="22"/>
                <w:szCs w:val="22"/>
              </w:rPr>
              <w:t>a</w:t>
            </w:r>
            <w:r w:rsidRPr="005F3D62">
              <w:rPr>
                <w:b/>
                <w:bCs/>
                <w:color w:val="000000"/>
                <w:kern w:val="22"/>
                <w:szCs w:val="22"/>
              </w:rPr>
              <w:t>ctivities</w:t>
            </w:r>
          </w:p>
        </w:tc>
        <w:tc>
          <w:tcPr>
            <w:tcW w:w="1559" w:type="dxa"/>
            <w:shd w:val="clear" w:color="auto" w:fill="auto"/>
            <w:noWrap/>
            <w:hideMark/>
          </w:tcPr>
          <w:p w14:paraId="08F8AFE4" w14:textId="740748AC" w:rsidR="000D4DA8" w:rsidRPr="005F3D62" w:rsidRDefault="000D4DA8" w:rsidP="005F3D62">
            <w:pPr>
              <w:suppressLineNumbers/>
              <w:suppressAutoHyphens/>
              <w:spacing w:before="20" w:after="20"/>
              <w:jc w:val="center"/>
              <w:rPr>
                <w:b/>
                <w:bCs/>
                <w:color w:val="000000"/>
                <w:kern w:val="22"/>
                <w:szCs w:val="22"/>
              </w:rPr>
            </w:pPr>
            <w:r w:rsidRPr="005F3D62">
              <w:rPr>
                <w:b/>
                <w:bCs/>
                <w:color w:val="000000"/>
                <w:kern w:val="22"/>
                <w:szCs w:val="22"/>
              </w:rPr>
              <w:t>Amount</w:t>
            </w:r>
          </w:p>
        </w:tc>
      </w:tr>
      <w:tr w:rsidR="000D4DA8" w:rsidRPr="00964E40" w14:paraId="22F5EAFE" w14:textId="77777777" w:rsidTr="005F3D62">
        <w:trPr>
          <w:cantSplit/>
          <w:jc w:val="center"/>
        </w:trPr>
        <w:tc>
          <w:tcPr>
            <w:tcW w:w="6662" w:type="dxa"/>
            <w:shd w:val="clear" w:color="auto" w:fill="auto"/>
            <w:hideMark/>
          </w:tcPr>
          <w:p w14:paraId="235CC7F8" w14:textId="77777777" w:rsidR="000D4DA8" w:rsidRPr="005F3D62" w:rsidRDefault="000D4DA8" w:rsidP="005F3D62">
            <w:pPr>
              <w:suppressLineNumbers/>
              <w:suppressAutoHyphens/>
              <w:spacing w:before="20" w:after="20"/>
              <w:rPr>
                <w:color w:val="000000"/>
                <w:kern w:val="22"/>
                <w:szCs w:val="22"/>
              </w:rPr>
            </w:pPr>
            <w:r w:rsidRPr="005F3D62">
              <w:rPr>
                <w:color w:val="000000"/>
                <w:kern w:val="22"/>
                <w:szCs w:val="22"/>
              </w:rPr>
              <w:t>Regional Consultation on the Post-2020 Global Biodiversity Framework</w:t>
            </w:r>
          </w:p>
        </w:tc>
        <w:tc>
          <w:tcPr>
            <w:tcW w:w="1559" w:type="dxa"/>
            <w:shd w:val="clear" w:color="auto" w:fill="auto"/>
            <w:noWrap/>
            <w:hideMark/>
          </w:tcPr>
          <w:p w14:paraId="39704438" w14:textId="567BDB0E" w:rsidR="000D4DA8" w:rsidRPr="005F3D62" w:rsidRDefault="000D4DA8" w:rsidP="005F3D62">
            <w:pPr>
              <w:suppressLineNumbers/>
              <w:suppressAutoHyphens/>
              <w:spacing w:before="20" w:after="20"/>
              <w:ind w:right="284"/>
              <w:jc w:val="right"/>
              <w:rPr>
                <w:color w:val="000000"/>
                <w:kern w:val="22"/>
                <w:szCs w:val="22"/>
              </w:rPr>
            </w:pPr>
            <w:r w:rsidRPr="005F3D62">
              <w:rPr>
                <w:color w:val="000000"/>
                <w:kern w:val="22"/>
                <w:szCs w:val="22"/>
              </w:rPr>
              <w:t>863</w:t>
            </w:r>
            <w:r w:rsidR="00E709C2" w:rsidRPr="00964E40">
              <w:rPr>
                <w:color w:val="000000"/>
                <w:kern w:val="22"/>
                <w:szCs w:val="22"/>
              </w:rPr>
              <w:t xml:space="preserve"> </w:t>
            </w:r>
            <w:r w:rsidRPr="005F3D62">
              <w:rPr>
                <w:color w:val="000000"/>
                <w:kern w:val="22"/>
                <w:szCs w:val="22"/>
              </w:rPr>
              <w:t>000</w:t>
            </w:r>
          </w:p>
        </w:tc>
      </w:tr>
      <w:tr w:rsidR="000D4DA8" w:rsidRPr="00964E40" w14:paraId="3E4E9B0E" w14:textId="77777777" w:rsidTr="005F3D62">
        <w:trPr>
          <w:cantSplit/>
          <w:jc w:val="center"/>
        </w:trPr>
        <w:tc>
          <w:tcPr>
            <w:tcW w:w="6662" w:type="dxa"/>
            <w:shd w:val="clear" w:color="auto" w:fill="auto"/>
            <w:hideMark/>
          </w:tcPr>
          <w:p w14:paraId="4F44D329" w14:textId="013AE1EA" w:rsidR="000D4DA8" w:rsidRPr="005F3D62" w:rsidRDefault="000D4DA8" w:rsidP="005F3D62">
            <w:pPr>
              <w:suppressLineNumbers/>
              <w:suppressAutoHyphens/>
              <w:spacing w:before="20" w:after="20"/>
              <w:rPr>
                <w:color w:val="000000"/>
                <w:kern w:val="22"/>
                <w:szCs w:val="22"/>
              </w:rPr>
            </w:pPr>
            <w:r w:rsidRPr="005F3D62">
              <w:rPr>
                <w:color w:val="000000"/>
                <w:kern w:val="22"/>
                <w:szCs w:val="22"/>
              </w:rPr>
              <w:t xml:space="preserve">Post-2020 </w:t>
            </w:r>
            <w:r w:rsidR="002D4729" w:rsidRPr="005F3D62">
              <w:rPr>
                <w:color w:val="000000"/>
                <w:kern w:val="22"/>
                <w:szCs w:val="22"/>
              </w:rPr>
              <w:t>g</w:t>
            </w:r>
            <w:r w:rsidRPr="005F3D62">
              <w:rPr>
                <w:color w:val="000000"/>
                <w:kern w:val="22"/>
                <w:szCs w:val="22"/>
              </w:rPr>
              <w:t xml:space="preserve">lobal </w:t>
            </w:r>
            <w:r w:rsidR="002D4729" w:rsidRPr="005F3D62">
              <w:rPr>
                <w:color w:val="000000"/>
                <w:kern w:val="22"/>
                <w:szCs w:val="22"/>
              </w:rPr>
              <w:t>b</w:t>
            </w:r>
            <w:r w:rsidRPr="005F3D62">
              <w:rPr>
                <w:color w:val="000000"/>
                <w:kern w:val="22"/>
                <w:szCs w:val="22"/>
              </w:rPr>
              <w:t xml:space="preserve">iodiversity </w:t>
            </w:r>
            <w:r w:rsidR="002D4729" w:rsidRPr="005F3D62">
              <w:rPr>
                <w:color w:val="000000"/>
                <w:kern w:val="22"/>
                <w:szCs w:val="22"/>
              </w:rPr>
              <w:t>f</w:t>
            </w:r>
            <w:r w:rsidRPr="005F3D62">
              <w:rPr>
                <w:color w:val="000000"/>
                <w:kern w:val="22"/>
                <w:szCs w:val="22"/>
              </w:rPr>
              <w:t>ramework related activities</w:t>
            </w:r>
          </w:p>
        </w:tc>
        <w:tc>
          <w:tcPr>
            <w:tcW w:w="1559" w:type="dxa"/>
            <w:shd w:val="clear" w:color="auto" w:fill="auto"/>
            <w:noWrap/>
            <w:hideMark/>
          </w:tcPr>
          <w:p w14:paraId="1E65B146" w14:textId="6275F1DF" w:rsidR="000D4DA8" w:rsidRPr="005F3D62" w:rsidRDefault="000D4DA8" w:rsidP="005F3D62">
            <w:pPr>
              <w:suppressLineNumbers/>
              <w:suppressAutoHyphens/>
              <w:spacing w:before="20" w:after="20"/>
              <w:ind w:right="284"/>
              <w:jc w:val="right"/>
              <w:rPr>
                <w:color w:val="000000"/>
                <w:kern w:val="22"/>
                <w:szCs w:val="22"/>
              </w:rPr>
            </w:pPr>
            <w:r w:rsidRPr="005F3D62">
              <w:rPr>
                <w:color w:val="000000"/>
                <w:kern w:val="22"/>
                <w:szCs w:val="22"/>
              </w:rPr>
              <w:t>1</w:t>
            </w:r>
            <w:r w:rsidR="00E709C2" w:rsidRPr="00964E40">
              <w:rPr>
                <w:color w:val="000000"/>
                <w:kern w:val="22"/>
                <w:szCs w:val="22"/>
              </w:rPr>
              <w:t xml:space="preserve"> </w:t>
            </w:r>
            <w:r w:rsidRPr="005F3D62">
              <w:rPr>
                <w:color w:val="000000"/>
                <w:kern w:val="22"/>
                <w:szCs w:val="22"/>
              </w:rPr>
              <w:t>957</w:t>
            </w:r>
            <w:r w:rsidR="00E709C2" w:rsidRPr="00964E40">
              <w:rPr>
                <w:color w:val="000000"/>
                <w:kern w:val="22"/>
                <w:szCs w:val="22"/>
              </w:rPr>
              <w:t xml:space="preserve"> </w:t>
            </w:r>
            <w:r w:rsidRPr="005F3D62">
              <w:rPr>
                <w:color w:val="000000"/>
                <w:kern w:val="22"/>
                <w:szCs w:val="22"/>
              </w:rPr>
              <w:t>000</w:t>
            </w:r>
          </w:p>
        </w:tc>
      </w:tr>
      <w:tr w:rsidR="000D4DA8" w:rsidRPr="00964E40" w14:paraId="0940D003" w14:textId="77777777" w:rsidTr="005F3D62">
        <w:trPr>
          <w:cantSplit/>
          <w:jc w:val="center"/>
        </w:trPr>
        <w:tc>
          <w:tcPr>
            <w:tcW w:w="6662" w:type="dxa"/>
            <w:shd w:val="clear" w:color="auto" w:fill="auto"/>
            <w:hideMark/>
          </w:tcPr>
          <w:p w14:paraId="689F2CA5" w14:textId="61CCE39B" w:rsidR="000D4DA8" w:rsidRPr="005F3D62" w:rsidRDefault="002D4729" w:rsidP="005F3D62">
            <w:pPr>
              <w:suppressLineNumbers/>
              <w:suppressAutoHyphens/>
              <w:spacing w:before="20" w:after="20"/>
              <w:rPr>
                <w:color w:val="000000"/>
                <w:kern w:val="22"/>
                <w:szCs w:val="22"/>
              </w:rPr>
            </w:pPr>
            <w:r w:rsidRPr="005F3D62">
              <w:rPr>
                <w:color w:val="000000"/>
                <w:kern w:val="22"/>
                <w:szCs w:val="22"/>
              </w:rPr>
              <w:t>Fifth editi</w:t>
            </w:r>
            <w:r w:rsidR="005B0190" w:rsidRPr="005F3D62">
              <w:rPr>
                <w:color w:val="000000"/>
                <w:kern w:val="22"/>
                <w:szCs w:val="22"/>
              </w:rPr>
              <w:t xml:space="preserve">on of the </w:t>
            </w:r>
            <w:r w:rsidR="000D4DA8" w:rsidRPr="005F3D62">
              <w:rPr>
                <w:i/>
                <w:iCs/>
                <w:color w:val="000000"/>
                <w:kern w:val="22"/>
                <w:szCs w:val="22"/>
              </w:rPr>
              <w:t>Global Biodiversity Outlook</w:t>
            </w:r>
          </w:p>
        </w:tc>
        <w:tc>
          <w:tcPr>
            <w:tcW w:w="1559" w:type="dxa"/>
            <w:shd w:val="clear" w:color="auto" w:fill="auto"/>
            <w:noWrap/>
            <w:hideMark/>
          </w:tcPr>
          <w:p w14:paraId="3D809780" w14:textId="0C44AB38" w:rsidR="000D4DA8" w:rsidRPr="005F3D62" w:rsidRDefault="000D4DA8" w:rsidP="005F3D62">
            <w:pPr>
              <w:suppressLineNumbers/>
              <w:suppressAutoHyphens/>
              <w:spacing w:before="20" w:after="20"/>
              <w:ind w:right="284"/>
              <w:jc w:val="right"/>
              <w:rPr>
                <w:color w:val="000000"/>
                <w:kern w:val="22"/>
                <w:szCs w:val="22"/>
              </w:rPr>
            </w:pPr>
            <w:r w:rsidRPr="005F3D62">
              <w:rPr>
                <w:color w:val="000000"/>
                <w:kern w:val="22"/>
                <w:szCs w:val="22"/>
              </w:rPr>
              <w:t>255</w:t>
            </w:r>
            <w:r w:rsidR="00E709C2" w:rsidRPr="00964E40">
              <w:rPr>
                <w:color w:val="000000"/>
                <w:kern w:val="22"/>
                <w:szCs w:val="22"/>
              </w:rPr>
              <w:t xml:space="preserve"> </w:t>
            </w:r>
            <w:r w:rsidRPr="005F3D62">
              <w:rPr>
                <w:color w:val="000000"/>
                <w:kern w:val="22"/>
                <w:szCs w:val="22"/>
              </w:rPr>
              <w:t>325</w:t>
            </w:r>
          </w:p>
        </w:tc>
      </w:tr>
      <w:tr w:rsidR="000D4DA8" w:rsidRPr="00964E40" w14:paraId="57D9CFFC" w14:textId="77777777" w:rsidTr="005F3D62">
        <w:trPr>
          <w:cantSplit/>
          <w:jc w:val="center"/>
        </w:trPr>
        <w:tc>
          <w:tcPr>
            <w:tcW w:w="6662" w:type="dxa"/>
            <w:shd w:val="clear" w:color="auto" w:fill="auto"/>
            <w:hideMark/>
          </w:tcPr>
          <w:p w14:paraId="1678B3A5" w14:textId="7F73E4E9" w:rsidR="000D4DA8" w:rsidRPr="005F3D62" w:rsidRDefault="000D4DA8" w:rsidP="005F3D62">
            <w:pPr>
              <w:suppressLineNumbers/>
              <w:suppressAutoHyphens/>
              <w:spacing w:before="20" w:after="20"/>
              <w:rPr>
                <w:color w:val="000000"/>
                <w:kern w:val="22"/>
                <w:szCs w:val="22"/>
              </w:rPr>
            </w:pPr>
            <w:r w:rsidRPr="005F3D62">
              <w:rPr>
                <w:color w:val="000000"/>
                <w:kern w:val="22"/>
                <w:szCs w:val="22"/>
              </w:rPr>
              <w:t xml:space="preserve">Protected areas </w:t>
            </w:r>
            <w:r w:rsidR="005B0190" w:rsidRPr="005F3D62">
              <w:rPr>
                <w:color w:val="000000"/>
                <w:kern w:val="22"/>
                <w:szCs w:val="22"/>
              </w:rPr>
              <w:t>s</w:t>
            </w:r>
            <w:r w:rsidRPr="005F3D62">
              <w:rPr>
                <w:color w:val="000000"/>
                <w:kern w:val="22"/>
                <w:szCs w:val="22"/>
              </w:rPr>
              <w:t xml:space="preserve">trategy and Aichi </w:t>
            </w:r>
            <w:r w:rsidR="005B0190" w:rsidRPr="005F3D62">
              <w:rPr>
                <w:color w:val="000000"/>
                <w:kern w:val="22"/>
                <w:szCs w:val="22"/>
              </w:rPr>
              <w:t xml:space="preserve">Biodiversity </w:t>
            </w:r>
            <w:r w:rsidRPr="005F3D62">
              <w:rPr>
                <w:color w:val="000000"/>
                <w:kern w:val="22"/>
                <w:szCs w:val="22"/>
              </w:rPr>
              <w:t>Target 11</w:t>
            </w:r>
          </w:p>
        </w:tc>
        <w:tc>
          <w:tcPr>
            <w:tcW w:w="1559" w:type="dxa"/>
            <w:shd w:val="clear" w:color="auto" w:fill="auto"/>
            <w:noWrap/>
            <w:hideMark/>
          </w:tcPr>
          <w:p w14:paraId="2F908F65" w14:textId="1C21BA21" w:rsidR="000D4DA8" w:rsidRPr="005F3D62" w:rsidRDefault="000D4DA8" w:rsidP="005F3D62">
            <w:pPr>
              <w:suppressLineNumbers/>
              <w:suppressAutoHyphens/>
              <w:spacing w:before="20" w:after="20"/>
              <w:ind w:right="284"/>
              <w:jc w:val="right"/>
              <w:rPr>
                <w:color w:val="000000"/>
                <w:kern w:val="22"/>
                <w:szCs w:val="22"/>
              </w:rPr>
            </w:pPr>
            <w:r w:rsidRPr="005F3D62">
              <w:rPr>
                <w:color w:val="000000"/>
                <w:kern w:val="22"/>
                <w:szCs w:val="22"/>
              </w:rPr>
              <w:t>399</w:t>
            </w:r>
            <w:r w:rsidR="00E709C2" w:rsidRPr="00964E40">
              <w:rPr>
                <w:color w:val="000000"/>
                <w:kern w:val="22"/>
                <w:szCs w:val="22"/>
              </w:rPr>
              <w:t xml:space="preserve"> </w:t>
            </w:r>
            <w:r w:rsidRPr="005F3D62">
              <w:rPr>
                <w:color w:val="000000"/>
                <w:kern w:val="22"/>
                <w:szCs w:val="22"/>
              </w:rPr>
              <w:t>450</w:t>
            </w:r>
          </w:p>
        </w:tc>
      </w:tr>
      <w:tr w:rsidR="000D4DA8" w:rsidRPr="00964E40" w14:paraId="312943E5" w14:textId="77777777" w:rsidTr="005F3D62">
        <w:trPr>
          <w:cantSplit/>
          <w:jc w:val="center"/>
        </w:trPr>
        <w:tc>
          <w:tcPr>
            <w:tcW w:w="6662" w:type="dxa"/>
            <w:shd w:val="clear" w:color="auto" w:fill="auto"/>
            <w:hideMark/>
          </w:tcPr>
          <w:p w14:paraId="5A0CDC86" w14:textId="54EE44A7" w:rsidR="000D4DA8" w:rsidRPr="005F3D62" w:rsidRDefault="000D4DA8" w:rsidP="005F3D62">
            <w:pPr>
              <w:suppressLineNumbers/>
              <w:suppressAutoHyphens/>
              <w:spacing w:before="20" w:after="20"/>
              <w:rPr>
                <w:color w:val="000000"/>
                <w:kern w:val="22"/>
                <w:szCs w:val="22"/>
              </w:rPr>
            </w:pPr>
            <w:r w:rsidRPr="005F3D62">
              <w:rPr>
                <w:color w:val="000000"/>
                <w:kern w:val="22"/>
                <w:szCs w:val="22"/>
              </w:rPr>
              <w:t>Marine and related topics</w:t>
            </w:r>
          </w:p>
        </w:tc>
        <w:tc>
          <w:tcPr>
            <w:tcW w:w="1559" w:type="dxa"/>
            <w:shd w:val="clear" w:color="auto" w:fill="auto"/>
            <w:noWrap/>
            <w:hideMark/>
          </w:tcPr>
          <w:p w14:paraId="3A74E2B0" w14:textId="53CC8B24" w:rsidR="000D4DA8" w:rsidRPr="005F3D62" w:rsidRDefault="000D4DA8" w:rsidP="005F3D62">
            <w:pPr>
              <w:suppressLineNumbers/>
              <w:suppressAutoHyphens/>
              <w:spacing w:before="20" w:after="20"/>
              <w:ind w:right="284"/>
              <w:jc w:val="right"/>
              <w:rPr>
                <w:color w:val="000000"/>
                <w:kern w:val="22"/>
                <w:szCs w:val="22"/>
              </w:rPr>
            </w:pPr>
            <w:r w:rsidRPr="005F3D62">
              <w:rPr>
                <w:color w:val="000000"/>
                <w:kern w:val="22"/>
                <w:szCs w:val="22"/>
              </w:rPr>
              <w:t>590</w:t>
            </w:r>
            <w:r w:rsidR="00E709C2" w:rsidRPr="00964E40">
              <w:rPr>
                <w:color w:val="000000"/>
                <w:kern w:val="22"/>
                <w:szCs w:val="22"/>
              </w:rPr>
              <w:t xml:space="preserve"> </w:t>
            </w:r>
            <w:r w:rsidRPr="005F3D62">
              <w:rPr>
                <w:color w:val="000000"/>
                <w:kern w:val="22"/>
                <w:szCs w:val="22"/>
              </w:rPr>
              <w:t>000</w:t>
            </w:r>
          </w:p>
        </w:tc>
      </w:tr>
      <w:tr w:rsidR="000D4DA8" w:rsidRPr="00964E40" w14:paraId="3B41EB80" w14:textId="77777777" w:rsidTr="005F3D62">
        <w:trPr>
          <w:cantSplit/>
          <w:jc w:val="center"/>
        </w:trPr>
        <w:tc>
          <w:tcPr>
            <w:tcW w:w="6662" w:type="dxa"/>
            <w:shd w:val="clear" w:color="auto" w:fill="auto"/>
            <w:hideMark/>
          </w:tcPr>
          <w:p w14:paraId="171E6662" w14:textId="77777777" w:rsidR="000D4DA8" w:rsidRPr="005F3D62" w:rsidRDefault="000D4DA8" w:rsidP="005F3D62">
            <w:pPr>
              <w:suppressLineNumbers/>
              <w:suppressAutoHyphens/>
              <w:spacing w:before="20" w:after="20"/>
              <w:rPr>
                <w:color w:val="000000"/>
                <w:kern w:val="22"/>
                <w:szCs w:val="22"/>
              </w:rPr>
            </w:pPr>
            <w:r w:rsidRPr="005F3D62">
              <w:rPr>
                <w:color w:val="000000"/>
                <w:kern w:val="22"/>
                <w:szCs w:val="22"/>
              </w:rPr>
              <w:t>Bio-Bridge Initiative</w:t>
            </w:r>
          </w:p>
        </w:tc>
        <w:tc>
          <w:tcPr>
            <w:tcW w:w="1559" w:type="dxa"/>
            <w:shd w:val="clear" w:color="auto" w:fill="auto"/>
            <w:noWrap/>
            <w:hideMark/>
          </w:tcPr>
          <w:p w14:paraId="044A8E4E" w14:textId="6902C110" w:rsidR="000D4DA8" w:rsidRPr="005F3D62" w:rsidRDefault="000D4DA8" w:rsidP="005F3D62">
            <w:pPr>
              <w:suppressLineNumbers/>
              <w:suppressAutoHyphens/>
              <w:spacing w:before="20" w:after="20"/>
              <w:ind w:right="284"/>
              <w:jc w:val="right"/>
              <w:rPr>
                <w:color w:val="000000"/>
                <w:kern w:val="22"/>
                <w:szCs w:val="22"/>
              </w:rPr>
            </w:pPr>
            <w:r w:rsidRPr="005F3D62">
              <w:rPr>
                <w:color w:val="000000"/>
                <w:kern w:val="22"/>
                <w:szCs w:val="22"/>
              </w:rPr>
              <w:t>994</w:t>
            </w:r>
            <w:r w:rsidR="00E709C2" w:rsidRPr="00964E40">
              <w:rPr>
                <w:color w:val="000000"/>
                <w:kern w:val="22"/>
                <w:szCs w:val="22"/>
              </w:rPr>
              <w:t xml:space="preserve"> </w:t>
            </w:r>
            <w:r w:rsidRPr="005F3D62">
              <w:rPr>
                <w:color w:val="000000"/>
                <w:kern w:val="22"/>
                <w:szCs w:val="22"/>
              </w:rPr>
              <w:t>670</w:t>
            </w:r>
          </w:p>
        </w:tc>
      </w:tr>
      <w:tr w:rsidR="000D4DA8" w:rsidRPr="00964E40" w14:paraId="3A21C616" w14:textId="77777777" w:rsidTr="005F3D62">
        <w:trPr>
          <w:cantSplit/>
          <w:jc w:val="center"/>
        </w:trPr>
        <w:tc>
          <w:tcPr>
            <w:tcW w:w="6662" w:type="dxa"/>
            <w:shd w:val="clear" w:color="auto" w:fill="auto"/>
            <w:hideMark/>
          </w:tcPr>
          <w:p w14:paraId="6AF46AEF" w14:textId="29B56C9D" w:rsidR="000D4DA8" w:rsidRPr="005F3D62" w:rsidRDefault="000D4DA8" w:rsidP="005F3D62">
            <w:pPr>
              <w:suppressLineNumbers/>
              <w:suppressAutoHyphens/>
              <w:spacing w:before="20" w:after="20"/>
              <w:rPr>
                <w:kern w:val="22"/>
                <w:szCs w:val="22"/>
              </w:rPr>
            </w:pPr>
            <w:r w:rsidRPr="005F3D62">
              <w:rPr>
                <w:color w:val="000000"/>
                <w:kern w:val="22"/>
                <w:szCs w:val="22"/>
              </w:rPr>
              <w:t xml:space="preserve">Ecosystem </w:t>
            </w:r>
            <w:r w:rsidR="005B0190" w:rsidRPr="005F3D62">
              <w:rPr>
                <w:color w:val="000000"/>
                <w:kern w:val="22"/>
                <w:szCs w:val="22"/>
              </w:rPr>
              <w:t>r</w:t>
            </w:r>
            <w:r w:rsidRPr="005F3D62">
              <w:rPr>
                <w:color w:val="000000"/>
                <w:kern w:val="22"/>
                <w:szCs w:val="22"/>
              </w:rPr>
              <w:t>estoration</w:t>
            </w:r>
          </w:p>
        </w:tc>
        <w:tc>
          <w:tcPr>
            <w:tcW w:w="1559" w:type="dxa"/>
            <w:shd w:val="clear" w:color="auto" w:fill="auto"/>
            <w:noWrap/>
            <w:hideMark/>
          </w:tcPr>
          <w:p w14:paraId="3DB74012" w14:textId="301488CB" w:rsidR="000D4DA8" w:rsidRPr="005F3D62" w:rsidRDefault="000D4DA8" w:rsidP="005F3D62">
            <w:pPr>
              <w:suppressLineNumbers/>
              <w:suppressAutoHyphens/>
              <w:spacing w:before="20" w:after="20"/>
              <w:ind w:right="284"/>
              <w:jc w:val="right"/>
              <w:rPr>
                <w:color w:val="000000"/>
                <w:kern w:val="22"/>
                <w:szCs w:val="22"/>
              </w:rPr>
            </w:pPr>
            <w:r w:rsidRPr="005F3D62">
              <w:rPr>
                <w:color w:val="000000"/>
                <w:kern w:val="22"/>
                <w:szCs w:val="22"/>
              </w:rPr>
              <w:t>776</w:t>
            </w:r>
            <w:r w:rsidR="00E709C2" w:rsidRPr="00964E40">
              <w:rPr>
                <w:color w:val="000000"/>
                <w:kern w:val="22"/>
                <w:szCs w:val="22"/>
              </w:rPr>
              <w:t xml:space="preserve"> </w:t>
            </w:r>
            <w:r w:rsidRPr="005F3D62">
              <w:rPr>
                <w:color w:val="000000"/>
                <w:kern w:val="22"/>
                <w:szCs w:val="22"/>
              </w:rPr>
              <w:t>122</w:t>
            </w:r>
          </w:p>
        </w:tc>
      </w:tr>
      <w:tr w:rsidR="000D4DA8" w:rsidRPr="00964E40" w14:paraId="4B6AB076" w14:textId="77777777" w:rsidTr="005F3D62">
        <w:trPr>
          <w:cantSplit/>
          <w:jc w:val="center"/>
        </w:trPr>
        <w:tc>
          <w:tcPr>
            <w:tcW w:w="6662" w:type="dxa"/>
            <w:shd w:val="clear" w:color="auto" w:fill="auto"/>
            <w:hideMark/>
          </w:tcPr>
          <w:p w14:paraId="3CB901C6" w14:textId="473E3E0D" w:rsidR="000D4DA8" w:rsidRPr="005F3D62" w:rsidRDefault="000D4DA8" w:rsidP="005F3D62">
            <w:pPr>
              <w:suppressLineNumbers/>
              <w:suppressAutoHyphens/>
              <w:spacing w:before="20" w:after="20"/>
              <w:rPr>
                <w:kern w:val="22"/>
                <w:szCs w:val="22"/>
              </w:rPr>
            </w:pPr>
            <w:r w:rsidRPr="005F3D62">
              <w:rPr>
                <w:color w:val="000000"/>
                <w:kern w:val="22"/>
                <w:szCs w:val="22"/>
              </w:rPr>
              <w:t xml:space="preserve">Digital </w:t>
            </w:r>
            <w:r w:rsidR="005B0190" w:rsidRPr="005F3D62">
              <w:rPr>
                <w:color w:val="000000"/>
                <w:kern w:val="22"/>
                <w:szCs w:val="22"/>
              </w:rPr>
              <w:t>s</w:t>
            </w:r>
            <w:r w:rsidRPr="005F3D62">
              <w:rPr>
                <w:color w:val="000000"/>
                <w:kern w:val="22"/>
                <w:szCs w:val="22"/>
              </w:rPr>
              <w:t xml:space="preserve">equence </w:t>
            </w:r>
            <w:r w:rsidR="005B0190" w:rsidRPr="005F3D62">
              <w:rPr>
                <w:color w:val="000000"/>
                <w:kern w:val="22"/>
                <w:szCs w:val="22"/>
              </w:rPr>
              <w:t>i</w:t>
            </w:r>
            <w:r w:rsidRPr="005F3D62">
              <w:rPr>
                <w:color w:val="000000"/>
                <w:kern w:val="22"/>
                <w:szCs w:val="22"/>
              </w:rPr>
              <w:t>nformation</w:t>
            </w:r>
          </w:p>
        </w:tc>
        <w:tc>
          <w:tcPr>
            <w:tcW w:w="1559" w:type="dxa"/>
            <w:shd w:val="clear" w:color="auto" w:fill="auto"/>
            <w:noWrap/>
            <w:hideMark/>
          </w:tcPr>
          <w:p w14:paraId="2085E338" w14:textId="39DF55A2" w:rsidR="000D4DA8" w:rsidRPr="005F3D62" w:rsidRDefault="000D4DA8" w:rsidP="005F3D62">
            <w:pPr>
              <w:suppressLineNumbers/>
              <w:suppressAutoHyphens/>
              <w:spacing w:before="20" w:after="20"/>
              <w:ind w:right="284"/>
              <w:jc w:val="right"/>
              <w:rPr>
                <w:color w:val="000000"/>
                <w:kern w:val="22"/>
                <w:szCs w:val="22"/>
              </w:rPr>
            </w:pPr>
            <w:r w:rsidRPr="005F3D62">
              <w:rPr>
                <w:color w:val="000000"/>
                <w:kern w:val="22"/>
                <w:szCs w:val="22"/>
              </w:rPr>
              <w:t>570</w:t>
            </w:r>
            <w:r w:rsidR="00E709C2" w:rsidRPr="00964E40">
              <w:rPr>
                <w:color w:val="000000"/>
                <w:kern w:val="22"/>
                <w:szCs w:val="22"/>
              </w:rPr>
              <w:t xml:space="preserve"> </w:t>
            </w:r>
            <w:r w:rsidRPr="005F3D62">
              <w:rPr>
                <w:color w:val="000000"/>
                <w:kern w:val="22"/>
                <w:szCs w:val="22"/>
              </w:rPr>
              <w:t>331</w:t>
            </w:r>
          </w:p>
        </w:tc>
      </w:tr>
      <w:tr w:rsidR="000D4DA8" w:rsidRPr="00964E40" w14:paraId="66C4C0BE" w14:textId="77777777" w:rsidTr="005F3D62">
        <w:trPr>
          <w:cantSplit/>
          <w:jc w:val="center"/>
        </w:trPr>
        <w:tc>
          <w:tcPr>
            <w:tcW w:w="6662" w:type="dxa"/>
            <w:shd w:val="clear" w:color="auto" w:fill="auto"/>
          </w:tcPr>
          <w:p w14:paraId="570085E4" w14:textId="47E50AAF" w:rsidR="000D4DA8" w:rsidRPr="005F3D62" w:rsidRDefault="000D4DA8" w:rsidP="005F3D62">
            <w:pPr>
              <w:suppressLineNumbers/>
              <w:suppressAutoHyphens/>
              <w:spacing w:before="20" w:after="20"/>
              <w:rPr>
                <w:color w:val="000000"/>
                <w:kern w:val="22"/>
                <w:szCs w:val="22"/>
              </w:rPr>
            </w:pPr>
            <w:r w:rsidRPr="005F3D62">
              <w:rPr>
                <w:color w:val="000000"/>
                <w:kern w:val="22"/>
                <w:szCs w:val="22"/>
              </w:rPr>
              <w:t>Other activities</w:t>
            </w:r>
          </w:p>
        </w:tc>
        <w:tc>
          <w:tcPr>
            <w:tcW w:w="1559" w:type="dxa"/>
            <w:shd w:val="clear" w:color="auto" w:fill="auto"/>
            <w:noWrap/>
          </w:tcPr>
          <w:p w14:paraId="4A1D72AA" w14:textId="43F330BA" w:rsidR="000D4DA8" w:rsidRPr="005F3D62" w:rsidRDefault="000D4DA8" w:rsidP="005F3D62">
            <w:pPr>
              <w:suppressLineNumbers/>
              <w:suppressAutoHyphens/>
              <w:spacing w:before="20" w:after="20"/>
              <w:ind w:right="284"/>
              <w:jc w:val="right"/>
              <w:rPr>
                <w:color w:val="000000"/>
                <w:kern w:val="22"/>
                <w:szCs w:val="22"/>
              </w:rPr>
            </w:pPr>
            <w:r w:rsidRPr="005F3D62">
              <w:rPr>
                <w:color w:val="000000"/>
                <w:kern w:val="22"/>
                <w:szCs w:val="22"/>
              </w:rPr>
              <w:t>1</w:t>
            </w:r>
            <w:r w:rsidR="00E709C2" w:rsidRPr="00964E40">
              <w:rPr>
                <w:color w:val="000000"/>
                <w:kern w:val="22"/>
                <w:szCs w:val="22"/>
              </w:rPr>
              <w:t xml:space="preserve"> </w:t>
            </w:r>
            <w:r w:rsidRPr="005F3D62">
              <w:rPr>
                <w:color w:val="000000"/>
                <w:kern w:val="22"/>
                <w:szCs w:val="22"/>
              </w:rPr>
              <w:t>192</w:t>
            </w:r>
            <w:r w:rsidR="00E709C2" w:rsidRPr="00964E40">
              <w:rPr>
                <w:color w:val="000000"/>
                <w:kern w:val="22"/>
                <w:szCs w:val="22"/>
              </w:rPr>
              <w:t xml:space="preserve"> </w:t>
            </w:r>
            <w:r w:rsidRPr="005F3D62">
              <w:rPr>
                <w:color w:val="000000"/>
                <w:kern w:val="22"/>
                <w:szCs w:val="22"/>
              </w:rPr>
              <w:t>637</w:t>
            </w:r>
          </w:p>
        </w:tc>
      </w:tr>
      <w:tr w:rsidR="000D4DA8" w:rsidRPr="00964E40" w14:paraId="07C4A01C" w14:textId="77777777" w:rsidTr="005F3D62">
        <w:trPr>
          <w:cantSplit/>
          <w:jc w:val="center"/>
        </w:trPr>
        <w:tc>
          <w:tcPr>
            <w:tcW w:w="6662" w:type="dxa"/>
            <w:shd w:val="clear" w:color="auto" w:fill="auto"/>
          </w:tcPr>
          <w:p w14:paraId="252322D3" w14:textId="77777777" w:rsidR="000D4DA8" w:rsidRPr="005F3D62" w:rsidRDefault="000D4DA8" w:rsidP="005F3D62">
            <w:pPr>
              <w:suppressLineNumbers/>
              <w:suppressAutoHyphens/>
              <w:spacing w:before="20" w:after="20"/>
              <w:rPr>
                <w:b/>
                <w:bCs/>
                <w:color w:val="000000"/>
                <w:kern w:val="22"/>
                <w:szCs w:val="22"/>
              </w:rPr>
            </w:pPr>
            <w:r w:rsidRPr="005F3D62">
              <w:rPr>
                <w:b/>
                <w:bCs/>
                <w:color w:val="000000"/>
                <w:kern w:val="22"/>
                <w:szCs w:val="22"/>
              </w:rPr>
              <w:t>Total</w:t>
            </w:r>
          </w:p>
        </w:tc>
        <w:tc>
          <w:tcPr>
            <w:tcW w:w="1559" w:type="dxa"/>
            <w:shd w:val="clear" w:color="auto" w:fill="auto"/>
            <w:noWrap/>
          </w:tcPr>
          <w:p w14:paraId="4FFBBE69" w14:textId="37FDDB7B" w:rsidR="000D4DA8" w:rsidRPr="005F3D62" w:rsidRDefault="000D4DA8" w:rsidP="005F3D62">
            <w:pPr>
              <w:suppressLineNumbers/>
              <w:suppressAutoHyphens/>
              <w:spacing w:before="20" w:after="20"/>
              <w:ind w:right="284"/>
              <w:jc w:val="right"/>
              <w:rPr>
                <w:b/>
                <w:bCs/>
                <w:color w:val="000000"/>
                <w:kern w:val="22"/>
                <w:szCs w:val="22"/>
              </w:rPr>
            </w:pPr>
            <w:r w:rsidRPr="005F3D62">
              <w:rPr>
                <w:rFonts w:eastAsia="Malgun Gothic"/>
                <w:b/>
                <w:bCs/>
                <w:color w:val="000000"/>
                <w:kern w:val="22"/>
                <w:szCs w:val="22"/>
                <w:lang w:eastAsia="x-none"/>
              </w:rPr>
              <w:t>7</w:t>
            </w:r>
            <w:r w:rsidR="00E709C2" w:rsidRPr="00964E40">
              <w:rPr>
                <w:rFonts w:eastAsia="Malgun Gothic"/>
                <w:b/>
                <w:bCs/>
                <w:color w:val="000000"/>
                <w:kern w:val="22"/>
                <w:szCs w:val="22"/>
                <w:lang w:eastAsia="x-none"/>
              </w:rPr>
              <w:t xml:space="preserve"> </w:t>
            </w:r>
            <w:r w:rsidRPr="005F3D62">
              <w:rPr>
                <w:rFonts w:eastAsia="Malgun Gothic"/>
                <w:b/>
                <w:bCs/>
                <w:color w:val="000000"/>
                <w:kern w:val="22"/>
                <w:szCs w:val="22"/>
                <w:lang w:eastAsia="x-none"/>
              </w:rPr>
              <w:t>598</w:t>
            </w:r>
            <w:r w:rsidR="00E709C2" w:rsidRPr="00964E40">
              <w:rPr>
                <w:rFonts w:eastAsia="Malgun Gothic"/>
                <w:b/>
                <w:bCs/>
                <w:color w:val="000000"/>
                <w:kern w:val="22"/>
                <w:szCs w:val="22"/>
                <w:lang w:eastAsia="x-none"/>
              </w:rPr>
              <w:t xml:space="preserve"> </w:t>
            </w:r>
            <w:r w:rsidRPr="005F3D62">
              <w:rPr>
                <w:rFonts w:eastAsia="Malgun Gothic"/>
                <w:b/>
                <w:bCs/>
                <w:color w:val="000000"/>
                <w:kern w:val="22"/>
                <w:szCs w:val="22"/>
                <w:lang w:eastAsia="x-none"/>
              </w:rPr>
              <w:t>535</w:t>
            </w:r>
          </w:p>
        </w:tc>
      </w:tr>
    </w:tbl>
    <w:p w14:paraId="1CA850BB" w14:textId="77777777" w:rsidR="00D903C6" w:rsidRPr="005F3D62" w:rsidRDefault="00D903C6" w:rsidP="005F3D62">
      <w:pPr>
        <w:suppressLineNumbers/>
        <w:suppressAutoHyphens/>
        <w:rPr>
          <w:kern w:val="22"/>
          <w:szCs w:val="22"/>
        </w:rPr>
      </w:pPr>
    </w:p>
    <w:p w14:paraId="78244C59" w14:textId="73EF78FC" w:rsidR="000D4DA8" w:rsidRPr="005F3D62" w:rsidRDefault="000D4DA8" w:rsidP="005F3D62">
      <w:pPr>
        <w:pStyle w:val="Heading2"/>
        <w:numPr>
          <w:ilvl w:val="0"/>
          <w:numId w:val="11"/>
        </w:numPr>
        <w:suppressLineNumbers/>
        <w:tabs>
          <w:tab w:val="clear" w:pos="720"/>
          <w:tab w:val="left" w:pos="1134"/>
        </w:tabs>
        <w:suppressAutoHyphens/>
        <w:ind w:left="1134" w:hanging="425"/>
        <w:jc w:val="left"/>
        <w:rPr>
          <w:rFonts w:eastAsia="Malgun Gothic"/>
          <w:iCs w:val="0"/>
          <w:kern w:val="22"/>
          <w:szCs w:val="22"/>
          <w:lang w:eastAsia="ko-KR"/>
        </w:rPr>
      </w:pPr>
      <w:r w:rsidRPr="005F3D62">
        <w:rPr>
          <w:rFonts w:eastAsia="Malgun Gothic"/>
          <w:kern w:val="22"/>
          <w:szCs w:val="22"/>
        </w:rPr>
        <w:t xml:space="preserve">General Trust Fund (VB) for Voluntary Contributions to Facilitate the Participation of </w:t>
      </w:r>
      <w:r w:rsidRPr="005F3D62">
        <w:rPr>
          <w:rFonts w:eastAsia="Malgun Gothic"/>
          <w:kern w:val="22"/>
          <w:szCs w:val="22"/>
          <w:lang w:eastAsia="ko-KR"/>
        </w:rPr>
        <w:t>Indigenous Peoples and Local Communities (VB) for the period 2019-2020</w:t>
      </w:r>
    </w:p>
    <w:p w14:paraId="2EDEEB40" w14:textId="144D0BA0" w:rsidR="000D4DA8" w:rsidRPr="005F3D62" w:rsidRDefault="000D4DA8" w:rsidP="005F3D62">
      <w:pPr>
        <w:pStyle w:val="ListParagraph"/>
        <w:numPr>
          <w:ilvl w:val="0"/>
          <w:numId w:val="1"/>
        </w:numPr>
        <w:suppressLineNumbers/>
        <w:suppressAutoHyphens/>
        <w:spacing w:before="120" w:after="120"/>
        <w:ind w:left="0" w:firstLine="0"/>
        <w:contextualSpacing w:val="0"/>
        <w:rPr>
          <w:rFonts w:eastAsia="Malgun Gothic"/>
          <w:color w:val="000000"/>
          <w:kern w:val="22"/>
          <w:szCs w:val="22"/>
          <w:lang w:eastAsia="x-none"/>
        </w:rPr>
      </w:pPr>
      <w:r w:rsidRPr="005F3D62">
        <w:rPr>
          <w:rFonts w:eastAsia="Malgun Gothic"/>
          <w:color w:val="000000"/>
          <w:kern w:val="22"/>
          <w:szCs w:val="22"/>
          <w:lang w:eastAsia="ko-KR"/>
        </w:rPr>
        <w:t xml:space="preserve">The </w:t>
      </w:r>
      <w:r w:rsidRPr="005F3D62">
        <w:rPr>
          <w:rFonts w:eastAsia="Malgun Gothic"/>
          <w:color w:val="000000"/>
          <w:kern w:val="22"/>
          <w:szCs w:val="22"/>
          <w:lang w:eastAsia="x-none"/>
        </w:rPr>
        <w:t xml:space="preserve">Conference of the Parties and </w:t>
      </w:r>
      <w:r w:rsidR="006C6BA4" w:rsidRPr="00964E40">
        <w:rPr>
          <w:rFonts w:eastAsia="Malgun Gothic"/>
          <w:color w:val="000000"/>
          <w:kern w:val="22"/>
          <w:szCs w:val="22"/>
          <w:lang w:eastAsia="x-none"/>
        </w:rPr>
        <w:t>the Conference of the Parties serving as the</w:t>
      </w:r>
      <w:r w:rsidRPr="005F3D62">
        <w:rPr>
          <w:rFonts w:eastAsia="Malgun Gothic"/>
          <w:color w:val="000000"/>
          <w:kern w:val="22"/>
          <w:szCs w:val="22"/>
          <w:lang w:eastAsia="x-none"/>
        </w:rPr>
        <w:t xml:space="preserve"> meeting of the Parties </w:t>
      </w:r>
      <w:r w:rsidR="00A40935" w:rsidRPr="005F3D62">
        <w:rPr>
          <w:rFonts w:eastAsia="Malgun Gothic"/>
          <w:color w:val="000000"/>
          <w:kern w:val="22"/>
          <w:szCs w:val="22"/>
          <w:lang w:eastAsia="x-none"/>
        </w:rPr>
        <w:t xml:space="preserve">to </w:t>
      </w:r>
      <w:r w:rsidRPr="005F3D62">
        <w:rPr>
          <w:rFonts w:eastAsia="Malgun Gothic"/>
          <w:color w:val="000000"/>
          <w:kern w:val="22"/>
          <w:szCs w:val="22"/>
          <w:lang w:eastAsia="x-none"/>
        </w:rPr>
        <w:t xml:space="preserve">the </w:t>
      </w:r>
      <w:r w:rsidR="00A40935" w:rsidRPr="005F3D62">
        <w:rPr>
          <w:rFonts w:eastAsia="Malgun Gothic"/>
          <w:color w:val="000000"/>
          <w:kern w:val="22"/>
          <w:szCs w:val="22"/>
          <w:lang w:eastAsia="x-none"/>
        </w:rPr>
        <w:t>P</w:t>
      </w:r>
      <w:r w:rsidRPr="005F3D62">
        <w:rPr>
          <w:rFonts w:eastAsia="Malgun Gothic"/>
          <w:color w:val="000000"/>
          <w:kern w:val="22"/>
          <w:szCs w:val="22"/>
          <w:lang w:eastAsia="x-none"/>
        </w:rPr>
        <w:t>rotocols acknowledge funding estimates of US$ 565,000 for</w:t>
      </w:r>
      <w:r w:rsidRPr="005F3D62">
        <w:rPr>
          <w:rFonts w:eastAsia="Malgun Gothic"/>
          <w:color w:val="000000"/>
          <w:kern w:val="22"/>
          <w:szCs w:val="22"/>
          <w:lang w:eastAsia="ko-KR"/>
        </w:rPr>
        <w:t xml:space="preserve"> the </w:t>
      </w:r>
      <w:r w:rsidRPr="005F3D62">
        <w:rPr>
          <w:rFonts w:eastAsia="Malgun Gothic"/>
          <w:color w:val="000000"/>
          <w:kern w:val="22"/>
          <w:szCs w:val="22"/>
          <w:lang w:eastAsia="x-none"/>
        </w:rPr>
        <w:t xml:space="preserve">General Trust Fund (VB) for </w:t>
      </w:r>
      <w:r w:rsidR="00EA4C3D" w:rsidRPr="00964E40">
        <w:rPr>
          <w:rFonts w:eastAsia="Malgun Gothic"/>
          <w:color w:val="000000"/>
          <w:kern w:val="22"/>
          <w:szCs w:val="22"/>
          <w:lang w:eastAsia="x-none"/>
        </w:rPr>
        <w:t>V</w:t>
      </w:r>
      <w:r w:rsidRPr="005F3D62">
        <w:rPr>
          <w:rFonts w:eastAsia="Malgun Gothic"/>
          <w:color w:val="000000"/>
          <w:kern w:val="22"/>
          <w:szCs w:val="22"/>
          <w:lang w:eastAsia="x-none"/>
        </w:rPr>
        <w:t xml:space="preserve">oluntary </w:t>
      </w:r>
      <w:r w:rsidR="00EA4C3D" w:rsidRPr="00964E40">
        <w:rPr>
          <w:rFonts w:eastAsia="Malgun Gothic"/>
          <w:color w:val="000000"/>
          <w:kern w:val="22"/>
          <w:szCs w:val="22"/>
          <w:lang w:eastAsia="x-none"/>
        </w:rPr>
        <w:t>C</w:t>
      </w:r>
      <w:r w:rsidRPr="005F3D62">
        <w:rPr>
          <w:rFonts w:eastAsia="Malgun Gothic"/>
          <w:color w:val="000000"/>
          <w:kern w:val="22"/>
          <w:szCs w:val="22"/>
          <w:lang w:eastAsia="x-none"/>
        </w:rPr>
        <w:t xml:space="preserve">ontributions to </w:t>
      </w:r>
      <w:r w:rsidR="00EA4C3D" w:rsidRPr="00964E40">
        <w:rPr>
          <w:rFonts w:eastAsia="Malgun Gothic"/>
          <w:color w:val="000000"/>
          <w:kern w:val="22"/>
          <w:szCs w:val="22"/>
          <w:lang w:eastAsia="x-none"/>
        </w:rPr>
        <w:t>F</w:t>
      </w:r>
      <w:r w:rsidRPr="005F3D62">
        <w:rPr>
          <w:rFonts w:eastAsia="Malgun Gothic"/>
          <w:color w:val="000000"/>
          <w:kern w:val="22"/>
          <w:szCs w:val="22"/>
          <w:lang w:eastAsia="x-none"/>
        </w:rPr>
        <w:t xml:space="preserve">acilitate the </w:t>
      </w:r>
      <w:r w:rsidR="00EA4C3D" w:rsidRPr="00964E40">
        <w:rPr>
          <w:rFonts w:eastAsia="Malgun Gothic"/>
          <w:color w:val="000000"/>
          <w:kern w:val="22"/>
          <w:szCs w:val="22"/>
          <w:lang w:eastAsia="x-none"/>
        </w:rPr>
        <w:t>P</w:t>
      </w:r>
      <w:r w:rsidRPr="005F3D62">
        <w:rPr>
          <w:rFonts w:eastAsia="Malgun Gothic"/>
          <w:color w:val="000000"/>
          <w:kern w:val="22"/>
          <w:szCs w:val="22"/>
          <w:lang w:eastAsia="x-none"/>
        </w:rPr>
        <w:t xml:space="preserve">articipation of </w:t>
      </w:r>
      <w:r w:rsidR="00EA4C3D" w:rsidRPr="00964E40">
        <w:rPr>
          <w:rFonts w:eastAsia="Malgun Gothic"/>
          <w:color w:val="000000"/>
          <w:kern w:val="22"/>
          <w:szCs w:val="22"/>
          <w:lang w:eastAsia="ko-KR"/>
        </w:rPr>
        <w:t>I</w:t>
      </w:r>
      <w:r w:rsidRPr="005F3D62">
        <w:rPr>
          <w:rFonts w:eastAsia="Malgun Gothic"/>
          <w:color w:val="000000"/>
          <w:kern w:val="22"/>
          <w:szCs w:val="22"/>
          <w:lang w:eastAsia="ko-KR"/>
        </w:rPr>
        <w:t xml:space="preserve">ndigenous </w:t>
      </w:r>
      <w:r w:rsidR="00EA4C3D" w:rsidRPr="00964E40">
        <w:rPr>
          <w:rFonts w:eastAsia="Malgun Gothic"/>
          <w:color w:val="000000"/>
          <w:kern w:val="22"/>
          <w:szCs w:val="22"/>
          <w:lang w:eastAsia="ko-KR"/>
        </w:rPr>
        <w:t>P</w:t>
      </w:r>
      <w:r w:rsidRPr="005F3D62">
        <w:rPr>
          <w:rFonts w:eastAsia="Malgun Gothic"/>
          <w:color w:val="000000"/>
          <w:kern w:val="22"/>
          <w:szCs w:val="22"/>
          <w:lang w:eastAsia="ko-KR"/>
        </w:rPr>
        <w:t xml:space="preserve">eoples and </w:t>
      </w:r>
      <w:r w:rsidR="00EA4C3D" w:rsidRPr="00964E40">
        <w:rPr>
          <w:rFonts w:eastAsia="Malgun Gothic"/>
          <w:color w:val="000000"/>
          <w:kern w:val="22"/>
          <w:szCs w:val="22"/>
          <w:lang w:eastAsia="ko-KR"/>
        </w:rPr>
        <w:t>L</w:t>
      </w:r>
      <w:r w:rsidRPr="005F3D62">
        <w:rPr>
          <w:rFonts w:eastAsia="Malgun Gothic"/>
          <w:color w:val="000000"/>
          <w:kern w:val="22"/>
          <w:szCs w:val="22"/>
          <w:lang w:eastAsia="ko-KR"/>
        </w:rPr>
        <w:t xml:space="preserve">ocal </w:t>
      </w:r>
      <w:r w:rsidR="00EA4C3D" w:rsidRPr="00964E40">
        <w:rPr>
          <w:rFonts w:eastAsia="Malgun Gothic"/>
          <w:color w:val="000000"/>
          <w:kern w:val="22"/>
          <w:szCs w:val="22"/>
          <w:lang w:eastAsia="ko-KR"/>
        </w:rPr>
        <w:t>C</w:t>
      </w:r>
      <w:r w:rsidRPr="005F3D62">
        <w:rPr>
          <w:rFonts w:eastAsia="Malgun Gothic"/>
          <w:color w:val="000000"/>
          <w:kern w:val="22"/>
          <w:szCs w:val="22"/>
          <w:lang w:eastAsia="ko-KR"/>
        </w:rPr>
        <w:t>ommunities</w:t>
      </w:r>
      <w:r w:rsidRPr="005F3D62">
        <w:rPr>
          <w:rFonts w:eastAsia="Malgun Gothic"/>
          <w:color w:val="000000"/>
          <w:kern w:val="22"/>
          <w:szCs w:val="22"/>
          <w:lang w:eastAsia="x-none"/>
        </w:rPr>
        <w:t>.</w:t>
      </w:r>
    </w:p>
    <w:p w14:paraId="38F3D3E9" w14:textId="6CEF9179" w:rsidR="000D4DA8" w:rsidRPr="005F3D62" w:rsidRDefault="008E3745" w:rsidP="005F3D62">
      <w:pPr>
        <w:pStyle w:val="ListParagraph"/>
        <w:numPr>
          <w:ilvl w:val="0"/>
          <w:numId w:val="1"/>
        </w:numPr>
        <w:suppressLineNumbers/>
        <w:suppressAutoHyphens/>
        <w:spacing w:before="120" w:after="120"/>
        <w:ind w:left="0" w:firstLine="0"/>
        <w:contextualSpacing w:val="0"/>
        <w:rPr>
          <w:rFonts w:eastAsia="Malgun Gothic"/>
          <w:color w:val="000000"/>
          <w:kern w:val="22"/>
          <w:szCs w:val="22"/>
          <w:lang w:eastAsia="x-none"/>
        </w:rPr>
      </w:pPr>
      <w:r w:rsidRPr="00964E40">
        <w:rPr>
          <w:rFonts w:eastAsia="Malgun Gothic"/>
          <w:color w:val="000000"/>
          <w:kern w:val="22"/>
          <w:szCs w:val="22"/>
          <w:lang w:eastAsia="x-none"/>
        </w:rPr>
        <w:t>T</w:t>
      </w:r>
      <w:r w:rsidR="000D4DA8" w:rsidRPr="005F3D62">
        <w:rPr>
          <w:rFonts w:eastAsia="Malgun Gothic"/>
          <w:color w:val="000000"/>
          <w:kern w:val="22"/>
          <w:szCs w:val="22"/>
          <w:lang w:eastAsia="x-none"/>
        </w:rPr>
        <w:t xml:space="preserve">o date, the Secretariat </w:t>
      </w:r>
      <w:r w:rsidRPr="00964E40">
        <w:rPr>
          <w:rFonts w:eastAsia="Malgun Gothic"/>
          <w:color w:val="000000"/>
          <w:kern w:val="22"/>
          <w:szCs w:val="22"/>
          <w:lang w:eastAsia="x-none"/>
        </w:rPr>
        <w:t xml:space="preserve">has </w:t>
      </w:r>
      <w:r w:rsidR="000D4DA8" w:rsidRPr="005F3D62">
        <w:rPr>
          <w:rFonts w:eastAsia="Malgun Gothic"/>
          <w:color w:val="000000"/>
          <w:kern w:val="22"/>
          <w:szCs w:val="22"/>
          <w:lang w:eastAsia="x-none"/>
        </w:rPr>
        <w:t>receive</w:t>
      </w:r>
      <w:r w:rsidR="001A7AF0" w:rsidRPr="005F3D62">
        <w:rPr>
          <w:rFonts w:eastAsia="Malgun Gothic"/>
          <w:color w:val="000000"/>
          <w:kern w:val="22"/>
          <w:szCs w:val="22"/>
          <w:lang w:eastAsia="x-none"/>
        </w:rPr>
        <w:t>d</w:t>
      </w:r>
      <w:r w:rsidR="000D4DA8" w:rsidRPr="005F3D62">
        <w:rPr>
          <w:rFonts w:eastAsia="Malgun Gothic"/>
          <w:color w:val="000000"/>
          <w:kern w:val="22"/>
          <w:szCs w:val="22"/>
          <w:lang w:eastAsia="x-none"/>
        </w:rPr>
        <w:t xml:space="preserve"> contributions totalling US$ 387,637 that facilitate</w:t>
      </w:r>
      <w:r w:rsidR="001A7AF0" w:rsidRPr="005F3D62">
        <w:rPr>
          <w:rFonts w:eastAsia="Malgun Gothic"/>
          <w:color w:val="000000"/>
          <w:kern w:val="22"/>
          <w:szCs w:val="22"/>
          <w:lang w:eastAsia="x-none"/>
        </w:rPr>
        <w:t>d</w:t>
      </w:r>
      <w:r w:rsidR="000D4DA8" w:rsidRPr="005F3D62">
        <w:rPr>
          <w:rFonts w:eastAsia="Malgun Gothic"/>
          <w:color w:val="000000"/>
          <w:kern w:val="22"/>
          <w:szCs w:val="22"/>
          <w:lang w:eastAsia="x-none"/>
        </w:rPr>
        <w:t xml:space="preserve"> the travel of </w:t>
      </w:r>
      <w:r w:rsidR="00A2104C" w:rsidRPr="005F3D62">
        <w:rPr>
          <w:rFonts w:eastAsia="Malgun Gothic"/>
          <w:kern w:val="22"/>
          <w:szCs w:val="22"/>
          <w:lang w:eastAsia="x-none"/>
        </w:rPr>
        <w:t>44</w:t>
      </w:r>
      <w:r w:rsidR="000D4DA8" w:rsidRPr="005F3D62">
        <w:rPr>
          <w:rFonts w:eastAsia="Malgun Gothic"/>
          <w:kern w:val="22"/>
          <w:szCs w:val="22"/>
          <w:lang w:eastAsia="x-none"/>
        </w:rPr>
        <w:t xml:space="preserve"> participants </w:t>
      </w:r>
      <w:r w:rsidR="000D4DA8" w:rsidRPr="005F3D62">
        <w:rPr>
          <w:rFonts w:eastAsia="Malgun Gothic"/>
          <w:color w:val="000000"/>
          <w:kern w:val="22"/>
          <w:szCs w:val="22"/>
          <w:lang w:eastAsia="x-none"/>
        </w:rPr>
        <w:t>from i</w:t>
      </w:r>
      <w:r w:rsidR="000D4DA8" w:rsidRPr="005F3D62">
        <w:rPr>
          <w:rFonts w:eastAsia="Malgun Gothic"/>
          <w:color w:val="000000"/>
          <w:kern w:val="22"/>
          <w:szCs w:val="22"/>
          <w:lang w:eastAsia="ko-KR"/>
        </w:rPr>
        <w:t xml:space="preserve">ndigenous peoples and </w:t>
      </w:r>
      <w:r w:rsidR="00A40935" w:rsidRPr="005F3D62">
        <w:rPr>
          <w:rFonts w:eastAsia="Malgun Gothic"/>
          <w:color w:val="000000"/>
          <w:kern w:val="22"/>
          <w:szCs w:val="22"/>
          <w:lang w:eastAsia="ko-KR"/>
        </w:rPr>
        <w:t>l</w:t>
      </w:r>
      <w:r w:rsidR="000D4DA8" w:rsidRPr="005F3D62">
        <w:rPr>
          <w:rFonts w:eastAsia="Malgun Gothic"/>
          <w:color w:val="000000"/>
          <w:kern w:val="22"/>
          <w:szCs w:val="22"/>
          <w:lang w:eastAsia="ko-KR"/>
        </w:rPr>
        <w:t xml:space="preserve">ocal </w:t>
      </w:r>
      <w:r w:rsidR="00A40935" w:rsidRPr="005F3D62">
        <w:rPr>
          <w:rFonts w:eastAsia="Malgun Gothic"/>
          <w:color w:val="000000"/>
          <w:kern w:val="22"/>
          <w:szCs w:val="22"/>
          <w:lang w:eastAsia="ko-KR"/>
        </w:rPr>
        <w:t>c</w:t>
      </w:r>
      <w:r w:rsidR="000D4DA8" w:rsidRPr="005F3D62">
        <w:rPr>
          <w:rFonts w:eastAsia="Malgun Gothic"/>
          <w:color w:val="000000"/>
          <w:kern w:val="22"/>
          <w:szCs w:val="22"/>
          <w:lang w:eastAsia="ko-KR"/>
        </w:rPr>
        <w:t xml:space="preserve">ommunities to attend the first and second </w:t>
      </w:r>
      <w:r w:rsidR="00A40935" w:rsidRPr="005F3D62">
        <w:rPr>
          <w:rFonts w:eastAsia="Malgun Gothic"/>
          <w:color w:val="000000"/>
          <w:kern w:val="22"/>
          <w:szCs w:val="22"/>
          <w:lang w:eastAsia="ko-KR"/>
        </w:rPr>
        <w:t>meetings of the Open-ended Working Group on the Post-2020 Global Biodiversity Framework</w:t>
      </w:r>
      <w:r w:rsidR="000D4DA8" w:rsidRPr="005F3D62">
        <w:rPr>
          <w:rFonts w:eastAsia="Malgun Gothic"/>
          <w:color w:val="000000"/>
          <w:kern w:val="22"/>
          <w:szCs w:val="22"/>
          <w:lang w:eastAsia="ko-KR"/>
        </w:rPr>
        <w:t>, the t</w:t>
      </w:r>
      <w:r w:rsidR="000D4DA8" w:rsidRPr="005F3D62">
        <w:rPr>
          <w:kern w:val="22"/>
          <w:szCs w:val="22"/>
        </w:rPr>
        <w:t>wenty-third meeting of the Subsidiary Body on Scientific, Technical and Technological Advice and the eleventh meeting of the Ad Hoc Open-ended Working Group on Article 8(j) and Related Provisions of the Convention on Biological Diversity.</w:t>
      </w:r>
    </w:p>
    <w:p w14:paraId="3A14025B" w14:textId="55FAD848" w:rsidR="000D4DA8" w:rsidRPr="005F3D62" w:rsidRDefault="000D4DA8" w:rsidP="005F3D62">
      <w:pPr>
        <w:pStyle w:val="Heading2"/>
        <w:numPr>
          <w:ilvl w:val="0"/>
          <w:numId w:val="11"/>
        </w:numPr>
        <w:suppressLineNumbers/>
        <w:tabs>
          <w:tab w:val="clear" w:pos="720"/>
        </w:tabs>
        <w:suppressAutoHyphens/>
        <w:ind w:left="1134" w:hanging="425"/>
        <w:jc w:val="left"/>
        <w:rPr>
          <w:rFonts w:eastAsia="Malgun Gothic"/>
          <w:iCs w:val="0"/>
          <w:kern w:val="22"/>
          <w:szCs w:val="22"/>
        </w:rPr>
      </w:pPr>
      <w:r w:rsidRPr="005F3D62">
        <w:rPr>
          <w:rFonts w:eastAsia="Malgun Gothic"/>
          <w:kern w:val="22"/>
          <w:szCs w:val="22"/>
          <w:lang w:eastAsia="ko-KR"/>
        </w:rPr>
        <w:t xml:space="preserve">Special Voluntary Trust Fund for </w:t>
      </w:r>
      <w:r w:rsidR="001677E5" w:rsidRPr="00964E40">
        <w:rPr>
          <w:rFonts w:eastAsia="Malgun Gothic"/>
          <w:kern w:val="22"/>
          <w:szCs w:val="22"/>
          <w:lang w:eastAsia="ko-KR"/>
        </w:rPr>
        <w:t>F</w:t>
      </w:r>
      <w:r w:rsidRPr="005F3D62">
        <w:rPr>
          <w:rFonts w:eastAsia="Malgun Gothic"/>
          <w:kern w:val="22"/>
          <w:szCs w:val="22"/>
          <w:lang w:eastAsia="ko-KR"/>
        </w:rPr>
        <w:t xml:space="preserve">acilitating </w:t>
      </w:r>
      <w:r w:rsidR="001677E5" w:rsidRPr="00964E40">
        <w:rPr>
          <w:rFonts w:eastAsia="Malgun Gothic"/>
          <w:kern w:val="22"/>
          <w:szCs w:val="22"/>
          <w:lang w:eastAsia="ko-KR"/>
        </w:rPr>
        <w:t>the P</w:t>
      </w:r>
      <w:r w:rsidRPr="005F3D62">
        <w:rPr>
          <w:rFonts w:eastAsia="Malgun Gothic"/>
          <w:kern w:val="22"/>
          <w:szCs w:val="22"/>
          <w:lang w:eastAsia="ko-KR"/>
        </w:rPr>
        <w:t xml:space="preserve">articipation of Parties </w:t>
      </w:r>
      <w:r w:rsidR="00A714DC" w:rsidRPr="00964E40">
        <w:rPr>
          <w:rFonts w:eastAsia="Malgun Gothic"/>
          <w:kern w:val="22"/>
          <w:szCs w:val="22"/>
          <w:lang w:eastAsia="ko-KR"/>
        </w:rPr>
        <w:t xml:space="preserve">in the </w:t>
      </w:r>
      <w:r w:rsidR="00FE7FF1" w:rsidRPr="00964E40">
        <w:rPr>
          <w:rFonts w:eastAsia="Malgun Gothic"/>
          <w:kern w:val="22"/>
          <w:szCs w:val="22"/>
          <w:lang w:eastAsia="ko-KR"/>
        </w:rPr>
        <w:t xml:space="preserve">Process of the </w:t>
      </w:r>
      <w:r w:rsidR="00A714DC" w:rsidRPr="00964E40">
        <w:rPr>
          <w:rFonts w:eastAsia="Malgun Gothic"/>
          <w:kern w:val="22"/>
          <w:szCs w:val="22"/>
          <w:lang w:eastAsia="ko-KR"/>
        </w:rPr>
        <w:t xml:space="preserve">Convention </w:t>
      </w:r>
      <w:r w:rsidRPr="005F3D62">
        <w:rPr>
          <w:rFonts w:eastAsia="Malgun Gothic"/>
          <w:kern w:val="22"/>
          <w:szCs w:val="22"/>
          <w:lang w:eastAsia="ko-KR"/>
        </w:rPr>
        <w:t>(</w:t>
      </w:r>
      <w:proofErr w:type="spellStart"/>
      <w:r w:rsidRPr="005F3D62">
        <w:rPr>
          <w:rFonts w:eastAsia="Malgun Gothic"/>
          <w:kern w:val="22"/>
          <w:szCs w:val="22"/>
          <w:lang w:eastAsia="ko-KR"/>
        </w:rPr>
        <w:t>BZ</w:t>
      </w:r>
      <w:proofErr w:type="spellEnd"/>
      <w:r w:rsidRPr="005F3D62">
        <w:rPr>
          <w:rFonts w:eastAsia="Malgun Gothic"/>
          <w:kern w:val="22"/>
          <w:szCs w:val="22"/>
          <w:lang w:eastAsia="ko-KR"/>
        </w:rPr>
        <w:t>) for the period 2019-2020</w:t>
      </w:r>
    </w:p>
    <w:p w14:paraId="40855A4B" w14:textId="759A1E79" w:rsidR="000D4DA8" w:rsidRPr="005F3D62" w:rsidRDefault="000D4DA8" w:rsidP="005F3D62">
      <w:pPr>
        <w:pStyle w:val="ListParagraph"/>
        <w:numPr>
          <w:ilvl w:val="0"/>
          <w:numId w:val="1"/>
        </w:numPr>
        <w:suppressLineNumbers/>
        <w:suppressAutoHyphens/>
        <w:spacing w:before="120" w:after="120"/>
        <w:ind w:left="0" w:firstLine="0"/>
        <w:contextualSpacing w:val="0"/>
        <w:rPr>
          <w:rFonts w:eastAsia="Malgun Gothic"/>
          <w:color w:val="000000"/>
          <w:kern w:val="22"/>
          <w:szCs w:val="22"/>
          <w:lang w:eastAsia="x-none"/>
        </w:rPr>
      </w:pPr>
      <w:r w:rsidRPr="005F3D62">
        <w:rPr>
          <w:rFonts w:eastAsia="Malgun Gothic"/>
          <w:color w:val="000000"/>
          <w:kern w:val="22"/>
          <w:szCs w:val="22"/>
          <w:lang w:eastAsia="ko-KR"/>
        </w:rPr>
        <w:t xml:space="preserve">The </w:t>
      </w:r>
      <w:r w:rsidRPr="005F3D62">
        <w:rPr>
          <w:rFonts w:eastAsia="Malgun Gothic"/>
          <w:color w:val="000000"/>
          <w:kern w:val="22"/>
          <w:szCs w:val="22"/>
          <w:lang w:eastAsia="x-none"/>
        </w:rPr>
        <w:t xml:space="preserve">Conference of the Parties and </w:t>
      </w:r>
      <w:r w:rsidR="00FE4BA0" w:rsidRPr="00964E40">
        <w:rPr>
          <w:rFonts w:eastAsia="Malgun Gothic"/>
          <w:color w:val="000000"/>
          <w:kern w:val="22"/>
          <w:szCs w:val="22"/>
          <w:lang w:eastAsia="x-none"/>
        </w:rPr>
        <w:t xml:space="preserve">the Conference of the Parties serving as the </w:t>
      </w:r>
      <w:r w:rsidRPr="005F3D62">
        <w:rPr>
          <w:rFonts w:eastAsia="Malgun Gothic"/>
          <w:color w:val="000000"/>
          <w:kern w:val="22"/>
          <w:szCs w:val="22"/>
          <w:lang w:eastAsia="x-none"/>
        </w:rPr>
        <w:t xml:space="preserve">meeting of the Parties </w:t>
      </w:r>
      <w:r w:rsidR="00FE4BA0" w:rsidRPr="00964E40">
        <w:rPr>
          <w:rFonts w:eastAsia="Malgun Gothic"/>
          <w:color w:val="000000"/>
          <w:kern w:val="22"/>
          <w:szCs w:val="22"/>
          <w:lang w:eastAsia="x-none"/>
        </w:rPr>
        <w:t>to</w:t>
      </w:r>
      <w:r w:rsidR="00FE4BA0" w:rsidRPr="005F3D62">
        <w:rPr>
          <w:rFonts w:eastAsia="Malgun Gothic"/>
          <w:color w:val="000000"/>
          <w:kern w:val="22"/>
          <w:szCs w:val="22"/>
          <w:lang w:eastAsia="x-none"/>
        </w:rPr>
        <w:t xml:space="preserve"> </w:t>
      </w:r>
      <w:r w:rsidRPr="005F3D62">
        <w:rPr>
          <w:rFonts w:eastAsia="Malgun Gothic"/>
          <w:color w:val="000000"/>
          <w:kern w:val="22"/>
          <w:szCs w:val="22"/>
          <w:lang w:eastAsia="x-none"/>
        </w:rPr>
        <w:t xml:space="preserve">the </w:t>
      </w:r>
      <w:r w:rsidR="00FE4BA0" w:rsidRPr="00964E40">
        <w:rPr>
          <w:rFonts w:eastAsia="Malgun Gothic"/>
          <w:color w:val="000000"/>
          <w:kern w:val="22"/>
          <w:szCs w:val="22"/>
          <w:lang w:eastAsia="x-none"/>
        </w:rPr>
        <w:t>P</w:t>
      </w:r>
      <w:r w:rsidRPr="005F3D62">
        <w:rPr>
          <w:rFonts w:eastAsia="Malgun Gothic"/>
          <w:color w:val="000000"/>
          <w:kern w:val="22"/>
          <w:szCs w:val="22"/>
          <w:lang w:eastAsia="x-none"/>
        </w:rPr>
        <w:t>rotocols acknowledge funding estimates of US$</w:t>
      </w:r>
      <w:r w:rsidR="00373117" w:rsidRPr="00964E40">
        <w:rPr>
          <w:rFonts w:eastAsia="Malgun Gothic"/>
          <w:color w:val="000000"/>
          <w:kern w:val="22"/>
          <w:szCs w:val="22"/>
          <w:lang w:eastAsia="x-none"/>
        </w:rPr>
        <w:t> </w:t>
      </w:r>
      <w:r w:rsidRPr="005F3D62">
        <w:rPr>
          <w:rFonts w:eastAsia="Malgun Gothic"/>
          <w:color w:val="000000"/>
          <w:kern w:val="22"/>
          <w:szCs w:val="22"/>
          <w:lang w:eastAsia="x-none"/>
        </w:rPr>
        <w:t>3,842,000 for the Special Voluntary Trust Fund (</w:t>
      </w:r>
      <w:proofErr w:type="spellStart"/>
      <w:r w:rsidRPr="005F3D62">
        <w:rPr>
          <w:rFonts w:eastAsia="Malgun Gothic"/>
          <w:color w:val="000000"/>
          <w:kern w:val="22"/>
          <w:szCs w:val="22"/>
          <w:lang w:eastAsia="x-none"/>
        </w:rPr>
        <w:t>BZ</w:t>
      </w:r>
      <w:proofErr w:type="spellEnd"/>
      <w:r w:rsidRPr="005F3D62">
        <w:rPr>
          <w:rFonts w:eastAsia="Malgun Gothic"/>
          <w:color w:val="000000"/>
          <w:kern w:val="22"/>
          <w:szCs w:val="22"/>
          <w:lang w:eastAsia="x-none"/>
        </w:rPr>
        <w:t>) for Facilitating the Participation of Parties</w:t>
      </w:r>
      <w:r w:rsidR="00686F70" w:rsidRPr="00964E40">
        <w:rPr>
          <w:rFonts w:eastAsia="Malgun Gothic"/>
          <w:color w:val="000000"/>
          <w:kern w:val="22"/>
          <w:szCs w:val="22"/>
          <w:lang w:eastAsia="x-none"/>
        </w:rPr>
        <w:t xml:space="preserve"> in the </w:t>
      </w:r>
      <w:r w:rsidR="00FE7FF1" w:rsidRPr="00964E40">
        <w:rPr>
          <w:rFonts w:eastAsia="Malgun Gothic"/>
          <w:color w:val="000000"/>
          <w:kern w:val="22"/>
          <w:szCs w:val="22"/>
          <w:lang w:eastAsia="x-none"/>
        </w:rPr>
        <w:t>Process of the Convention</w:t>
      </w:r>
      <w:r w:rsidRPr="005F3D62">
        <w:rPr>
          <w:rFonts w:eastAsia="Malgun Gothic"/>
          <w:color w:val="000000"/>
          <w:kern w:val="22"/>
          <w:szCs w:val="22"/>
          <w:lang w:eastAsia="x-none"/>
        </w:rPr>
        <w:t>. As of August 2020, contributions totalling US$</w:t>
      </w:r>
      <w:r w:rsidR="00373117" w:rsidRPr="00964E40">
        <w:rPr>
          <w:rFonts w:eastAsia="Malgun Gothic"/>
          <w:color w:val="000000"/>
          <w:kern w:val="22"/>
          <w:szCs w:val="22"/>
          <w:lang w:eastAsia="x-none"/>
        </w:rPr>
        <w:t> </w:t>
      </w:r>
      <w:r w:rsidRPr="005F3D62">
        <w:rPr>
          <w:rFonts w:eastAsia="Malgun Gothic"/>
          <w:color w:val="000000"/>
          <w:kern w:val="22"/>
          <w:szCs w:val="22"/>
          <w:lang w:eastAsia="x-none"/>
        </w:rPr>
        <w:t xml:space="preserve">2,015,353 have been received and the Secretariat was able to finance the participation of 240 delegates from developing countries to attend </w:t>
      </w:r>
      <w:r w:rsidRPr="005F3D62">
        <w:rPr>
          <w:rFonts w:eastAsia="Malgun Gothic"/>
          <w:color w:val="000000"/>
          <w:kern w:val="22"/>
          <w:szCs w:val="22"/>
          <w:lang w:eastAsia="ko-KR"/>
        </w:rPr>
        <w:t xml:space="preserve">the first and second </w:t>
      </w:r>
      <w:r w:rsidR="001A7AF0" w:rsidRPr="005F3D62">
        <w:rPr>
          <w:rFonts w:eastAsia="Malgun Gothic"/>
          <w:color w:val="000000"/>
          <w:kern w:val="22"/>
          <w:szCs w:val="22"/>
          <w:lang w:eastAsia="ko-KR"/>
        </w:rPr>
        <w:t>meeting of the Open-ended Working Group on the Post</w:t>
      </w:r>
      <w:r w:rsidR="001A7AF0" w:rsidRPr="005F3D62">
        <w:rPr>
          <w:rFonts w:eastAsia="Malgun Gothic"/>
          <w:color w:val="000000"/>
          <w:kern w:val="22"/>
          <w:szCs w:val="22"/>
          <w:lang w:eastAsia="ko-KR"/>
        </w:rPr>
        <w:noBreakHyphen/>
        <w:t>2020 Global Biodiversity Framework</w:t>
      </w:r>
      <w:r w:rsidRPr="005F3D62">
        <w:rPr>
          <w:rFonts w:eastAsia="Malgun Gothic"/>
          <w:color w:val="000000"/>
          <w:kern w:val="22"/>
          <w:szCs w:val="22"/>
          <w:lang w:eastAsia="ko-KR"/>
        </w:rPr>
        <w:t>, the t</w:t>
      </w:r>
      <w:r w:rsidRPr="005F3D62">
        <w:rPr>
          <w:kern w:val="22"/>
          <w:szCs w:val="22"/>
        </w:rPr>
        <w:t>wenty-third meeting of the Subsidiary Body on Scientific, Technical and Technological Advice and the eleventh meeting of the Ad Hoc Open-ended Working Group on Article 8(j) and Related Provisions of the Convention on Biological Diversity</w:t>
      </w:r>
      <w:r w:rsidRPr="005F3D62">
        <w:rPr>
          <w:rFonts w:eastAsia="Malgun Gothic"/>
          <w:color w:val="000000"/>
          <w:kern w:val="22"/>
          <w:szCs w:val="22"/>
          <w:lang w:eastAsia="x-none"/>
        </w:rPr>
        <w:t>.</w:t>
      </w:r>
      <w:r w:rsidRPr="005F3D62">
        <w:rPr>
          <w:rFonts w:eastAsia="Malgun Gothic"/>
          <w:color w:val="000000"/>
          <w:kern w:val="22"/>
          <w:szCs w:val="22"/>
          <w:lang w:eastAsia="ko-KR"/>
        </w:rPr>
        <w:t xml:space="preserve"> Pursuant to the procedure </w:t>
      </w:r>
      <w:r w:rsidR="00442446" w:rsidRPr="00964E40">
        <w:rPr>
          <w:rFonts w:eastAsia="Malgun Gothic"/>
          <w:color w:val="000000"/>
          <w:kern w:val="22"/>
          <w:szCs w:val="22"/>
          <w:lang w:eastAsia="ko-KR"/>
        </w:rPr>
        <w:t>for</w:t>
      </w:r>
      <w:r w:rsidR="00442446" w:rsidRPr="005F3D62">
        <w:rPr>
          <w:rFonts w:eastAsia="Malgun Gothic"/>
          <w:color w:val="000000"/>
          <w:kern w:val="22"/>
          <w:szCs w:val="22"/>
          <w:lang w:eastAsia="ko-KR"/>
        </w:rPr>
        <w:t xml:space="preserve"> </w:t>
      </w:r>
      <w:r w:rsidRPr="005F3D62">
        <w:rPr>
          <w:rFonts w:eastAsia="Malgun Gothic"/>
          <w:color w:val="000000"/>
          <w:kern w:val="22"/>
          <w:szCs w:val="22"/>
          <w:lang w:eastAsia="ko-KR"/>
        </w:rPr>
        <w:t xml:space="preserve">allocation of funding from the </w:t>
      </w:r>
      <w:proofErr w:type="spellStart"/>
      <w:r w:rsidRPr="005F3D62">
        <w:rPr>
          <w:rFonts w:eastAsia="Malgun Gothic"/>
          <w:color w:val="000000"/>
          <w:kern w:val="22"/>
          <w:szCs w:val="22"/>
          <w:lang w:eastAsia="ko-KR"/>
        </w:rPr>
        <w:t>BZ</w:t>
      </w:r>
      <w:proofErr w:type="spellEnd"/>
      <w:r w:rsidRPr="005F3D62">
        <w:rPr>
          <w:rFonts w:eastAsia="Malgun Gothic"/>
          <w:color w:val="000000"/>
          <w:kern w:val="22"/>
          <w:szCs w:val="22"/>
          <w:lang w:eastAsia="ko-KR"/>
        </w:rPr>
        <w:t xml:space="preserve"> Trust </w:t>
      </w:r>
      <w:r w:rsidR="00442446" w:rsidRPr="00964E40">
        <w:rPr>
          <w:rFonts w:eastAsia="Malgun Gothic"/>
          <w:color w:val="000000"/>
          <w:kern w:val="22"/>
          <w:szCs w:val="22"/>
          <w:lang w:eastAsia="ko-KR"/>
        </w:rPr>
        <w:t>F</w:t>
      </w:r>
      <w:r w:rsidRPr="005F3D62">
        <w:rPr>
          <w:rFonts w:eastAsia="Malgun Gothic"/>
          <w:color w:val="000000"/>
          <w:kern w:val="22"/>
          <w:szCs w:val="22"/>
          <w:lang w:eastAsia="ko-KR"/>
        </w:rPr>
        <w:t>und adopted by the Conference of the Parties at its ninth meeting (decision IX/34, para</w:t>
      </w:r>
      <w:r w:rsidR="00991111" w:rsidRPr="005F3D62">
        <w:rPr>
          <w:rFonts w:eastAsia="Malgun Gothic"/>
          <w:color w:val="000000"/>
          <w:kern w:val="22"/>
          <w:szCs w:val="22"/>
          <w:lang w:eastAsia="ko-KR"/>
        </w:rPr>
        <w:t>.</w:t>
      </w:r>
      <w:r w:rsidRPr="005F3D62">
        <w:rPr>
          <w:rFonts w:eastAsia="Malgun Gothic"/>
          <w:color w:val="000000"/>
          <w:kern w:val="22"/>
          <w:szCs w:val="22"/>
          <w:lang w:eastAsia="ko-KR"/>
        </w:rPr>
        <w:t xml:space="preserve"> 31), the funding was allocated </w:t>
      </w:r>
      <w:r w:rsidR="00FE4205" w:rsidRPr="00964E40">
        <w:rPr>
          <w:rFonts w:eastAsia="Malgun Gothic"/>
          <w:color w:val="000000"/>
          <w:kern w:val="22"/>
          <w:szCs w:val="22"/>
          <w:lang w:eastAsia="ko-KR"/>
        </w:rPr>
        <w:t>with</w:t>
      </w:r>
      <w:r w:rsidR="00FE4205" w:rsidRPr="005F3D62">
        <w:rPr>
          <w:rFonts w:eastAsia="Malgun Gothic"/>
          <w:color w:val="000000"/>
          <w:kern w:val="22"/>
          <w:szCs w:val="22"/>
          <w:lang w:eastAsia="ko-KR"/>
        </w:rPr>
        <w:t xml:space="preserve"> </w:t>
      </w:r>
      <w:r w:rsidRPr="005F3D62">
        <w:rPr>
          <w:rFonts w:eastAsia="Malgun Gothic"/>
          <w:color w:val="000000"/>
          <w:kern w:val="22"/>
          <w:szCs w:val="22"/>
          <w:lang w:eastAsia="ko-KR"/>
        </w:rPr>
        <w:t xml:space="preserve">priority to the least developed countries and the small island developing </w:t>
      </w:r>
      <w:r w:rsidR="00991111" w:rsidRPr="005F3D62">
        <w:rPr>
          <w:rFonts w:eastAsia="Malgun Gothic"/>
          <w:color w:val="000000"/>
          <w:kern w:val="22"/>
          <w:szCs w:val="22"/>
          <w:lang w:eastAsia="ko-KR"/>
        </w:rPr>
        <w:t>S</w:t>
      </w:r>
      <w:r w:rsidRPr="005F3D62">
        <w:rPr>
          <w:rFonts w:eastAsia="Malgun Gothic"/>
          <w:color w:val="000000"/>
          <w:kern w:val="22"/>
          <w:szCs w:val="22"/>
          <w:lang w:eastAsia="ko-KR"/>
        </w:rPr>
        <w:t>tates.</w:t>
      </w:r>
    </w:p>
    <w:p w14:paraId="56E5D286" w14:textId="07ACCCD2" w:rsidR="000D4DA8" w:rsidRPr="005F3D62" w:rsidRDefault="000D4DA8" w:rsidP="005F3D62">
      <w:pPr>
        <w:pStyle w:val="ListParagraph"/>
        <w:numPr>
          <w:ilvl w:val="0"/>
          <w:numId w:val="1"/>
        </w:numPr>
        <w:suppressLineNumbers/>
        <w:suppressAutoHyphens/>
        <w:spacing w:before="120" w:after="120"/>
        <w:ind w:left="0" w:firstLine="0"/>
        <w:contextualSpacing w:val="0"/>
        <w:rPr>
          <w:rFonts w:eastAsia="Malgun Gothic"/>
          <w:color w:val="000000"/>
          <w:kern w:val="22"/>
          <w:szCs w:val="22"/>
          <w:lang w:eastAsia="ko-KR"/>
        </w:rPr>
      </w:pPr>
      <w:r w:rsidRPr="005F3D62">
        <w:rPr>
          <w:rFonts w:eastAsia="Malgun Gothic"/>
          <w:color w:val="000000"/>
          <w:kern w:val="22"/>
          <w:szCs w:val="22"/>
          <w:lang w:eastAsia="ko-KR"/>
        </w:rPr>
        <w:t xml:space="preserve">The contributions received in 2019-2020 were not </w:t>
      </w:r>
      <w:proofErr w:type="gramStart"/>
      <w:r w:rsidRPr="005F3D62">
        <w:rPr>
          <w:rFonts w:eastAsia="Malgun Gothic"/>
          <w:color w:val="000000"/>
          <w:kern w:val="22"/>
          <w:szCs w:val="22"/>
          <w:lang w:eastAsia="ko-KR"/>
        </w:rPr>
        <w:t>sufficient</w:t>
      </w:r>
      <w:proofErr w:type="gramEnd"/>
      <w:r w:rsidRPr="005F3D62">
        <w:rPr>
          <w:rFonts w:eastAsia="Malgun Gothic"/>
          <w:color w:val="000000"/>
          <w:kern w:val="22"/>
          <w:szCs w:val="22"/>
          <w:lang w:eastAsia="ko-KR"/>
        </w:rPr>
        <w:t xml:space="preserve"> to facilitate the participation of all eligible </w:t>
      </w:r>
      <w:r w:rsidR="00991111" w:rsidRPr="005F3D62">
        <w:rPr>
          <w:rFonts w:eastAsia="Malgun Gothic"/>
          <w:color w:val="000000"/>
          <w:kern w:val="22"/>
          <w:szCs w:val="22"/>
          <w:lang w:eastAsia="ko-KR"/>
        </w:rPr>
        <w:t>P</w:t>
      </w:r>
      <w:r w:rsidRPr="005F3D62">
        <w:rPr>
          <w:rFonts w:eastAsia="Malgun Gothic"/>
          <w:color w:val="000000"/>
          <w:kern w:val="22"/>
          <w:szCs w:val="22"/>
          <w:lang w:eastAsia="ko-KR"/>
        </w:rPr>
        <w:t xml:space="preserve">arties </w:t>
      </w:r>
      <w:r w:rsidR="004C59AA" w:rsidRPr="00964E40">
        <w:rPr>
          <w:rFonts w:eastAsia="Malgun Gothic"/>
          <w:color w:val="000000"/>
          <w:kern w:val="22"/>
          <w:szCs w:val="22"/>
          <w:lang w:eastAsia="ko-KR"/>
        </w:rPr>
        <w:t>in</w:t>
      </w:r>
      <w:r w:rsidR="004C59AA" w:rsidRPr="005F3D62">
        <w:rPr>
          <w:rFonts w:eastAsia="Malgun Gothic"/>
          <w:color w:val="000000"/>
          <w:kern w:val="22"/>
          <w:szCs w:val="22"/>
          <w:lang w:eastAsia="ko-KR"/>
        </w:rPr>
        <w:t xml:space="preserve"> </w:t>
      </w:r>
      <w:r w:rsidRPr="005F3D62">
        <w:rPr>
          <w:rFonts w:eastAsia="Malgun Gothic"/>
          <w:color w:val="000000"/>
          <w:kern w:val="22"/>
          <w:szCs w:val="22"/>
          <w:lang w:eastAsia="ko-KR"/>
        </w:rPr>
        <w:t xml:space="preserve">any of the four above-mentioned meetings. </w:t>
      </w:r>
      <w:r w:rsidR="00A1205B" w:rsidRPr="00964E40">
        <w:rPr>
          <w:rFonts w:eastAsia="Malgun Gothic"/>
          <w:color w:val="000000"/>
          <w:kern w:val="22"/>
          <w:szCs w:val="22"/>
          <w:lang w:eastAsia="ko-KR"/>
        </w:rPr>
        <w:t>In addition</w:t>
      </w:r>
      <w:r w:rsidRPr="005F3D62">
        <w:rPr>
          <w:rFonts w:eastAsia="Malgun Gothic"/>
          <w:color w:val="000000"/>
          <w:kern w:val="22"/>
          <w:szCs w:val="22"/>
          <w:lang w:eastAsia="ko-KR"/>
        </w:rPr>
        <w:t xml:space="preserve">, a brief analysis of the funding from the </w:t>
      </w:r>
      <w:proofErr w:type="spellStart"/>
      <w:r w:rsidRPr="005F3D62">
        <w:rPr>
          <w:rFonts w:eastAsia="Malgun Gothic"/>
          <w:color w:val="000000"/>
          <w:kern w:val="22"/>
          <w:szCs w:val="22"/>
          <w:lang w:eastAsia="ko-KR"/>
        </w:rPr>
        <w:t>BZ</w:t>
      </w:r>
      <w:proofErr w:type="spellEnd"/>
      <w:r w:rsidRPr="005F3D62">
        <w:rPr>
          <w:rFonts w:eastAsia="Malgun Gothic"/>
          <w:color w:val="000000"/>
          <w:kern w:val="22"/>
          <w:szCs w:val="22"/>
          <w:lang w:eastAsia="ko-KR"/>
        </w:rPr>
        <w:t xml:space="preserve"> Trust </w:t>
      </w:r>
      <w:r w:rsidR="00C2659A" w:rsidRPr="00964E40">
        <w:rPr>
          <w:rFonts w:eastAsia="Malgun Gothic"/>
          <w:color w:val="000000"/>
          <w:kern w:val="22"/>
          <w:szCs w:val="22"/>
          <w:lang w:eastAsia="ko-KR"/>
        </w:rPr>
        <w:t>F</w:t>
      </w:r>
      <w:r w:rsidRPr="005F3D62">
        <w:rPr>
          <w:rFonts w:eastAsia="Malgun Gothic"/>
          <w:color w:val="000000"/>
          <w:kern w:val="22"/>
          <w:szCs w:val="22"/>
          <w:lang w:eastAsia="ko-KR"/>
        </w:rPr>
        <w:t xml:space="preserve">und in 2019 and 2020 shows that the least developed countries and the small island developing </w:t>
      </w:r>
      <w:r w:rsidR="00991111" w:rsidRPr="005F3D62">
        <w:rPr>
          <w:rFonts w:eastAsia="Malgun Gothic"/>
          <w:color w:val="000000"/>
          <w:kern w:val="22"/>
          <w:szCs w:val="22"/>
          <w:lang w:eastAsia="ko-KR"/>
        </w:rPr>
        <w:t>S</w:t>
      </w:r>
      <w:r w:rsidRPr="005F3D62">
        <w:rPr>
          <w:rFonts w:eastAsia="Malgun Gothic"/>
          <w:color w:val="000000"/>
          <w:kern w:val="22"/>
          <w:szCs w:val="22"/>
          <w:lang w:eastAsia="ko-KR"/>
        </w:rPr>
        <w:t xml:space="preserve">tates are the most dependent on the funding provided by the Secretariat. Similar trend was also </w:t>
      </w:r>
      <w:r w:rsidRPr="005F3D62">
        <w:rPr>
          <w:rFonts w:eastAsia="Malgun Gothic"/>
          <w:color w:val="000000"/>
          <w:kern w:val="22"/>
          <w:szCs w:val="22"/>
          <w:lang w:eastAsia="ko-KR"/>
        </w:rPr>
        <w:lastRenderedPageBreak/>
        <w:t xml:space="preserve">observed during the period </w:t>
      </w:r>
      <w:r w:rsidR="00A85C60" w:rsidRPr="00964E40">
        <w:rPr>
          <w:rFonts w:eastAsia="Malgun Gothic"/>
          <w:color w:val="000000"/>
          <w:kern w:val="22"/>
          <w:szCs w:val="22"/>
          <w:lang w:eastAsia="ko-KR"/>
        </w:rPr>
        <w:t>from</w:t>
      </w:r>
      <w:r w:rsidR="00A85C60" w:rsidRPr="005F3D62">
        <w:rPr>
          <w:rFonts w:eastAsia="Malgun Gothic"/>
          <w:color w:val="000000"/>
          <w:kern w:val="22"/>
          <w:szCs w:val="22"/>
          <w:lang w:eastAsia="ko-KR"/>
        </w:rPr>
        <w:t xml:space="preserve"> </w:t>
      </w:r>
      <w:r w:rsidRPr="005F3D62">
        <w:rPr>
          <w:rFonts w:eastAsia="Malgun Gothic"/>
          <w:color w:val="000000"/>
          <w:kern w:val="22"/>
          <w:szCs w:val="22"/>
          <w:lang w:eastAsia="ko-KR"/>
        </w:rPr>
        <w:t>2009</w:t>
      </w:r>
      <w:r w:rsidR="00A85C60" w:rsidRPr="00964E40">
        <w:rPr>
          <w:rFonts w:eastAsia="Malgun Gothic"/>
          <w:color w:val="000000"/>
          <w:kern w:val="22"/>
          <w:szCs w:val="22"/>
          <w:lang w:eastAsia="ko-KR"/>
        </w:rPr>
        <w:t xml:space="preserve"> to </w:t>
      </w:r>
      <w:r w:rsidRPr="005F3D62">
        <w:rPr>
          <w:rFonts w:eastAsia="Malgun Gothic"/>
          <w:color w:val="000000"/>
          <w:kern w:val="22"/>
          <w:szCs w:val="22"/>
          <w:lang w:eastAsia="ko-KR"/>
        </w:rPr>
        <w:t xml:space="preserve">2016 as reported </w:t>
      </w:r>
      <w:r w:rsidR="00F05BE0" w:rsidRPr="00964E40">
        <w:rPr>
          <w:rFonts w:eastAsia="Malgun Gothic"/>
          <w:color w:val="000000"/>
          <w:kern w:val="22"/>
          <w:szCs w:val="22"/>
          <w:lang w:eastAsia="ko-KR"/>
        </w:rPr>
        <w:t>by the Ex</w:t>
      </w:r>
      <w:r w:rsidR="00C75092" w:rsidRPr="00964E40">
        <w:rPr>
          <w:rFonts w:eastAsia="Malgun Gothic"/>
          <w:color w:val="000000"/>
          <w:kern w:val="22"/>
          <w:szCs w:val="22"/>
          <w:lang w:eastAsia="ko-KR"/>
        </w:rPr>
        <w:t>e</w:t>
      </w:r>
      <w:r w:rsidR="00F05BE0" w:rsidRPr="00964E40">
        <w:rPr>
          <w:rFonts w:eastAsia="Malgun Gothic"/>
          <w:color w:val="000000"/>
          <w:kern w:val="22"/>
          <w:szCs w:val="22"/>
          <w:lang w:eastAsia="ko-KR"/>
        </w:rPr>
        <w:t>cutive Secretary to the Subsidiary Body at its second session</w:t>
      </w:r>
      <w:r w:rsidRPr="005F3D62">
        <w:rPr>
          <w:rFonts w:eastAsia="Malgun Gothic"/>
          <w:color w:val="000000"/>
          <w:kern w:val="22"/>
          <w:szCs w:val="22"/>
          <w:lang w:eastAsia="ko-KR"/>
        </w:rPr>
        <w:t xml:space="preserve"> </w:t>
      </w:r>
      <w:r w:rsidR="00F05BE0" w:rsidRPr="00964E40">
        <w:rPr>
          <w:rFonts w:eastAsia="Malgun Gothic"/>
          <w:color w:val="000000"/>
          <w:kern w:val="22"/>
          <w:szCs w:val="22"/>
          <w:lang w:eastAsia="ko-KR"/>
        </w:rPr>
        <w:t xml:space="preserve">(see </w:t>
      </w:r>
      <w:hyperlink r:id="rId17" w:history="1">
        <w:r w:rsidR="00991111" w:rsidRPr="005F3D62">
          <w:rPr>
            <w:rStyle w:val="Hyperlink"/>
            <w:rFonts w:eastAsia="Malgun Gothic"/>
            <w:kern w:val="22"/>
            <w:sz w:val="22"/>
            <w:szCs w:val="22"/>
            <w:lang w:eastAsia="ko-KR"/>
          </w:rPr>
          <w:t>CBD/</w:t>
        </w:r>
        <w:proofErr w:type="spellStart"/>
        <w:r w:rsidRPr="005F3D62">
          <w:rPr>
            <w:rStyle w:val="Hyperlink"/>
            <w:rFonts w:eastAsia="Malgun Gothic"/>
            <w:kern w:val="22"/>
            <w:sz w:val="22"/>
            <w:szCs w:val="22"/>
            <w:lang w:eastAsia="ko-KR"/>
          </w:rPr>
          <w:t>SBI</w:t>
        </w:r>
        <w:proofErr w:type="spellEnd"/>
        <w:r w:rsidRPr="005F3D62">
          <w:rPr>
            <w:rStyle w:val="Hyperlink"/>
            <w:rFonts w:eastAsia="Malgun Gothic"/>
            <w:kern w:val="22"/>
            <w:sz w:val="22"/>
            <w:szCs w:val="22"/>
            <w:lang w:eastAsia="ko-KR"/>
          </w:rPr>
          <w:t>/2/18</w:t>
        </w:r>
      </w:hyperlink>
      <w:r w:rsidR="00F05BE0" w:rsidRPr="00964E40">
        <w:rPr>
          <w:rFonts w:eastAsia="Malgun Gothic"/>
          <w:color w:val="000000"/>
          <w:kern w:val="22"/>
          <w:szCs w:val="22"/>
          <w:lang w:eastAsia="ko-KR"/>
        </w:rPr>
        <w:t>)</w:t>
      </w:r>
      <w:r w:rsidRPr="005F3D62">
        <w:rPr>
          <w:rFonts w:eastAsia="Malgun Gothic"/>
          <w:color w:val="000000"/>
          <w:kern w:val="22"/>
          <w:szCs w:val="22"/>
          <w:lang w:eastAsia="ko-KR"/>
        </w:rPr>
        <w:t>.</w:t>
      </w:r>
    </w:p>
    <w:p w14:paraId="49CA525E" w14:textId="344DC853" w:rsidR="000D4DA8" w:rsidRPr="005F3D62" w:rsidRDefault="000D4DA8" w:rsidP="005F3D62">
      <w:pPr>
        <w:pStyle w:val="ListParagraph"/>
        <w:numPr>
          <w:ilvl w:val="0"/>
          <w:numId w:val="1"/>
        </w:numPr>
        <w:suppressLineNumbers/>
        <w:suppressAutoHyphens/>
        <w:spacing w:before="120" w:after="120"/>
        <w:ind w:left="0" w:firstLine="0"/>
        <w:contextualSpacing w:val="0"/>
        <w:rPr>
          <w:rFonts w:eastAsia="Malgun Gothic"/>
          <w:iCs/>
          <w:caps/>
          <w:color w:val="000000"/>
          <w:kern w:val="22"/>
          <w:szCs w:val="22"/>
          <w:lang w:eastAsia="ko-KR"/>
        </w:rPr>
      </w:pPr>
      <w:r w:rsidRPr="005F3D62">
        <w:rPr>
          <w:color w:val="000000"/>
          <w:kern w:val="22"/>
          <w:szCs w:val="22"/>
        </w:rPr>
        <w:t xml:space="preserve">Pursuant to decision 14/37, paragraph 37, the Secretariat will review the structure and rules of the </w:t>
      </w:r>
      <w:proofErr w:type="spellStart"/>
      <w:r w:rsidRPr="005F3D62">
        <w:rPr>
          <w:color w:val="000000"/>
          <w:kern w:val="22"/>
          <w:szCs w:val="22"/>
        </w:rPr>
        <w:t>BZ</w:t>
      </w:r>
      <w:proofErr w:type="spellEnd"/>
      <w:r w:rsidRPr="005F3D62">
        <w:rPr>
          <w:color w:val="000000"/>
          <w:kern w:val="22"/>
          <w:szCs w:val="22"/>
        </w:rPr>
        <w:t xml:space="preserve"> Trust </w:t>
      </w:r>
      <w:r w:rsidR="00037A93" w:rsidRPr="00964E40">
        <w:rPr>
          <w:color w:val="000000"/>
          <w:kern w:val="22"/>
          <w:szCs w:val="22"/>
        </w:rPr>
        <w:t>F</w:t>
      </w:r>
      <w:r w:rsidRPr="005F3D62">
        <w:rPr>
          <w:color w:val="000000"/>
          <w:kern w:val="22"/>
          <w:szCs w:val="22"/>
        </w:rPr>
        <w:t xml:space="preserve">und in view of its revision and will develop a proposal for adoption </w:t>
      </w:r>
      <w:r w:rsidR="005B56A5" w:rsidRPr="00964E40">
        <w:rPr>
          <w:color w:val="000000"/>
          <w:kern w:val="22"/>
          <w:szCs w:val="22"/>
        </w:rPr>
        <w:t xml:space="preserve">by </w:t>
      </w:r>
      <w:r w:rsidRPr="005F3D62">
        <w:rPr>
          <w:color w:val="000000"/>
          <w:kern w:val="22"/>
          <w:szCs w:val="22"/>
        </w:rPr>
        <w:t>the Conference of the Parties</w:t>
      </w:r>
      <w:r w:rsidR="005B56A5" w:rsidRPr="00964E40">
        <w:rPr>
          <w:color w:val="000000"/>
          <w:kern w:val="22"/>
          <w:szCs w:val="22"/>
        </w:rPr>
        <w:t xml:space="preserve"> at </w:t>
      </w:r>
      <w:r w:rsidR="002441CE" w:rsidRPr="00964E40">
        <w:rPr>
          <w:color w:val="000000"/>
          <w:kern w:val="22"/>
          <w:szCs w:val="22"/>
        </w:rPr>
        <w:t>its</w:t>
      </w:r>
      <w:r w:rsidR="005B56A5" w:rsidRPr="00964E40">
        <w:rPr>
          <w:color w:val="000000"/>
          <w:kern w:val="22"/>
          <w:szCs w:val="22"/>
        </w:rPr>
        <w:t xml:space="preserve"> fifteenth meeting</w:t>
      </w:r>
      <w:r w:rsidRPr="005F3D62">
        <w:rPr>
          <w:color w:val="000000"/>
          <w:kern w:val="22"/>
          <w:szCs w:val="22"/>
        </w:rPr>
        <w:t>.</w:t>
      </w:r>
    </w:p>
    <w:p w14:paraId="7274D293" w14:textId="5DB08974" w:rsidR="000D4DA8" w:rsidRPr="005F3D62" w:rsidRDefault="000D4DA8" w:rsidP="005F3D62">
      <w:pPr>
        <w:pStyle w:val="Heading1"/>
        <w:numPr>
          <w:ilvl w:val="0"/>
          <w:numId w:val="6"/>
        </w:numPr>
        <w:suppressLineNumbers/>
        <w:tabs>
          <w:tab w:val="clear" w:pos="720"/>
          <w:tab w:val="left" w:pos="426"/>
        </w:tabs>
        <w:suppressAutoHyphens/>
        <w:spacing w:before="120"/>
        <w:ind w:left="0" w:firstLine="0"/>
        <w:rPr>
          <w:rFonts w:eastAsia="Malgun Gothic"/>
          <w:b w:val="0"/>
          <w:kern w:val="22"/>
          <w:szCs w:val="22"/>
          <w:lang w:eastAsia="ko-KR"/>
        </w:rPr>
      </w:pPr>
      <w:r w:rsidRPr="005F3D62">
        <w:rPr>
          <w:rFonts w:eastAsia="Malgun Gothic"/>
          <w:kern w:val="22"/>
          <w:szCs w:val="22"/>
          <w:lang w:eastAsia="ko-KR"/>
        </w:rPr>
        <w:t>Other administrative and bud</w:t>
      </w:r>
      <w:r w:rsidR="00A2104C" w:rsidRPr="005F3D62">
        <w:rPr>
          <w:rFonts w:eastAsia="Malgun Gothic"/>
          <w:kern w:val="22"/>
          <w:szCs w:val="22"/>
          <w:lang w:eastAsia="ko-KR"/>
        </w:rPr>
        <w:t>g</w:t>
      </w:r>
      <w:r w:rsidRPr="005F3D62">
        <w:rPr>
          <w:rFonts w:eastAsia="Malgun Gothic"/>
          <w:kern w:val="22"/>
          <w:szCs w:val="22"/>
          <w:lang w:eastAsia="ko-KR"/>
        </w:rPr>
        <w:t>e</w:t>
      </w:r>
      <w:r w:rsidR="00A2104C" w:rsidRPr="005F3D62">
        <w:rPr>
          <w:rFonts w:eastAsia="Malgun Gothic"/>
          <w:kern w:val="22"/>
          <w:szCs w:val="22"/>
          <w:lang w:eastAsia="ko-KR"/>
        </w:rPr>
        <w:t>t</w:t>
      </w:r>
      <w:r w:rsidRPr="005F3D62">
        <w:rPr>
          <w:rFonts w:eastAsia="Malgun Gothic"/>
          <w:kern w:val="22"/>
          <w:szCs w:val="22"/>
          <w:lang w:eastAsia="ko-KR"/>
        </w:rPr>
        <w:t>ary matters</w:t>
      </w:r>
    </w:p>
    <w:p w14:paraId="7511F466" w14:textId="270AF644" w:rsidR="000D4DA8" w:rsidRPr="005F3D62" w:rsidRDefault="009D23C9" w:rsidP="005F3D62">
      <w:pPr>
        <w:pStyle w:val="ListParagraph"/>
        <w:keepNext/>
        <w:suppressLineNumbers/>
        <w:tabs>
          <w:tab w:val="left" w:pos="426"/>
        </w:tabs>
        <w:suppressAutoHyphens/>
        <w:spacing w:before="120" w:after="120"/>
        <w:ind w:left="0"/>
        <w:contextualSpacing w:val="0"/>
        <w:jc w:val="center"/>
        <w:rPr>
          <w:b/>
          <w:bCs/>
          <w:color w:val="000000"/>
          <w:kern w:val="22"/>
          <w:szCs w:val="22"/>
        </w:rPr>
      </w:pPr>
      <w:r w:rsidRPr="005F3D62">
        <w:rPr>
          <w:b/>
          <w:bCs/>
          <w:color w:val="000000"/>
          <w:kern w:val="22"/>
          <w:szCs w:val="22"/>
        </w:rPr>
        <w:t>A.</w:t>
      </w:r>
      <w:r w:rsidRPr="005F3D62">
        <w:rPr>
          <w:b/>
          <w:bCs/>
          <w:color w:val="000000"/>
          <w:kern w:val="22"/>
          <w:szCs w:val="22"/>
        </w:rPr>
        <w:tab/>
      </w:r>
      <w:r w:rsidR="000D4DA8" w:rsidRPr="005F3D62">
        <w:rPr>
          <w:b/>
          <w:bCs/>
          <w:color w:val="000000"/>
          <w:kern w:val="22"/>
          <w:szCs w:val="22"/>
        </w:rPr>
        <w:t>Rent and associated costs</w:t>
      </w:r>
    </w:p>
    <w:p w14:paraId="5B6D9CF7" w14:textId="2244A713" w:rsidR="000D4DA8" w:rsidRPr="005F3D62" w:rsidRDefault="000D4DA8" w:rsidP="005F3D62">
      <w:pPr>
        <w:pStyle w:val="ListParagraph"/>
        <w:numPr>
          <w:ilvl w:val="0"/>
          <w:numId w:val="1"/>
        </w:numPr>
        <w:suppressLineNumbers/>
        <w:suppressAutoHyphens/>
        <w:ind w:left="0" w:firstLine="0"/>
        <w:contextualSpacing w:val="0"/>
        <w:rPr>
          <w:color w:val="000000"/>
          <w:kern w:val="22"/>
          <w:szCs w:val="22"/>
        </w:rPr>
      </w:pPr>
      <w:r w:rsidRPr="005F3D62">
        <w:rPr>
          <w:color w:val="000000"/>
          <w:kern w:val="22"/>
          <w:szCs w:val="22"/>
        </w:rPr>
        <w:t>Further to paragraph 9 of decision 14/37, t</w:t>
      </w:r>
      <w:r w:rsidRPr="005F3D62">
        <w:rPr>
          <w:kern w:val="22"/>
          <w:szCs w:val="22"/>
        </w:rPr>
        <w:t>he Secretariat has renewed its grant agreements with the Government of Canada and the Province of Quebec for the rent and associated costs of the office space in Montreal. The agreements cover the period f</w:t>
      </w:r>
      <w:r w:rsidR="00EB4B32" w:rsidRPr="00964E40">
        <w:rPr>
          <w:kern w:val="22"/>
          <w:szCs w:val="22"/>
        </w:rPr>
        <w:t>rom</w:t>
      </w:r>
      <w:r w:rsidRPr="005F3D62">
        <w:rPr>
          <w:kern w:val="22"/>
          <w:szCs w:val="22"/>
        </w:rPr>
        <w:t xml:space="preserve"> 1 October 2019 to 30 September 2029. Subsequently, the Secretariat renewed its lease agreement for a period of 10 years </w:t>
      </w:r>
      <w:r w:rsidR="00564084" w:rsidRPr="00964E40">
        <w:rPr>
          <w:kern w:val="22"/>
          <w:szCs w:val="22"/>
        </w:rPr>
        <w:t>effective</w:t>
      </w:r>
      <w:r w:rsidR="00564084" w:rsidRPr="005F3D62">
        <w:rPr>
          <w:kern w:val="22"/>
          <w:szCs w:val="22"/>
        </w:rPr>
        <w:t xml:space="preserve"> </w:t>
      </w:r>
      <w:r w:rsidRPr="005F3D62">
        <w:rPr>
          <w:kern w:val="22"/>
          <w:szCs w:val="22"/>
        </w:rPr>
        <w:t>1 October 2019.</w:t>
      </w:r>
    </w:p>
    <w:p w14:paraId="4E40D941" w14:textId="70310518" w:rsidR="000D4DA8" w:rsidRPr="005F3D62" w:rsidRDefault="009D23C9" w:rsidP="005F3D62">
      <w:pPr>
        <w:pStyle w:val="ListParagraph"/>
        <w:keepNext/>
        <w:suppressLineNumbers/>
        <w:tabs>
          <w:tab w:val="left" w:pos="426"/>
        </w:tabs>
        <w:suppressAutoHyphens/>
        <w:spacing w:before="120" w:after="120"/>
        <w:ind w:left="0"/>
        <w:contextualSpacing w:val="0"/>
        <w:jc w:val="center"/>
        <w:rPr>
          <w:b/>
          <w:bCs/>
          <w:color w:val="000000"/>
          <w:kern w:val="22"/>
          <w:szCs w:val="22"/>
        </w:rPr>
      </w:pPr>
      <w:r w:rsidRPr="005F3D62">
        <w:rPr>
          <w:b/>
          <w:bCs/>
          <w:color w:val="000000"/>
          <w:kern w:val="22"/>
          <w:szCs w:val="22"/>
        </w:rPr>
        <w:t>B</w:t>
      </w:r>
      <w:r w:rsidR="002441CE" w:rsidRPr="005F3D62">
        <w:rPr>
          <w:b/>
          <w:bCs/>
          <w:color w:val="000000"/>
          <w:kern w:val="22"/>
          <w:szCs w:val="22"/>
        </w:rPr>
        <w:t>.</w:t>
      </w:r>
      <w:r w:rsidR="002441CE" w:rsidRPr="005F3D62">
        <w:rPr>
          <w:b/>
          <w:bCs/>
          <w:color w:val="000000"/>
          <w:kern w:val="22"/>
          <w:szCs w:val="22"/>
        </w:rPr>
        <w:tab/>
      </w:r>
      <w:r w:rsidR="000D4DA8" w:rsidRPr="005F3D62">
        <w:rPr>
          <w:b/>
          <w:bCs/>
          <w:color w:val="000000"/>
          <w:kern w:val="22"/>
          <w:szCs w:val="22"/>
        </w:rPr>
        <w:t>Financial information</w:t>
      </w:r>
    </w:p>
    <w:p w14:paraId="28DB7440" w14:textId="313D650E" w:rsidR="000D4DA8" w:rsidRPr="005F3D62" w:rsidRDefault="000D4DA8" w:rsidP="005F3D62">
      <w:pPr>
        <w:pStyle w:val="ListParagraph"/>
        <w:numPr>
          <w:ilvl w:val="0"/>
          <w:numId w:val="1"/>
        </w:numPr>
        <w:suppressLineNumbers/>
        <w:shd w:val="clear" w:color="auto" w:fill="FFFFFF"/>
        <w:suppressAutoHyphens/>
        <w:spacing w:before="120" w:after="120"/>
        <w:ind w:left="0" w:firstLine="0"/>
        <w:contextualSpacing w:val="0"/>
        <w:rPr>
          <w:color w:val="000000"/>
          <w:kern w:val="22"/>
          <w:szCs w:val="22"/>
        </w:rPr>
      </w:pPr>
      <w:r w:rsidRPr="005F3D62">
        <w:rPr>
          <w:color w:val="000000"/>
          <w:kern w:val="22"/>
          <w:szCs w:val="22"/>
        </w:rPr>
        <w:t xml:space="preserve">In its decision 14/37, paragraph 21, the Conference of the Parties requested the Executive Secretary, </w:t>
      </w:r>
      <w:proofErr w:type="gramStart"/>
      <w:r w:rsidRPr="005F3D62">
        <w:rPr>
          <w:color w:val="000000"/>
          <w:kern w:val="22"/>
          <w:szCs w:val="22"/>
        </w:rPr>
        <w:t>as a means to</w:t>
      </w:r>
      <w:proofErr w:type="gramEnd"/>
      <w:r w:rsidRPr="005F3D62">
        <w:rPr>
          <w:color w:val="000000"/>
          <w:kern w:val="22"/>
          <w:szCs w:val="22"/>
        </w:rPr>
        <w:t xml:space="preserve"> further enhance efforts to foster transparency and accountability, to publish up-to-date information relevant to the governance of the Convention. In response to this decision, the Secretariat has developed a section on the website of the Convention </w:t>
      </w:r>
      <w:r w:rsidRPr="005F3D62">
        <w:rPr>
          <w:kern w:val="22"/>
          <w:szCs w:val="22"/>
        </w:rPr>
        <w:t>dedicated to administrative and financial information.</w:t>
      </w:r>
      <w:bookmarkStart w:id="5" w:name="_Ref52886285"/>
      <w:r w:rsidR="00C77ABF" w:rsidRPr="005F3D62">
        <w:rPr>
          <w:rStyle w:val="FootnoteReference"/>
          <w:kern w:val="22"/>
          <w:szCs w:val="22"/>
        </w:rPr>
        <w:footnoteReference w:id="3"/>
      </w:r>
      <w:bookmarkEnd w:id="5"/>
      <w:r w:rsidRPr="005F3D62">
        <w:rPr>
          <w:kern w:val="22"/>
          <w:szCs w:val="22"/>
        </w:rPr>
        <w:t xml:space="preserve"> </w:t>
      </w:r>
      <w:r w:rsidR="005D2ABC" w:rsidRPr="00964E40">
        <w:rPr>
          <w:kern w:val="22"/>
          <w:szCs w:val="22"/>
        </w:rPr>
        <w:t>Such i</w:t>
      </w:r>
      <w:r w:rsidRPr="005F3D62">
        <w:rPr>
          <w:kern w:val="22"/>
          <w:szCs w:val="22"/>
        </w:rPr>
        <w:t>nformation as the status of assessed contributions and voluntary contributions, the Secretariat financial statements and audit reports are available in this section.</w:t>
      </w:r>
    </w:p>
    <w:p w14:paraId="667D43C0" w14:textId="1B5A8D00" w:rsidR="000D4DA8" w:rsidRPr="005F3D62" w:rsidRDefault="009D23C9" w:rsidP="005F3D62">
      <w:pPr>
        <w:pStyle w:val="ListParagraph"/>
        <w:keepNext/>
        <w:suppressLineNumbers/>
        <w:tabs>
          <w:tab w:val="left" w:pos="426"/>
        </w:tabs>
        <w:suppressAutoHyphens/>
        <w:spacing w:before="120" w:after="120"/>
        <w:ind w:left="0"/>
        <w:contextualSpacing w:val="0"/>
        <w:jc w:val="center"/>
        <w:rPr>
          <w:b/>
          <w:bCs/>
          <w:color w:val="000000"/>
          <w:kern w:val="22"/>
          <w:szCs w:val="22"/>
        </w:rPr>
      </w:pPr>
      <w:r w:rsidRPr="005F3D62">
        <w:rPr>
          <w:b/>
          <w:bCs/>
          <w:color w:val="000000"/>
          <w:kern w:val="22"/>
          <w:szCs w:val="22"/>
        </w:rPr>
        <w:t>C.</w:t>
      </w:r>
      <w:r w:rsidR="005D2ABC" w:rsidRPr="00964E40">
        <w:rPr>
          <w:b/>
          <w:bCs/>
          <w:color w:val="000000"/>
          <w:kern w:val="22"/>
          <w:szCs w:val="22"/>
        </w:rPr>
        <w:tab/>
      </w:r>
      <w:r w:rsidR="000D4DA8" w:rsidRPr="005F3D62">
        <w:rPr>
          <w:b/>
          <w:bCs/>
          <w:color w:val="000000"/>
          <w:kern w:val="22"/>
          <w:szCs w:val="22"/>
        </w:rPr>
        <w:t>Audit of the Secretariat</w:t>
      </w:r>
    </w:p>
    <w:p w14:paraId="172E2AB6" w14:textId="23834963" w:rsidR="000D4DA8" w:rsidRPr="005F3D62" w:rsidRDefault="00074C3E" w:rsidP="005F3D62">
      <w:pPr>
        <w:pStyle w:val="ListParagraph"/>
        <w:numPr>
          <w:ilvl w:val="0"/>
          <w:numId w:val="1"/>
        </w:numPr>
        <w:suppressLineNumbers/>
        <w:suppressAutoHyphens/>
        <w:spacing w:before="120" w:after="120"/>
        <w:ind w:left="0" w:firstLine="0"/>
        <w:contextualSpacing w:val="0"/>
        <w:rPr>
          <w:rFonts w:eastAsia="Malgun Gothic"/>
          <w:color w:val="000000"/>
          <w:kern w:val="22"/>
          <w:szCs w:val="22"/>
          <w:lang w:eastAsia="x-none"/>
        </w:rPr>
      </w:pPr>
      <w:r w:rsidRPr="00964E40">
        <w:rPr>
          <w:rFonts w:eastAsia="Malgun Gothic"/>
          <w:color w:val="000000"/>
          <w:kern w:val="22"/>
          <w:szCs w:val="22"/>
          <w:lang w:eastAsia="x-none"/>
        </w:rPr>
        <w:t xml:space="preserve">As requested by the Conference of the Parties in its decision 14/37, paragraph 22, </w:t>
      </w:r>
      <w:r w:rsidRPr="00964E40">
        <w:rPr>
          <w:rFonts w:eastAsia="Malgun Gothic"/>
          <w:kern w:val="22"/>
          <w:szCs w:val="22"/>
          <w:lang w:eastAsia="x-none"/>
        </w:rPr>
        <w:t>t</w:t>
      </w:r>
      <w:r w:rsidR="000D4DA8" w:rsidRPr="005F3D62">
        <w:rPr>
          <w:rFonts w:eastAsia="Malgun Gothic"/>
          <w:kern w:val="22"/>
          <w:szCs w:val="22"/>
          <w:lang w:eastAsia="x-none"/>
        </w:rPr>
        <w:t xml:space="preserve">he </w:t>
      </w:r>
      <w:r w:rsidR="000D4DA8" w:rsidRPr="005F3D62">
        <w:rPr>
          <w:rFonts w:eastAsia="Malgun Gothic"/>
          <w:color w:val="000000"/>
          <w:kern w:val="22"/>
          <w:szCs w:val="22"/>
          <w:lang w:eastAsia="x-none"/>
        </w:rPr>
        <w:t>United Nations Office of Internal Oversight Services (</w:t>
      </w:r>
      <w:proofErr w:type="spellStart"/>
      <w:r w:rsidR="000D4DA8" w:rsidRPr="005F3D62">
        <w:rPr>
          <w:rFonts w:eastAsia="Malgun Gothic"/>
          <w:color w:val="000000"/>
          <w:kern w:val="22"/>
          <w:szCs w:val="22"/>
          <w:lang w:eastAsia="x-none"/>
        </w:rPr>
        <w:t>OIOS</w:t>
      </w:r>
      <w:proofErr w:type="spellEnd"/>
      <w:r w:rsidR="000D4DA8" w:rsidRPr="005F3D62">
        <w:rPr>
          <w:rFonts w:eastAsia="Malgun Gothic"/>
          <w:color w:val="000000"/>
          <w:kern w:val="22"/>
          <w:szCs w:val="22"/>
          <w:lang w:eastAsia="x-none"/>
        </w:rPr>
        <w:t xml:space="preserve">) conducted an audit of the operations of the Secretariat </w:t>
      </w:r>
      <w:r w:rsidRPr="00964E40">
        <w:rPr>
          <w:rFonts w:eastAsia="Malgun Gothic"/>
          <w:color w:val="000000"/>
          <w:kern w:val="22"/>
          <w:szCs w:val="22"/>
          <w:lang w:eastAsia="x-none"/>
        </w:rPr>
        <w:t>in</w:t>
      </w:r>
      <w:r w:rsidRPr="005F3D62">
        <w:rPr>
          <w:rFonts w:eastAsia="Malgun Gothic"/>
          <w:color w:val="000000"/>
          <w:kern w:val="22"/>
          <w:szCs w:val="22"/>
          <w:lang w:eastAsia="x-none"/>
        </w:rPr>
        <w:t xml:space="preserve"> </w:t>
      </w:r>
      <w:r w:rsidR="000D4DA8" w:rsidRPr="005F3D62">
        <w:rPr>
          <w:rFonts w:eastAsia="Malgun Gothic"/>
          <w:color w:val="000000"/>
          <w:kern w:val="22"/>
          <w:szCs w:val="22"/>
          <w:lang w:eastAsia="x-none"/>
        </w:rPr>
        <w:t xml:space="preserve">June </w:t>
      </w:r>
      <w:r w:rsidRPr="00964E40">
        <w:rPr>
          <w:rFonts w:eastAsia="Malgun Gothic"/>
          <w:color w:val="000000"/>
          <w:kern w:val="22"/>
          <w:szCs w:val="22"/>
          <w:lang w:eastAsia="x-none"/>
        </w:rPr>
        <w:t>and</w:t>
      </w:r>
      <w:r w:rsidRPr="005F3D62">
        <w:rPr>
          <w:rFonts w:eastAsia="Malgun Gothic"/>
          <w:color w:val="000000"/>
          <w:kern w:val="22"/>
          <w:szCs w:val="22"/>
          <w:lang w:eastAsia="x-none"/>
        </w:rPr>
        <w:t xml:space="preserve"> </w:t>
      </w:r>
      <w:r w:rsidR="000D4DA8" w:rsidRPr="005F3D62">
        <w:rPr>
          <w:rFonts w:eastAsia="Malgun Gothic"/>
          <w:color w:val="000000"/>
          <w:kern w:val="22"/>
          <w:szCs w:val="22"/>
          <w:lang w:eastAsia="x-none"/>
        </w:rPr>
        <w:t xml:space="preserve">July 2019. The audit covered the period from January 2016 to May 2019 and focused on the following four areas: </w:t>
      </w:r>
      <w:r w:rsidR="000B5F9A" w:rsidRPr="005F3D62">
        <w:rPr>
          <w:rFonts w:eastAsia="Malgun Gothic"/>
          <w:color w:val="000000"/>
          <w:kern w:val="22"/>
          <w:szCs w:val="22"/>
          <w:lang w:eastAsia="x-none"/>
        </w:rPr>
        <w:t>(a) </w:t>
      </w:r>
      <w:r w:rsidR="000D4DA8" w:rsidRPr="005F3D62">
        <w:rPr>
          <w:rFonts w:eastAsia="Malgun Gothic"/>
          <w:color w:val="000000"/>
          <w:kern w:val="22"/>
          <w:szCs w:val="22"/>
          <w:lang w:eastAsia="x-none"/>
        </w:rPr>
        <w:t>strategic management</w:t>
      </w:r>
      <w:r w:rsidR="00EC1A90" w:rsidRPr="00964E40">
        <w:rPr>
          <w:rFonts w:eastAsia="Malgun Gothic"/>
          <w:color w:val="000000"/>
          <w:kern w:val="22"/>
          <w:szCs w:val="22"/>
          <w:lang w:eastAsia="x-none"/>
        </w:rPr>
        <w:t>;</w:t>
      </w:r>
      <w:r w:rsidR="000D4DA8" w:rsidRPr="005F3D62">
        <w:rPr>
          <w:rFonts w:eastAsia="Malgun Gothic"/>
          <w:color w:val="000000"/>
          <w:kern w:val="22"/>
          <w:szCs w:val="22"/>
          <w:lang w:eastAsia="x-none"/>
        </w:rPr>
        <w:t xml:space="preserve"> </w:t>
      </w:r>
      <w:r w:rsidR="000B5F9A" w:rsidRPr="005F3D62">
        <w:rPr>
          <w:rFonts w:eastAsia="Malgun Gothic"/>
          <w:color w:val="000000"/>
          <w:kern w:val="22"/>
          <w:szCs w:val="22"/>
          <w:lang w:eastAsia="x-none"/>
        </w:rPr>
        <w:t>(b) </w:t>
      </w:r>
      <w:r w:rsidR="000D4DA8" w:rsidRPr="005F3D62">
        <w:rPr>
          <w:rFonts w:eastAsia="Malgun Gothic"/>
          <w:color w:val="000000"/>
          <w:kern w:val="22"/>
          <w:szCs w:val="22"/>
          <w:lang w:eastAsia="x-none"/>
        </w:rPr>
        <w:t>financial management</w:t>
      </w:r>
      <w:r w:rsidR="00EC1A90" w:rsidRPr="00964E40">
        <w:rPr>
          <w:rFonts w:eastAsia="Malgun Gothic"/>
          <w:color w:val="000000"/>
          <w:kern w:val="22"/>
          <w:szCs w:val="22"/>
          <w:lang w:eastAsia="x-none"/>
        </w:rPr>
        <w:t>;</w:t>
      </w:r>
      <w:r w:rsidR="000D4DA8" w:rsidRPr="005F3D62">
        <w:rPr>
          <w:rFonts w:eastAsia="Malgun Gothic"/>
          <w:color w:val="000000"/>
          <w:kern w:val="22"/>
          <w:szCs w:val="22"/>
          <w:lang w:eastAsia="x-none"/>
        </w:rPr>
        <w:t xml:space="preserve"> </w:t>
      </w:r>
      <w:r w:rsidR="000B5F9A" w:rsidRPr="005F3D62">
        <w:rPr>
          <w:rFonts w:eastAsia="Malgun Gothic"/>
          <w:color w:val="000000"/>
          <w:kern w:val="22"/>
          <w:szCs w:val="22"/>
          <w:lang w:eastAsia="x-none"/>
        </w:rPr>
        <w:t>(c) </w:t>
      </w:r>
      <w:r w:rsidR="000D4DA8" w:rsidRPr="005F3D62">
        <w:rPr>
          <w:rFonts w:eastAsia="Malgun Gothic"/>
          <w:color w:val="000000"/>
          <w:kern w:val="22"/>
          <w:szCs w:val="22"/>
          <w:lang w:eastAsia="x-none"/>
        </w:rPr>
        <w:t>human resources management</w:t>
      </w:r>
      <w:r w:rsidR="00EC1A90" w:rsidRPr="00964E40">
        <w:rPr>
          <w:rFonts w:eastAsia="Malgun Gothic"/>
          <w:color w:val="000000"/>
          <w:kern w:val="22"/>
          <w:szCs w:val="22"/>
          <w:lang w:eastAsia="x-none"/>
        </w:rPr>
        <w:t>;</w:t>
      </w:r>
      <w:r w:rsidR="000D4DA8" w:rsidRPr="005F3D62">
        <w:rPr>
          <w:rFonts w:eastAsia="Malgun Gothic"/>
          <w:color w:val="000000"/>
          <w:kern w:val="22"/>
          <w:szCs w:val="22"/>
          <w:lang w:eastAsia="x-none"/>
        </w:rPr>
        <w:t xml:space="preserve"> and </w:t>
      </w:r>
      <w:r w:rsidR="000B5F9A" w:rsidRPr="005F3D62">
        <w:rPr>
          <w:rFonts w:eastAsia="Malgun Gothic"/>
          <w:color w:val="000000"/>
          <w:kern w:val="22"/>
          <w:szCs w:val="22"/>
          <w:lang w:eastAsia="x-none"/>
        </w:rPr>
        <w:t>(d) </w:t>
      </w:r>
      <w:r w:rsidR="000D4DA8" w:rsidRPr="005F3D62">
        <w:rPr>
          <w:rFonts w:eastAsia="Malgun Gothic"/>
          <w:color w:val="000000"/>
          <w:kern w:val="22"/>
          <w:szCs w:val="22"/>
          <w:lang w:eastAsia="x-none"/>
        </w:rPr>
        <w:t xml:space="preserve">performance management. The final report was issued on 31 October </w:t>
      </w:r>
      <w:r w:rsidR="00965FCE" w:rsidRPr="00964E40">
        <w:rPr>
          <w:rFonts w:eastAsia="Malgun Gothic"/>
          <w:color w:val="000000"/>
          <w:kern w:val="22"/>
          <w:szCs w:val="22"/>
          <w:lang w:eastAsia="x-none"/>
        </w:rPr>
        <w:t xml:space="preserve">2019 </w:t>
      </w:r>
      <w:r w:rsidR="000D4DA8" w:rsidRPr="005F3D62">
        <w:rPr>
          <w:rFonts w:eastAsia="Malgun Gothic"/>
          <w:color w:val="000000"/>
          <w:kern w:val="22"/>
          <w:szCs w:val="22"/>
          <w:lang w:eastAsia="x-none"/>
        </w:rPr>
        <w:t xml:space="preserve">and is available </w:t>
      </w:r>
      <w:r w:rsidR="000B5F9A" w:rsidRPr="005F3D62">
        <w:rPr>
          <w:rFonts w:eastAsia="Malgun Gothic"/>
          <w:color w:val="000000"/>
          <w:kern w:val="22"/>
          <w:szCs w:val="22"/>
          <w:lang w:eastAsia="x-none"/>
        </w:rPr>
        <w:t>o</w:t>
      </w:r>
      <w:r w:rsidR="000D4DA8" w:rsidRPr="005F3D62">
        <w:rPr>
          <w:rFonts w:eastAsia="Malgun Gothic"/>
          <w:color w:val="000000"/>
          <w:kern w:val="22"/>
          <w:szCs w:val="22"/>
          <w:lang w:eastAsia="x-none"/>
        </w:rPr>
        <w:t>n the website</w:t>
      </w:r>
      <w:r w:rsidR="000B5F9A" w:rsidRPr="005F3D62">
        <w:rPr>
          <w:rFonts w:eastAsia="Malgun Gothic"/>
          <w:color w:val="000000"/>
          <w:kern w:val="22"/>
          <w:szCs w:val="22"/>
          <w:lang w:eastAsia="x-none"/>
        </w:rPr>
        <w:t xml:space="preserve"> of the Convention</w:t>
      </w:r>
      <w:r w:rsidR="000D4DA8" w:rsidRPr="005F3D62">
        <w:rPr>
          <w:kern w:val="22"/>
          <w:szCs w:val="22"/>
        </w:rPr>
        <w:t>.</w:t>
      </w:r>
      <w:r w:rsidR="00E67628" w:rsidRPr="005F3D62">
        <w:rPr>
          <w:kern w:val="22"/>
          <w:szCs w:val="22"/>
          <w:vertAlign w:val="superscript"/>
        </w:rPr>
        <w:fldChar w:fldCharType="begin"/>
      </w:r>
      <w:r w:rsidR="00E67628" w:rsidRPr="005F3D62">
        <w:rPr>
          <w:kern w:val="22"/>
          <w:szCs w:val="22"/>
          <w:vertAlign w:val="superscript"/>
        </w:rPr>
        <w:instrText xml:space="preserve"> NOTEREF _Ref52886285 \h  \* MERGEFORMAT </w:instrText>
      </w:r>
      <w:r w:rsidR="00E67628" w:rsidRPr="005F3D62">
        <w:rPr>
          <w:kern w:val="22"/>
          <w:szCs w:val="22"/>
          <w:vertAlign w:val="superscript"/>
        </w:rPr>
      </w:r>
      <w:r w:rsidR="00E67628" w:rsidRPr="005F3D62">
        <w:rPr>
          <w:kern w:val="22"/>
          <w:szCs w:val="22"/>
          <w:vertAlign w:val="superscript"/>
        </w:rPr>
        <w:fldChar w:fldCharType="separate"/>
      </w:r>
      <w:r w:rsidR="009B3807" w:rsidRPr="00964E40">
        <w:rPr>
          <w:kern w:val="22"/>
          <w:szCs w:val="22"/>
          <w:vertAlign w:val="superscript"/>
        </w:rPr>
        <w:t>2</w:t>
      </w:r>
      <w:r w:rsidR="00E67628" w:rsidRPr="005F3D62">
        <w:rPr>
          <w:kern w:val="22"/>
          <w:szCs w:val="22"/>
          <w:vertAlign w:val="superscript"/>
        </w:rPr>
        <w:fldChar w:fldCharType="end"/>
      </w:r>
      <w:r w:rsidR="000D4DA8" w:rsidRPr="005F3D62">
        <w:rPr>
          <w:rFonts w:eastAsia="Malgun Gothic"/>
          <w:color w:val="000000"/>
          <w:kern w:val="22"/>
          <w:szCs w:val="22"/>
          <w:lang w:eastAsia="x-none"/>
        </w:rPr>
        <w:t xml:space="preserve"> As of 31 August 2020, the Secretariat has already implemented five audit recommendations </w:t>
      </w:r>
      <w:r w:rsidR="00980EA2" w:rsidRPr="005F3D62">
        <w:rPr>
          <w:rFonts w:eastAsia="Malgun Gothic"/>
          <w:color w:val="000000"/>
          <w:kern w:val="22"/>
          <w:szCs w:val="22"/>
          <w:lang w:eastAsia="x-none"/>
        </w:rPr>
        <w:t xml:space="preserve">which were accepted by </w:t>
      </w:r>
      <w:proofErr w:type="spellStart"/>
      <w:r w:rsidR="00980EA2" w:rsidRPr="005F3D62">
        <w:rPr>
          <w:rFonts w:eastAsia="Malgun Gothic"/>
          <w:color w:val="000000"/>
          <w:kern w:val="22"/>
          <w:szCs w:val="22"/>
          <w:lang w:eastAsia="x-none"/>
        </w:rPr>
        <w:t>OIOS</w:t>
      </w:r>
      <w:proofErr w:type="spellEnd"/>
      <w:r w:rsidR="00684129" w:rsidRPr="00964E40">
        <w:rPr>
          <w:rFonts w:eastAsia="Malgun Gothic"/>
          <w:color w:val="000000"/>
          <w:kern w:val="22"/>
          <w:szCs w:val="22"/>
          <w:lang w:eastAsia="x-none"/>
        </w:rPr>
        <w:t>,</w:t>
      </w:r>
      <w:r w:rsidR="00980EA2" w:rsidRPr="005F3D62">
        <w:rPr>
          <w:rFonts w:eastAsia="Malgun Gothic"/>
          <w:color w:val="000000"/>
          <w:kern w:val="22"/>
          <w:szCs w:val="22"/>
          <w:lang w:eastAsia="x-none"/>
        </w:rPr>
        <w:t xml:space="preserve"> </w:t>
      </w:r>
      <w:r w:rsidR="000D4DA8" w:rsidRPr="005F3D62">
        <w:rPr>
          <w:rFonts w:eastAsia="Malgun Gothic"/>
          <w:color w:val="000000"/>
          <w:kern w:val="22"/>
          <w:szCs w:val="22"/>
          <w:lang w:eastAsia="x-none"/>
        </w:rPr>
        <w:t xml:space="preserve">and seven others, </w:t>
      </w:r>
      <w:r w:rsidR="00684129" w:rsidRPr="00964E40">
        <w:rPr>
          <w:rFonts w:eastAsia="Malgun Gothic"/>
          <w:color w:val="000000"/>
          <w:kern w:val="22"/>
          <w:szCs w:val="22"/>
          <w:lang w:eastAsia="x-none"/>
        </w:rPr>
        <w:t xml:space="preserve">two </w:t>
      </w:r>
      <w:r w:rsidR="000D4DA8" w:rsidRPr="005F3D62">
        <w:rPr>
          <w:rFonts w:eastAsia="Malgun Gothic"/>
          <w:color w:val="000000"/>
          <w:kern w:val="22"/>
          <w:szCs w:val="22"/>
          <w:lang w:eastAsia="x-none"/>
        </w:rPr>
        <w:t xml:space="preserve">of which </w:t>
      </w:r>
      <w:r w:rsidR="00684129" w:rsidRPr="00964E40">
        <w:rPr>
          <w:rFonts w:eastAsia="Malgun Gothic"/>
          <w:color w:val="000000"/>
          <w:kern w:val="22"/>
          <w:szCs w:val="22"/>
          <w:lang w:eastAsia="x-none"/>
        </w:rPr>
        <w:t xml:space="preserve">are </w:t>
      </w:r>
      <w:r w:rsidR="000D4DA8" w:rsidRPr="005F3D62">
        <w:rPr>
          <w:rFonts w:eastAsia="Malgun Gothic"/>
          <w:color w:val="000000"/>
          <w:kern w:val="22"/>
          <w:szCs w:val="22"/>
          <w:lang w:eastAsia="x-none"/>
        </w:rPr>
        <w:t xml:space="preserve">addressed to </w:t>
      </w:r>
      <w:r w:rsidR="00684129" w:rsidRPr="00964E40">
        <w:rPr>
          <w:rFonts w:eastAsia="Malgun Gothic"/>
          <w:color w:val="000000"/>
          <w:kern w:val="22"/>
          <w:szCs w:val="22"/>
          <w:lang w:eastAsia="x-none"/>
        </w:rPr>
        <w:t xml:space="preserve">the </w:t>
      </w:r>
      <w:r w:rsidR="000D4DA8" w:rsidRPr="005F3D62">
        <w:rPr>
          <w:rFonts w:eastAsia="Malgun Gothic"/>
          <w:color w:val="000000"/>
          <w:kern w:val="22"/>
          <w:szCs w:val="22"/>
          <w:lang w:eastAsia="x-none"/>
        </w:rPr>
        <w:t xml:space="preserve">United Nations Environment </w:t>
      </w:r>
      <w:r w:rsidR="00684129" w:rsidRPr="00964E40">
        <w:rPr>
          <w:rFonts w:eastAsia="Malgun Gothic"/>
          <w:color w:val="000000"/>
          <w:kern w:val="22"/>
          <w:szCs w:val="22"/>
          <w:lang w:eastAsia="x-none"/>
        </w:rPr>
        <w:t xml:space="preserve">Programme, </w:t>
      </w:r>
      <w:r w:rsidR="000D4DA8" w:rsidRPr="005F3D62">
        <w:rPr>
          <w:rFonts w:eastAsia="Malgun Gothic"/>
          <w:color w:val="000000"/>
          <w:kern w:val="22"/>
          <w:szCs w:val="22"/>
          <w:lang w:eastAsia="x-none"/>
        </w:rPr>
        <w:t xml:space="preserve">are in progress and </w:t>
      </w:r>
      <w:r w:rsidR="00497128" w:rsidRPr="00964E40">
        <w:rPr>
          <w:rFonts w:eastAsia="Malgun Gothic"/>
          <w:color w:val="000000"/>
          <w:kern w:val="22"/>
          <w:szCs w:val="22"/>
          <w:lang w:eastAsia="x-none"/>
        </w:rPr>
        <w:t xml:space="preserve">are </w:t>
      </w:r>
      <w:r w:rsidR="000D4DA8" w:rsidRPr="005F3D62">
        <w:rPr>
          <w:rFonts w:eastAsia="Malgun Gothic"/>
          <w:color w:val="000000"/>
          <w:kern w:val="22"/>
          <w:szCs w:val="22"/>
          <w:lang w:eastAsia="x-none"/>
        </w:rPr>
        <w:t>expected to be completed in 2021.</w:t>
      </w:r>
    </w:p>
    <w:p w14:paraId="61294196" w14:textId="19652DCF" w:rsidR="000D4DA8" w:rsidRPr="005F3D62" w:rsidRDefault="000D4DA8" w:rsidP="005F3D62">
      <w:pPr>
        <w:pStyle w:val="ListParagraph"/>
        <w:numPr>
          <w:ilvl w:val="0"/>
          <w:numId w:val="1"/>
        </w:numPr>
        <w:suppressLineNumbers/>
        <w:suppressAutoHyphens/>
        <w:spacing w:before="120" w:after="120"/>
        <w:ind w:left="0" w:firstLine="0"/>
        <w:contextualSpacing w:val="0"/>
        <w:rPr>
          <w:color w:val="000000"/>
          <w:kern w:val="22"/>
          <w:szCs w:val="22"/>
        </w:rPr>
      </w:pPr>
      <w:r w:rsidRPr="005F3D62">
        <w:rPr>
          <w:rFonts w:eastAsia="Malgun Gothic"/>
          <w:color w:val="000000"/>
          <w:kern w:val="22"/>
          <w:szCs w:val="22"/>
          <w:lang w:eastAsia="x-none"/>
        </w:rPr>
        <w:t xml:space="preserve">Further to paragraph 22 of decision 14/37, the United Nations Board of Auditors, as part of their audit of UNEP, reviewed the operations of the Secretariat from 13 January to 5 February 2020. The scope of the audit included </w:t>
      </w:r>
      <w:r w:rsidR="00D37ACA" w:rsidRPr="00964E40">
        <w:rPr>
          <w:rFonts w:eastAsia="Malgun Gothic"/>
          <w:color w:val="000000"/>
          <w:kern w:val="22"/>
          <w:szCs w:val="22"/>
          <w:lang w:eastAsia="x-none"/>
        </w:rPr>
        <w:t>a</w:t>
      </w:r>
      <w:r w:rsidR="00D37ACA" w:rsidRPr="005F3D62">
        <w:rPr>
          <w:rFonts w:eastAsia="Malgun Gothic"/>
          <w:color w:val="000000"/>
          <w:kern w:val="22"/>
          <w:szCs w:val="22"/>
          <w:lang w:eastAsia="x-none"/>
        </w:rPr>
        <w:t xml:space="preserve"> </w:t>
      </w:r>
      <w:r w:rsidRPr="005F3D62">
        <w:rPr>
          <w:rFonts w:eastAsia="Malgun Gothic"/>
          <w:color w:val="000000"/>
          <w:kern w:val="22"/>
          <w:szCs w:val="22"/>
          <w:lang w:eastAsia="x-none"/>
        </w:rPr>
        <w:t>review of the mandate structure and functions of the Secretariat</w:t>
      </w:r>
      <w:r w:rsidR="00A21862" w:rsidRPr="005F3D62">
        <w:rPr>
          <w:rFonts w:eastAsia="Malgun Gothic"/>
          <w:color w:val="000000"/>
          <w:kern w:val="22"/>
          <w:szCs w:val="22"/>
          <w:lang w:eastAsia="x-none"/>
        </w:rPr>
        <w:t xml:space="preserve"> of the Convention</w:t>
      </w:r>
      <w:r w:rsidRPr="005F3D62">
        <w:rPr>
          <w:rFonts w:eastAsia="Malgun Gothic"/>
          <w:color w:val="000000"/>
          <w:kern w:val="22"/>
          <w:szCs w:val="22"/>
          <w:lang w:eastAsia="x-none"/>
        </w:rPr>
        <w:t xml:space="preserve">, such as the regulatory framework and the delegation of authority, the </w:t>
      </w:r>
      <w:r w:rsidR="00A21862" w:rsidRPr="005F3D62">
        <w:rPr>
          <w:rFonts w:eastAsia="Malgun Gothic"/>
          <w:color w:val="000000"/>
          <w:kern w:val="22"/>
          <w:szCs w:val="22"/>
          <w:lang w:eastAsia="x-none"/>
        </w:rPr>
        <w:t>p</w:t>
      </w:r>
      <w:r w:rsidRPr="005F3D62">
        <w:rPr>
          <w:rFonts w:eastAsia="Malgun Gothic"/>
          <w:color w:val="000000"/>
          <w:kern w:val="22"/>
          <w:szCs w:val="22"/>
          <w:lang w:eastAsia="x-none"/>
        </w:rPr>
        <w:t>rogramme of work and programmatic area</w:t>
      </w:r>
      <w:r w:rsidR="00665A4F" w:rsidRPr="00964E40">
        <w:rPr>
          <w:rFonts w:eastAsia="Malgun Gothic"/>
          <w:color w:val="000000"/>
          <w:kern w:val="22"/>
          <w:szCs w:val="22"/>
          <w:lang w:eastAsia="x-none"/>
        </w:rPr>
        <w:t>s</w:t>
      </w:r>
      <w:r w:rsidRPr="005F3D62">
        <w:rPr>
          <w:rFonts w:eastAsia="Malgun Gothic"/>
          <w:color w:val="000000"/>
          <w:kern w:val="22"/>
          <w:szCs w:val="22"/>
          <w:lang w:eastAsia="x-none"/>
        </w:rPr>
        <w:t xml:space="preserve">, as well as fund management and the use of consultants and individual contractors. The findings and recommendations of the </w:t>
      </w:r>
      <w:r w:rsidR="00AD0210" w:rsidRPr="00964E40">
        <w:rPr>
          <w:rFonts w:eastAsia="Malgun Gothic"/>
          <w:color w:val="000000"/>
          <w:kern w:val="22"/>
          <w:szCs w:val="22"/>
          <w:lang w:eastAsia="x-none"/>
        </w:rPr>
        <w:t xml:space="preserve">Board </w:t>
      </w:r>
      <w:r w:rsidRPr="005F3D62">
        <w:rPr>
          <w:rFonts w:eastAsia="Malgun Gothic"/>
          <w:color w:val="000000"/>
          <w:kern w:val="22"/>
          <w:szCs w:val="22"/>
          <w:lang w:eastAsia="x-none"/>
        </w:rPr>
        <w:t xml:space="preserve">are </w:t>
      </w:r>
      <w:r w:rsidR="00124EF4" w:rsidRPr="00964E40">
        <w:rPr>
          <w:rFonts w:eastAsia="Malgun Gothic"/>
          <w:color w:val="000000"/>
          <w:kern w:val="22"/>
          <w:szCs w:val="22"/>
          <w:lang w:eastAsia="x-none"/>
        </w:rPr>
        <w:t>contained</w:t>
      </w:r>
      <w:r w:rsidR="00124EF4" w:rsidRPr="005F3D62">
        <w:rPr>
          <w:rFonts w:eastAsia="Malgun Gothic"/>
          <w:color w:val="000000"/>
          <w:kern w:val="22"/>
          <w:szCs w:val="22"/>
          <w:lang w:eastAsia="x-none"/>
        </w:rPr>
        <w:t xml:space="preserve"> </w:t>
      </w:r>
      <w:r w:rsidRPr="005F3D62">
        <w:rPr>
          <w:rFonts w:eastAsia="Malgun Gothic"/>
          <w:color w:val="000000"/>
          <w:kern w:val="22"/>
          <w:szCs w:val="22"/>
          <w:lang w:eastAsia="x-none"/>
        </w:rPr>
        <w:t xml:space="preserve">in </w:t>
      </w:r>
      <w:r w:rsidR="002F7E27" w:rsidRPr="00964E40">
        <w:rPr>
          <w:rFonts w:eastAsia="Malgun Gothic"/>
          <w:color w:val="000000"/>
          <w:kern w:val="22"/>
          <w:szCs w:val="22"/>
          <w:lang w:eastAsia="x-none"/>
        </w:rPr>
        <w:t>its</w:t>
      </w:r>
      <w:r w:rsidR="002F7E27" w:rsidRPr="005F3D62">
        <w:rPr>
          <w:rFonts w:eastAsia="Malgun Gothic"/>
          <w:color w:val="000000"/>
          <w:kern w:val="22"/>
          <w:szCs w:val="22"/>
          <w:lang w:eastAsia="x-none"/>
        </w:rPr>
        <w:t xml:space="preserve"> </w:t>
      </w:r>
      <w:r w:rsidRPr="005F3D62">
        <w:rPr>
          <w:kern w:val="22"/>
          <w:szCs w:val="22"/>
        </w:rPr>
        <w:t>financial report and audited financial statement of UNEP for the year 2019</w:t>
      </w:r>
      <w:r w:rsidRPr="005F3D62">
        <w:rPr>
          <w:rFonts w:eastAsia="Malgun Gothic"/>
          <w:color w:val="000000"/>
          <w:kern w:val="22"/>
          <w:szCs w:val="22"/>
          <w:lang w:eastAsia="x-none"/>
        </w:rPr>
        <w:t xml:space="preserve">. This report is available </w:t>
      </w:r>
      <w:r w:rsidR="005B17D9" w:rsidRPr="005F3D62">
        <w:rPr>
          <w:rFonts w:eastAsia="Malgun Gothic"/>
          <w:color w:val="000000"/>
          <w:kern w:val="22"/>
          <w:szCs w:val="22"/>
          <w:lang w:eastAsia="x-none"/>
        </w:rPr>
        <w:t xml:space="preserve">on </w:t>
      </w:r>
      <w:r w:rsidRPr="005F3D62">
        <w:rPr>
          <w:rFonts w:eastAsia="Malgun Gothic"/>
          <w:color w:val="000000"/>
          <w:kern w:val="22"/>
          <w:szCs w:val="22"/>
          <w:lang w:eastAsia="x-none"/>
        </w:rPr>
        <w:t>the CBD website.</w:t>
      </w:r>
      <w:r w:rsidR="005B17D9" w:rsidRPr="005F3D62">
        <w:rPr>
          <w:rFonts w:eastAsia="Malgun Gothic"/>
          <w:color w:val="000000"/>
          <w:kern w:val="22"/>
          <w:szCs w:val="22"/>
          <w:vertAlign w:val="superscript"/>
          <w:lang w:eastAsia="x-none"/>
        </w:rPr>
        <w:fldChar w:fldCharType="begin"/>
      </w:r>
      <w:r w:rsidR="005B17D9" w:rsidRPr="005F3D62">
        <w:rPr>
          <w:rFonts w:eastAsia="Malgun Gothic"/>
          <w:color w:val="000000"/>
          <w:kern w:val="22"/>
          <w:szCs w:val="22"/>
          <w:vertAlign w:val="superscript"/>
          <w:lang w:eastAsia="x-none"/>
        </w:rPr>
        <w:instrText xml:space="preserve"> NOTEREF _Ref52886285 \h  \* MERGEFORMAT </w:instrText>
      </w:r>
      <w:r w:rsidR="005B17D9" w:rsidRPr="005F3D62">
        <w:rPr>
          <w:rFonts w:eastAsia="Malgun Gothic"/>
          <w:color w:val="000000"/>
          <w:kern w:val="22"/>
          <w:szCs w:val="22"/>
          <w:vertAlign w:val="superscript"/>
          <w:lang w:eastAsia="x-none"/>
        </w:rPr>
      </w:r>
      <w:r w:rsidR="005B17D9" w:rsidRPr="005F3D62">
        <w:rPr>
          <w:rFonts w:eastAsia="Malgun Gothic"/>
          <w:color w:val="000000"/>
          <w:kern w:val="22"/>
          <w:szCs w:val="22"/>
          <w:vertAlign w:val="superscript"/>
          <w:lang w:eastAsia="x-none"/>
        </w:rPr>
        <w:fldChar w:fldCharType="separate"/>
      </w:r>
      <w:r w:rsidR="009B3807" w:rsidRPr="00964E40">
        <w:rPr>
          <w:rFonts w:eastAsia="Malgun Gothic"/>
          <w:color w:val="000000"/>
          <w:kern w:val="22"/>
          <w:szCs w:val="22"/>
          <w:vertAlign w:val="superscript"/>
          <w:lang w:eastAsia="x-none"/>
        </w:rPr>
        <w:t>2</w:t>
      </w:r>
      <w:r w:rsidR="005B17D9" w:rsidRPr="005F3D62">
        <w:rPr>
          <w:rFonts w:eastAsia="Malgun Gothic"/>
          <w:color w:val="000000"/>
          <w:kern w:val="22"/>
          <w:szCs w:val="22"/>
          <w:vertAlign w:val="superscript"/>
          <w:lang w:eastAsia="x-none"/>
        </w:rPr>
        <w:fldChar w:fldCharType="end"/>
      </w:r>
      <w:r w:rsidRPr="005F3D62">
        <w:rPr>
          <w:rFonts w:eastAsia="Malgun Gothic"/>
          <w:color w:val="000000"/>
          <w:kern w:val="22"/>
          <w:szCs w:val="22"/>
          <w:lang w:eastAsia="x-none"/>
        </w:rPr>
        <w:t xml:space="preserve"> The implementation of the recommendations </w:t>
      </w:r>
      <w:r w:rsidR="00F64F01" w:rsidRPr="00964E40">
        <w:rPr>
          <w:rFonts w:eastAsia="Malgun Gothic"/>
          <w:color w:val="000000"/>
          <w:kern w:val="22"/>
          <w:szCs w:val="22"/>
          <w:lang w:eastAsia="x-none"/>
        </w:rPr>
        <w:t xml:space="preserve">of the Board </w:t>
      </w:r>
      <w:r w:rsidRPr="005F3D62">
        <w:rPr>
          <w:rFonts w:eastAsia="Malgun Gothic"/>
          <w:color w:val="000000"/>
          <w:kern w:val="22"/>
          <w:szCs w:val="22"/>
          <w:lang w:eastAsia="x-none"/>
        </w:rPr>
        <w:t>is in progress.</w:t>
      </w:r>
    </w:p>
    <w:p w14:paraId="749CA678" w14:textId="599B1AF7" w:rsidR="000D4DA8" w:rsidRPr="005F3D62" w:rsidRDefault="009D23C9" w:rsidP="005F3D62">
      <w:pPr>
        <w:pStyle w:val="ListParagraph"/>
        <w:keepNext/>
        <w:suppressLineNumbers/>
        <w:tabs>
          <w:tab w:val="left" w:pos="426"/>
        </w:tabs>
        <w:suppressAutoHyphens/>
        <w:spacing w:before="120" w:after="120"/>
        <w:ind w:left="0"/>
        <w:contextualSpacing w:val="0"/>
        <w:jc w:val="center"/>
        <w:rPr>
          <w:b/>
          <w:bCs/>
          <w:color w:val="000000"/>
          <w:kern w:val="22"/>
          <w:szCs w:val="22"/>
        </w:rPr>
      </w:pPr>
      <w:r w:rsidRPr="005F3D62">
        <w:rPr>
          <w:b/>
          <w:bCs/>
          <w:color w:val="000000"/>
          <w:kern w:val="22"/>
          <w:szCs w:val="22"/>
        </w:rPr>
        <w:t>D.</w:t>
      </w:r>
      <w:r w:rsidR="00124EF4" w:rsidRPr="00964E40">
        <w:rPr>
          <w:b/>
          <w:bCs/>
          <w:color w:val="000000"/>
          <w:kern w:val="22"/>
          <w:szCs w:val="22"/>
        </w:rPr>
        <w:tab/>
      </w:r>
      <w:r w:rsidR="000D4DA8" w:rsidRPr="005F3D62">
        <w:rPr>
          <w:b/>
          <w:bCs/>
          <w:color w:val="000000"/>
          <w:kern w:val="22"/>
          <w:szCs w:val="22"/>
        </w:rPr>
        <w:t>Result-based budget</w:t>
      </w:r>
    </w:p>
    <w:p w14:paraId="1B3B6B50" w14:textId="02919520" w:rsidR="000D4DA8" w:rsidRPr="005F3D62" w:rsidRDefault="000D4DA8" w:rsidP="005F3D62">
      <w:pPr>
        <w:pStyle w:val="ListParagraph"/>
        <w:numPr>
          <w:ilvl w:val="0"/>
          <w:numId w:val="1"/>
        </w:numPr>
        <w:suppressLineNumbers/>
        <w:suppressAutoHyphens/>
        <w:spacing w:before="120" w:after="120"/>
        <w:ind w:left="0" w:firstLine="0"/>
        <w:contextualSpacing w:val="0"/>
        <w:rPr>
          <w:kern w:val="22"/>
          <w:szCs w:val="22"/>
        </w:rPr>
      </w:pPr>
      <w:r w:rsidRPr="005F3D62">
        <w:rPr>
          <w:kern w:val="22"/>
          <w:szCs w:val="22"/>
        </w:rPr>
        <w:t>In response to decision 14/37 and to the audit recommendations, the Secretariat has set up an internal task force to develop, with the assistance of UNEP, a results-based framework for the program</w:t>
      </w:r>
      <w:r w:rsidR="00CF210A" w:rsidRPr="005F3D62">
        <w:rPr>
          <w:kern w:val="22"/>
          <w:szCs w:val="22"/>
        </w:rPr>
        <w:t>me</w:t>
      </w:r>
      <w:r w:rsidRPr="005F3D62">
        <w:rPr>
          <w:kern w:val="22"/>
          <w:szCs w:val="22"/>
        </w:rPr>
        <w:t xml:space="preserve"> of work</w:t>
      </w:r>
      <w:r w:rsidR="00CF210A" w:rsidRPr="005F3D62">
        <w:rPr>
          <w:kern w:val="22"/>
          <w:szCs w:val="22"/>
        </w:rPr>
        <w:t xml:space="preserve"> of the Secretariat</w:t>
      </w:r>
      <w:r w:rsidRPr="005F3D62">
        <w:rPr>
          <w:kern w:val="22"/>
          <w:szCs w:val="22"/>
        </w:rPr>
        <w:t xml:space="preserve">. The Secretariat will finalize the framework in 2021 and will submit </w:t>
      </w:r>
      <w:r w:rsidR="00D76083" w:rsidRPr="00964E40">
        <w:rPr>
          <w:kern w:val="22"/>
          <w:szCs w:val="22"/>
        </w:rPr>
        <w:t xml:space="preserve">a </w:t>
      </w:r>
      <w:r w:rsidRPr="005F3D62">
        <w:rPr>
          <w:kern w:val="22"/>
          <w:szCs w:val="22"/>
        </w:rPr>
        <w:t xml:space="preserve">results-based workplan and budget for consideration </w:t>
      </w:r>
      <w:r w:rsidR="00CF210A" w:rsidRPr="005F3D62">
        <w:rPr>
          <w:kern w:val="22"/>
          <w:szCs w:val="22"/>
        </w:rPr>
        <w:t xml:space="preserve">by </w:t>
      </w:r>
      <w:r w:rsidRPr="005F3D62">
        <w:rPr>
          <w:kern w:val="22"/>
          <w:szCs w:val="22"/>
        </w:rPr>
        <w:t>the Conference of the Parties</w:t>
      </w:r>
      <w:r w:rsidR="00CF210A" w:rsidRPr="005F3D62">
        <w:rPr>
          <w:kern w:val="22"/>
          <w:szCs w:val="22"/>
        </w:rPr>
        <w:t xml:space="preserve"> at its fifteenth meeting</w:t>
      </w:r>
      <w:r w:rsidRPr="005F3D62">
        <w:rPr>
          <w:kern w:val="22"/>
          <w:szCs w:val="22"/>
        </w:rPr>
        <w:t>.</w:t>
      </w:r>
    </w:p>
    <w:p w14:paraId="5190A93D" w14:textId="24B3079E" w:rsidR="000D4DA8" w:rsidRPr="005F3D62" w:rsidRDefault="009D23C9" w:rsidP="005F3D62">
      <w:pPr>
        <w:pStyle w:val="ListParagraph"/>
        <w:keepNext/>
        <w:suppressLineNumbers/>
        <w:tabs>
          <w:tab w:val="left" w:pos="426"/>
        </w:tabs>
        <w:suppressAutoHyphens/>
        <w:spacing w:before="120" w:after="120"/>
        <w:ind w:left="0"/>
        <w:contextualSpacing w:val="0"/>
        <w:jc w:val="center"/>
        <w:rPr>
          <w:b/>
          <w:bCs/>
          <w:snapToGrid w:val="0"/>
          <w:kern w:val="22"/>
          <w:szCs w:val="22"/>
          <w:u w:val="single"/>
        </w:rPr>
      </w:pPr>
      <w:r w:rsidRPr="005F3D62">
        <w:rPr>
          <w:b/>
          <w:bCs/>
          <w:color w:val="000000"/>
          <w:kern w:val="22"/>
          <w:szCs w:val="22"/>
        </w:rPr>
        <w:t>E.</w:t>
      </w:r>
      <w:r w:rsidRPr="005F3D62">
        <w:rPr>
          <w:b/>
          <w:bCs/>
          <w:color w:val="000000"/>
          <w:kern w:val="22"/>
          <w:szCs w:val="22"/>
        </w:rPr>
        <w:tab/>
      </w:r>
      <w:r w:rsidR="000D4DA8" w:rsidRPr="005F3D62">
        <w:rPr>
          <w:b/>
          <w:bCs/>
          <w:color w:val="000000"/>
          <w:kern w:val="22"/>
          <w:szCs w:val="22"/>
        </w:rPr>
        <w:t>Staffing</w:t>
      </w:r>
    </w:p>
    <w:p w14:paraId="35B96672" w14:textId="6883E493" w:rsidR="000D4DA8" w:rsidRPr="005F3D62" w:rsidRDefault="000D4DA8" w:rsidP="005F3D62">
      <w:pPr>
        <w:pStyle w:val="paragraph"/>
        <w:numPr>
          <w:ilvl w:val="0"/>
          <w:numId w:val="1"/>
        </w:numPr>
        <w:suppressLineNumbers/>
        <w:suppressAutoHyphens/>
        <w:spacing w:before="120" w:beforeAutospacing="0" w:after="120" w:afterAutospacing="0"/>
        <w:ind w:left="0" w:firstLine="0"/>
        <w:textAlignment w:val="baseline"/>
        <w:rPr>
          <w:kern w:val="22"/>
          <w:sz w:val="22"/>
          <w:szCs w:val="22"/>
        </w:rPr>
      </w:pPr>
      <w:r w:rsidRPr="005F3D62">
        <w:rPr>
          <w:rStyle w:val="normaltextrun"/>
          <w:kern w:val="22"/>
          <w:sz w:val="22"/>
          <w:szCs w:val="22"/>
        </w:rPr>
        <w:t xml:space="preserve">At its fourteenth meeting, </w:t>
      </w:r>
      <w:r w:rsidR="00CF210A" w:rsidRPr="005F3D62">
        <w:rPr>
          <w:rStyle w:val="normaltextrun"/>
          <w:kern w:val="22"/>
          <w:sz w:val="22"/>
          <w:szCs w:val="22"/>
        </w:rPr>
        <w:t xml:space="preserve">in </w:t>
      </w:r>
      <w:r w:rsidRPr="005F3D62">
        <w:rPr>
          <w:rStyle w:val="normaltextrun"/>
          <w:kern w:val="22"/>
          <w:sz w:val="22"/>
          <w:szCs w:val="22"/>
        </w:rPr>
        <w:t xml:space="preserve">decision 14/37, paragraph 11, the Conference of the Parties approved a staffing table of 49 </w:t>
      </w:r>
      <w:r w:rsidR="00027006" w:rsidRPr="005F3D62">
        <w:rPr>
          <w:rStyle w:val="normaltextrun"/>
          <w:kern w:val="22"/>
          <w:sz w:val="22"/>
          <w:szCs w:val="22"/>
        </w:rPr>
        <w:t>P</w:t>
      </w:r>
      <w:r w:rsidRPr="005F3D62">
        <w:rPr>
          <w:rStyle w:val="normaltextrun"/>
          <w:kern w:val="22"/>
          <w:sz w:val="22"/>
          <w:szCs w:val="22"/>
        </w:rPr>
        <w:t xml:space="preserve">rofessional posts and 29 </w:t>
      </w:r>
      <w:r w:rsidR="00BA02CA" w:rsidRPr="005F3D62">
        <w:rPr>
          <w:rStyle w:val="normaltextrun"/>
          <w:kern w:val="22"/>
          <w:sz w:val="22"/>
          <w:szCs w:val="22"/>
        </w:rPr>
        <w:t>G</w:t>
      </w:r>
      <w:r w:rsidRPr="005F3D62">
        <w:rPr>
          <w:rStyle w:val="normaltextrun"/>
          <w:kern w:val="22"/>
          <w:sz w:val="22"/>
          <w:szCs w:val="22"/>
        </w:rPr>
        <w:t xml:space="preserve">eneral </w:t>
      </w:r>
      <w:r w:rsidR="00BA02CA" w:rsidRPr="005F3D62">
        <w:rPr>
          <w:rStyle w:val="normaltextrun"/>
          <w:kern w:val="22"/>
          <w:sz w:val="22"/>
          <w:szCs w:val="22"/>
        </w:rPr>
        <w:t>S</w:t>
      </w:r>
      <w:r w:rsidRPr="005F3D62">
        <w:rPr>
          <w:rStyle w:val="normaltextrun"/>
          <w:kern w:val="22"/>
          <w:sz w:val="22"/>
          <w:szCs w:val="22"/>
        </w:rPr>
        <w:t xml:space="preserve">ervice posts under the integrated core budget for </w:t>
      </w:r>
      <w:r w:rsidRPr="005F3D62">
        <w:rPr>
          <w:rStyle w:val="normaltextrun"/>
          <w:kern w:val="22"/>
          <w:sz w:val="22"/>
          <w:szCs w:val="22"/>
        </w:rPr>
        <w:lastRenderedPageBreak/>
        <w:t xml:space="preserve">the Convention and its Protocols. </w:t>
      </w:r>
      <w:r w:rsidR="005C74C3" w:rsidRPr="005F3D62">
        <w:rPr>
          <w:rStyle w:val="normaltextrun"/>
          <w:kern w:val="22"/>
          <w:sz w:val="22"/>
          <w:szCs w:val="22"/>
        </w:rPr>
        <w:t>T</w:t>
      </w:r>
      <w:r w:rsidRPr="005F3D62">
        <w:rPr>
          <w:rStyle w:val="normaltextrun"/>
          <w:kern w:val="22"/>
          <w:sz w:val="22"/>
          <w:szCs w:val="22"/>
        </w:rPr>
        <w:t xml:space="preserve">here are </w:t>
      </w:r>
      <w:r w:rsidR="005C74C3" w:rsidRPr="005F3D62">
        <w:rPr>
          <w:rStyle w:val="normaltextrun"/>
          <w:kern w:val="22"/>
          <w:sz w:val="22"/>
          <w:szCs w:val="22"/>
        </w:rPr>
        <w:t>currently six</w:t>
      </w:r>
      <w:r w:rsidRPr="005F3D62">
        <w:rPr>
          <w:rStyle w:val="normaltextrun"/>
          <w:kern w:val="22"/>
          <w:sz w:val="22"/>
          <w:szCs w:val="22"/>
        </w:rPr>
        <w:t xml:space="preserve"> vacant </w:t>
      </w:r>
      <w:r w:rsidR="00A540CF" w:rsidRPr="005F3D62">
        <w:rPr>
          <w:rStyle w:val="normaltextrun"/>
          <w:kern w:val="22"/>
          <w:sz w:val="22"/>
          <w:szCs w:val="22"/>
        </w:rPr>
        <w:t>P</w:t>
      </w:r>
      <w:r w:rsidRPr="005F3D62">
        <w:rPr>
          <w:rStyle w:val="normaltextrun"/>
          <w:kern w:val="22"/>
          <w:sz w:val="22"/>
          <w:szCs w:val="22"/>
        </w:rPr>
        <w:t xml:space="preserve">rofessional posts and </w:t>
      </w:r>
      <w:r w:rsidR="005C74C3" w:rsidRPr="005F3D62">
        <w:rPr>
          <w:rStyle w:val="normaltextrun"/>
          <w:kern w:val="22"/>
          <w:sz w:val="22"/>
          <w:szCs w:val="22"/>
        </w:rPr>
        <w:t>two</w:t>
      </w:r>
      <w:r w:rsidRPr="005F3D62">
        <w:rPr>
          <w:rStyle w:val="normaltextrun"/>
          <w:kern w:val="22"/>
          <w:sz w:val="22"/>
          <w:szCs w:val="22"/>
        </w:rPr>
        <w:t xml:space="preserve"> </w:t>
      </w:r>
      <w:r w:rsidR="00A540CF" w:rsidRPr="005F3D62">
        <w:rPr>
          <w:rStyle w:val="normaltextrun"/>
          <w:kern w:val="22"/>
          <w:sz w:val="22"/>
          <w:szCs w:val="22"/>
        </w:rPr>
        <w:t>G</w:t>
      </w:r>
      <w:r w:rsidRPr="005F3D62">
        <w:rPr>
          <w:rStyle w:val="normaltextrun"/>
          <w:kern w:val="22"/>
          <w:sz w:val="22"/>
          <w:szCs w:val="22"/>
        </w:rPr>
        <w:t xml:space="preserve">eneral </w:t>
      </w:r>
      <w:r w:rsidR="00A540CF" w:rsidRPr="005F3D62">
        <w:rPr>
          <w:rStyle w:val="normaltextrun"/>
          <w:kern w:val="22"/>
          <w:sz w:val="22"/>
          <w:szCs w:val="22"/>
        </w:rPr>
        <w:t>S</w:t>
      </w:r>
      <w:r w:rsidRPr="005F3D62">
        <w:rPr>
          <w:rStyle w:val="normaltextrun"/>
          <w:kern w:val="22"/>
          <w:sz w:val="22"/>
          <w:szCs w:val="22"/>
        </w:rPr>
        <w:t xml:space="preserve">ervice </w:t>
      </w:r>
      <w:r w:rsidR="00CF210A" w:rsidRPr="005F3D62">
        <w:rPr>
          <w:rStyle w:val="normaltextrun"/>
          <w:kern w:val="22"/>
          <w:sz w:val="22"/>
          <w:szCs w:val="22"/>
        </w:rPr>
        <w:t>posts</w:t>
      </w:r>
      <w:r w:rsidR="00CF1FFC" w:rsidRPr="00964E40">
        <w:rPr>
          <w:rStyle w:val="normaltextrun"/>
          <w:kern w:val="22"/>
          <w:sz w:val="22"/>
          <w:szCs w:val="22"/>
        </w:rPr>
        <w:t>,</w:t>
      </w:r>
      <w:r w:rsidR="00CF210A" w:rsidRPr="005F3D62">
        <w:rPr>
          <w:rStyle w:val="normaltextrun"/>
          <w:kern w:val="22"/>
          <w:sz w:val="22"/>
          <w:szCs w:val="22"/>
        </w:rPr>
        <w:t xml:space="preserve"> </w:t>
      </w:r>
      <w:r w:rsidRPr="005F3D62">
        <w:rPr>
          <w:rStyle w:val="normaltextrun"/>
          <w:kern w:val="22"/>
          <w:sz w:val="22"/>
          <w:szCs w:val="22"/>
        </w:rPr>
        <w:t>and recruitment is in process.</w:t>
      </w:r>
    </w:p>
    <w:p w14:paraId="10214ED9" w14:textId="42A0977F" w:rsidR="000D4DA8" w:rsidRPr="005F3D62" w:rsidRDefault="000D4DA8" w:rsidP="005F3D62">
      <w:pPr>
        <w:pStyle w:val="paragraph"/>
        <w:numPr>
          <w:ilvl w:val="0"/>
          <w:numId w:val="1"/>
        </w:numPr>
        <w:suppressLineNumbers/>
        <w:suppressAutoHyphens/>
        <w:spacing w:before="120" w:beforeAutospacing="0" w:after="120" w:afterAutospacing="0"/>
        <w:ind w:left="0" w:firstLine="0"/>
        <w:textAlignment w:val="baseline"/>
        <w:rPr>
          <w:kern w:val="22"/>
          <w:sz w:val="22"/>
          <w:szCs w:val="22"/>
        </w:rPr>
      </w:pPr>
      <w:r w:rsidRPr="005F3D62">
        <w:rPr>
          <w:rStyle w:val="normaltextrun"/>
          <w:kern w:val="22"/>
          <w:sz w:val="22"/>
          <w:szCs w:val="22"/>
        </w:rPr>
        <w:t>In addition to the posts funded under the core budgets,</w:t>
      </w:r>
      <w:r w:rsidR="00721123" w:rsidRPr="00964E40">
        <w:rPr>
          <w:rStyle w:val="normaltextrun"/>
          <w:kern w:val="22"/>
          <w:sz w:val="22"/>
          <w:szCs w:val="22"/>
        </w:rPr>
        <w:t xml:space="preserve"> </w:t>
      </w:r>
      <w:r w:rsidRPr="005F3D62">
        <w:rPr>
          <w:rStyle w:val="normaltextrun"/>
          <w:kern w:val="22"/>
          <w:sz w:val="22"/>
          <w:szCs w:val="22"/>
        </w:rPr>
        <w:t>there are</w:t>
      </w:r>
      <w:r w:rsidR="00721123" w:rsidRPr="00964E40">
        <w:rPr>
          <w:rStyle w:val="normaltextrun"/>
          <w:kern w:val="22"/>
          <w:sz w:val="22"/>
          <w:szCs w:val="22"/>
        </w:rPr>
        <w:t xml:space="preserve"> </w:t>
      </w:r>
      <w:r w:rsidRPr="005F3D62">
        <w:rPr>
          <w:rStyle w:val="normaltextrun"/>
          <w:kern w:val="22"/>
          <w:sz w:val="22"/>
          <w:szCs w:val="22"/>
        </w:rPr>
        <w:t xml:space="preserve">19 posts (4 </w:t>
      </w:r>
      <w:r w:rsidR="00A540CF" w:rsidRPr="005F3D62">
        <w:rPr>
          <w:rStyle w:val="normaltextrun"/>
          <w:kern w:val="22"/>
          <w:sz w:val="22"/>
          <w:szCs w:val="22"/>
        </w:rPr>
        <w:t>P</w:t>
      </w:r>
      <w:r w:rsidRPr="005F3D62">
        <w:rPr>
          <w:rStyle w:val="normaltextrun"/>
          <w:kern w:val="22"/>
          <w:sz w:val="22"/>
          <w:szCs w:val="22"/>
        </w:rPr>
        <w:t xml:space="preserve">rofessional and 15 </w:t>
      </w:r>
      <w:r w:rsidR="00A540CF" w:rsidRPr="005F3D62">
        <w:rPr>
          <w:rStyle w:val="normaltextrun"/>
          <w:kern w:val="22"/>
          <w:sz w:val="22"/>
          <w:szCs w:val="22"/>
        </w:rPr>
        <w:t>G</w:t>
      </w:r>
      <w:r w:rsidRPr="005F3D62">
        <w:rPr>
          <w:rStyle w:val="normaltextrun"/>
          <w:kern w:val="22"/>
          <w:sz w:val="22"/>
          <w:szCs w:val="22"/>
        </w:rPr>
        <w:t xml:space="preserve">eneral </w:t>
      </w:r>
      <w:r w:rsidR="00A540CF" w:rsidRPr="005F3D62">
        <w:rPr>
          <w:rStyle w:val="normaltextrun"/>
          <w:kern w:val="22"/>
          <w:sz w:val="22"/>
          <w:szCs w:val="22"/>
        </w:rPr>
        <w:t>S</w:t>
      </w:r>
      <w:r w:rsidRPr="005F3D62">
        <w:rPr>
          <w:rStyle w:val="normaltextrun"/>
          <w:kern w:val="22"/>
          <w:sz w:val="22"/>
          <w:szCs w:val="22"/>
        </w:rPr>
        <w:t>ervice)</w:t>
      </w:r>
      <w:r w:rsidR="00852422" w:rsidRPr="00964E40">
        <w:rPr>
          <w:rStyle w:val="normaltextrun"/>
          <w:kern w:val="22"/>
          <w:sz w:val="22"/>
          <w:szCs w:val="22"/>
        </w:rPr>
        <w:t xml:space="preserve"> </w:t>
      </w:r>
      <w:r w:rsidRPr="005F3D62">
        <w:rPr>
          <w:rStyle w:val="normaltextrun"/>
          <w:kern w:val="22"/>
          <w:sz w:val="22"/>
          <w:szCs w:val="22"/>
        </w:rPr>
        <w:t>in the Administration, Finance and Conference Services Division</w:t>
      </w:r>
      <w:r w:rsidR="00721123" w:rsidRPr="00964E40">
        <w:rPr>
          <w:rStyle w:val="normaltextrun"/>
          <w:kern w:val="22"/>
          <w:sz w:val="22"/>
          <w:szCs w:val="22"/>
        </w:rPr>
        <w:t xml:space="preserve"> </w:t>
      </w:r>
      <w:r w:rsidRPr="005F3D62">
        <w:rPr>
          <w:rStyle w:val="normaltextrun"/>
          <w:kern w:val="22"/>
          <w:sz w:val="22"/>
          <w:szCs w:val="22"/>
        </w:rPr>
        <w:t>which are funded from UNEP Overhead Trust Fund,</w:t>
      </w:r>
      <w:r w:rsidRPr="005F3D62">
        <w:rPr>
          <w:kern w:val="22"/>
          <w:sz w:val="22"/>
          <w:szCs w:val="22"/>
        </w:rPr>
        <w:t xml:space="preserve"> 5 posts from the Japan Biodiversity Fund (3 </w:t>
      </w:r>
      <w:r w:rsidR="003C6D75" w:rsidRPr="005F3D62">
        <w:rPr>
          <w:kern w:val="22"/>
          <w:sz w:val="22"/>
          <w:szCs w:val="22"/>
        </w:rPr>
        <w:t>P</w:t>
      </w:r>
      <w:r w:rsidRPr="005F3D62">
        <w:rPr>
          <w:kern w:val="22"/>
          <w:sz w:val="22"/>
          <w:szCs w:val="22"/>
        </w:rPr>
        <w:t xml:space="preserve">rofessional and 2 </w:t>
      </w:r>
      <w:r w:rsidR="003C6D75" w:rsidRPr="005F3D62">
        <w:rPr>
          <w:kern w:val="22"/>
          <w:sz w:val="22"/>
          <w:szCs w:val="22"/>
        </w:rPr>
        <w:t>G</w:t>
      </w:r>
      <w:r w:rsidRPr="005F3D62">
        <w:rPr>
          <w:kern w:val="22"/>
          <w:sz w:val="22"/>
          <w:szCs w:val="22"/>
        </w:rPr>
        <w:t xml:space="preserve">eneral </w:t>
      </w:r>
      <w:r w:rsidR="003C6D75" w:rsidRPr="005F3D62">
        <w:rPr>
          <w:kern w:val="22"/>
          <w:sz w:val="22"/>
          <w:szCs w:val="22"/>
        </w:rPr>
        <w:t>S</w:t>
      </w:r>
      <w:r w:rsidRPr="005F3D62">
        <w:rPr>
          <w:kern w:val="22"/>
          <w:sz w:val="22"/>
          <w:szCs w:val="22"/>
        </w:rPr>
        <w:t xml:space="preserve">ervice), 3 posts financed by the European Union (3 </w:t>
      </w:r>
      <w:r w:rsidR="003C6D75" w:rsidRPr="005F3D62">
        <w:rPr>
          <w:kern w:val="22"/>
          <w:sz w:val="22"/>
          <w:szCs w:val="22"/>
        </w:rPr>
        <w:t>P</w:t>
      </w:r>
      <w:r w:rsidRPr="005F3D62">
        <w:rPr>
          <w:kern w:val="22"/>
          <w:sz w:val="22"/>
          <w:szCs w:val="22"/>
        </w:rPr>
        <w:t xml:space="preserve">rofessional), 1 liaison officer position provided by the Government of China and 2 posts funded by the Republic of Korea (1 </w:t>
      </w:r>
      <w:r w:rsidR="003C6D75" w:rsidRPr="005F3D62">
        <w:rPr>
          <w:kern w:val="22"/>
          <w:sz w:val="22"/>
          <w:szCs w:val="22"/>
        </w:rPr>
        <w:t>P</w:t>
      </w:r>
      <w:r w:rsidRPr="005F3D62">
        <w:rPr>
          <w:kern w:val="22"/>
          <w:sz w:val="22"/>
          <w:szCs w:val="22"/>
        </w:rPr>
        <w:t>rofessional and 1</w:t>
      </w:r>
      <w:r w:rsidR="002E4E13" w:rsidRPr="00964E40">
        <w:rPr>
          <w:kern w:val="22"/>
          <w:sz w:val="22"/>
          <w:szCs w:val="22"/>
        </w:rPr>
        <w:t> </w:t>
      </w:r>
      <w:r w:rsidR="003C6D75" w:rsidRPr="005F3D62">
        <w:rPr>
          <w:kern w:val="22"/>
          <w:sz w:val="22"/>
          <w:szCs w:val="22"/>
        </w:rPr>
        <w:t>G</w:t>
      </w:r>
      <w:r w:rsidRPr="005F3D62">
        <w:rPr>
          <w:kern w:val="22"/>
          <w:sz w:val="22"/>
          <w:szCs w:val="22"/>
        </w:rPr>
        <w:t xml:space="preserve">eneral </w:t>
      </w:r>
      <w:r w:rsidR="003C6D75" w:rsidRPr="005F3D62">
        <w:rPr>
          <w:kern w:val="22"/>
          <w:sz w:val="22"/>
          <w:szCs w:val="22"/>
        </w:rPr>
        <w:t>S</w:t>
      </w:r>
      <w:r w:rsidRPr="005F3D62">
        <w:rPr>
          <w:kern w:val="22"/>
          <w:sz w:val="22"/>
          <w:szCs w:val="22"/>
        </w:rPr>
        <w:t xml:space="preserve">ervice) through the Bio-bridge Initiative project. Japan has also seconded one </w:t>
      </w:r>
      <w:r w:rsidR="003C6D75" w:rsidRPr="005F3D62">
        <w:rPr>
          <w:kern w:val="22"/>
          <w:sz w:val="22"/>
          <w:szCs w:val="22"/>
        </w:rPr>
        <w:t>J</w:t>
      </w:r>
      <w:r w:rsidRPr="005F3D62">
        <w:rPr>
          <w:kern w:val="22"/>
          <w:sz w:val="22"/>
          <w:szCs w:val="22"/>
        </w:rPr>
        <w:t xml:space="preserve">unior </w:t>
      </w:r>
      <w:r w:rsidR="003C6D75" w:rsidRPr="005F3D62">
        <w:rPr>
          <w:kern w:val="22"/>
          <w:sz w:val="22"/>
          <w:szCs w:val="22"/>
        </w:rPr>
        <w:t>P</w:t>
      </w:r>
      <w:r w:rsidRPr="005F3D62">
        <w:rPr>
          <w:kern w:val="22"/>
          <w:sz w:val="22"/>
          <w:szCs w:val="22"/>
        </w:rPr>
        <w:t xml:space="preserve">rofessional </w:t>
      </w:r>
      <w:r w:rsidR="003C6D75" w:rsidRPr="005F3D62">
        <w:rPr>
          <w:kern w:val="22"/>
          <w:sz w:val="22"/>
          <w:szCs w:val="22"/>
        </w:rPr>
        <w:t>O</w:t>
      </w:r>
      <w:r w:rsidRPr="005F3D62">
        <w:rPr>
          <w:kern w:val="22"/>
          <w:sz w:val="22"/>
          <w:szCs w:val="22"/>
        </w:rPr>
        <w:t>fficer (</w:t>
      </w:r>
      <w:proofErr w:type="spellStart"/>
      <w:r w:rsidRPr="005F3D62">
        <w:rPr>
          <w:kern w:val="22"/>
          <w:sz w:val="22"/>
          <w:szCs w:val="22"/>
        </w:rPr>
        <w:t>JPO</w:t>
      </w:r>
      <w:proofErr w:type="spellEnd"/>
      <w:r w:rsidRPr="005F3D62">
        <w:rPr>
          <w:kern w:val="22"/>
          <w:sz w:val="22"/>
          <w:szCs w:val="22"/>
        </w:rPr>
        <w:t>) to assist the Secretariat in the implementation of its programme of work.</w:t>
      </w:r>
    </w:p>
    <w:p w14:paraId="2469D4AC" w14:textId="25E0B52F" w:rsidR="000D4DA8" w:rsidRPr="005F3D62" w:rsidRDefault="000D4DA8" w:rsidP="005F3D62">
      <w:pPr>
        <w:pStyle w:val="paragraph"/>
        <w:numPr>
          <w:ilvl w:val="0"/>
          <w:numId w:val="1"/>
        </w:numPr>
        <w:suppressLineNumbers/>
        <w:suppressAutoHyphens/>
        <w:spacing w:before="120" w:beforeAutospacing="0" w:after="120" w:afterAutospacing="0"/>
        <w:ind w:left="0" w:firstLine="0"/>
        <w:textAlignment w:val="baseline"/>
        <w:rPr>
          <w:kern w:val="22"/>
          <w:sz w:val="22"/>
          <w:szCs w:val="22"/>
        </w:rPr>
      </w:pPr>
      <w:r w:rsidRPr="005F3D62">
        <w:rPr>
          <w:rStyle w:val="normaltextrun"/>
        </w:rPr>
        <w:t>Also</w:t>
      </w:r>
      <w:r w:rsidRPr="005F3D62">
        <w:rPr>
          <w:kern w:val="22"/>
          <w:sz w:val="22"/>
          <w:szCs w:val="22"/>
        </w:rPr>
        <w:t>, the Secretariat has used the services of 44 individual contractors, mainly funded from voluntary contributions, as additional resources to implement the program</w:t>
      </w:r>
      <w:r w:rsidR="00745F49" w:rsidRPr="005F3D62">
        <w:rPr>
          <w:kern w:val="22"/>
          <w:sz w:val="22"/>
          <w:szCs w:val="22"/>
        </w:rPr>
        <w:t>me</w:t>
      </w:r>
      <w:r w:rsidRPr="005F3D62">
        <w:rPr>
          <w:kern w:val="22"/>
          <w:sz w:val="22"/>
          <w:szCs w:val="22"/>
        </w:rPr>
        <w:t xml:space="preserve"> of work and to manage short</w:t>
      </w:r>
      <w:r w:rsidR="00745F49" w:rsidRPr="005F3D62">
        <w:rPr>
          <w:kern w:val="22"/>
          <w:sz w:val="22"/>
          <w:szCs w:val="22"/>
        </w:rPr>
        <w:noBreakHyphen/>
      </w:r>
      <w:r w:rsidRPr="005F3D62">
        <w:rPr>
          <w:kern w:val="22"/>
          <w:sz w:val="22"/>
          <w:szCs w:val="22"/>
        </w:rPr>
        <w:t>term staffing needs.</w:t>
      </w:r>
    </w:p>
    <w:p w14:paraId="18183A5A" w14:textId="3893A1F1" w:rsidR="000D4DA8" w:rsidRPr="005F3D62" w:rsidRDefault="009D23C9" w:rsidP="005F3D62">
      <w:pPr>
        <w:pStyle w:val="paragraph"/>
        <w:keepNext/>
        <w:suppressLineNumbers/>
        <w:tabs>
          <w:tab w:val="left" w:pos="426"/>
        </w:tabs>
        <w:suppressAutoHyphens/>
        <w:spacing w:before="120" w:beforeAutospacing="0" w:after="120" w:afterAutospacing="0"/>
        <w:jc w:val="center"/>
        <w:textAlignment w:val="baseline"/>
        <w:rPr>
          <w:b/>
          <w:bCs/>
          <w:kern w:val="22"/>
          <w:sz w:val="22"/>
          <w:szCs w:val="22"/>
        </w:rPr>
      </w:pPr>
      <w:r w:rsidRPr="005F3D62">
        <w:rPr>
          <w:b/>
          <w:bCs/>
          <w:kern w:val="22"/>
          <w:szCs w:val="22"/>
        </w:rPr>
        <w:t>F.</w:t>
      </w:r>
      <w:r w:rsidR="008A6393" w:rsidRPr="00964E40">
        <w:rPr>
          <w:b/>
          <w:bCs/>
          <w:kern w:val="22"/>
          <w:sz w:val="22"/>
          <w:szCs w:val="22"/>
        </w:rPr>
        <w:tab/>
      </w:r>
      <w:r w:rsidR="000D4DA8" w:rsidRPr="005F3D62">
        <w:rPr>
          <w:b/>
          <w:bCs/>
          <w:kern w:val="22"/>
          <w:sz w:val="22"/>
          <w:szCs w:val="22"/>
        </w:rPr>
        <w:t>Cooperation with other United Nations entities</w:t>
      </w:r>
    </w:p>
    <w:p w14:paraId="6EDB521F" w14:textId="4A41A765" w:rsidR="000D4DA8" w:rsidRPr="005F3D62" w:rsidRDefault="000D4DA8" w:rsidP="005F3D62">
      <w:pPr>
        <w:pStyle w:val="ListParagraph"/>
        <w:numPr>
          <w:ilvl w:val="0"/>
          <w:numId w:val="1"/>
        </w:numPr>
        <w:suppressLineNumbers/>
        <w:suppressAutoHyphens/>
        <w:spacing w:before="120" w:after="120"/>
        <w:ind w:left="0" w:firstLine="0"/>
        <w:contextualSpacing w:val="0"/>
        <w:textAlignment w:val="baseline"/>
        <w:rPr>
          <w:kern w:val="22"/>
          <w:szCs w:val="22"/>
        </w:rPr>
      </w:pPr>
      <w:r w:rsidRPr="005F3D62">
        <w:rPr>
          <w:kern w:val="22"/>
          <w:szCs w:val="22"/>
        </w:rPr>
        <w:t xml:space="preserve">Further to the request of the Conference of the Parties in its decision 14/37, paragraph 8, and in view of streamlining its procurement process and service delivery, the Secretariat has renewed </w:t>
      </w:r>
      <w:r w:rsidR="0037189B" w:rsidRPr="00964E40">
        <w:rPr>
          <w:kern w:val="22"/>
          <w:szCs w:val="22"/>
        </w:rPr>
        <w:t>the</w:t>
      </w:r>
      <w:r w:rsidR="0037189B" w:rsidRPr="005F3D62">
        <w:rPr>
          <w:kern w:val="22"/>
          <w:szCs w:val="22"/>
        </w:rPr>
        <w:t xml:space="preserve"> </w:t>
      </w:r>
      <w:r w:rsidRPr="005F3D62">
        <w:rPr>
          <w:kern w:val="22"/>
          <w:szCs w:val="22"/>
        </w:rPr>
        <w:t xml:space="preserve">Memorandum of Understanding </w:t>
      </w:r>
      <w:r w:rsidR="0037189B" w:rsidRPr="00964E40">
        <w:rPr>
          <w:kern w:val="22"/>
          <w:szCs w:val="22"/>
        </w:rPr>
        <w:t xml:space="preserve">that it </w:t>
      </w:r>
      <w:r w:rsidRPr="005F3D62">
        <w:rPr>
          <w:kern w:val="22"/>
          <w:szCs w:val="22"/>
        </w:rPr>
        <w:t xml:space="preserve">signed in 2007 with the </w:t>
      </w:r>
      <w:r w:rsidRPr="005F3D62">
        <w:rPr>
          <w:color w:val="000000"/>
          <w:kern w:val="22"/>
          <w:szCs w:val="22"/>
        </w:rPr>
        <w:t>International Civil Aviation Organization (ICAO), the United Nations lead agency in Montreal. The revised Memorandum of Understanding, signed in March 2020, covers</w:t>
      </w:r>
      <w:r w:rsidRPr="005F3D62">
        <w:rPr>
          <w:kern w:val="22"/>
          <w:szCs w:val="22"/>
        </w:rPr>
        <w:t xml:space="preserve"> areas related to conference services, language services, </w:t>
      </w:r>
      <w:proofErr w:type="gramStart"/>
      <w:r w:rsidRPr="005F3D62">
        <w:rPr>
          <w:kern w:val="22"/>
          <w:szCs w:val="22"/>
        </w:rPr>
        <w:t>publication</w:t>
      </w:r>
      <w:r w:rsidR="00C20735" w:rsidRPr="00964E40">
        <w:rPr>
          <w:kern w:val="22"/>
          <w:szCs w:val="22"/>
        </w:rPr>
        <w:t>s</w:t>
      </w:r>
      <w:proofErr w:type="gramEnd"/>
      <w:r w:rsidRPr="005F3D62">
        <w:rPr>
          <w:kern w:val="22"/>
          <w:szCs w:val="22"/>
        </w:rPr>
        <w:t xml:space="preserve"> and printing. The cooperation with ICAO enabled the Secretariat to secure adequate services at </w:t>
      </w:r>
      <w:r w:rsidR="0037189B" w:rsidRPr="00964E40">
        <w:rPr>
          <w:kern w:val="22"/>
          <w:szCs w:val="22"/>
        </w:rPr>
        <w:t xml:space="preserve">a </w:t>
      </w:r>
      <w:r w:rsidRPr="005F3D62">
        <w:rPr>
          <w:kern w:val="22"/>
          <w:szCs w:val="22"/>
        </w:rPr>
        <w:t>cost-effective rate and in accordance with the United Nations standards.</w:t>
      </w:r>
    </w:p>
    <w:p w14:paraId="6EEA699E" w14:textId="4AD03635" w:rsidR="000D4DA8" w:rsidRPr="005F3D62" w:rsidRDefault="000D4DA8" w:rsidP="005F3D62">
      <w:pPr>
        <w:pStyle w:val="ListParagraph"/>
        <w:numPr>
          <w:ilvl w:val="0"/>
          <w:numId w:val="1"/>
        </w:numPr>
        <w:suppressLineNumbers/>
        <w:suppressAutoHyphens/>
        <w:spacing w:before="120" w:after="120"/>
        <w:ind w:left="0" w:firstLine="0"/>
        <w:contextualSpacing w:val="0"/>
        <w:rPr>
          <w:color w:val="201F1E"/>
          <w:kern w:val="22"/>
          <w:szCs w:val="22"/>
        </w:rPr>
      </w:pPr>
      <w:r w:rsidRPr="005F3D62">
        <w:rPr>
          <w:kern w:val="22"/>
          <w:szCs w:val="22"/>
        </w:rPr>
        <w:t xml:space="preserve">The Secretariat continues to maintain joint liaison arrangements </w:t>
      </w:r>
      <w:r w:rsidR="000D135A" w:rsidRPr="00964E40">
        <w:rPr>
          <w:kern w:val="22"/>
          <w:szCs w:val="22"/>
        </w:rPr>
        <w:t>with</w:t>
      </w:r>
      <w:r w:rsidR="000D135A" w:rsidRPr="005F3D62">
        <w:rPr>
          <w:kern w:val="22"/>
          <w:szCs w:val="22"/>
        </w:rPr>
        <w:t xml:space="preserve"> </w:t>
      </w:r>
      <w:r w:rsidRPr="005F3D62">
        <w:rPr>
          <w:kern w:val="22"/>
          <w:szCs w:val="22"/>
        </w:rPr>
        <w:t>the United Nations Convention to Combat Desertification (</w:t>
      </w:r>
      <w:proofErr w:type="spellStart"/>
      <w:r w:rsidRPr="005F3D62">
        <w:rPr>
          <w:kern w:val="22"/>
          <w:szCs w:val="22"/>
        </w:rPr>
        <w:t>UNCCD</w:t>
      </w:r>
      <w:proofErr w:type="spellEnd"/>
      <w:r w:rsidRPr="005F3D62">
        <w:rPr>
          <w:kern w:val="22"/>
          <w:szCs w:val="22"/>
        </w:rPr>
        <w:t>) at United Nations Headquarters in New York through the financial support of 50 per cent of the cost of one P‑4 and one General Service staff member as well as 30</w:t>
      </w:r>
      <w:r w:rsidR="007A565B" w:rsidRPr="00964E40">
        <w:rPr>
          <w:kern w:val="22"/>
          <w:szCs w:val="22"/>
        </w:rPr>
        <w:t> </w:t>
      </w:r>
      <w:r w:rsidRPr="005F3D62">
        <w:rPr>
          <w:kern w:val="22"/>
          <w:szCs w:val="22"/>
        </w:rPr>
        <w:t xml:space="preserve">per cent of the office expenses of the </w:t>
      </w:r>
      <w:r w:rsidR="000F7DEB" w:rsidRPr="00964E40">
        <w:rPr>
          <w:kern w:val="22"/>
          <w:szCs w:val="22"/>
        </w:rPr>
        <w:t>l</w:t>
      </w:r>
      <w:r w:rsidRPr="005F3D62">
        <w:rPr>
          <w:kern w:val="22"/>
          <w:szCs w:val="22"/>
        </w:rPr>
        <w:t xml:space="preserve">iaison </w:t>
      </w:r>
      <w:r w:rsidR="000F7DEB" w:rsidRPr="00964E40">
        <w:rPr>
          <w:kern w:val="22"/>
          <w:szCs w:val="22"/>
        </w:rPr>
        <w:t>o</w:t>
      </w:r>
      <w:r w:rsidRPr="005F3D62">
        <w:rPr>
          <w:kern w:val="22"/>
          <w:szCs w:val="22"/>
        </w:rPr>
        <w:t xml:space="preserve">ffice. </w:t>
      </w:r>
      <w:r w:rsidRPr="005F3D62">
        <w:rPr>
          <w:color w:val="201F1E"/>
          <w:kern w:val="22"/>
          <w:szCs w:val="22"/>
        </w:rPr>
        <w:t xml:space="preserve">The </w:t>
      </w:r>
      <w:r w:rsidR="000F7DEB" w:rsidRPr="00964E40">
        <w:rPr>
          <w:color w:val="201F1E"/>
          <w:kern w:val="22"/>
          <w:szCs w:val="22"/>
        </w:rPr>
        <w:t>l</w:t>
      </w:r>
      <w:r w:rsidRPr="005F3D62">
        <w:rPr>
          <w:color w:val="201F1E"/>
          <w:kern w:val="22"/>
          <w:szCs w:val="22"/>
        </w:rPr>
        <w:t xml:space="preserve">iaison </w:t>
      </w:r>
      <w:r w:rsidR="000F7DEB" w:rsidRPr="00964E40">
        <w:rPr>
          <w:color w:val="201F1E"/>
          <w:kern w:val="22"/>
          <w:szCs w:val="22"/>
        </w:rPr>
        <w:t>o</w:t>
      </w:r>
      <w:r w:rsidRPr="005F3D62">
        <w:rPr>
          <w:color w:val="201F1E"/>
          <w:kern w:val="22"/>
          <w:szCs w:val="22"/>
        </w:rPr>
        <w:t xml:space="preserve">ffice has continued to play an extremely valuable role in the past two years, especially </w:t>
      </w:r>
      <w:r w:rsidR="0048360F" w:rsidRPr="00964E40">
        <w:rPr>
          <w:color w:val="201F1E"/>
          <w:kern w:val="22"/>
          <w:szCs w:val="22"/>
        </w:rPr>
        <w:t>with regard to</w:t>
      </w:r>
      <w:r w:rsidR="0048360F" w:rsidRPr="005F3D62">
        <w:rPr>
          <w:color w:val="201F1E"/>
          <w:kern w:val="22"/>
          <w:szCs w:val="22"/>
        </w:rPr>
        <w:t xml:space="preserve"> </w:t>
      </w:r>
      <w:r w:rsidRPr="005F3D62">
        <w:rPr>
          <w:color w:val="201F1E"/>
          <w:kern w:val="22"/>
          <w:szCs w:val="22"/>
        </w:rPr>
        <w:t>follow</w:t>
      </w:r>
      <w:r w:rsidR="0048360F" w:rsidRPr="00964E40">
        <w:rPr>
          <w:color w:val="201F1E"/>
          <w:kern w:val="22"/>
          <w:szCs w:val="22"/>
        </w:rPr>
        <w:t>-</w:t>
      </w:r>
      <w:r w:rsidRPr="005F3D62">
        <w:rPr>
          <w:color w:val="201F1E"/>
          <w:kern w:val="22"/>
          <w:szCs w:val="22"/>
        </w:rPr>
        <w:t xml:space="preserve">up on </w:t>
      </w:r>
      <w:r w:rsidR="00A52A3D" w:rsidRPr="00964E40">
        <w:rPr>
          <w:color w:val="201F1E"/>
          <w:kern w:val="22"/>
          <w:szCs w:val="22"/>
        </w:rPr>
        <w:t xml:space="preserve">a </w:t>
      </w:r>
      <w:r w:rsidRPr="005F3D62">
        <w:rPr>
          <w:color w:val="201F1E"/>
          <w:kern w:val="22"/>
          <w:szCs w:val="22"/>
        </w:rPr>
        <w:t xml:space="preserve">mandate </w:t>
      </w:r>
      <w:r w:rsidR="0040055C" w:rsidRPr="00964E40">
        <w:rPr>
          <w:color w:val="201F1E"/>
          <w:kern w:val="22"/>
          <w:szCs w:val="22"/>
        </w:rPr>
        <w:t>emanating from</w:t>
      </w:r>
      <w:r w:rsidR="00B12759" w:rsidRPr="005F3D62">
        <w:rPr>
          <w:color w:val="201F1E"/>
          <w:kern w:val="22"/>
          <w:szCs w:val="22"/>
        </w:rPr>
        <w:t xml:space="preserve"> the fourteenth meeting of the Conference of the Parties</w:t>
      </w:r>
      <w:r w:rsidRPr="005F3D62">
        <w:rPr>
          <w:color w:val="201F1E"/>
          <w:kern w:val="22"/>
          <w:szCs w:val="22"/>
        </w:rPr>
        <w:t xml:space="preserve"> </w:t>
      </w:r>
      <w:r w:rsidR="000D2893" w:rsidRPr="00964E40">
        <w:rPr>
          <w:color w:val="201F1E"/>
          <w:kern w:val="22"/>
          <w:szCs w:val="22"/>
        </w:rPr>
        <w:t>by which</w:t>
      </w:r>
      <w:r w:rsidR="000D2893" w:rsidRPr="005F3D62">
        <w:rPr>
          <w:color w:val="201F1E"/>
          <w:kern w:val="22"/>
          <w:szCs w:val="22"/>
        </w:rPr>
        <w:t xml:space="preserve"> </w:t>
      </w:r>
      <w:r w:rsidRPr="005F3D62">
        <w:rPr>
          <w:color w:val="201F1E"/>
          <w:kern w:val="22"/>
          <w:szCs w:val="22"/>
        </w:rPr>
        <w:t xml:space="preserve">the General Assembly </w:t>
      </w:r>
      <w:r w:rsidR="000D2893" w:rsidRPr="00964E40">
        <w:rPr>
          <w:color w:val="201F1E"/>
          <w:kern w:val="22"/>
          <w:szCs w:val="22"/>
        </w:rPr>
        <w:t xml:space="preserve">was requested </w:t>
      </w:r>
      <w:r w:rsidRPr="005F3D62">
        <w:rPr>
          <w:color w:val="201F1E"/>
          <w:kern w:val="22"/>
          <w:szCs w:val="22"/>
        </w:rPr>
        <w:t>to convene</w:t>
      </w:r>
      <w:r w:rsidR="00A15D6D" w:rsidRPr="00964E40">
        <w:rPr>
          <w:color w:val="201F1E"/>
          <w:kern w:val="22"/>
          <w:szCs w:val="22"/>
        </w:rPr>
        <w:t>,</w:t>
      </w:r>
      <w:r w:rsidRPr="005F3D62">
        <w:rPr>
          <w:color w:val="201F1E"/>
          <w:kern w:val="22"/>
          <w:szCs w:val="22"/>
        </w:rPr>
        <w:t xml:space="preserve"> </w:t>
      </w:r>
      <w:r w:rsidR="00A15D6D" w:rsidRPr="00964E40">
        <w:rPr>
          <w:color w:val="201F1E"/>
          <w:kern w:val="22"/>
          <w:szCs w:val="22"/>
        </w:rPr>
        <w:t xml:space="preserve">at its seventy-fifth session, </w:t>
      </w:r>
      <w:r w:rsidRPr="005F3D62">
        <w:rPr>
          <w:color w:val="201F1E"/>
          <w:kern w:val="22"/>
          <w:szCs w:val="22"/>
        </w:rPr>
        <w:t>a Summit on Biodiversity at the highest level to create support and awareness for the post</w:t>
      </w:r>
      <w:r w:rsidR="00B15BEE" w:rsidRPr="005F3D62">
        <w:rPr>
          <w:color w:val="201F1E"/>
          <w:kern w:val="22"/>
          <w:szCs w:val="22"/>
        </w:rPr>
        <w:t>-</w:t>
      </w:r>
      <w:r w:rsidRPr="005F3D62">
        <w:rPr>
          <w:color w:val="201F1E"/>
          <w:kern w:val="22"/>
          <w:szCs w:val="22"/>
        </w:rPr>
        <w:t xml:space="preserve">2020 </w:t>
      </w:r>
      <w:r w:rsidR="00B15BEE" w:rsidRPr="005F3D62">
        <w:rPr>
          <w:color w:val="201F1E"/>
          <w:kern w:val="22"/>
          <w:szCs w:val="22"/>
        </w:rPr>
        <w:t>g</w:t>
      </w:r>
      <w:r w:rsidRPr="005F3D62">
        <w:rPr>
          <w:color w:val="201F1E"/>
          <w:kern w:val="22"/>
          <w:szCs w:val="22"/>
        </w:rPr>
        <w:t xml:space="preserve">lobal </w:t>
      </w:r>
      <w:r w:rsidR="00B15BEE" w:rsidRPr="005F3D62">
        <w:rPr>
          <w:color w:val="201F1E"/>
          <w:kern w:val="22"/>
          <w:szCs w:val="22"/>
        </w:rPr>
        <w:t>b</w:t>
      </w:r>
      <w:r w:rsidRPr="005F3D62">
        <w:rPr>
          <w:color w:val="201F1E"/>
          <w:kern w:val="22"/>
          <w:szCs w:val="22"/>
        </w:rPr>
        <w:t xml:space="preserve">iodiversity </w:t>
      </w:r>
      <w:r w:rsidR="00B15BEE" w:rsidRPr="005F3D62">
        <w:rPr>
          <w:color w:val="201F1E"/>
          <w:kern w:val="22"/>
          <w:szCs w:val="22"/>
        </w:rPr>
        <w:t>f</w:t>
      </w:r>
      <w:r w:rsidRPr="005F3D62">
        <w:rPr>
          <w:color w:val="201F1E"/>
          <w:kern w:val="22"/>
          <w:szCs w:val="22"/>
        </w:rPr>
        <w:t xml:space="preserve">ramework. The </w:t>
      </w:r>
      <w:r w:rsidR="00067859" w:rsidRPr="00964E40">
        <w:rPr>
          <w:color w:val="201F1E"/>
          <w:kern w:val="22"/>
          <w:szCs w:val="22"/>
        </w:rPr>
        <w:t>l</w:t>
      </w:r>
      <w:r w:rsidRPr="005F3D62">
        <w:rPr>
          <w:color w:val="201F1E"/>
          <w:kern w:val="22"/>
          <w:szCs w:val="22"/>
        </w:rPr>
        <w:t xml:space="preserve">iaison office has also been playing a crucial role in advancing the agenda of the </w:t>
      </w:r>
      <w:r w:rsidR="00B15BEE" w:rsidRPr="005F3D62">
        <w:rPr>
          <w:color w:val="201F1E"/>
          <w:kern w:val="22"/>
          <w:szCs w:val="22"/>
        </w:rPr>
        <w:t xml:space="preserve">Convention </w:t>
      </w:r>
      <w:r w:rsidRPr="005F3D62">
        <w:rPr>
          <w:color w:val="201F1E"/>
          <w:kern w:val="22"/>
          <w:szCs w:val="22"/>
        </w:rPr>
        <w:t xml:space="preserve">and enhancing awareness about biodiversity by tracking developments and participating in key United Nations processes, particularly in </w:t>
      </w:r>
      <w:r w:rsidR="00067859" w:rsidRPr="00964E40">
        <w:rPr>
          <w:color w:val="201F1E"/>
          <w:kern w:val="22"/>
          <w:szCs w:val="22"/>
        </w:rPr>
        <w:t>the Economic and Social Council</w:t>
      </w:r>
      <w:r w:rsidR="00067859" w:rsidRPr="005F3D62">
        <w:rPr>
          <w:color w:val="201F1E"/>
          <w:kern w:val="22"/>
          <w:szCs w:val="22"/>
        </w:rPr>
        <w:t xml:space="preserve"> </w:t>
      </w:r>
      <w:r w:rsidRPr="005F3D62">
        <w:rPr>
          <w:color w:val="201F1E"/>
          <w:kern w:val="22"/>
          <w:szCs w:val="22"/>
        </w:rPr>
        <w:t>and the High-</w:t>
      </w:r>
      <w:r w:rsidR="00067859" w:rsidRPr="00964E40">
        <w:rPr>
          <w:color w:val="201F1E"/>
          <w:kern w:val="22"/>
          <w:szCs w:val="22"/>
        </w:rPr>
        <w:t>l</w:t>
      </w:r>
      <w:r w:rsidRPr="005F3D62">
        <w:rPr>
          <w:color w:val="201F1E"/>
          <w:kern w:val="22"/>
          <w:szCs w:val="22"/>
        </w:rPr>
        <w:t xml:space="preserve">evel Political Forum. It also prepares the annual report of the </w:t>
      </w:r>
      <w:r w:rsidR="003E560C" w:rsidRPr="00964E40">
        <w:rPr>
          <w:color w:val="201F1E"/>
          <w:kern w:val="22"/>
          <w:szCs w:val="22"/>
        </w:rPr>
        <w:t>Executive Secretary</w:t>
      </w:r>
      <w:r w:rsidR="00F859CF" w:rsidRPr="00964E40">
        <w:rPr>
          <w:color w:val="201F1E"/>
          <w:kern w:val="22"/>
          <w:szCs w:val="22"/>
        </w:rPr>
        <w:t xml:space="preserve"> </w:t>
      </w:r>
      <w:r w:rsidRPr="005F3D62">
        <w:rPr>
          <w:color w:val="201F1E"/>
          <w:kern w:val="22"/>
          <w:szCs w:val="22"/>
        </w:rPr>
        <w:t xml:space="preserve">to the General Assembly and services the intergovernmental negotiations </w:t>
      </w:r>
      <w:r w:rsidR="00D35D32" w:rsidRPr="00964E40">
        <w:rPr>
          <w:color w:val="201F1E"/>
          <w:kern w:val="22"/>
          <w:szCs w:val="22"/>
        </w:rPr>
        <w:t>surrounding</w:t>
      </w:r>
      <w:r w:rsidR="00D35D32" w:rsidRPr="005F3D62">
        <w:rPr>
          <w:color w:val="201F1E"/>
          <w:kern w:val="22"/>
          <w:szCs w:val="22"/>
        </w:rPr>
        <w:t xml:space="preserve"> </w:t>
      </w:r>
      <w:r w:rsidRPr="005F3D62">
        <w:rPr>
          <w:color w:val="201F1E"/>
          <w:kern w:val="22"/>
          <w:szCs w:val="22"/>
        </w:rPr>
        <w:t>the annual resolution on the implementation of the Convention adopted by the Assembly.</w:t>
      </w:r>
    </w:p>
    <w:p w14:paraId="638888C8" w14:textId="30BC7981" w:rsidR="000D4DA8" w:rsidRPr="005F3D62" w:rsidRDefault="000D4DA8" w:rsidP="005F3D62">
      <w:pPr>
        <w:pStyle w:val="Heading1"/>
        <w:numPr>
          <w:ilvl w:val="0"/>
          <w:numId w:val="6"/>
        </w:numPr>
        <w:suppressLineNumbers/>
        <w:tabs>
          <w:tab w:val="clear" w:pos="720"/>
          <w:tab w:val="left" w:pos="426"/>
        </w:tabs>
        <w:suppressAutoHyphens/>
        <w:spacing w:before="120"/>
        <w:ind w:left="0" w:firstLine="0"/>
        <w:rPr>
          <w:b w:val="0"/>
          <w:snapToGrid w:val="0"/>
          <w:kern w:val="22"/>
          <w:szCs w:val="22"/>
        </w:rPr>
      </w:pPr>
      <w:r w:rsidRPr="005F3D62">
        <w:rPr>
          <w:snapToGrid w:val="0"/>
          <w:kern w:val="22"/>
          <w:szCs w:val="22"/>
        </w:rPr>
        <w:t>Respon</w:t>
      </w:r>
      <w:r w:rsidR="00C4034E" w:rsidRPr="005F3D62">
        <w:rPr>
          <w:snapToGrid w:val="0"/>
          <w:kern w:val="22"/>
          <w:szCs w:val="22"/>
        </w:rPr>
        <w:t>s</w:t>
      </w:r>
      <w:r w:rsidRPr="005F3D62">
        <w:rPr>
          <w:snapToGrid w:val="0"/>
          <w:kern w:val="22"/>
          <w:szCs w:val="22"/>
        </w:rPr>
        <w:t xml:space="preserve">e to </w:t>
      </w:r>
      <w:r w:rsidR="0028753A" w:rsidRPr="005F3D62">
        <w:rPr>
          <w:snapToGrid w:val="0"/>
          <w:kern w:val="22"/>
          <w:szCs w:val="22"/>
        </w:rPr>
        <w:t>COVID</w:t>
      </w:r>
      <w:r w:rsidRPr="005F3D62">
        <w:rPr>
          <w:snapToGrid w:val="0"/>
          <w:kern w:val="22"/>
          <w:szCs w:val="22"/>
        </w:rPr>
        <w:t xml:space="preserve">-19 and preparation of the </w:t>
      </w:r>
      <w:r w:rsidR="0028753A" w:rsidRPr="005F3D62">
        <w:rPr>
          <w:snapToGrid w:val="0"/>
          <w:kern w:val="22"/>
          <w:szCs w:val="22"/>
        </w:rPr>
        <w:t>b</w:t>
      </w:r>
      <w:r w:rsidRPr="005F3D62">
        <w:rPr>
          <w:snapToGrid w:val="0"/>
          <w:kern w:val="22"/>
          <w:szCs w:val="22"/>
        </w:rPr>
        <w:t>udget for 2021-2022</w:t>
      </w:r>
    </w:p>
    <w:p w14:paraId="2AE74F0B" w14:textId="07D52D6B" w:rsidR="000D4DA8" w:rsidRPr="005F3D62" w:rsidRDefault="000D4DA8" w:rsidP="005F3D62">
      <w:pPr>
        <w:pStyle w:val="ListParagraph"/>
        <w:numPr>
          <w:ilvl w:val="0"/>
          <w:numId w:val="1"/>
        </w:numPr>
        <w:suppressLineNumbers/>
        <w:suppressAutoHyphens/>
        <w:spacing w:before="120" w:after="120"/>
        <w:ind w:left="0" w:firstLine="0"/>
        <w:contextualSpacing w:val="0"/>
        <w:rPr>
          <w:kern w:val="22"/>
          <w:szCs w:val="22"/>
        </w:rPr>
      </w:pPr>
      <w:r w:rsidRPr="005F3D62">
        <w:rPr>
          <w:kern w:val="22"/>
          <w:szCs w:val="22"/>
        </w:rPr>
        <w:t>In response to the C</w:t>
      </w:r>
      <w:r w:rsidR="00977495" w:rsidRPr="005F3D62">
        <w:rPr>
          <w:kern w:val="22"/>
          <w:szCs w:val="22"/>
        </w:rPr>
        <w:t>OVID</w:t>
      </w:r>
      <w:r w:rsidRPr="005F3D62">
        <w:rPr>
          <w:kern w:val="22"/>
          <w:szCs w:val="22"/>
        </w:rPr>
        <w:t>-19 pandemic and in accordance with the requirements imposed by the Government of Canada and the Province of Quebec, the Secretariat staff has been telecommuting since 16</w:t>
      </w:r>
      <w:r w:rsidR="00231C6F" w:rsidRPr="00964E40">
        <w:rPr>
          <w:kern w:val="22"/>
          <w:szCs w:val="22"/>
        </w:rPr>
        <w:t> </w:t>
      </w:r>
      <w:r w:rsidRPr="005F3D62">
        <w:rPr>
          <w:kern w:val="22"/>
          <w:szCs w:val="22"/>
        </w:rPr>
        <w:t xml:space="preserve">March 2020. The Secretariat has </w:t>
      </w:r>
      <w:r w:rsidR="00D86AD6" w:rsidRPr="00964E40">
        <w:rPr>
          <w:kern w:val="22"/>
          <w:szCs w:val="22"/>
        </w:rPr>
        <w:t xml:space="preserve">since </w:t>
      </w:r>
      <w:r w:rsidRPr="005F3D62">
        <w:rPr>
          <w:kern w:val="22"/>
          <w:szCs w:val="22"/>
        </w:rPr>
        <w:t xml:space="preserve">been operating under the guidance of </w:t>
      </w:r>
      <w:r w:rsidR="00C1003E" w:rsidRPr="00964E40">
        <w:rPr>
          <w:kern w:val="22"/>
          <w:szCs w:val="22"/>
        </w:rPr>
        <w:t xml:space="preserve">the </w:t>
      </w:r>
      <w:r w:rsidRPr="005F3D62">
        <w:rPr>
          <w:color w:val="000000"/>
          <w:kern w:val="22"/>
          <w:szCs w:val="22"/>
        </w:rPr>
        <w:t>Cris</w:t>
      </w:r>
      <w:r w:rsidR="005265BF" w:rsidRPr="00964E40">
        <w:rPr>
          <w:color w:val="000000"/>
          <w:kern w:val="22"/>
          <w:szCs w:val="22"/>
        </w:rPr>
        <w:t>i</w:t>
      </w:r>
      <w:r w:rsidRPr="005F3D62">
        <w:rPr>
          <w:color w:val="000000"/>
          <w:kern w:val="22"/>
          <w:szCs w:val="22"/>
        </w:rPr>
        <w:t>s Management Team</w:t>
      </w:r>
      <w:r w:rsidRPr="005F3D62">
        <w:rPr>
          <w:rFonts w:eastAsia="Calibri"/>
          <w:kern w:val="22"/>
          <w:szCs w:val="22"/>
        </w:rPr>
        <w:t xml:space="preserve"> (</w:t>
      </w:r>
      <w:proofErr w:type="spellStart"/>
      <w:r w:rsidRPr="005F3D62">
        <w:rPr>
          <w:rFonts w:eastAsia="Calibri"/>
          <w:kern w:val="22"/>
          <w:szCs w:val="22"/>
        </w:rPr>
        <w:t>CMT</w:t>
      </w:r>
      <w:proofErr w:type="spellEnd"/>
      <w:r w:rsidRPr="005F3D62">
        <w:rPr>
          <w:rFonts w:eastAsia="Calibri"/>
          <w:kern w:val="22"/>
          <w:szCs w:val="22"/>
        </w:rPr>
        <w:t xml:space="preserve">) </w:t>
      </w:r>
      <w:r w:rsidR="009A385F" w:rsidRPr="00964E40">
        <w:rPr>
          <w:rFonts w:eastAsia="Calibri"/>
          <w:kern w:val="22"/>
          <w:szCs w:val="22"/>
        </w:rPr>
        <w:t xml:space="preserve">of </w:t>
      </w:r>
      <w:r w:rsidR="009A385F" w:rsidRPr="00964E40">
        <w:rPr>
          <w:color w:val="000000"/>
          <w:kern w:val="22"/>
          <w:szCs w:val="22"/>
        </w:rPr>
        <w:t xml:space="preserve">ICAO </w:t>
      </w:r>
      <w:r w:rsidRPr="005F3D62">
        <w:rPr>
          <w:rFonts w:eastAsia="Calibri"/>
          <w:kern w:val="22"/>
          <w:szCs w:val="22"/>
        </w:rPr>
        <w:t>in its role as the United Nations lead agency in Montreal.</w:t>
      </w:r>
    </w:p>
    <w:p w14:paraId="7AC55E39" w14:textId="5A9FDC0D" w:rsidR="000D4DA8" w:rsidRPr="005F3D62" w:rsidRDefault="000D4DA8" w:rsidP="005F3D62">
      <w:pPr>
        <w:pStyle w:val="ListParagraph"/>
        <w:numPr>
          <w:ilvl w:val="0"/>
          <w:numId w:val="1"/>
        </w:numPr>
        <w:suppressLineNumbers/>
        <w:suppressAutoHyphens/>
        <w:spacing w:before="120" w:after="120"/>
        <w:ind w:left="0" w:firstLine="0"/>
        <w:contextualSpacing w:val="0"/>
        <w:rPr>
          <w:kern w:val="22"/>
          <w:szCs w:val="22"/>
        </w:rPr>
      </w:pPr>
      <w:r w:rsidRPr="005F3D62">
        <w:rPr>
          <w:kern w:val="22"/>
          <w:szCs w:val="22"/>
        </w:rPr>
        <w:t>The situation surrounding C</w:t>
      </w:r>
      <w:r w:rsidR="00977495" w:rsidRPr="005F3D62">
        <w:rPr>
          <w:kern w:val="22"/>
          <w:szCs w:val="22"/>
        </w:rPr>
        <w:t>OVID</w:t>
      </w:r>
      <w:r w:rsidRPr="005F3D62">
        <w:rPr>
          <w:kern w:val="22"/>
          <w:szCs w:val="22"/>
        </w:rPr>
        <w:t xml:space="preserve">-19 </w:t>
      </w:r>
      <w:r w:rsidRPr="005F3D62">
        <w:rPr>
          <w:color w:val="000000"/>
          <w:kern w:val="22"/>
          <w:szCs w:val="22"/>
        </w:rPr>
        <w:t>has highlighted the need to upgrade and renovate the existing office space</w:t>
      </w:r>
      <w:r w:rsidRPr="005F3D62">
        <w:rPr>
          <w:kern w:val="22"/>
          <w:szCs w:val="22"/>
        </w:rPr>
        <w:t xml:space="preserve"> to comply with the health and social distancing requirements imposed by the local authorities. Preparatory tasks related to the clean-up of the office space</w:t>
      </w:r>
      <w:r w:rsidR="003513AD" w:rsidRPr="00964E40">
        <w:rPr>
          <w:kern w:val="22"/>
          <w:szCs w:val="22"/>
        </w:rPr>
        <w:t xml:space="preserve"> and the</w:t>
      </w:r>
      <w:r w:rsidRPr="005F3D62">
        <w:rPr>
          <w:kern w:val="22"/>
          <w:szCs w:val="22"/>
        </w:rPr>
        <w:t xml:space="preserve"> write</w:t>
      </w:r>
      <w:r w:rsidR="005F6437" w:rsidRPr="00964E40">
        <w:rPr>
          <w:kern w:val="22"/>
          <w:szCs w:val="22"/>
        </w:rPr>
        <w:t>-</w:t>
      </w:r>
      <w:r w:rsidRPr="005F3D62">
        <w:rPr>
          <w:kern w:val="22"/>
          <w:szCs w:val="22"/>
        </w:rPr>
        <w:t xml:space="preserve">off and disposal of obsolete equipment are currently being undertaken. The pandemic has also shown the need </w:t>
      </w:r>
      <w:r w:rsidR="00D51CEA" w:rsidRPr="00964E40">
        <w:rPr>
          <w:kern w:val="22"/>
          <w:szCs w:val="22"/>
        </w:rPr>
        <w:t>to</w:t>
      </w:r>
      <w:r w:rsidRPr="005F3D62">
        <w:rPr>
          <w:kern w:val="22"/>
          <w:szCs w:val="22"/>
        </w:rPr>
        <w:t xml:space="preserve"> upgrade the Secretariat’s </w:t>
      </w:r>
      <w:r w:rsidR="00296978" w:rsidRPr="00964E40">
        <w:rPr>
          <w:kern w:val="22"/>
          <w:szCs w:val="22"/>
        </w:rPr>
        <w:t>information technology</w:t>
      </w:r>
      <w:r w:rsidR="00296978" w:rsidRPr="005F3D62">
        <w:rPr>
          <w:kern w:val="22"/>
          <w:szCs w:val="22"/>
        </w:rPr>
        <w:t xml:space="preserve"> </w:t>
      </w:r>
      <w:r w:rsidRPr="005F3D62">
        <w:rPr>
          <w:kern w:val="22"/>
          <w:szCs w:val="22"/>
        </w:rPr>
        <w:t xml:space="preserve">infrastructure and equipment </w:t>
      </w:r>
      <w:r w:rsidR="00706223" w:rsidRPr="00964E40">
        <w:rPr>
          <w:kern w:val="22"/>
          <w:szCs w:val="22"/>
        </w:rPr>
        <w:t xml:space="preserve">in order </w:t>
      </w:r>
      <w:r w:rsidRPr="005F3D62">
        <w:rPr>
          <w:kern w:val="22"/>
          <w:szCs w:val="22"/>
        </w:rPr>
        <w:t xml:space="preserve">to allow the continued operations of the Convention. With the assistance of United Nations Headquarters, the Secretariat is assessing its existing network infrastructure and systems </w:t>
      </w:r>
      <w:r w:rsidR="008859D9" w:rsidRPr="00964E40">
        <w:rPr>
          <w:kern w:val="22"/>
          <w:szCs w:val="22"/>
        </w:rPr>
        <w:t>with a</w:t>
      </w:r>
      <w:r w:rsidRPr="005F3D62">
        <w:rPr>
          <w:kern w:val="22"/>
          <w:szCs w:val="22"/>
        </w:rPr>
        <w:t xml:space="preserve"> view </w:t>
      </w:r>
      <w:r w:rsidR="008859D9" w:rsidRPr="00964E40">
        <w:rPr>
          <w:kern w:val="22"/>
          <w:szCs w:val="22"/>
        </w:rPr>
        <w:t>to</w:t>
      </w:r>
      <w:r w:rsidRPr="005F3D62">
        <w:rPr>
          <w:kern w:val="22"/>
          <w:szCs w:val="22"/>
        </w:rPr>
        <w:t xml:space="preserve"> upgrading its digital capabilities and </w:t>
      </w:r>
      <w:r w:rsidR="00CF3295" w:rsidRPr="00964E40">
        <w:rPr>
          <w:kern w:val="22"/>
          <w:szCs w:val="22"/>
        </w:rPr>
        <w:t xml:space="preserve">in order </w:t>
      </w:r>
      <w:r w:rsidRPr="005F3D62">
        <w:rPr>
          <w:kern w:val="22"/>
          <w:szCs w:val="22"/>
        </w:rPr>
        <w:t xml:space="preserve">to be able to meet the increasing demand for virtual meetings. Furthermore, the Secretariat has embarked on </w:t>
      </w:r>
      <w:r w:rsidR="00995BCE" w:rsidRPr="00964E40">
        <w:rPr>
          <w:kern w:val="22"/>
          <w:szCs w:val="22"/>
        </w:rPr>
        <w:t>the digitization of</w:t>
      </w:r>
      <w:r w:rsidRPr="005F3D62">
        <w:rPr>
          <w:kern w:val="22"/>
          <w:szCs w:val="22"/>
        </w:rPr>
        <w:t xml:space="preserve"> administrative documents to enable easy access and reduce the costs of printing and paperwork.</w:t>
      </w:r>
    </w:p>
    <w:p w14:paraId="00BCAF1E" w14:textId="7646951D" w:rsidR="000D4DA8" w:rsidRPr="005F3D62" w:rsidRDefault="00813626" w:rsidP="00A04EF0">
      <w:pPr>
        <w:pStyle w:val="ListParagraph"/>
        <w:numPr>
          <w:ilvl w:val="0"/>
          <w:numId w:val="1"/>
        </w:numPr>
        <w:suppressLineNumbers/>
        <w:suppressAutoHyphens/>
        <w:spacing w:before="120" w:after="120"/>
        <w:ind w:left="0" w:firstLine="0"/>
        <w:contextualSpacing w:val="0"/>
        <w:rPr>
          <w:color w:val="201F1E"/>
          <w:kern w:val="22"/>
          <w:szCs w:val="22"/>
        </w:rPr>
      </w:pPr>
      <w:r w:rsidRPr="00964E40">
        <w:rPr>
          <w:rFonts w:eastAsia="Malgun Gothic"/>
          <w:kern w:val="22"/>
          <w:szCs w:val="22"/>
          <w:lang w:eastAsia="x-none"/>
        </w:rPr>
        <w:lastRenderedPageBreak/>
        <w:t xml:space="preserve">Following the postponement of the fifteenth meeting of the Conference of the Parties and </w:t>
      </w:r>
      <w:r w:rsidR="0049747E" w:rsidRPr="00964E40">
        <w:rPr>
          <w:rFonts w:eastAsia="Malgun Gothic"/>
          <w:kern w:val="22"/>
          <w:szCs w:val="22"/>
          <w:lang w:eastAsia="x-none"/>
        </w:rPr>
        <w:t xml:space="preserve">the </w:t>
      </w:r>
      <w:r w:rsidRPr="00964E40">
        <w:rPr>
          <w:rFonts w:eastAsia="Malgun Gothic"/>
          <w:kern w:val="22"/>
          <w:szCs w:val="22"/>
          <w:lang w:eastAsia="x-none"/>
        </w:rPr>
        <w:t xml:space="preserve">concurrent meetings of the </w:t>
      </w:r>
      <w:r w:rsidR="00372AF8" w:rsidRPr="00964E40">
        <w:rPr>
          <w:rFonts w:eastAsia="Malgun Gothic"/>
          <w:kern w:val="22"/>
          <w:szCs w:val="22"/>
          <w:lang w:eastAsia="x-none"/>
        </w:rPr>
        <w:t xml:space="preserve">Parties to the </w:t>
      </w:r>
      <w:r w:rsidRPr="00964E40">
        <w:rPr>
          <w:rFonts w:eastAsia="Malgun Gothic"/>
          <w:kern w:val="22"/>
          <w:szCs w:val="22"/>
          <w:lang w:eastAsia="x-none"/>
        </w:rPr>
        <w:t xml:space="preserve">Protocols </w:t>
      </w:r>
      <w:r w:rsidR="003A518E" w:rsidRPr="00964E40">
        <w:rPr>
          <w:rFonts w:eastAsia="Malgun Gothic"/>
          <w:kern w:val="22"/>
          <w:szCs w:val="22"/>
          <w:lang w:eastAsia="x-none"/>
        </w:rPr>
        <w:t xml:space="preserve">resulting from the restrictions on travel and </w:t>
      </w:r>
      <w:r w:rsidR="00372AF8" w:rsidRPr="00964E40">
        <w:rPr>
          <w:rFonts w:eastAsia="Malgun Gothic"/>
          <w:kern w:val="22"/>
          <w:szCs w:val="22"/>
          <w:lang w:eastAsia="x-none"/>
        </w:rPr>
        <w:t xml:space="preserve">on </w:t>
      </w:r>
      <w:r w:rsidR="003A518E" w:rsidRPr="00964E40">
        <w:rPr>
          <w:rFonts w:eastAsia="Malgun Gothic"/>
          <w:kern w:val="22"/>
          <w:szCs w:val="22"/>
          <w:lang w:eastAsia="x-none"/>
        </w:rPr>
        <w:t xml:space="preserve">the holding of large gatherings in most parts of the world, it has become necessary to find </w:t>
      </w:r>
      <w:r w:rsidR="00E30857" w:rsidRPr="00964E40">
        <w:rPr>
          <w:rFonts w:eastAsia="Malgun Gothic"/>
          <w:kern w:val="22"/>
          <w:szCs w:val="22"/>
          <w:lang w:eastAsia="x-none"/>
        </w:rPr>
        <w:t>alternative arrangements to allow the continued operations of the Convention beyond 31 December 2020</w:t>
      </w:r>
      <w:r w:rsidR="003A518E" w:rsidRPr="00964E40">
        <w:rPr>
          <w:rFonts w:eastAsia="Malgun Gothic"/>
          <w:kern w:val="22"/>
          <w:szCs w:val="22"/>
          <w:lang w:eastAsia="x-none"/>
        </w:rPr>
        <w:t xml:space="preserve">. The present document </w:t>
      </w:r>
      <w:r w:rsidR="000D4DA8" w:rsidRPr="005F3D62">
        <w:rPr>
          <w:kern w:val="22"/>
          <w:szCs w:val="22"/>
        </w:rPr>
        <w:t xml:space="preserve">should be read in conjunction with the note by the Executive Secretary on </w:t>
      </w:r>
      <w:r w:rsidR="006718EE" w:rsidRPr="00964E40">
        <w:rPr>
          <w:kern w:val="22"/>
          <w:szCs w:val="22"/>
        </w:rPr>
        <w:t>the proposed</w:t>
      </w:r>
      <w:r w:rsidR="000D4DA8" w:rsidRPr="005F3D62">
        <w:rPr>
          <w:kern w:val="22"/>
          <w:szCs w:val="22"/>
        </w:rPr>
        <w:t xml:space="preserve"> interim budget for 2021 (</w:t>
      </w:r>
      <w:hyperlink r:id="rId18" w:history="1">
        <w:r w:rsidR="000D4DA8" w:rsidRPr="005F3D62">
          <w:rPr>
            <w:rStyle w:val="Hyperlink"/>
            <w:kern w:val="22"/>
            <w:sz w:val="22"/>
            <w:szCs w:val="22"/>
          </w:rPr>
          <w:t>CBD/</w:t>
        </w:r>
        <w:proofErr w:type="spellStart"/>
        <w:r w:rsidR="000D4DA8" w:rsidRPr="005F3D62">
          <w:rPr>
            <w:rStyle w:val="Hyperlink"/>
            <w:kern w:val="22"/>
            <w:sz w:val="22"/>
            <w:szCs w:val="22"/>
          </w:rPr>
          <w:t>ExCOP</w:t>
        </w:r>
        <w:proofErr w:type="spellEnd"/>
        <w:r w:rsidR="000D4DA8" w:rsidRPr="005F3D62">
          <w:rPr>
            <w:rStyle w:val="Hyperlink"/>
            <w:kern w:val="22"/>
            <w:sz w:val="22"/>
            <w:szCs w:val="22"/>
          </w:rPr>
          <w:t>/2/2</w:t>
        </w:r>
      </w:hyperlink>
      <w:r w:rsidR="000D4DA8" w:rsidRPr="005F3D62">
        <w:rPr>
          <w:kern w:val="22"/>
          <w:szCs w:val="22"/>
        </w:rPr>
        <w:t>).</w:t>
      </w:r>
    </w:p>
    <w:p w14:paraId="62C7ADEF" w14:textId="01625799" w:rsidR="00B43012" w:rsidRPr="005F3D62" w:rsidRDefault="000D4DA8" w:rsidP="005F3D62">
      <w:pPr>
        <w:pStyle w:val="ListParagraph"/>
        <w:numPr>
          <w:ilvl w:val="0"/>
          <w:numId w:val="1"/>
        </w:numPr>
        <w:suppressLineNumbers/>
        <w:suppressAutoHyphens/>
        <w:spacing w:before="120" w:after="120"/>
        <w:ind w:left="0" w:firstLine="0"/>
        <w:contextualSpacing w:val="0"/>
        <w:rPr>
          <w:color w:val="201F1E"/>
          <w:kern w:val="22"/>
          <w:szCs w:val="22"/>
        </w:rPr>
      </w:pPr>
      <w:r w:rsidRPr="005F3D62">
        <w:rPr>
          <w:color w:val="201F1E"/>
          <w:spacing w:val="-2"/>
          <w:kern w:val="22"/>
          <w:szCs w:val="22"/>
        </w:rPr>
        <w:t xml:space="preserve">The </w:t>
      </w:r>
      <w:r w:rsidR="00B01FC7" w:rsidRPr="005F3D62">
        <w:rPr>
          <w:color w:val="201F1E"/>
          <w:spacing w:val="-2"/>
          <w:kern w:val="22"/>
          <w:szCs w:val="22"/>
        </w:rPr>
        <w:t>S</w:t>
      </w:r>
      <w:r w:rsidRPr="005F3D62">
        <w:rPr>
          <w:color w:val="201F1E"/>
          <w:spacing w:val="-2"/>
          <w:kern w:val="22"/>
          <w:szCs w:val="22"/>
        </w:rPr>
        <w:t>ecretariat will pr</w:t>
      </w:r>
      <w:r w:rsidR="000B75E8" w:rsidRPr="005F3D62">
        <w:rPr>
          <w:color w:val="201F1E"/>
          <w:spacing w:val="-2"/>
          <w:kern w:val="22"/>
          <w:szCs w:val="22"/>
        </w:rPr>
        <w:t>e</w:t>
      </w:r>
      <w:r w:rsidRPr="005F3D62">
        <w:rPr>
          <w:color w:val="201F1E"/>
          <w:spacing w:val="-2"/>
          <w:kern w:val="22"/>
          <w:szCs w:val="22"/>
        </w:rPr>
        <w:t>pare a full budg</w:t>
      </w:r>
      <w:r w:rsidR="000B75E8" w:rsidRPr="005F3D62">
        <w:rPr>
          <w:color w:val="201F1E"/>
          <w:spacing w:val="-2"/>
          <w:kern w:val="22"/>
          <w:szCs w:val="22"/>
        </w:rPr>
        <w:t>e</w:t>
      </w:r>
      <w:r w:rsidRPr="005F3D62">
        <w:rPr>
          <w:color w:val="201F1E"/>
          <w:spacing w:val="-2"/>
          <w:kern w:val="22"/>
          <w:szCs w:val="22"/>
        </w:rPr>
        <w:t>t pro</w:t>
      </w:r>
      <w:r w:rsidR="000B75E8" w:rsidRPr="005F3D62">
        <w:rPr>
          <w:color w:val="201F1E"/>
          <w:spacing w:val="-2"/>
          <w:kern w:val="22"/>
          <w:szCs w:val="22"/>
        </w:rPr>
        <w:t>posal</w:t>
      </w:r>
      <w:r w:rsidRPr="005F3D62">
        <w:rPr>
          <w:color w:val="201F1E"/>
          <w:spacing w:val="-2"/>
          <w:kern w:val="22"/>
          <w:szCs w:val="22"/>
        </w:rPr>
        <w:t xml:space="preserve"> for the </w:t>
      </w:r>
      <w:r w:rsidR="0044473A" w:rsidRPr="005F3D62">
        <w:rPr>
          <w:color w:val="201F1E"/>
          <w:spacing w:val="-2"/>
          <w:kern w:val="22"/>
          <w:szCs w:val="22"/>
        </w:rPr>
        <w:t xml:space="preserve">biennium </w:t>
      </w:r>
      <w:r w:rsidRPr="005F3D62">
        <w:rPr>
          <w:color w:val="201F1E"/>
          <w:spacing w:val="-2"/>
          <w:kern w:val="22"/>
          <w:szCs w:val="22"/>
        </w:rPr>
        <w:t xml:space="preserve">2021-2022 for the consideration of </w:t>
      </w:r>
      <w:r w:rsidR="00525B71" w:rsidRPr="005F3D62">
        <w:rPr>
          <w:color w:val="201F1E"/>
          <w:spacing w:val="-2"/>
          <w:kern w:val="22"/>
          <w:szCs w:val="22"/>
        </w:rPr>
        <w:t>the Conference of the Parties at its fifteenth meeting</w:t>
      </w:r>
      <w:r w:rsidRPr="005F3D62">
        <w:rPr>
          <w:color w:val="201F1E"/>
          <w:spacing w:val="-2"/>
          <w:kern w:val="22"/>
          <w:szCs w:val="22"/>
        </w:rPr>
        <w:t xml:space="preserve">. </w:t>
      </w:r>
      <w:r w:rsidR="00B01FC7" w:rsidRPr="005F3D62">
        <w:rPr>
          <w:color w:val="201F1E"/>
          <w:spacing w:val="-2"/>
          <w:kern w:val="22"/>
          <w:szCs w:val="22"/>
        </w:rPr>
        <w:t>In view</w:t>
      </w:r>
      <w:r w:rsidR="009E42DC" w:rsidRPr="005F3D62">
        <w:rPr>
          <w:color w:val="201F1E"/>
          <w:spacing w:val="-2"/>
          <w:kern w:val="22"/>
          <w:szCs w:val="22"/>
        </w:rPr>
        <w:t xml:space="preserve"> of</w:t>
      </w:r>
      <w:r w:rsidR="00B01FC7" w:rsidRPr="005F3D62">
        <w:rPr>
          <w:color w:val="201F1E"/>
          <w:spacing w:val="-2"/>
          <w:kern w:val="22"/>
          <w:szCs w:val="22"/>
        </w:rPr>
        <w:t xml:space="preserve"> </w:t>
      </w:r>
      <w:r w:rsidRPr="005F3D62">
        <w:rPr>
          <w:color w:val="201F1E"/>
          <w:spacing w:val="-2"/>
          <w:kern w:val="22"/>
          <w:szCs w:val="22"/>
        </w:rPr>
        <w:t>th</w:t>
      </w:r>
      <w:r w:rsidR="00B01FC7" w:rsidRPr="005F3D62">
        <w:rPr>
          <w:color w:val="201F1E"/>
          <w:spacing w:val="-2"/>
          <w:kern w:val="22"/>
          <w:szCs w:val="22"/>
        </w:rPr>
        <w:t>e</w:t>
      </w:r>
      <w:r w:rsidRPr="005F3D62">
        <w:rPr>
          <w:color w:val="201F1E"/>
          <w:spacing w:val="-2"/>
          <w:kern w:val="22"/>
          <w:szCs w:val="22"/>
        </w:rPr>
        <w:t xml:space="preserve"> delay in </w:t>
      </w:r>
      <w:r w:rsidR="00883335" w:rsidRPr="005F3D62">
        <w:rPr>
          <w:color w:val="201F1E"/>
          <w:spacing w:val="-2"/>
          <w:kern w:val="22"/>
          <w:szCs w:val="22"/>
        </w:rPr>
        <w:t>holding the fifteenth meeting of the Conference of the Parties</w:t>
      </w:r>
      <w:r w:rsidRPr="005F3D62">
        <w:rPr>
          <w:color w:val="201F1E"/>
          <w:spacing w:val="-2"/>
          <w:kern w:val="22"/>
          <w:szCs w:val="22"/>
        </w:rPr>
        <w:t xml:space="preserve"> and the possible impl</w:t>
      </w:r>
      <w:r w:rsidR="000B75E8" w:rsidRPr="005F3D62">
        <w:rPr>
          <w:color w:val="201F1E"/>
          <w:spacing w:val="-2"/>
          <w:kern w:val="22"/>
          <w:szCs w:val="22"/>
        </w:rPr>
        <w:t>i</w:t>
      </w:r>
      <w:r w:rsidRPr="005F3D62">
        <w:rPr>
          <w:color w:val="201F1E"/>
          <w:spacing w:val="-2"/>
          <w:kern w:val="22"/>
          <w:szCs w:val="22"/>
        </w:rPr>
        <w:t xml:space="preserve">cations for the timing of subsequent meetings of the </w:t>
      </w:r>
      <w:r w:rsidR="00C509EF" w:rsidRPr="005F3D62">
        <w:rPr>
          <w:color w:val="201F1E"/>
          <w:spacing w:val="-2"/>
          <w:kern w:val="22"/>
          <w:szCs w:val="22"/>
        </w:rPr>
        <w:t>Conference of the Parties</w:t>
      </w:r>
      <w:r w:rsidRPr="005F3D62">
        <w:rPr>
          <w:color w:val="201F1E"/>
          <w:spacing w:val="-2"/>
          <w:kern w:val="22"/>
          <w:szCs w:val="22"/>
        </w:rPr>
        <w:t>, the Secretariat will also prepare a proposal for the period 2021-2023.</w:t>
      </w:r>
    </w:p>
    <w:p w14:paraId="751E67A1" w14:textId="5A1E5FB5" w:rsidR="00165403" w:rsidRPr="005F3D62" w:rsidRDefault="00B43012" w:rsidP="005F3D62">
      <w:pPr>
        <w:pStyle w:val="ListParagraph"/>
        <w:suppressLineNumbers/>
        <w:suppressAutoHyphens/>
        <w:spacing w:before="120" w:after="120"/>
        <w:ind w:left="0"/>
        <w:contextualSpacing w:val="0"/>
        <w:jc w:val="center"/>
        <w:rPr>
          <w:kern w:val="22"/>
          <w:szCs w:val="22"/>
        </w:rPr>
      </w:pPr>
      <w:r w:rsidRPr="005F3D62">
        <w:rPr>
          <w:kern w:val="22"/>
          <w:szCs w:val="22"/>
        </w:rPr>
        <w:t>__________</w:t>
      </w:r>
    </w:p>
    <w:sectPr w:rsidR="00165403" w:rsidRPr="005F3D62" w:rsidSect="005F3D62">
      <w:headerReference w:type="even" r:id="rId19"/>
      <w:headerReference w:type="default" r:id="rId20"/>
      <w:pgSz w:w="12240" w:h="15840"/>
      <w:pgMar w:top="567"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4496DF" w14:textId="77777777" w:rsidR="00843E1A" w:rsidRDefault="00843E1A">
      <w:r>
        <w:separator/>
      </w:r>
    </w:p>
  </w:endnote>
  <w:endnote w:type="continuationSeparator" w:id="0">
    <w:p w14:paraId="47419BA7" w14:textId="77777777" w:rsidR="00843E1A" w:rsidRDefault="00843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80000287" w:usb1="00000000" w:usb2="00000000" w:usb3="00000000" w:csb0="0000000F" w:csb1="00000000"/>
  </w:font>
  <w:font w:name="Yu Mincho">
    <w:charset w:val="80"/>
    <w:family w:val="roman"/>
    <w:pitch w:val="variable"/>
    <w:sig w:usb0="800002E7" w:usb1="2AC7FCFF" w:usb2="00000012" w:usb3="00000000" w:csb0="0002009F" w:csb1="00000000"/>
  </w:font>
  <w:font w:name="Lucida Grande">
    <w:altName w:val="Segoe UI"/>
    <w:charset w:val="00"/>
    <w:family w:val="swiss"/>
    <w:pitch w:val="variable"/>
    <w:sig w:usb0="E1000AEF" w:usb1="5000A1FF" w:usb2="00000000" w:usb3="00000000" w:csb0="000001BF" w:csb1="00000000"/>
  </w:font>
  <w:font w:name="DengXian">
    <w:altName w:val="等线"/>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Courier">
    <w:panose1 w:val="02070409020205020404"/>
    <w:charset w:val="00"/>
    <w:family w:val="auto"/>
    <w:pitch w:val="variable"/>
    <w:sig w:usb0="00000003" w:usb1="00000000" w:usb2="00000000" w:usb3="00000000" w:csb0="00000003"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A2B1E4" w14:textId="77777777" w:rsidR="00843E1A" w:rsidRDefault="00843E1A">
      <w:r>
        <w:separator/>
      </w:r>
    </w:p>
  </w:footnote>
  <w:footnote w:type="continuationSeparator" w:id="0">
    <w:p w14:paraId="3EF50207" w14:textId="77777777" w:rsidR="00843E1A" w:rsidRDefault="00843E1A">
      <w:r>
        <w:continuationSeparator/>
      </w:r>
    </w:p>
  </w:footnote>
  <w:footnote w:id="1">
    <w:p w14:paraId="77ADD0F3" w14:textId="77777777" w:rsidR="00490865" w:rsidRPr="005F3D62" w:rsidRDefault="00490865" w:rsidP="005F3D62">
      <w:pPr>
        <w:pStyle w:val="FootnoteText"/>
        <w:suppressLineNumbers/>
        <w:suppressAutoHyphens/>
        <w:ind w:firstLine="0"/>
        <w:jc w:val="left"/>
        <w:rPr>
          <w:kern w:val="18"/>
          <w:szCs w:val="18"/>
        </w:rPr>
      </w:pPr>
      <w:r w:rsidRPr="005F3D62">
        <w:rPr>
          <w:rStyle w:val="FootnoteReference"/>
          <w:kern w:val="18"/>
          <w:sz w:val="18"/>
          <w:szCs w:val="18"/>
        </w:rPr>
        <w:t>*</w:t>
      </w:r>
      <w:r w:rsidRPr="005F3D62">
        <w:rPr>
          <w:kern w:val="18"/>
          <w:szCs w:val="18"/>
        </w:rPr>
        <w:t xml:space="preserve"> CBD/</w:t>
      </w:r>
      <w:proofErr w:type="spellStart"/>
      <w:r w:rsidRPr="005F3D62">
        <w:rPr>
          <w:kern w:val="18"/>
          <w:szCs w:val="18"/>
        </w:rPr>
        <w:t>SBI</w:t>
      </w:r>
      <w:proofErr w:type="spellEnd"/>
      <w:r w:rsidRPr="005F3D62">
        <w:rPr>
          <w:kern w:val="18"/>
          <w:szCs w:val="18"/>
        </w:rPr>
        <w:t>/3/1.</w:t>
      </w:r>
    </w:p>
  </w:footnote>
  <w:footnote w:id="2">
    <w:p w14:paraId="6499BCB5" w14:textId="1806631F" w:rsidR="009B3807" w:rsidRPr="005F3D62" w:rsidRDefault="009B3807" w:rsidP="005F3D62">
      <w:pPr>
        <w:pStyle w:val="FootnoteText"/>
        <w:suppressLineNumbers/>
        <w:suppressAutoHyphens/>
        <w:ind w:firstLine="0"/>
        <w:jc w:val="left"/>
        <w:rPr>
          <w:kern w:val="18"/>
          <w:szCs w:val="18"/>
        </w:rPr>
      </w:pPr>
      <w:r w:rsidRPr="005F3D62">
        <w:rPr>
          <w:rStyle w:val="FootnoteReference"/>
          <w:kern w:val="18"/>
          <w:sz w:val="18"/>
          <w:szCs w:val="18"/>
        </w:rPr>
        <w:footnoteRef/>
      </w:r>
      <w:r w:rsidRPr="005F3D62">
        <w:rPr>
          <w:kern w:val="18"/>
          <w:szCs w:val="18"/>
        </w:rPr>
        <w:t xml:space="preserve"> </w:t>
      </w:r>
      <w:hyperlink r:id="rId1" w:history="1">
        <w:r w:rsidRPr="005F3D62">
          <w:rPr>
            <w:rStyle w:val="Hyperlink"/>
            <w:kern w:val="18"/>
            <w:szCs w:val="18"/>
          </w:rPr>
          <w:t>https://www.cbd.int/information/adm-fin/</w:t>
        </w:r>
      </w:hyperlink>
    </w:p>
  </w:footnote>
  <w:footnote w:id="3">
    <w:p w14:paraId="6A387164" w14:textId="63250574" w:rsidR="00C77ABF" w:rsidRPr="005F3D62" w:rsidRDefault="00C77ABF" w:rsidP="005F3D62">
      <w:pPr>
        <w:pStyle w:val="FootnoteText"/>
        <w:suppressLineNumbers/>
        <w:suppressAutoHyphens/>
        <w:ind w:firstLine="0"/>
        <w:jc w:val="left"/>
        <w:rPr>
          <w:kern w:val="18"/>
          <w:szCs w:val="18"/>
        </w:rPr>
      </w:pPr>
      <w:r w:rsidRPr="005F3D62">
        <w:rPr>
          <w:rStyle w:val="FootnoteReference"/>
          <w:kern w:val="18"/>
          <w:sz w:val="18"/>
          <w:szCs w:val="18"/>
        </w:rPr>
        <w:footnoteRef/>
      </w:r>
      <w:r w:rsidRPr="005F3D62">
        <w:rPr>
          <w:kern w:val="18"/>
          <w:szCs w:val="18"/>
        </w:rPr>
        <w:t xml:space="preserve"> </w:t>
      </w:r>
      <w:hyperlink r:id="rId2" w:history="1">
        <w:r w:rsidRPr="005F3D62">
          <w:rPr>
            <w:rStyle w:val="Hyperlink"/>
            <w:kern w:val="18"/>
            <w:szCs w:val="18"/>
          </w:rPr>
          <w:t>https://www.cbd.int/information/adm-fin/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color w:val="000000"/>
        <w:kern w:val="22"/>
      </w:rPr>
      <w:alias w:val="Subject"/>
      <w:tag w:val=""/>
      <w:id w:val="-1681427792"/>
      <w:placeholder>
        <w:docPart w:val="9919A4354EBC4BE1BA94F6627C7FA73F"/>
      </w:placeholder>
      <w:dataBinding w:prefixMappings="xmlns:ns0='http://purl.org/dc/elements/1.1/' xmlns:ns1='http://schemas.openxmlformats.org/package/2006/metadata/core-properties' " w:xpath="/ns1:coreProperties[1]/ns0:subject[1]" w:storeItemID="{6C3C8BC8-F283-45AE-878A-BAB7291924A1}"/>
      <w:text/>
    </w:sdtPr>
    <w:sdtEndPr/>
    <w:sdtContent>
      <w:p w14:paraId="31E8CB98" w14:textId="3417AAAA" w:rsidR="00B05506" w:rsidRPr="005F3D62" w:rsidRDefault="00B05506" w:rsidP="005F3D62">
        <w:pPr>
          <w:suppressLineNumbers/>
          <w:suppressAutoHyphens/>
          <w:ind w:right="7377"/>
          <w:rPr>
            <w:noProof/>
            <w:color w:val="000000"/>
            <w:kern w:val="22"/>
          </w:rPr>
        </w:pPr>
        <w:r w:rsidRPr="005F3D62">
          <w:rPr>
            <w:noProof/>
            <w:color w:val="000000"/>
            <w:kern w:val="22"/>
          </w:rPr>
          <w:t>CBD/SBI/3/17</w:t>
        </w:r>
      </w:p>
    </w:sdtContent>
  </w:sdt>
  <w:p w14:paraId="7B0E8751" w14:textId="0AFB0CAF" w:rsidR="000B75E8" w:rsidRPr="005F3D62" w:rsidRDefault="000B75E8" w:rsidP="005F3D62">
    <w:pPr>
      <w:pStyle w:val="Header"/>
      <w:suppressLineNumbers/>
      <w:tabs>
        <w:tab w:val="clear" w:pos="4320"/>
        <w:tab w:val="clear" w:pos="8640"/>
      </w:tabs>
      <w:suppressAutoHyphens/>
      <w:spacing w:after="240"/>
      <w:ind w:right="7093"/>
      <w:jc w:val="left"/>
      <w:rPr>
        <w:noProof/>
        <w:kern w:val="22"/>
      </w:rPr>
    </w:pPr>
    <w:r w:rsidRPr="005F3D62">
      <w:rPr>
        <w:noProof/>
        <w:kern w:val="22"/>
      </w:rPr>
      <w:t xml:space="preserve">Page </w:t>
    </w:r>
    <w:r w:rsidRPr="00EE1CBC">
      <w:rPr>
        <w:noProof/>
        <w:kern w:val="22"/>
      </w:rPr>
      <w:fldChar w:fldCharType="begin"/>
    </w:r>
    <w:r w:rsidRPr="005F3D62">
      <w:rPr>
        <w:noProof/>
        <w:kern w:val="22"/>
      </w:rPr>
      <w:instrText xml:space="preserve"> PAGE   \* MERGEFORMAT </w:instrText>
    </w:r>
    <w:r w:rsidRPr="00EE1CBC">
      <w:rPr>
        <w:noProof/>
        <w:kern w:val="22"/>
      </w:rPr>
      <w:fldChar w:fldCharType="separate"/>
    </w:r>
    <w:r w:rsidRPr="005F3D62">
      <w:rPr>
        <w:noProof/>
        <w:kern w:val="22"/>
      </w:rPr>
      <w:t>8</w:t>
    </w:r>
    <w:r w:rsidRPr="00EE1CBC">
      <w:rPr>
        <w:noProof/>
        <w:kern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color w:val="000000"/>
        <w:kern w:val="20"/>
      </w:rPr>
      <w:alias w:val="Subject"/>
      <w:tag w:val=""/>
      <w:id w:val="-593560817"/>
      <w:placeholder>
        <w:docPart w:val="A845CFAF5A0D4443A20DDFE7D502BA94"/>
      </w:placeholder>
      <w:dataBinding w:prefixMappings="xmlns:ns0='http://purl.org/dc/elements/1.1/' xmlns:ns1='http://schemas.openxmlformats.org/package/2006/metadata/core-properties' " w:xpath="/ns1:coreProperties[1]/ns0:subject[1]" w:storeItemID="{6C3C8BC8-F283-45AE-878A-BAB7291924A1}"/>
      <w:text/>
    </w:sdtPr>
    <w:sdtEndPr/>
    <w:sdtContent>
      <w:p w14:paraId="6E628FC7" w14:textId="77777777" w:rsidR="00B05506" w:rsidRPr="005F3D62" w:rsidRDefault="00B05506" w:rsidP="005F3D62">
        <w:pPr>
          <w:suppressLineNumbers/>
          <w:suppressAutoHyphens/>
          <w:ind w:right="4"/>
          <w:jc w:val="right"/>
          <w:rPr>
            <w:noProof/>
            <w:color w:val="000000"/>
            <w:kern w:val="20"/>
          </w:rPr>
        </w:pPr>
        <w:r w:rsidRPr="005F3D62">
          <w:rPr>
            <w:noProof/>
            <w:color w:val="000000"/>
            <w:kern w:val="20"/>
          </w:rPr>
          <w:t>CBD/SBI/3/17</w:t>
        </w:r>
      </w:p>
    </w:sdtContent>
  </w:sdt>
  <w:p w14:paraId="750FF8AC" w14:textId="566930B5" w:rsidR="000B75E8" w:rsidRPr="005F3D62" w:rsidRDefault="00B05506" w:rsidP="005F3D62">
    <w:pPr>
      <w:pStyle w:val="Header"/>
      <w:suppressLineNumbers/>
      <w:tabs>
        <w:tab w:val="clear" w:pos="4320"/>
        <w:tab w:val="clear" w:pos="8640"/>
      </w:tabs>
      <w:suppressAutoHyphens/>
      <w:spacing w:after="240"/>
      <w:ind w:right="6"/>
      <w:jc w:val="right"/>
      <w:rPr>
        <w:noProof/>
        <w:kern w:val="22"/>
      </w:rPr>
    </w:pPr>
    <w:r w:rsidRPr="005F3D62">
      <w:rPr>
        <w:noProof/>
        <w:kern w:val="22"/>
      </w:rPr>
      <w:t xml:space="preserve">Page </w:t>
    </w:r>
    <w:r w:rsidRPr="00EE1CBC">
      <w:rPr>
        <w:noProof/>
        <w:kern w:val="22"/>
      </w:rPr>
      <w:fldChar w:fldCharType="begin"/>
    </w:r>
    <w:r w:rsidRPr="005F3D62">
      <w:rPr>
        <w:noProof/>
        <w:kern w:val="22"/>
      </w:rPr>
      <w:instrText xml:space="preserve"> PAGE   \* MERGEFORMAT </w:instrText>
    </w:r>
    <w:r w:rsidRPr="00EE1CBC">
      <w:rPr>
        <w:noProof/>
        <w:kern w:val="22"/>
      </w:rPr>
      <w:fldChar w:fldCharType="separate"/>
    </w:r>
    <w:r w:rsidRPr="00EE1CBC">
      <w:rPr>
        <w:noProof/>
        <w:kern w:val="22"/>
      </w:rPr>
      <w:t>2</w:t>
    </w:r>
    <w:r w:rsidRPr="00EE1CBC">
      <w:rPr>
        <w:noProof/>
        <w:kern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53396"/>
    <w:multiLevelType w:val="hybridMultilevel"/>
    <w:tmpl w:val="72D843A8"/>
    <w:lvl w:ilvl="0" w:tplc="E9BA1F98">
      <w:start w:val="1"/>
      <w:numFmt w:val="upperRoman"/>
      <w:lvlText w:val="%1."/>
      <w:lvlJc w:val="left"/>
      <w:pPr>
        <w:ind w:left="1080" w:hanging="720"/>
      </w:pPr>
      <w:rPr>
        <w:rFonts w:hint="default"/>
        <w:b/>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27E3E3A"/>
    <w:multiLevelType w:val="hybridMultilevel"/>
    <w:tmpl w:val="E80CC72C"/>
    <w:lvl w:ilvl="0" w:tplc="366E62FE">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52504EF"/>
    <w:multiLevelType w:val="hybridMultilevel"/>
    <w:tmpl w:val="63867624"/>
    <w:lvl w:ilvl="0" w:tplc="A1EED66C">
      <w:start w:val="1"/>
      <w:numFmt w:val="decimal"/>
      <w:lvlText w:val="%1."/>
      <w:lvlJc w:val="left"/>
      <w:pPr>
        <w:ind w:left="720" w:hanging="360"/>
      </w:pPr>
      <w:rPr>
        <w:rFonts w:ascii="Times New Roman" w:hAnsi="Times New Roman"/>
        <w:b w:val="0"/>
        <w:bCs w:val="0"/>
        <w:i w:val="0"/>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46B132F"/>
    <w:multiLevelType w:val="hybridMultilevel"/>
    <w:tmpl w:val="30BAA3BE"/>
    <w:lvl w:ilvl="0" w:tplc="CE0E80CE">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15:restartNumberingAfterBreak="0">
    <w:nsid w:val="4617158B"/>
    <w:multiLevelType w:val="hybridMultilevel"/>
    <w:tmpl w:val="2DAEBC5C"/>
    <w:lvl w:ilvl="0" w:tplc="945E66FE">
      <w:start w:val="1"/>
      <w:numFmt w:val="upperLetter"/>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6463234"/>
    <w:multiLevelType w:val="hybridMultilevel"/>
    <w:tmpl w:val="E80CC72C"/>
    <w:lvl w:ilvl="0" w:tplc="366E62FE">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5D635B69"/>
    <w:multiLevelType w:val="hybridMultilevel"/>
    <w:tmpl w:val="5DAA9CAE"/>
    <w:lvl w:ilvl="0" w:tplc="4B8A81F2">
      <w:start w:val="1"/>
      <w:numFmt w:val="decimal"/>
      <w:lvlText w:val="%1."/>
      <w:lvlJc w:val="left"/>
      <w:pPr>
        <w:ind w:left="720" w:hanging="360"/>
      </w:pPr>
      <w:rPr>
        <w:rFonts w:hint="default"/>
        <w:i w:val="0"/>
        <w:i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6546C68"/>
    <w:multiLevelType w:val="hybridMultilevel"/>
    <w:tmpl w:val="4C76AE36"/>
    <w:lvl w:ilvl="0" w:tplc="ECF65FCE">
      <w:start w:val="1"/>
      <w:numFmt w:val="upperLetter"/>
      <w:lvlText w:val="%1."/>
      <w:lvlJc w:val="left"/>
      <w:pPr>
        <w:ind w:left="720" w:hanging="360"/>
      </w:pPr>
      <w:rPr>
        <w:rFonts w:hint="default"/>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5"/>
  </w:num>
  <w:num w:numId="4">
    <w:abstractNumId w:val="6"/>
  </w:num>
  <w:num w:numId="5">
    <w:abstractNumId w:val="3"/>
  </w:num>
  <w:num w:numId="6">
    <w:abstractNumId w:val="0"/>
  </w:num>
  <w:num w:numId="7">
    <w:abstractNumId w:val="11"/>
  </w:num>
  <w:num w:numId="8">
    <w:abstractNumId w:val="4"/>
  </w:num>
  <w:num w:numId="9">
    <w:abstractNumId w:val="8"/>
  </w:num>
  <w:num w:numId="10">
    <w:abstractNumId w:val="7"/>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4"/>
  <w:proofState w:spelling="clean" w:grammar="clean"/>
  <w:revisionView w:markup="0"/>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DA8"/>
    <w:rsid w:val="00003B4B"/>
    <w:rsid w:val="00010F9E"/>
    <w:rsid w:val="00012CB4"/>
    <w:rsid w:val="00027006"/>
    <w:rsid w:val="00037A93"/>
    <w:rsid w:val="00067859"/>
    <w:rsid w:val="00074C3E"/>
    <w:rsid w:val="000B5F9A"/>
    <w:rsid w:val="000B75E8"/>
    <w:rsid w:val="000D135A"/>
    <w:rsid w:val="000D2893"/>
    <w:rsid w:val="000D3DF0"/>
    <w:rsid w:val="000D4DA8"/>
    <w:rsid w:val="000E5816"/>
    <w:rsid w:val="000F7DEB"/>
    <w:rsid w:val="00114FC6"/>
    <w:rsid w:val="00124EF4"/>
    <w:rsid w:val="00144F09"/>
    <w:rsid w:val="00154BE4"/>
    <w:rsid w:val="00165403"/>
    <w:rsid w:val="001677E5"/>
    <w:rsid w:val="00181F71"/>
    <w:rsid w:val="0019688E"/>
    <w:rsid w:val="001A39FB"/>
    <w:rsid w:val="001A7AF0"/>
    <w:rsid w:val="001D04B0"/>
    <w:rsid w:val="001D5E6D"/>
    <w:rsid w:val="0022378E"/>
    <w:rsid w:val="00226147"/>
    <w:rsid w:val="00226422"/>
    <w:rsid w:val="00231C6F"/>
    <w:rsid w:val="00234F59"/>
    <w:rsid w:val="002441CE"/>
    <w:rsid w:val="002544C5"/>
    <w:rsid w:val="00261BCA"/>
    <w:rsid w:val="002622C3"/>
    <w:rsid w:val="0028207C"/>
    <w:rsid w:val="0028753A"/>
    <w:rsid w:val="00295090"/>
    <w:rsid w:val="00296978"/>
    <w:rsid w:val="002C58CE"/>
    <w:rsid w:val="002C68B5"/>
    <w:rsid w:val="002C6982"/>
    <w:rsid w:val="002D40F5"/>
    <w:rsid w:val="002D4729"/>
    <w:rsid w:val="002E4E13"/>
    <w:rsid w:val="002E67F3"/>
    <w:rsid w:val="002F0053"/>
    <w:rsid w:val="002F7E27"/>
    <w:rsid w:val="0030153C"/>
    <w:rsid w:val="003156E1"/>
    <w:rsid w:val="00330E72"/>
    <w:rsid w:val="0033457A"/>
    <w:rsid w:val="00336909"/>
    <w:rsid w:val="00343DDC"/>
    <w:rsid w:val="003513AD"/>
    <w:rsid w:val="003627BD"/>
    <w:rsid w:val="0037189B"/>
    <w:rsid w:val="00372AF8"/>
    <w:rsid w:val="00373117"/>
    <w:rsid w:val="00373358"/>
    <w:rsid w:val="00374241"/>
    <w:rsid w:val="003833A0"/>
    <w:rsid w:val="003839D4"/>
    <w:rsid w:val="00387F2D"/>
    <w:rsid w:val="003A3C32"/>
    <w:rsid w:val="003A518E"/>
    <w:rsid w:val="003B0AAD"/>
    <w:rsid w:val="003C2E4A"/>
    <w:rsid w:val="003C6D75"/>
    <w:rsid w:val="003E560C"/>
    <w:rsid w:val="003F2CEE"/>
    <w:rsid w:val="0040055C"/>
    <w:rsid w:val="00401E63"/>
    <w:rsid w:val="00410043"/>
    <w:rsid w:val="00411226"/>
    <w:rsid w:val="00415407"/>
    <w:rsid w:val="0042025B"/>
    <w:rsid w:val="00442446"/>
    <w:rsid w:val="0044473A"/>
    <w:rsid w:val="00454509"/>
    <w:rsid w:val="00460ACB"/>
    <w:rsid w:val="0048360F"/>
    <w:rsid w:val="00490865"/>
    <w:rsid w:val="00497128"/>
    <w:rsid w:val="0049747E"/>
    <w:rsid w:val="00497E0D"/>
    <w:rsid w:val="004A7334"/>
    <w:rsid w:val="004B6A85"/>
    <w:rsid w:val="004B6D0E"/>
    <w:rsid w:val="004B7007"/>
    <w:rsid w:val="004C59AA"/>
    <w:rsid w:val="004D7A10"/>
    <w:rsid w:val="004E0530"/>
    <w:rsid w:val="004E3EFD"/>
    <w:rsid w:val="00502BE1"/>
    <w:rsid w:val="00507067"/>
    <w:rsid w:val="005122C0"/>
    <w:rsid w:val="00520807"/>
    <w:rsid w:val="00525B71"/>
    <w:rsid w:val="005265BF"/>
    <w:rsid w:val="00530DBD"/>
    <w:rsid w:val="00530F49"/>
    <w:rsid w:val="00561533"/>
    <w:rsid w:val="00563EAE"/>
    <w:rsid w:val="00564084"/>
    <w:rsid w:val="005B0190"/>
    <w:rsid w:val="005B17D9"/>
    <w:rsid w:val="005B56A5"/>
    <w:rsid w:val="005C177D"/>
    <w:rsid w:val="005C74C3"/>
    <w:rsid w:val="005D2ABC"/>
    <w:rsid w:val="005D5152"/>
    <w:rsid w:val="005E75DD"/>
    <w:rsid w:val="005F3D62"/>
    <w:rsid w:val="005F6437"/>
    <w:rsid w:val="006015BD"/>
    <w:rsid w:val="00622086"/>
    <w:rsid w:val="006408E4"/>
    <w:rsid w:val="00642044"/>
    <w:rsid w:val="006427F5"/>
    <w:rsid w:val="00665A4F"/>
    <w:rsid w:val="006718EE"/>
    <w:rsid w:val="00672672"/>
    <w:rsid w:val="0068168A"/>
    <w:rsid w:val="00684129"/>
    <w:rsid w:val="00686F70"/>
    <w:rsid w:val="00693AB2"/>
    <w:rsid w:val="006C6BA4"/>
    <w:rsid w:val="006D2C80"/>
    <w:rsid w:val="006E3A48"/>
    <w:rsid w:val="006E4777"/>
    <w:rsid w:val="006E65D5"/>
    <w:rsid w:val="006F2842"/>
    <w:rsid w:val="00706223"/>
    <w:rsid w:val="00721123"/>
    <w:rsid w:val="00733DE3"/>
    <w:rsid w:val="00745F49"/>
    <w:rsid w:val="0076060F"/>
    <w:rsid w:val="00776E11"/>
    <w:rsid w:val="00786EC4"/>
    <w:rsid w:val="007907BC"/>
    <w:rsid w:val="007A565B"/>
    <w:rsid w:val="007B2732"/>
    <w:rsid w:val="007D348B"/>
    <w:rsid w:val="007E3C7A"/>
    <w:rsid w:val="007E586E"/>
    <w:rsid w:val="00806A63"/>
    <w:rsid w:val="00807594"/>
    <w:rsid w:val="00813626"/>
    <w:rsid w:val="008159E3"/>
    <w:rsid w:val="008177F5"/>
    <w:rsid w:val="008366CC"/>
    <w:rsid w:val="00842951"/>
    <w:rsid w:val="00843E1A"/>
    <w:rsid w:val="00852422"/>
    <w:rsid w:val="00864F92"/>
    <w:rsid w:val="00883335"/>
    <w:rsid w:val="008859D9"/>
    <w:rsid w:val="008A6393"/>
    <w:rsid w:val="008B351A"/>
    <w:rsid w:val="008B72EF"/>
    <w:rsid w:val="008E3745"/>
    <w:rsid w:val="0092058A"/>
    <w:rsid w:val="00946815"/>
    <w:rsid w:val="00964E40"/>
    <w:rsid w:val="00965FCE"/>
    <w:rsid w:val="00970CFF"/>
    <w:rsid w:val="009730B6"/>
    <w:rsid w:val="0097624C"/>
    <w:rsid w:val="00977495"/>
    <w:rsid w:val="00980EA2"/>
    <w:rsid w:val="00981AE4"/>
    <w:rsid w:val="00991111"/>
    <w:rsid w:val="00991227"/>
    <w:rsid w:val="00992F02"/>
    <w:rsid w:val="00995BCE"/>
    <w:rsid w:val="009A385F"/>
    <w:rsid w:val="009B3807"/>
    <w:rsid w:val="009B43D9"/>
    <w:rsid w:val="009B6F39"/>
    <w:rsid w:val="009D000A"/>
    <w:rsid w:val="009D23C9"/>
    <w:rsid w:val="009D3361"/>
    <w:rsid w:val="009E08E6"/>
    <w:rsid w:val="009E42DC"/>
    <w:rsid w:val="009F07B4"/>
    <w:rsid w:val="009F3B71"/>
    <w:rsid w:val="009F7A6A"/>
    <w:rsid w:val="00A048F6"/>
    <w:rsid w:val="00A04EF0"/>
    <w:rsid w:val="00A1205B"/>
    <w:rsid w:val="00A12C0E"/>
    <w:rsid w:val="00A15D6D"/>
    <w:rsid w:val="00A2104C"/>
    <w:rsid w:val="00A21143"/>
    <w:rsid w:val="00A21862"/>
    <w:rsid w:val="00A250E8"/>
    <w:rsid w:val="00A34FA1"/>
    <w:rsid w:val="00A35523"/>
    <w:rsid w:val="00A40935"/>
    <w:rsid w:val="00A4334E"/>
    <w:rsid w:val="00A52A3D"/>
    <w:rsid w:val="00A53285"/>
    <w:rsid w:val="00A53D60"/>
    <w:rsid w:val="00A540CF"/>
    <w:rsid w:val="00A56C6E"/>
    <w:rsid w:val="00A714DC"/>
    <w:rsid w:val="00A80B9A"/>
    <w:rsid w:val="00A85C60"/>
    <w:rsid w:val="00A85DE9"/>
    <w:rsid w:val="00A91DBB"/>
    <w:rsid w:val="00AB1A92"/>
    <w:rsid w:val="00AC7EC0"/>
    <w:rsid w:val="00AD0210"/>
    <w:rsid w:val="00AE0529"/>
    <w:rsid w:val="00AE5930"/>
    <w:rsid w:val="00AF211E"/>
    <w:rsid w:val="00B01FC7"/>
    <w:rsid w:val="00B05506"/>
    <w:rsid w:val="00B065AC"/>
    <w:rsid w:val="00B07594"/>
    <w:rsid w:val="00B12759"/>
    <w:rsid w:val="00B15BEE"/>
    <w:rsid w:val="00B22746"/>
    <w:rsid w:val="00B43012"/>
    <w:rsid w:val="00B51BA9"/>
    <w:rsid w:val="00B766C6"/>
    <w:rsid w:val="00B771D4"/>
    <w:rsid w:val="00B969C5"/>
    <w:rsid w:val="00B9729E"/>
    <w:rsid w:val="00BA02CA"/>
    <w:rsid w:val="00BB277C"/>
    <w:rsid w:val="00BD06C6"/>
    <w:rsid w:val="00BD4CF6"/>
    <w:rsid w:val="00BE1624"/>
    <w:rsid w:val="00C00317"/>
    <w:rsid w:val="00C1003E"/>
    <w:rsid w:val="00C1351C"/>
    <w:rsid w:val="00C13808"/>
    <w:rsid w:val="00C20735"/>
    <w:rsid w:val="00C2659A"/>
    <w:rsid w:val="00C27E04"/>
    <w:rsid w:val="00C34343"/>
    <w:rsid w:val="00C3653D"/>
    <w:rsid w:val="00C37264"/>
    <w:rsid w:val="00C4034E"/>
    <w:rsid w:val="00C47561"/>
    <w:rsid w:val="00C509EF"/>
    <w:rsid w:val="00C5494B"/>
    <w:rsid w:val="00C633DB"/>
    <w:rsid w:val="00C645CF"/>
    <w:rsid w:val="00C75092"/>
    <w:rsid w:val="00C77ABF"/>
    <w:rsid w:val="00C8471E"/>
    <w:rsid w:val="00C86470"/>
    <w:rsid w:val="00CA38D0"/>
    <w:rsid w:val="00CE3D18"/>
    <w:rsid w:val="00CE68D4"/>
    <w:rsid w:val="00CF1FFC"/>
    <w:rsid w:val="00CF210A"/>
    <w:rsid w:val="00CF3295"/>
    <w:rsid w:val="00D1057A"/>
    <w:rsid w:val="00D237A9"/>
    <w:rsid w:val="00D33196"/>
    <w:rsid w:val="00D35D32"/>
    <w:rsid w:val="00D36E57"/>
    <w:rsid w:val="00D37ACA"/>
    <w:rsid w:val="00D40149"/>
    <w:rsid w:val="00D50DBD"/>
    <w:rsid w:val="00D51CEA"/>
    <w:rsid w:val="00D63FEE"/>
    <w:rsid w:val="00D65CF7"/>
    <w:rsid w:val="00D76083"/>
    <w:rsid w:val="00D8677F"/>
    <w:rsid w:val="00D86AD6"/>
    <w:rsid w:val="00D903C6"/>
    <w:rsid w:val="00D94DE2"/>
    <w:rsid w:val="00DB5AC2"/>
    <w:rsid w:val="00DD7D05"/>
    <w:rsid w:val="00E30857"/>
    <w:rsid w:val="00E63926"/>
    <w:rsid w:val="00E67628"/>
    <w:rsid w:val="00E709C2"/>
    <w:rsid w:val="00E77A10"/>
    <w:rsid w:val="00E967E1"/>
    <w:rsid w:val="00EA4C3D"/>
    <w:rsid w:val="00EB4B32"/>
    <w:rsid w:val="00EC1A90"/>
    <w:rsid w:val="00EC2F29"/>
    <w:rsid w:val="00EE1CBC"/>
    <w:rsid w:val="00EE728F"/>
    <w:rsid w:val="00F05BE0"/>
    <w:rsid w:val="00F201AC"/>
    <w:rsid w:val="00F358E3"/>
    <w:rsid w:val="00F64F01"/>
    <w:rsid w:val="00F65695"/>
    <w:rsid w:val="00F859CF"/>
    <w:rsid w:val="00F92322"/>
    <w:rsid w:val="00F940FD"/>
    <w:rsid w:val="00F942FA"/>
    <w:rsid w:val="00FA5F3F"/>
    <w:rsid w:val="00FB36D1"/>
    <w:rsid w:val="00FE4205"/>
    <w:rsid w:val="00FE4BA0"/>
    <w:rsid w:val="00FE7FF1"/>
    <w:rsid w:val="00FF3068"/>
    <w:rsid w:val="00FF4748"/>
    <w:rsid w:val="00FF7DE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B168E"/>
  <w15:chartTrackingRefBased/>
  <w15:docId w15:val="{DF5A8DD9-FAF3-4AED-86B1-D5F1A18E9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672"/>
    <w:pPr>
      <w:jc w:val="both"/>
    </w:pPr>
    <w:rPr>
      <w:rFonts w:ascii="Times New Roman" w:eastAsia="Times New Roman" w:hAnsi="Times New Roman"/>
      <w:sz w:val="22"/>
      <w:szCs w:val="24"/>
      <w:lang w:val="en-GB" w:eastAsia="en-US"/>
    </w:rPr>
  </w:style>
  <w:style w:type="paragraph" w:styleId="Heading1">
    <w:name w:val="heading 1"/>
    <w:basedOn w:val="Normal"/>
    <w:next w:val="Heading2"/>
    <w:link w:val="Heading1Char"/>
    <w:qFormat/>
    <w:rsid w:val="00672672"/>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72672"/>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672672"/>
    <w:pPr>
      <w:keepNext/>
      <w:tabs>
        <w:tab w:val="left" w:pos="567"/>
      </w:tabs>
      <w:spacing w:before="120" w:after="120"/>
      <w:jc w:val="center"/>
      <w:outlineLvl w:val="2"/>
    </w:pPr>
    <w:rPr>
      <w:i/>
      <w:iCs/>
    </w:rPr>
  </w:style>
  <w:style w:type="paragraph" w:styleId="Heading4">
    <w:name w:val="heading 4"/>
    <w:basedOn w:val="Normal"/>
    <w:link w:val="Heading4Char"/>
    <w:qFormat/>
    <w:rsid w:val="00672672"/>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672672"/>
    <w:pPr>
      <w:keepNext/>
      <w:numPr>
        <w:ilvl w:val="4"/>
        <w:numId w:val="8"/>
      </w:numPr>
      <w:spacing w:before="120" w:after="120"/>
      <w:jc w:val="left"/>
      <w:outlineLvl w:val="4"/>
    </w:pPr>
    <w:rPr>
      <w:bCs/>
      <w:i/>
      <w:szCs w:val="26"/>
      <w:lang w:val="en-CA"/>
    </w:rPr>
  </w:style>
  <w:style w:type="paragraph" w:styleId="Heading6">
    <w:name w:val="heading 6"/>
    <w:basedOn w:val="Normal"/>
    <w:next w:val="Normal"/>
    <w:link w:val="Heading6Char"/>
    <w:qFormat/>
    <w:rsid w:val="00672672"/>
    <w:pPr>
      <w:keepNext/>
      <w:spacing w:after="240" w:line="240" w:lineRule="exact"/>
      <w:ind w:left="720"/>
      <w:outlineLvl w:val="5"/>
    </w:pPr>
    <w:rPr>
      <w:u w:val="single"/>
    </w:rPr>
  </w:style>
  <w:style w:type="paragraph" w:styleId="Heading7">
    <w:name w:val="heading 7"/>
    <w:basedOn w:val="Normal"/>
    <w:next w:val="Normal"/>
    <w:link w:val="Heading7Char"/>
    <w:rsid w:val="00672672"/>
    <w:pPr>
      <w:keepNext/>
      <w:jc w:val="right"/>
      <w:outlineLvl w:val="6"/>
    </w:pPr>
    <w:rPr>
      <w:rFonts w:ascii="Univers" w:hAnsi="Univers"/>
      <w:b/>
      <w:sz w:val="28"/>
    </w:rPr>
  </w:style>
  <w:style w:type="paragraph" w:styleId="Heading8">
    <w:name w:val="heading 8"/>
    <w:basedOn w:val="Normal"/>
    <w:next w:val="Normal"/>
    <w:link w:val="Heading8Char"/>
    <w:qFormat/>
    <w:rsid w:val="00672672"/>
    <w:pPr>
      <w:keepNext/>
      <w:jc w:val="right"/>
      <w:outlineLvl w:val="7"/>
    </w:pPr>
    <w:rPr>
      <w:rFonts w:ascii="Univers" w:hAnsi="Univers"/>
      <w:b/>
      <w:sz w:val="32"/>
    </w:rPr>
  </w:style>
  <w:style w:type="paragraph" w:styleId="Heading9">
    <w:name w:val="heading 9"/>
    <w:basedOn w:val="Normal"/>
    <w:next w:val="Normal"/>
    <w:link w:val="Heading9Char"/>
    <w:rsid w:val="00672672"/>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2672"/>
    <w:rPr>
      <w:rFonts w:ascii="Times New Roman" w:eastAsia="Times New Roman" w:hAnsi="Times New Roman"/>
      <w:b/>
      <w:caps/>
      <w:sz w:val="22"/>
      <w:szCs w:val="24"/>
      <w:lang w:val="en-GB" w:eastAsia="en-US"/>
    </w:rPr>
  </w:style>
  <w:style w:type="paragraph" w:styleId="ListParagraph">
    <w:name w:val="List Paragraph"/>
    <w:basedOn w:val="Normal"/>
    <w:uiPriority w:val="34"/>
    <w:qFormat/>
    <w:rsid w:val="00672672"/>
    <w:pPr>
      <w:ind w:left="720"/>
      <w:contextualSpacing/>
    </w:pPr>
  </w:style>
  <w:style w:type="character" w:styleId="CommentReference">
    <w:name w:val="annotation reference"/>
    <w:semiHidden/>
    <w:rsid w:val="00672672"/>
    <w:rPr>
      <w:sz w:val="16"/>
    </w:rPr>
  </w:style>
  <w:style w:type="paragraph" w:styleId="CommentText">
    <w:name w:val="annotation text"/>
    <w:basedOn w:val="Normal"/>
    <w:link w:val="CommentTextChar"/>
    <w:semiHidden/>
    <w:rsid w:val="00672672"/>
    <w:pPr>
      <w:spacing w:after="120" w:line="240" w:lineRule="exact"/>
    </w:pPr>
  </w:style>
  <w:style w:type="character" w:customStyle="1" w:styleId="CommentTextChar">
    <w:name w:val="Comment Text Char"/>
    <w:basedOn w:val="DefaultParagraphFont"/>
    <w:link w:val="CommentText"/>
    <w:semiHidden/>
    <w:rsid w:val="00672672"/>
    <w:rPr>
      <w:rFonts w:ascii="Times New Roman" w:eastAsia="Times New Roman" w:hAnsi="Times New Roman"/>
      <w:sz w:val="22"/>
      <w:szCs w:val="24"/>
      <w:lang w:val="en-GB" w:eastAsia="en-US"/>
    </w:rPr>
  </w:style>
  <w:style w:type="table" w:styleId="TableGrid">
    <w:name w:val="Table Grid"/>
    <w:basedOn w:val="TableNormal"/>
    <w:uiPriority w:val="59"/>
    <w:rsid w:val="00672672"/>
    <w:rPr>
      <w:rFonts w:asciiTheme="minorHAnsi" w:eastAsiaTheme="minorEastAsia" w:hAnsiTheme="minorHAnsi" w:cstheme="minorBidi"/>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72672"/>
    <w:pPr>
      <w:tabs>
        <w:tab w:val="center" w:pos="4320"/>
        <w:tab w:val="right" w:pos="8640"/>
      </w:tabs>
    </w:pPr>
  </w:style>
  <w:style w:type="character" w:customStyle="1" w:styleId="HeaderChar">
    <w:name w:val="Header Char"/>
    <w:basedOn w:val="DefaultParagraphFont"/>
    <w:link w:val="Header"/>
    <w:rsid w:val="00672672"/>
    <w:rPr>
      <w:rFonts w:ascii="Times New Roman" w:eastAsia="Times New Roman" w:hAnsi="Times New Roman"/>
      <w:sz w:val="22"/>
      <w:szCs w:val="24"/>
      <w:lang w:val="en-GB" w:eastAsia="en-US"/>
    </w:rPr>
  </w:style>
  <w:style w:type="character" w:styleId="Hyperlink">
    <w:name w:val="Hyperlink"/>
    <w:rsid w:val="00672672"/>
    <w:rPr>
      <w:color w:val="0000FF"/>
      <w:sz w:val="18"/>
      <w:u w:val="single"/>
    </w:rPr>
  </w:style>
  <w:style w:type="paragraph" w:customStyle="1" w:styleId="Style1">
    <w:name w:val="Style1"/>
    <w:basedOn w:val="Heading2"/>
    <w:qFormat/>
    <w:rsid w:val="00672672"/>
    <w:rPr>
      <w:i/>
    </w:rPr>
  </w:style>
  <w:style w:type="table" w:customStyle="1" w:styleId="TableGrid1">
    <w:name w:val="Table Grid1"/>
    <w:basedOn w:val="TableNormal"/>
    <w:next w:val="TableGrid"/>
    <w:uiPriority w:val="59"/>
    <w:rsid w:val="000D4DA8"/>
    <w:rPr>
      <w:rFonts w:eastAsia="Yu Mincho"/>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6Colorful">
    <w:name w:val="List Table 6 Colorful"/>
    <w:basedOn w:val="TableNormal"/>
    <w:uiPriority w:val="51"/>
    <w:rsid w:val="000D4DA8"/>
    <w:rPr>
      <w:rFonts w:eastAsia="Yu Mincho"/>
      <w:color w:val="000000"/>
      <w:sz w:val="24"/>
      <w:szCs w:val="24"/>
      <w:lang w:val="fr-CA" w:eastAsia="en-US"/>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paragraph">
    <w:name w:val="paragraph"/>
    <w:basedOn w:val="Normal"/>
    <w:rsid w:val="000D4DA8"/>
    <w:pPr>
      <w:spacing w:before="100" w:beforeAutospacing="1" w:after="100" w:afterAutospacing="1"/>
    </w:pPr>
    <w:rPr>
      <w:sz w:val="24"/>
      <w:lang w:eastAsia="fr-FR"/>
    </w:rPr>
  </w:style>
  <w:style w:type="character" w:customStyle="1" w:styleId="normaltextrun">
    <w:name w:val="normaltextrun"/>
    <w:rsid w:val="000D4DA8"/>
  </w:style>
  <w:style w:type="character" w:customStyle="1" w:styleId="Heading2Char">
    <w:name w:val="Heading 2 Char"/>
    <w:basedOn w:val="DefaultParagraphFont"/>
    <w:link w:val="Heading2"/>
    <w:rsid w:val="00672672"/>
    <w:rPr>
      <w:rFonts w:ascii="Times New Roman" w:eastAsia="Times New Roman" w:hAnsi="Times New Roman"/>
      <w:b/>
      <w:bCs/>
      <w:iCs/>
      <w:sz w:val="22"/>
      <w:szCs w:val="24"/>
      <w:lang w:val="en-GB" w:eastAsia="en-US"/>
    </w:rPr>
  </w:style>
  <w:style w:type="paragraph" w:styleId="BalloonText">
    <w:name w:val="Balloon Text"/>
    <w:basedOn w:val="Normal"/>
    <w:link w:val="BalloonTextChar"/>
    <w:uiPriority w:val="99"/>
    <w:semiHidden/>
    <w:unhideWhenUsed/>
    <w:rsid w:val="006726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2672"/>
    <w:rPr>
      <w:rFonts w:ascii="Lucida Grande" w:eastAsia="Times New Roman" w:hAnsi="Lucida Grande" w:cs="Lucida Grande"/>
      <w:sz w:val="18"/>
      <w:szCs w:val="18"/>
      <w:lang w:val="en-GB" w:eastAsia="en-US"/>
    </w:rPr>
  </w:style>
  <w:style w:type="paragraph" w:styleId="FootnoteText">
    <w:name w:val="footnote text"/>
    <w:basedOn w:val="Normal"/>
    <w:link w:val="FootnoteTextChar"/>
    <w:rsid w:val="00672672"/>
    <w:pPr>
      <w:keepLines/>
      <w:spacing w:after="60"/>
      <w:ind w:firstLine="720"/>
    </w:pPr>
    <w:rPr>
      <w:sz w:val="18"/>
    </w:rPr>
  </w:style>
  <w:style w:type="character" w:customStyle="1" w:styleId="FootnoteTextChar">
    <w:name w:val="Footnote Text Char"/>
    <w:basedOn w:val="DefaultParagraphFont"/>
    <w:link w:val="FootnoteText"/>
    <w:rsid w:val="00672672"/>
    <w:rPr>
      <w:rFonts w:ascii="Times New Roman" w:eastAsia="Times New Roman" w:hAnsi="Times New Roman"/>
      <w:sz w:val="18"/>
      <w:szCs w:val="24"/>
      <w:lang w:val="en-GB" w:eastAsia="en-US"/>
    </w:rPr>
  </w:style>
  <w:style w:type="character" w:styleId="FootnoteReference">
    <w:name w:val="footnote reference"/>
    <w:link w:val="BVIfnrChar"/>
    <w:rsid w:val="00672672"/>
    <w:rPr>
      <w:sz w:val="22"/>
      <w:u w:val="none"/>
      <w:vertAlign w:val="superscript"/>
    </w:rPr>
  </w:style>
  <w:style w:type="table" w:customStyle="1" w:styleId="TableGrid2">
    <w:name w:val="Table Grid2"/>
    <w:basedOn w:val="TableNormal"/>
    <w:next w:val="TableGrid"/>
    <w:uiPriority w:val="59"/>
    <w:rsid w:val="00490865"/>
    <w:rPr>
      <w:rFonts w:eastAsia="DengXian" w:cs="Arial"/>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490865"/>
    <w:rPr>
      <w:rFonts w:eastAsia="DengXian" w:cs="Arial"/>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rsid w:val="00490865"/>
    <w:pPr>
      <w:spacing w:after="160" w:line="240" w:lineRule="exact"/>
    </w:pPr>
    <w:rPr>
      <w:rFonts w:ascii="Calibri" w:eastAsia="Calibri" w:hAnsi="Calibri"/>
      <w:szCs w:val="20"/>
      <w:vertAlign w:val="superscript"/>
      <w:lang w:val="en-CA" w:eastAsia="en-CA"/>
    </w:rPr>
  </w:style>
  <w:style w:type="character" w:styleId="PlaceholderText">
    <w:name w:val="Placeholder Text"/>
    <w:basedOn w:val="DefaultParagraphFont"/>
    <w:uiPriority w:val="99"/>
    <w:semiHidden/>
    <w:rsid w:val="00672672"/>
    <w:rPr>
      <w:color w:val="808080"/>
    </w:rPr>
  </w:style>
  <w:style w:type="paragraph" w:styleId="Footer">
    <w:name w:val="footer"/>
    <w:basedOn w:val="Normal"/>
    <w:link w:val="FooterChar"/>
    <w:rsid w:val="00672672"/>
    <w:pPr>
      <w:tabs>
        <w:tab w:val="center" w:pos="4320"/>
        <w:tab w:val="right" w:pos="8640"/>
      </w:tabs>
      <w:ind w:firstLine="720"/>
      <w:jc w:val="right"/>
    </w:pPr>
  </w:style>
  <w:style w:type="character" w:customStyle="1" w:styleId="FooterChar">
    <w:name w:val="Footer Char"/>
    <w:basedOn w:val="DefaultParagraphFont"/>
    <w:link w:val="Footer"/>
    <w:rsid w:val="00672672"/>
    <w:rPr>
      <w:rFonts w:ascii="Times New Roman" w:eastAsia="Times New Roman" w:hAnsi="Times New Roman"/>
      <w:sz w:val="22"/>
      <w:szCs w:val="24"/>
      <w:lang w:val="en-GB" w:eastAsia="en-US"/>
    </w:rPr>
  </w:style>
  <w:style w:type="character" w:styleId="UnresolvedMention">
    <w:name w:val="Unresolved Mention"/>
    <w:basedOn w:val="DefaultParagraphFont"/>
    <w:uiPriority w:val="99"/>
    <w:semiHidden/>
    <w:unhideWhenUsed/>
    <w:rsid w:val="00AB1A92"/>
    <w:rPr>
      <w:color w:val="605E5C"/>
      <w:shd w:val="clear" w:color="auto" w:fill="E1DFDD"/>
    </w:rPr>
  </w:style>
  <w:style w:type="paragraph" w:styleId="BodyText">
    <w:name w:val="Body Text"/>
    <w:basedOn w:val="Normal"/>
    <w:link w:val="BodyTextChar"/>
    <w:rsid w:val="00672672"/>
    <w:pPr>
      <w:spacing w:before="120" w:after="120"/>
      <w:ind w:firstLine="720"/>
    </w:pPr>
    <w:rPr>
      <w:iCs/>
    </w:rPr>
  </w:style>
  <w:style w:type="character" w:customStyle="1" w:styleId="BodyTextChar">
    <w:name w:val="Body Text Char"/>
    <w:basedOn w:val="DefaultParagraphFont"/>
    <w:link w:val="BodyText"/>
    <w:rsid w:val="00672672"/>
    <w:rPr>
      <w:rFonts w:ascii="Times New Roman" w:eastAsia="Times New Roman" w:hAnsi="Times New Roman"/>
      <w:iCs/>
      <w:sz w:val="22"/>
      <w:szCs w:val="24"/>
      <w:lang w:val="en-GB" w:eastAsia="en-US"/>
    </w:rPr>
  </w:style>
  <w:style w:type="paragraph" w:styleId="BodyTextIndent">
    <w:name w:val="Body Text Indent"/>
    <w:basedOn w:val="Normal"/>
    <w:link w:val="BodyTextIndentChar"/>
    <w:rsid w:val="00672672"/>
    <w:pPr>
      <w:spacing w:before="120" w:after="120"/>
      <w:ind w:left="1440" w:hanging="720"/>
      <w:jc w:val="left"/>
    </w:pPr>
  </w:style>
  <w:style w:type="character" w:customStyle="1" w:styleId="BodyTextIndentChar">
    <w:name w:val="Body Text Indent Char"/>
    <w:basedOn w:val="DefaultParagraphFont"/>
    <w:link w:val="BodyTextIndent"/>
    <w:rsid w:val="00672672"/>
    <w:rPr>
      <w:rFonts w:ascii="Times New Roman" w:eastAsia="Times New Roman" w:hAnsi="Times New Roman"/>
      <w:sz w:val="22"/>
      <w:szCs w:val="24"/>
      <w:lang w:val="en-GB" w:eastAsia="en-US"/>
    </w:rPr>
  </w:style>
  <w:style w:type="paragraph" w:styleId="Caption">
    <w:name w:val="caption"/>
    <w:basedOn w:val="Normal"/>
    <w:next w:val="Normal"/>
    <w:uiPriority w:val="35"/>
    <w:unhideWhenUsed/>
    <w:qFormat/>
    <w:rsid w:val="00672672"/>
    <w:pPr>
      <w:keepNext/>
      <w:keepLines/>
      <w:spacing w:after="200"/>
    </w:pPr>
    <w:rPr>
      <w:b/>
      <w:iCs/>
      <w:szCs w:val="18"/>
    </w:rPr>
  </w:style>
  <w:style w:type="paragraph" w:customStyle="1" w:styleId="CBD-Doc">
    <w:name w:val="CBD-Doc"/>
    <w:basedOn w:val="Normal"/>
    <w:rsid w:val="00672672"/>
    <w:pPr>
      <w:keepLines/>
      <w:numPr>
        <w:numId w:val="7"/>
      </w:numPr>
      <w:spacing w:after="120"/>
    </w:pPr>
    <w:rPr>
      <w:rFonts w:cs="Angsana New"/>
    </w:rPr>
  </w:style>
  <w:style w:type="paragraph" w:customStyle="1" w:styleId="CBD-Doc-Type">
    <w:name w:val="CBD-Doc-Type"/>
    <w:basedOn w:val="Normal"/>
    <w:rsid w:val="00672672"/>
    <w:pPr>
      <w:keepLines/>
      <w:spacing w:before="240" w:after="120"/>
    </w:pPr>
    <w:rPr>
      <w:rFonts w:cs="Angsana New"/>
      <w:b/>
      <w:i/>
      <w:sz w:val="24"/>
    </w:rPr>
  </w:style>
  <w:style w:type="paragraph" w:customStyle="1" w:styleId="Cornernotation">
    <w:name w:val="Corner notation"/>
    <w:basedOn w:val="Normal"/>
    <w:rsid w:val="00672672"/>
    <w:pPr>
      <w:ind w:left="170" w:right="3119" w:hanging="170"/>
      <w:jc w:val="left"/>
    </w:pPr>
  </w:style>
  <w:style w:type="character" w:styleId="EndnoteReference">
    <w:name w:val="endnote reference"/>
    <w:semiHidden/>
    <w:rsid w:val="00672672"/>
    <w:rPr>
      <w:vertAlign w:val="superscript"/>
    </w:rPr>
  </w:style>
  <w:style w:type="paragraph" w:styleId="EndnoteText">
    <w:name w:val="endnote text"/>
    <w:basedOn w:val="Normal"/>
    <w:link w:val="EndnoteTextChar"/>
    <w:semiHidden/>
    <w:rsid w:val="00672672"/>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672672"/>
    <w:rPr>
      <w:rFonts w:ascii="Courier New" w:eastAsia="Times New Roman" w:hAnsi="Courier New"/>
      <w:sz w:val="22"/>
      <w:szCs w:val="24"/>
      <w:lang w:val="en-GB" w:eastAsia="en-US"/>
    </w:rPr>
  </w:style>
  <w:style w:type="character" w:styleId="FollowedHyperlink">
    <w:name w:val="FollowedHyperlink"/>
    <w:rsid w:val="00672672"/>
    <w:rPr>
      <w:color w:val="800080"/>
      <w:u w:val="single"/>
    </w:rPr>
  </w:style>
  <w:style w:type="paragraph" w:customStyle="1" w:styleId="HEADING">
    <w:name w:val="HEADING"/>
    <w:basedOn w:val="Normal"/>
    <w:rsid w:val="00672672"/>
    <w:pPr>
      <w:keepNext/>
      <w:spacing w:before="240" w:after="120"/>
      <w:jc w:val="center"/>
    </w:pPr>
    <w:rPr>
      <w:b/>
      <w:bCs/>
      <w:caps/>
    </w:rPr>
  </w:style>
  <w:style w:type="paragraph" w:customStyle="1" w:styleId="HEADINGNOTFORTOC">
    <w:name w:val="HEADING (NOT FOR TOC)"/>
    <w:basedOn w:val="Heading1"/>
    <w:next w:val="Heading2"/>
    <w:rsid w:val="00672672"/>
  </w:style>
  <w:style w:type="paragraph" w:customStyle="1" w:styleId="Heading1longmultiline">
    <w:name w:val="Heading 1 (long multiline)"/>
    <w:basedOn w:val="Heading1"/>
    <w:rsid w:val="00672672"/>
    <w:pPr>
      <w:ind w:left="1843" w:hanging="1134"/>
      <w:jc w:val="left"/>
    </w:pPr>
  </w:style>
  <w:style w:type="paragraph" w:customStyle="1" w:styleId="Heading1multiline">
    <w:name w:val="Heading 1 (multiline)"/>
    <w:basedOn w:val="Heading1"/>
    <w:rsid w:val="00672672"/>
    <w:pPr>
      <w:ind w:left="1843" w:right="996" w:hanging="567"/>
      <w:jc w:val="left"/>
    </w:pPr>
  </w:style>
  <w:style w:type="paragraph" w:customStyle="1" w:styleId="Heading2multiline">
    <w:name w:val="Heading 2 (multiline)"/>
    <w:basedOn w:val="Heading1"/>
    <w:next w:val="Normal"/>
    <w:rsid w:val="00672672"/>
    <w:pPr>
      <w:spacing w:before="120"/>
      <w:ind w:left="1843" w:right="998" w:hanging="567"/>
      <w:jc w:val="left"/>
    </w:pPr>
    <w:rPr>
      <w:i/>
      <w:iCs/>
      <w:caps w:val="0"/>
    </w:rPr>
  </w:style>
  <w:style w:type="paragraph" w:customStyle="1" w:styleId="Heading2longmultiline">
    <w:name w:val="Heading 2 (long multiline)"/>
    <w:basedOn w:val="Heading2multiline"/>
    <w:rsid w:val="00672672"/>
    <w:pPr>
      <w:ind w:left="2127" w:hanging="1276"/>
    </w:pPr>
  </w:style>
  <w:style w:type="character" w:customStyle="1" w:styleId="Heading3Char">
    <w:name w:val="Heading 3 Char"/>
    <w:basedOn w:val="DefaultParagraphFont"/>
    <w:link w:val="Heading3"/>
    <w:rsid w:val="00672672"/>
    <w:rPr>
      <w:rFonts w:ascii="Times New Roman" w:eastAsia="Times New Roman" w:hAnsi="Times New Roman"/>
      <w:i/>
      <w:iCs/>
      <w:sz w:val="22"/>
      <w:szCs w:val="24"/>
      <w:lang w:val="en-GB" w:eastAsia="en-US"/>
    </w:rPr>
  </w:style>
  <w:style w:type="paragraph" w:customStyle="1" w:styleId="heading2notforTOC">
    <w:name w:val="heading 2 not for TOC"/>
    <w:basedOn w:val="Heading3"/>
    <w:rsid w:val="00672672"/>
  </w:style>
  <w:style w:type="paragraph" w:customStyle="1" w:styleId="Heading3multiline">
    <w:name w:val="Heading 3 (multiline)"/>
    <w:basedOn w:val="Heading3"/>
    <w:next w:val="Normal"/>
    <w:rsid w:val="00672672"/>
    <w:pPr>
      <w:ind w:left="1418" w:hanging="425"/>
      <w:jc w:val="left"/>
    </w:pPr>
  </w:style>
  <w:style w:type="character" w:customStyle="1" w:styleId="Heading4Char">
    <w:name w:val="Heading 4 Char"/>
    <w:basedOn w:val="DefaultParagraphFont"/>
    <w:link w:val="Heading4"/>
    <w:rsid w:val="00672672"/>
    <w:rPr>
      <w:rFonts w:ascii="Times New Roman Bold" w:eastAsia="Arial Unicode MS" w:hAnsi="Times New Roman Bold" w:cs="Arial"/>
      <w:b/>
      <w:bCs/>
      <w:i/>
      <w:sz w:val="22"/>
      <w:szCs w:val="24"/>
      <w:lang w:val="en-GB" w:eastAsia="en-US"/>
    </w:rPr>
  </w:style>
  <w:style w:type="paragraph" w:customStyle="1" w:styleId="Heading4indent">
    <w:name w:val="Heading 4 indent"/>
    <w:basedOn w:val="Heading4"/>
    <w:rsid w:val="00672672"/>
    <w:pPr>
      <w:ind w:left="720"/>
      <w:outlineLvl w:val="9"/>
    </w:pPr>
    <w:rPr>
      <w:rFonts w:ascii="Times New Roman" w:hAnsi="Times New Roman"/>
    </w:rPr>
  </w:style>
  <w:style w:type="character" w:customStyle="1" w:styleId="Heading5Char">
    <w:name w:val="Heading 5 Char"/>
    <w:basedOn w:val="DefaultParagraphFont"/>
    <w:link w:val="Heading5"/>
    <w:rsid w:val="00672672"/>
    <w:rPr>
      <w:rFonts w:ascii="Times New Roman" w:eastAsia="Times New Roman" w:hAnsi="Times New Roman"/>
      <w:bCs/>
      <w:i/>
      <w:sz w:val="22"/>
      <w:szCs w:val="26"/>
      <w:lang w:eastAsia="en-US"/>
    </w:rPr>
  </w:style>
  <w:style w:type="character" w:customStyle="1" w:styleId="Heading6Char">
    <w:name w:val="Heading 6 Char"/>
    <w:basedOn w:val="DefaultParagraphFont"/>
    <w:link w:val="Heading6"/>
    <w:rsid w:val="00672672"/>
    <w:rPr>
      <w:rFonts w:ascii="Times New Roman" w:eastAsia="Times New Roman" w:hAnsi="Times New Roman"/>
      <w:sz w:val="22"/>
      <w:szCs w:val="24"/>
      <w:u w:val="single"/>
      <w:lang w:val="en-GB" w:eastAsia="en-US"/>
    </w:rPr>
  </w:style>
  <w:style w:type="character" w:customStyle="1" w:styleId="Heading7Char">
    <w:name w:val="Heading 7 Char"/>
    <w:basedOn w:val="DefaultParagraphFont"/>
    <w:link w:val="Heading7"/>
    <w:rsid w:val="00672672"/>
    <w:rPr>
      <w:rFonts w:ascii="Univers" w:eastAsia="Times New Roman" w:hAnsi="Univers"/>
      <w:b/>
      <w:sz w:val="28"/>
      <w:szCs w:val="24"/>
      <w:lang w:val="en-GB" w:eastAsia="en-US"/>
    </w:rPr>
  </w:style>
  <w:style w:type="character" w:customStyle="1" w:styleId="Heading8Char">
    <w:name w:val="Heading 8 Char"/>
    <w:basedOn w:val="DefaultParagraphFont"/>
    <w:link w:val="Heading8"/>
    <w:rsid w:val="00672672"/>
    <w:rPr>
      <w:rFonts w:ascii="Univers" w:eastAsia="Times New Roman" w:hAnsi="Univers"/>
      <w:b/>
      <w:sz w:val="32"/>
      <w:szCs w:val="24"/>
      <w:lang w:val="en-GB" w:eastAsia="en-US"/>
    </w:rPr>
  </w:style>
  <w:style w:type="character" w:customStyle="1" w:styleId="Heading9Char">
    <w:name w:val="Heading 9 Char"/>
    <w:basedOn w:val="DefaultParagraphFont"/>
    <w:link w:val="Heading9"/>
    <w:rsid w:val="00672672"/>
    <w:rPr>
      <w:rFonts w:ascii="Times New Roman" w:eastAsia="Times New Roman" w:hAnsi="Times New Roman"/>
      <w:i/>
      <w:iCs/>
      <w:sz w:val="22"/>
      <w:szCs w:val="24"/>
      <w:lang w:val="en-GB" w:eastAsia="en-US"/>
    </w:rPr>
  </w:style>
  <w:style w:type="paragraph" w:customStyle="1" w:styleId="meetingname">
    <w:name w:val="meeting name"/>
    <w:basedOn w:val="Normal"/>
    <w:qFormat/>
    <w:rsid w:val="00672672"/>
    <w:pPr>
      <w:ind w:left="142" w:right="4218" w:hanging="142"/>
    </w:pPr>
    <w:rPr>
      <w:caps/>
      <w:szCs w:val="22"/>
    </w:rPr>
  </w:style>
  <w:style w:type="character" w:styleId="PageNumber">
    <w:name w:val="page number"/>
    <w:rsid w:val="00672672"/>
    <w:rPr>
      <w:rFonts w:ascii="Times New Roman" w:hAnsi="Times New Roman"/>
      <w:sz w:val="22"/>
    </w:rPr>
  </w:style>
  <w:style w:type="paragraph" w:customStyle="1" w:styleId="Para1">
    <w:name w:val="Para1"/>
    <w:basedOn w:val="Normal"/>
    <w:link w:val="Para1Char"/>
    <w:rsid w:val="00672672"/>
    <w:pPr>
      <w:numPr>
        <w:numId w:val="9"/>
      </w:numPr>
      <w:tabs>
        <w:tab w:val="clear" w:pos="360"/>
      </w:tabs>
      <w:spacing w:before="120" w:after="120"/>
    </w:pPr>
    <w:rPr>
      <w:snapToGrid w:val="0"/>
      <w:szCs w:val="18"/>
    </w:rPr>
  </w:style>
  <w:style w:type="character" w:customStyle="1" w:styleId="Para1Char">
    <w:name w:val="Para1 Char"/>
    <w:link w:val="Para1"/>
    <w:locked/>
    <w:rsid w:val="00672672"/>
    <w:rPr>
      <w:rFonts w:ascii="Times New Roman" w:eastAsia="Times New Roman" w:hAnsi="Times New Roman"/>
      <w:snapToGrid w:val="0"/>
      <w:sz w:val="22"/>
      <w:szCs w:val="18"/>
      <w:lang w:val="en-GB" w:eastAsia="en-US"/>
    </w:rPr>
  </w:style>
  <w:style w:type="paragraph" w:customStyle="1" w:styleId="Para2">
    <w:name w:val="Para2"/>
    <w:basedOn w:val="Para1"/>
    <w:rsid w:val="00672672"/>
    <w:pPr>
      <w:numPr>
        <w:numId w:val="0"/>
      </w:numPr>
      <w:autoSpaceDE w:val="0"/>
      <w:autoSpaceDN w:val="0"/>
    </w:pPr>
  </w:style>
  <w:style w:type="paragraph" w:customStyle="1" w:styleId="Para3">
    <w:name w:val="Para3"/>
    <w:basedOn w:val="Normal"/>
    <w:rsid w:val="00672672"/>
    <w:pPr>
      <w:numPr>
        <w:ilvl w:val="3"/>
        <w:numId w:val="10"/>
      </w:numPr>
      <w:tabs>
        <w:tab w:val="left" w:pos="1980"/>
      </w:tabs>
      <w:spacing w:before="80" w:after="80"/>
    </w:pPr>
    <w:rPr>
      <w:szCs w:val="20"/>
    </w:rPr>
  </w:style>
  <w:style w:type="paragraph" w:customStyle="1" w:styleId="para4">
    <w:name w:val="para4"/>
    <w:basedOn w:val="Normal"/>
    <w:rsid w:val="00672672"/>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67267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672672"/>
    <w:pPr>
      <w:spacing w:before="120" w:after="120"/>
      <w:ind w:left="720" w:right="720"/>
    </w:pPr>
    <w:rPr>
      <w:bCs/>
    </w:rPr>
  </w:style>
  <w:style w:type="paragraph" w:customStyle="1" w:styleId="recommendationheader">
    <w:name w:val="recommendation header"/>
    <w:basedOn w:val="Heading2"/>
    <w:qFormat/>
    <w:rsid w:val="00672672"/>
  </w:style>
  <w:style w:type="paragraph" w:customStyle="1" w:styleId="recommendationheaderlong">
    <w:name w:val="recommendation header long"/>
    <w:basedOn w:val="Heading2longmultiline"/>
    <w:qFormat/>
    <w:rsid w:val="00672672"/>
  </w:style>
  <w:style w:type="paragraph" w:customStyle="1" w:styleId="reference">
    <w:name w:val="reference"/>
    <w:basedOn w:val="Heading9"/>
    <w:qFormat/>
    <w:rsid w:val="00672672"/>
    <w:rPr>
      <w:i w:val="0"/>
      <w:sz w:val="18"/>
    </w:rPr>
  </w:style>
  <w:style w:type="character" w:customStyle="1" w:styleId="StyleFootnoteReferenceNounderline">
    <w:name w:val="Style Footnote Reference + No underline"/>
    <w:rsid w:val="00672672"/>
    <w:rPr>
      <w:sz w:val="18"/>
      <w:u w:val="none"/>
      <w:vertAlign w:val="baseline"/>
    </w:rPr>
  </w:style>
  <w:style w:type="paragraph" w:styleId="Subtitle">
    <w:name w:val="Subtitle"/>
    <w:basedOn w:val="Normal"/>
    <w:next w:val="Normal"/>
    <w:link w:val="SubtitleChar"/>
    <w:uiPriority w:val="11"/>
    <w:qFormat/>
    <w:rsid w:val="00672672"/>
    <w:pPr>
      <w:numPr>
        <w:ilvl w:val="1"/>
      </w:numPr>
    </w:pPr>
    <w:rPr>
      <w:rFonts w:asciiTheme="majorHAnsi" w:eastAsiaTheme="majorEastAsia" w:hAnsiTheme="majorHAnsi" w:cstheme="majorBidi"/>
      <w:i/>
      <w:iCs/>
      <w:color w:val="4472C4" w:themeColor="accent1"/>
      <w:spacing w:val="15"/>
      <w:sz w:val="24"/>
    </w:rPr>
  </w:style>
  <w:style w:type="character" w:customStyle="1" w:styleId="SubtitleChar">
    <w:name w:val="Subtitle Char"/>
    <w:basedOn w:val="DefaultParagraphFont"/>
    <w:link w:val="Subtitle"/>
    <w:uiPriority w:val="11"/>
    <w:rsid w:val="00672672"/>
    <w:rPr>
      <w:rFonts w:asciiTheme="majorHAnsi" w:eastAsiaTheme="majorEastAsia" w:hAnsiTheme="majorHAnsi" w:cstheme="majorBidi"/>
      <w:i/>
      <w:iCs/>
      <w:color w:val="4472C4" w:themeColor="accent1"/>
      <w:spacing w:val="15"/>
      <w:sz w:val="24"/>
      <w:szCs w:val="24"/>
      <w:lang w:val="en-GB" w:eastAsia="en-US"/>
    </w:rPr>
  </w:style>
  <w:style w:type="paragraph" w:customStyle="1" w:styleId="tabletitle">
    <w:name w:val="table title"/>
    <w:basedOn w:val="Heading2"/>
    <w:qFormat/>
    <w:rsid w:val="00672672"/>
    <w:pPr>
      <w:jc w:val="left"/>
      <w:outlineLvl w:val="9"/>
    </w:pPr>
    <w:rPr>
      <w:i/>
    </w:rPr>
  </w:style>
  <w:style w:type="paragraph" w:styleId="Title">
    <w:name w:val="Title"/>
    <w:basedOn w:val="Normal"/>
    <w:next w:val="Normal"/>
    <w:link w:val="TitleChar"/>
    <w:uiPriority w:val="10"/>
    <w:qFormat/>
    <w:rsid w:val="00672672"/>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672672"/>
    <w:rPr>
      <w:rFonts w:asciiTheme="majorHAnsi" w:eastAsiaTheme="majorEastAsia" w:hAnsiTheme="majorHAnsi" w:cstheme="majorBidi"/>
      <w:color w:val="323E4F" w:themeColor="text2" w:themeShade="BF"/>
      <w:spacing w:val="5"/>
      <w:kern w:val="28"/>
      <w:sz w:val="52"/>
      <w:szCs w:val="52"/>
      <w:lang w:val="en-GB" w:eastAsia="en-US"/>
    </w:rPr>
  </w:style>
  <w:style w:type="paragraph" w:styleId="TOAHeading">
    <w:name w:val="toa heading"/>
    <w:basedOn w:val="Normal"/>
    <w:next w:val="Normal"/>
    <w:semiHidden/>
    <w:rsid w:val="00672672"/>
    <w:pPr>
      <w:spacing w:before="120"/>
    </w:pPr>
    <w:rPr>
      <w:rFonts w:cs="Arial"/>
      <w:b/>
      <w:bCs/>
      <w:sz w:val="24"/>
    </w:rPr>
  </w:style>
  <w:style w:type="paragraph" w:styleId="TOC1">
    <w:name w:val="toc 1"/>
    <w:basedOn w:val="Normal"/>
    <w:next w:val="Normal"/>
    <w:autoRedefine/>
    <w:semiHidden/>
    <w:rsid w:val="00672672"/>
    <w:pPr>
      <w:ind w:left="720" w:hanging="720"/>
    </w:pPr>
    <w:rPr>
      <w:caps/>
    </w:rPr>
  </w:style>
  <w:style w:type="paragraph" w:styleId="TOC2">
    <w:name w:val="toc 2"/>
    <w:basedOn w:val="Normal"/>
    <w:next w:val="Normal"/>
    <w:autoRedefine/>
    <w:semiHidden/>
    <w:rsid w:val="00672672"/>
    <w:pPr>
      <w:tabs>
        <w:tab w:val="right" w:leader="dot" w:pos="9356"/>
      </w:tabs>
      <w:ind w:left="1440" w:hanging="720"/>
    </w:pPr>
    <w:rPr>
      <w:noProof/>
      <w:szCs w:val="22"/>
    </w:rPr>
  </w:style>
  <w:style w:type="paragraph" w:styleId="TOC3">
    <w:name w:val="toc 3"/>
    <w:basedOn w:val="Normal"/>
    <w:next w:val="Normal"/>
    <w:autoRedefine/>
    <w:semiHidden/>
    <w:rsid w:val="00672672"/>
    <w:pPr>
      <w:ind w:left="2160" w:hanging="720"/>
    </w:pPr>
  </w:style>
  <w:style w:type="paragraph" w:styleId="TOC4">
    <w:name w:val="toc 4"/>
    <w:basedOn w:val="Normal"/>
    <w:next w:val="Normal"/>
    <w:autoRedefine/>
    <w:semiHidden/>
    <w:rsid w:val="00672672"/>
    <w:pPr>
      <w:spacing w:before="120" w:after="120"/>
      <w:ind w:left="660"/>
      <w:jc w:val="left"/>
    </w:pPr>
  </w:style>
  <w:style w:type="paragraph" w:styleId="TOC5">
    <w:name w:val="toc 5"/>
    <w:basedOn w:val="Normal"/>
    <w:next w:val="Normal"/>
    <w:autoRedefine/>
    <w:semiHidden/>
    <w:rsid w:val="00672672"/>
    <w:pPr>
      <w:spacing w:before="120" w:after="120"/>
      <w:ind w:left="880"/>
      <w:jc w:val="left"/>
    </w:pPr>
  </w:style>
  <w:style w:type="paragraph" w:styleId="TOC6">
    <w:name w:val="toc 6"/>
    <w:basedOn w:val="Normal"/>
    <w:next w:val="Normal"/>
    <w:autoRedefine/>
    <w:semiHidden/>
    <w:rsid w:val="00672672"/>
    <w:pPr>
      <w:spacing w:before="120" w:after="120"/>
      <w:ind w:left="1100"/>
      <w:jc w:val="left"/>
    </w:pPr>
  </w:style>
  <w:style w:type="paragraph" w:styleId="TOC7">
    <w:name w:val="toc 7"/>
    <w:basedOn w:val="Normal"/>
    <w:next w:val="Normal"/>
    <w:autoRedefine/>
    <w:semiHidden/>
    <w:rsid w:val="00672672"/>
    <w:pPr>
      <w:spacing w:before="120" w:after="120"/>
      <w:ind w:left="1320"/>
      <w:jc w:val="left"/>
    </w:pPr>
  </w:style>
  <w:style w:type="paragraph" w:styleId="TOC8">
    <w:name w:val="toc 8"/>
    <w:basedOn w:val="Normal"/>
    <w:next w:val="Normal"/>
    <w:autoRedefine/>
    <w:semiHidden/>
    <w:rsid w:val="00672672"/>
    <w:pPr>
      <w:spacing w:before="120" w:after="120"/>
      <w:ind w:left="1540"/>
      <w:jc w:val="left"/>
    </w:pPr>
  </w:style>
  <w:style w:type="paragraph" w:styleId="TOC9">
    <w:name w:val="toc 9"/>
    <w:basedOn w:val="Normal"/>
    <w:next w:val="Normal"/>
    <w:autoRedefine/>
    <w:semiHidden/>
    <w:rsid w:val="00672672"/>
    <w:pPr>
      <w:spacing w:before="120" w:after="120"/>
      <w:ind w:left="1760"/>
      <w:jc w:val="left"/>
    </w:pPr>
  </w:style>
  <w:style w:type="paragraph" w:styleId="CommentSubject">
    <w:name w:val="annotation subject"/>
    <w:basedOn w:val="CommentText"/>
    <w:next w:val="CommentText"/>
    <w:link w:val="CommentSubjectChar"/>
    <w:uiPriority w:val="99"/>
    <w:semiHidden/>
    <w:unhideWhenUsed/>
    <w:rsid w:val="00FA5F3F"/>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FA5F3F"/>
    <w:rPr>
      <w:rFonts w:ascii="Times New Roman" w:eastAsia="Times New Roman" w:hAnsi="Times New Roman"/>
      <w:b/>
      <w:bCs/>
      <w:sz w:val="22"/>
      <w:szCs w:val="24"/>
      <w:lang w:val="en-GB" w:eastAsia="en-US"/>
    </w:rPr>
  </w:style>
  <w:style w:type="paragraph" w:styleId="Revision">
    <w:name w:val="Revision"/>
    <w:hidden/>
    <w:uiPriority w:val="99"/>
    <w:semiHidden/>
    <w:rsid w:val="00FA5F3F"/>
    <w:rPr>
      <w:rFonts w:ascii="Times New Roman" w:eastAsia="Times New Roman" w:hAnsi="Times New Roman"/>
      <w:sz w:val="22"/>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hyperlink" Target="https://www.cbd.int/doc/c/123e/f518/4e5306738840d0b2ec13470b/excop-02-02-en.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cbd.int/doc/c/5154/19ca/8adaa37be3eaecee1b23984c/sbi-02-18-en.pdf" TargetMode="External"/><Relationship Id="rId2" Type="http://schemas.openxmlformats.org/officeDocument/2006/relationships/customXml" Target="../customXml/item2.xml"/><Relationship Id="rId16" Type="http://schemas.openxmlformats.org/officeDocument/2006/relationships/hyperlink" Target="https://www.cbd.int/doc/decisions/np-mop-03/np-mop-03-dec-16-en.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www.cbd.int/doc/decisions/cp-mop-09/cp-mop-09-dec-16-en.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decisions/cop-14/cop-14-dec-37-en.pdf" TargetMode="External"/><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2" Type="http://schemas.openxmlformats.org/officeDocument/2006/relationships/hyperlink" Target="https://www.cbd.int/information/adm-fin/" TargetMode="External"/><Relationship Id="rId1" Type="http://schemas.openxmlformats.org/officeDocument/2006/relationships/hyperlink" Target="https://www.cbd.int/information/adm-fi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4D16D66B82E4B04A826D3351ADD844D"/>
        <w:category>
          <w:name w:val="General"/>
          <w:gallery w:val="placeholder"/>
        </w:category>
        <w:types>
          <w:type w:val="bbPlcHdr"/>
        </w:types>
        <w:behaviors>
          <w:behavior w:val="content"/>
        </w:behaviors>
        <w:guid w:val="{5748E654-CF58-4261-B106-C65AF89042EB}"/>
      </w:docPartPr>
      <w:docPartBody>
        <w:p w:rsidR="000261FB" w:rsidRDefault="002E0DC1">
          <w:r w:rsidRPr="007A6668">
            <w:rPr>
              <w:rStyle w:val="PlaceholderText"/>
            </w:rPr>
            <w:t>[Title]</w:t>
          </w:r>
        </w:p>
      </w:docPartBody>
    </w:docPart>
    <w:docPart>
      <w:docPartPr>
        <w:name w:val="9919A4354EBC4BE1BA94F6627C7FA73F"/>
        <w:category>
          <w:name w:val="General"/>
          <w:gallery w:val="placeholder"/>
        </w:category>
        <w:types>
          <w:type w:val="bbPlcHdr"/>
        </w:types>
        <w:behaviors>
          <w:behavior w:val="content"/>
        </w:behaviors>
        <w:guid w:val="{A0783E29-1B94-4B8E-BB30-A276122FD4CE}"/>
      </w:docPartPr>
      <w:docPartBody>
        <w:p w:rsidR="000261FB" w:rsidRDefault="002E0DC1">
          <w:r w:rsidRPr="007A6668">
            <w:rPr>
              <w:rStyle w:val="PlaceholderText"/>
            </w:rPr>
            <w:t>[Subject]</w:t>
          </w:r>
        </w:p>
      </w:docPartBody>
    </w:docPart>
    <w:docPart>
      <w:docPartPr>
        <w:name w:val="9F714200786149AA86FE5F9F764EAD39"/>
        <w:category>
          <w:name w:val="General"/>
          <w:gallery w:val="placeholder"/>
        </w:category>
        <w:types>
          <w:type w:val="bbPlcHdr"/>
        </w:types>
        <w:behaviors>
          <w:behavior w:val="content"/>
        </w:behaviors>
        <w:guid w:val="{FF97E378-AC26-41CF-A20D-FEDC1D699F10}"/>
      </w:docPartPr>
      <w:docPartBody>
        <w:p w:rsidR="000261FB" w:rsidRDefault="002E0DC1">
          <w:r w:rsidRPr="007A6668">
            <w:rPr>
              <w:rStyle w:val="PlaceholderText"/>
            </w:rPr>
            <w:t>[Subject]</w:t>
          </w:r>
        </w:p>
      </w:docPartBody>
    </w:docPart>
    <w:docPart>
      <w:docPartPr>
        <w:name w:val="A845CFAF5A0D4443A20DDFE7D502BA94"/>
        <w:category>
          <w:name w:val="General"/>
          <w:gallery w:val="placeholder"/>
        </w:category>
        <w:types>
          <w:type w:val="bbPlcHdr"/>
        </w:types>
        <w:behaviors>
          <w:behavior w:val="content"/>
        </w:behaviors>
        <w:guid w:val="{23892CC6-9AB8-46A3-891B-4C937B753940}"/>
      </w:docPartPr>
      <w:docPartBody>
        <w:p w:rsidR="000261FB" w:rsidRDefault="002E0DC1" w:rsidP="002E0DC1">
          <w:pPr>
            <w:pStyle w:val="A845CFAF5A0D4443A20DDFE7D502BA94"/>
          </w:pPr>
          <w:r w:rsidRPr="007A666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80000287" w:usb1="00000000" w:usb2="00000000" w:usb3="00000000" w:csb0="0000000F" w:csb1="00000000"/>
  </w:font>
  <w:font w:name="Yu Mincho">
    <w:charset w:val="80"/>
    <w:family w:val="roman"/>
    <w:pitch w:val="variable"/>
    <w:sig w:usb0="800002E7" w:usb1="2AC7FCFF" w:usb2="00000012" w:usb3="00000000" w:csb0="0002009F" w:csb1="00000000"/>
  </w:font>
  <w:font w:name="Lucida Grande">
    <w:altName w:val="Segoe UI"/>
    <w:charset w:val="00"/>
    <w:family w:val="swiss"/>
    <w:pitch w:val="variable"/>
    <w:sig w:usb0="E1000AEF" w:usb1="5000A1FF" w:usb2="00000000" w:usb3="00000000" w:csb0="000001BF" w:csb1="00000000"/>
  </w:font>
  <w:font w:name="DengXian">
    <w:altName w:val="等线"/>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Courier">
    <w:panose1 w:val="02070409020205020404"/>
    <w:charset w:val="00"/>
    <w:family w:val="auto"/>
    <w:pitch w:val="variable"/>
    <w:sig w:usb0="00000003" w:usb1="00000000" w:usb2="00000000" w:usb3="00000000" w:csb0="00000003"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DC1"/>
    <w:rsid w:val="000261FB"/>
    <w:rsid w:val="002E0DC1"/>
    <w:rsid w:val="009C7A78"/>
    <w:rsid w:val="00E04D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0DC1"/>
    <w:rPr>
      <w:color w:val="808080"/>
    </w:rPr>
  </w:style>
  <w:style w:type="paragraph" w:customStyle="1" w:styleId="CF7056997DB14DCE8734D08D5FDE56A7">
    <w:name w:val="CF7056997DB14DCE8734D08D5FDE56A7"/>
    <w:rsid w:val="002E0DC1"/>
  </w:style>
  <w:style w:type="paragraph" w:customStyle="1" w:styleId="E4E5E80A7E79417BA6CD1474BB07B884">
    <w:name w:val="E4E5E80A7E79417BA6CD1474BB07B884"/>
    <w:rsid w:val="002E0DC1"/>
  </w:style>
  <w:style w:type="paragraph" w:customStyle="1" w:styleId="A845CFAF5A0D4443A20DDFE7D502BA94">
    <w:name w:val="A845CFAF5A0D4443A20DDFE7D502BA94"/>
    <w:rsid w:val="002E0D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96CFF-1846-4473-94E2-5DD61BA9F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EE1ECD-62F8-48DA-B6CA-7B8986A9F65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033285F-D55B-49CE-A503-A351070CBFDE}">
  <ds:schemaRefs>
    <ds:schemaRef ds:uri="http://schemas.microsoft.com/sharepoint/v3/contenttype/forms"/>
  </ds:schemaRefs>
</ds:datastoreItem>
</file>

<file path=customXml/itemProps4.xml><?xml version="1.0" encoding="utf-8"?>
<ds:datastoreItem xmlns:ds="http://schemas.openxmlformats.org/officeDocument/2006/customXml" ds:itemID="{97161C68-A8F3-45F0-9A1B-5EDD357E7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3180</Words>
  <Characters>18127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Trends in the budgets of the Convention and its Protocols</vt:lpstr>
    </vt:vector>
  </TitlesOfParts>
  <Company/>
  <LinksUpToDate>false</LinksUpToDate>
  <CharactersWithSpaces>21265</CharactersWithSpaces>
  <SharedDoc>false</SharedDoc>
  <HLinks>
    <vt:vector size="24" baseType="variant">
      <vt:variant>
        <vt:i4>1179717</vt:i4>
      </vt:variant>
      <vt:variant>
        <vt:i4>9</vt:i4>
      </vt:variant>
      <vt:variant>
        <vt:i4>0</vt:i4>
      </vt:variant>
      <vt:variant>
        <vt:i4>5</vt:i4>
      </vt:variant>
      <vt:variant>
        <vt:lpwstr>https://www.cbd.int/information/adm-fin/</vt:lpwstr>
      </vt:variant>
      <vt:variant>
        <vt:lpwstr/>
      </vt:variant>
      <vt:variant>
        <vt:i4>1179717</vt:i4>
      </vt:variant>
      <vt:variant>
        <vt:i4>6</vt:i4>
      </vt:variant>
      <vt:variant>
        <vt:i4>0</vt:i4>
      </vt:variant>
      <vt:variant>
        <vt:i4>5</vt:i4>
      </vt:variant>
      <vt:variant>
        <vt:lpwstr>https://www.cbd.int/information/adm-fin/</vt:lpwstr>
      </vt:variant>
      <vt:variant>
        <vt:lpwstr/>
      </vt:variant>
      <vt:variant>
        <vt:i4>1179717</vt:i4>
      </vt:variant>
      <vt:variant>
        <vt:i4>3</vt:i4>
      </vt:variant>
      <vt:variant>
        <vt:i4>0</vt:i4>
      </vt:variant>
      <vt:variant>
        <vt:i4>5</vt:i4>
      </vt:variant>
      <vt:variant>
        <vt:lpwstr>https://www.cbd.int/information/adm-fin/</vt:lpwstr>
      </vt:variant>
      <vt:variant>
        <vt:lpwstr/>
      </vt:variant>
      <vt:variant>
        <vt:i4>1179717</vt:i4>
      </vt:variant>
      <vt:variant>
        <vt:i4>0</vt:i4>
      </vt:variant>
      <vt:variant>
        <vt:i4>0</vt:i4>
      </vt:variant>
      <vt:variant>
        <vt:i4>5</vt:i4>
      </vt:variant>
      <vt:variant>
        <vt:lpwstr>https://www.cbd.int/information/adm-fin/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Trends in the budgets of the Convention and its Protocols</dc:title>
  <dc:subject>CBD/SBI/3/17</dc:subject>
  <dc:creator>Scbd Sa [CBD]</dc:creator>
  <cp:keywords>Subsidiary Body on Implementation, third meeting, Convention on Biological Diversity</cp:keywords>
  <dc:description/>
  <cp:lastModifiedBy>Orestes Plasencia</cp:lastModifiedBy>
  <cp:revision>7</cp:revision>
  <dcterms:created xsi:type="dcterms:W3CDTF">2020-10-10T03:14:00Z</dcterms:created>
  <dcterms:modified xsi:type="dcterms:W3CDTF">2020-10-10T03:20:00Z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