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C963FE"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04A1A2C1" w14:textId="7DA140BF" w:rsidR="00C963FE" w:rsidRPr="00375D37" w:rsidRDefault="00C963FE" w:rsidP="00C963FE">
            <w:pPr>
              <w:tabs>
                <w:tab w:val="clear" w:pos="567"/>
                <w:tab w:val="clear" w:pos="1134"/>
                <w:tab w:val="clear" w:pos="1701"/>
                <w:tab w:val="clear" w:pos="2268"/>
              </w:tabs>
              <w:spacing w:before="60"/>
              <w:rPr>
                <w:rFonts w:eastAsia="黑体"/>
                <w:sz w:val="24"/>
                <w:lang w:eastAsia="zh-CN"/>
              </w:rPr>
            </w:pPr>
            <w:r w:rsidRPr="00375D37">
              <w:rPr>
                <w:rFonts w:eastAsia="黑体"/>
                <w:noProof/>
                <w:lang w:eastAsia="zh-CN"/>
              </w:rPr>
              <w:drawing>
                <wp:anchor distT="0" distB="0" distL="114300" distR="114300" simplePos="0" relativeHeight="251659264" behindDoc="0" locked="0" layoutInCell="1" allowOverlap="1" wp14:anchorId="7EF0A9E8" wp14:editId="71B33864">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375D37">
              <w:rPr>
                <w:rFonts w:eastAsia="黑体" w:hint="eastAsia"/>
                <w:sz w:val="24"/>
                <w:lang w:eastAsia="zh-CN"/>
              </w:rPr>
              <w:t>联合国</w:t>
            </w:r>
          </w:p>
          <w:p w14:paraId="30BE713C" w14:textId="47ED8ABF" w:rsidR="008A1499" w:rsidRPr="003F1A75" w:rsidRDefault="00C963FE" w:rsidP="00C963FE">
            <w:pPr>
              <w:pStyle w:val="AASmallLogo"/>
            </w:pPr>
            <w:r w:rsidRPr="00375D37">
              <w:rPr>
                <w:rFonts w:eastAsia="黑体" w:hint="eastAsia"/>
                <w:sz w:val="24"/>
                <w:lang w:eastAsia="zh-CN"/>
              </w:rPr>
              <w:t>环境规划署</w:t>
            </w:r>
          </w:p>
          <w:p w14:paraId="150ADDF8" w14:textId="77777777" w:rsidR="008A1499" w:rsidRPr="003F1A75" w:rsidRDefault="008A1499" w:rsidP="008A1499">
            <w:pPr>
              <w:pStyle w:val="AASmallLogo"/>
            </w:pPr>
          </w:p>
        </w:tc>
        <w:tc>
          <w:tcPr>
            <w:tcW w:w="8073" w:type="dxa"/>
            <w:vAlign w:val="bottom"/>
          </w:tcPr>
          <w:p w14:paraId="5CF23E65" w14:textId="1BC4ECC1" w:rsidR="008A1499" w:rsidRPr="003F1A75" w:rsidRDefault="008A1499" w:rsidP="003F1A75">
            <w:pPr>
              <w:pStyle w:val="ABSymbol"/>
              <w:rPr>
                <w:rFonts w:hint="eastAsia"/>
                <w:lang w:eastAsia="zh-CN"/>
              </w:rPr>
            </w:pPr>
            <w:r w:rsidRPr="003F1A75">
              <w:rPr>
                <w:sz w:val="40"/>
              </w:rPr>
              <w:t>CBD</w:t>
            </w:r>
            <w:r w:rsidRPr="003F1A75">
              <w:t>/</w:t>
            </w:r>
            <w:r w:rsidR="00F041E5">
              <w:t>C</w:t>
            </w:r>
            <w:r w:rsidR="00975047">
              <w:t>P</w:t>
            </w:r>
            <w:r w:rsidRPr="003F1A75">
              <w:t>/</w:t>
            </w:r>
            <w:r w:rsidR="00975047">
              <w:t>MOP/</w:t>
            </w:r>
            <w:r w:rsidR="00F041E5">
              <w:t>12</w:t>
            </w:r>
            <w:r w:rsidR="00975047">
              <w:t>/</w:t>
            </w:r>
            <w:r w:rsidR="00C23670">
              <w:rPr>
                <w:rFonts w:hint="eastAsia"/>
                <w:lang w:eastAsia="zh-CN"/>
              </w:rPr>
              <w:t>L.6</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C963FE" w14:paraId="68564309" w14:textId="77777777" w:rsidTr="00C963FE">
        <w:trPr>
          <w:trHeight w:val="2016"/>
        </w:trPr>
        <w:tc>
          <w:tcPr>
            <w:tcW w:w="7370" w:type="dxa"/>
          </w:tcPr>
          <w:p w14:paraId="7696113B" w14:textId="46E145C8" w:rsidR="008A1499" w:rsidRPr="003F1A75" w:rsidRDefault="008A1499" w:rsidP="00C963FE">
            <w:pPr>
              <w:pStyle w:val="ACLargeLogo"/>
            </w:pPr>
            <w:r w:rsidRPr="003F1A75">
              <w:t xml:space="preserve"> </w:t>
            </w:r>
            <w:r w:rsidR="00C963FE" w:rsidRPr="00375D37">
              <w:rPr>
                <w:b/>
                <w:noProof/>
                <w:sz w:val="24"/>
                <w:lang w:val="en-US" w:eastAsia="zh-CN"/>
              </w:rPr>
              <w:drawing>
                <wp:inline distT="0" distB="0" distL="0" distR="0" wp14:anchorId="5C08E2E5" wp14:editId="5BF542A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3112" w:type="dxa"/>
          </w:tcPr>
          <w:p w14:paraId="761FFE6A" w14:textId="3AF47E39" w:rsidR="008A1499" w:rsidRPr="00C963FE" w:rsidRDefault="008A1499" w:rsidP="00C963FE">
            <w:pPr>
              <w:pStyle w:val="AEDistrNormal"/>
              <w:rPr>
                <w:sz w:val="24"/>
              </w:rPr>
            </w:pPr>
            <w:r w:rsidRPr="00C963FE">
              <w:rPr>
                <w:sz w:val="24"/>
              </w:rPr>
              <w:t xml:space="preserve">Distr.: </w:t>
            </w:r>
            <w:r w:rsidR="001643E3" w:rsidRPr="00C963FE">
              <w:rPr>
                <w:sz w:val="24"/>
              </w:rPr>
              <w:t>Limited</w:t>
            </w:r>
            <w:r w:rsidRPr="00C963FE">
              <w:rPr>
                <w:sz w:val="24"/>
              </w:rPr>
              <w:t xml:space="preserve"> </w:t>
            </w:r>
          </w:p>
          <w:p w14:paraId="44701D9F" w14:textId="6A76445F" w:rsidR="008A1499" w:rsidRPr="00C963FE" w:rsidRDefault="00384B60" w:rsidP="00C963FE">
            <w:pPr>
              <w:pStyle w:val="AEDistrNormal"/>
              <w:rPr>
                <w:sz w:val="24"/>
              </w:rPr>
            </w:pPr>
            <w:r w:rsidRPr="00C963FE">
              <w:rPr>
                <w:sz w:val="24"/>
              </w:rPr>
              <w:t>2</w:t>
            </w:r>
            <w:r w:rsidR="00C23670">
              <w:rPr>
                <w:rFonts w:hint="eastAsia"/>
                <w:sz w:val="24"/>
                <w:lang w:eastAsia="zh-CN"/>
              </w:rPr>
              <w:t>2</w:t>
            </w:r>
            <w:r w:rsidRPr="00C963FE">
              <w:rPr>
                <w:sz w:val="24"/>
              </w:rPr>
              <w:t xml:space="preserve"> October</w:t>
            </w:r>
            <w:r w:rsidR="008D41D3" w:rsidRPr="00C963FE">
              <w:rPr>
                <w:sz w:val="24"/>
              </w:rPr>
              <w:t xml:space="preserve"> 2026</w:t>
            </w:r>
          </w:p>
          <w:p w14:paraId="471D4BA3" w14:textId="73C2BAFD" w:rsidR="00C963FE" w:rsidRPr="00C963FE" w:rsidRDefault="00C963FE" w:rsidP="00C963FE">
            <w:pPr>
              <w:pStyle w:val="AEDistrNormal"/>
              <w:rPr>
                <w:sz w:val="24"/>
                <w:lang w:eastAsia="zh-CN"/>
              </w:rPr>
            </w:pPr>
            <w:r w:rsidRPr="00C963FE">
              <w:rPr>
                <w:rFonts w:hint="eastAsia"/>
                <w:sz w:val="24"/>
                <w:lang w:eastAsia="zh-CN"/>
              </w:rPr>
              <w:t>Chinese</w:t>
            </w:r>
          </w:p>
          <w:p w14:paraId="1C2D3302" w14:textId="77777777" w:rsidR="008A1499" w:rsidRPr="00C963FE" w:rsidRDefault="008A1499" w:rsidP="00C963FE">
            <w:pPr>
              <w:pStyle w:val="AEDistrNormal6pt"/>
              <w:spacing w:before="0"/>
              <w:rPr>
                <w:sz w:val="24"/>
              </w:rPr>
            </w:pPr>
            <w:r w:rsidRPr="00C963FE">
              <w:rPr>
                <w:sz w:val="24"/>
              </w:rPr>
              <w:t xml:space="preserve">Original: English </w:t>
            </w:r>
          </w:p>
          <w:p w14:paraId="0D0A89D4" w14:textId="77777777" w:rsidR="008A1499" w:rsidRPr="00C963FE" w:rsidRDefault="008A1499" w:rsidP="008A1499">
            <w:pPr>
              <w:pStyle w:val="AEDistrNormal6pt"/>
              <w:rPr>
                <w:sz w:val="24"/>
              </w:rPr>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C963FE" w14:paraId="7DD2392B" w14:textId="77777777" w:rsidTr="008A1499">
        <w:trPr>
          <w:trHeight w:val="57"/>
        </w:trPr>
        <w:tc>
          <w:tcPr>
            <w:tcW w:w="6094" w:type="dxa"/>
          </w:tcPr>
          <w:p w14:paraId="7EE53D2B" w14:textId="77777777" w:rsidR="00C963FE" w:rsidRPr="00A17A43" w:rsidRDefault="00C963FE" w:rsidP="00C963FE">
            <w:pPr>
              <w:pStyle w:val="AFCorN12Bold"/>
              <w:rPr>
                <w:bCs/>
                <w:lang w:val="en-US" w:eastAsia="zh-CN"/>
              </w:rPr>
            </w:pPr>
            <w:r w:rsidRPr="00A17A43">
              <w:rPr>
                <w:rFonts w:hint="eastAsia"/>
                <w:bCs/>
                <w:lang w:eastAsia="zh-CN"/>
              </w:rPr>
              <w:t>作为卡塔赫纳生物安全议定书缔约方会议</w:t>
            </w:r>
            <w:r w:rsidRPr="00A17A43">
              <w:rPr>
                <w:bCs/>
                <w:lang w:eastAsia="zh-CN"/>
              </w:rPr>
              <w:br/>
            </w:r>
            <w:r w:rsidRPr="00A17A43">
              <w:rPr>
                <w:rFonts w:hint="eastAsia"/>
                <w:bCs/>
                <w:lang w:eastAsia="zh-CN"/>
              </w:rPr>
              <w:t>的生物多样性公约缔约方大会</w:t>
            </w:r>
          </w:p>
          <w:p w14:paraId="3B68A8D6" w14:textId="77777777" w:rsidR="00C963FE" w:rsidRPr="003F1A75" w:rsidRDefault="00C963FE" w:rsidP="00C963FE">
            <w:pPr>
              <w:pStyle w:val="AFCorN12Bold"/>
              <w:rPr>
                <w:lang w:eastAsia="zh-CN"/>
              </w:rPr>
            </w:pPr>
            <w:r w:rsidRPr="00A17A43">
              <w:rPr>
                <w:rFonts w:hint="eastAsia"/>
                <w:bCs/>
                <w:lang w:val="en-US" w:eastAsia="zh-CN"/>
              </w:rPr>
              <w:t>第十</w:t>
            </w:r>
            <w:r>
              <w:rPr>
                <w:rFonts w:hint="eastAsia"/>
                <w:bCs/>
                <w:lang w:val="en-US" w:eastAsia="zh-CN"/>
              </w:rPr>
              <w:t>二</w:t>
            </w:r>
            <w:r w:rsidRPr="00A17A43">
              <w:rPr>
                <w:rFonts w:hint="eastAsia"/>
                <w:bCs/>
                <w:lang w:val="en-US" w:eastAsia="zh-CN"/>
              </w:rPr>
              <w:t>次会议</w:t>
            </w:r>
          </w:p>
          <w:p w14:paraId="2AB875DF" w14:textId="3921EA4A" w:rsidR="008A1499" w:rsidRPr="00C963FE" w:rsidRDefault="00C963FE" w:rsidP="00C963FE">
            <w:pPr>
              <w:pStyle w:val="AFCorNNormal"/>
              <w:rPr>
                <w:sz w:val="24"/>
                <w:lang w:eastAsia="zh-CN"/>
              </w:rPr>
            </w:pPr>
            <w:r w:rsidRPr="00375D37">
              <w:rPr>
                <w:rFonts w:hint="eastAsia"/>
                <w:sz w:val="24"/>
                <w:lang w:eastAsia="zh-CN"/>
              </w:rPr>
              <w:t>2026</w:t>
            </w:r>
            <w:r w:rsidRPr="00375D37">
              <w:rPr>
                <w:rFonts w:hint="eastAsia"/>
                <w:sz w:val="24"/>
                <w:lang w:eastAsia="zh-CN"/>
              </w:rPr>
              <w:t>年</w:t>
            </w:r>
            <w:r w:rsidRPr="00375D37">
              <w:rPr>
                <w:rFonts w:hint="eastAsia"/>
                <w:sz w:val="24"/>
                <w:lang w:eastAsia="zh-CN"/>
              </w:rPr>
              <w:t>10</w:t>
            </w:r>
            <w:r w:rsidRPr="00375D37">
              <w:rPr>
                <w:rFonts w:hint="eastAsia"/>
                <w:sz w:val="24"/>
                <w:lang w:eastAsia="zh-CN"/>
              </w:rPr>
              <w:t>月</w:t>
            </w:r>
            <w:r w:rsidRPr="00375D37">
              <w:rPr>
                <w:rFonts w:hint="eastAsia"/>
                <w:sz w:val="24"/>
                <w:lang w:eastAsia="zh-CN"/>
              </w:rPr>
              <w:t>19</w:t>
            </w:r>
            <w:r w:rsidRPr="00375D37">
              <w:rPr>
                <w:rFonts w:hint="eastAsia"/>
                <w:sz w:val="24"/>
                <w:lang w:eastAsia="zh-CN"/>
              </w:rPr>
              <w:t>日至</w:t>
            </w:r>
            <w:r w:rsidRPr="00375D37">
              <w:rPr>
                <w:rFonts w:hint="eastAsia"/>
                <w:sz w:val="24"/>
                <w:lang w:eastAsia="zh-CN"/>
              </w:rPr>
              <w:t>30</w:t>
            </w:r>
            <w:r w:rsidRPr="00375D37">
              <w:rPr>
                <w:rFonts w:hint="eastAsia"/>
                <w:sz w:val="24"/>
                <w:lang w:eastAsia="zh-CN"/>
              </w:rPr>
              <w:t>日，埃里温</w:t>
            </w:r>
          </w:p>
          <w:p w14:paraId="018EC1BC" w14:textId="0751FCA8" w:rsidR="008A1499" w:rsidRPr="00C963FE" w:rsidRDefault="00C963FE" w:rsidP="008A1499">
            <w:pPr>
              <w:pStyle w:val="AFCorNNormal"/>
              <w:rPr>
                <w:sz w:val="24"/>
                <w:lang w:eastAsia="zh-CN"/>
              </w:rPr>
            </w:pPr>
            <w:r>
              <w:rPr>
                <w:rFonts w:hint="eastAsia"/>
                <w:sz w:val="24"/>
                <w:lang w:eastAsia="zh-CN"/>
              </w:rPr>
              <w:t>议程项目</w:t>
            </w:r>
            <w:r w:rsidR="00C76273" w:rsidRPr="00C963FE">
              <w:rPr>
                <w:sz w:val="24"/>
                <w:lang w:eastAsia="zh-CN"/>
              </w:rPr>
              <w:t>7</w:t>
            </w:r>
          </w:p>
          <w:p w14:paraId="5CAAF4FB" w14:textId="1E4A1917" w:rsidR="0027049E" w:rsidRPr="00C23670" w:rsidRDefault="00C963FE" w:rsidP="00C23670">
            <w:pPr>
              <w:pStyle w:val="AFCorNBold"/>
              <w:rPr>
                <w:sz w:val="24"/>
                <w:lang w:eastAsia="zh-CN"/>
              </w:rPr>
            </w:pPr>
            <w:r w:rsidRPr="00C963FE">
              <w:rPr>
                <w:rFonts w:hint="eastAsia"/>
                <w:sz w:val="24"/>
                <w:lang w:eastAsia="zh-CN"/>
              </w:rPr>
              <w:t>监测和报告</w:t>
            </w:r>
          </w:p>
        </w:tc>
        <w:tc>
          <w:tcPr>
            <w:tcW w:w="4388" w:type="dxa"/>
          </w:tcPr>
          <w:p w14:paraId="2585170E" w14:textId="77777777" w:rsidR="008A1499" w:rsidRPr="00C963FE" w:rsidRDefault="008A1499" w:rsidP="008A1499">
            <w:pPr>
              <w:pStyle w:val="CBDNormal"/>
              <w:jc w:val="left"/>
              <w:rPr>
                <w:sz w:val="24"/>
                <w:lang w:eastAsia="zh-CN"/>
              </w:rPr>
            </w:pPr>
          </w:p>
        </w:tc>
      </w:tr>
    </w:tbl>
    <w:p w14:paraId="04E81299" w14:textId="3E2DA75E" w:rsidR="00C9161D" w:rsidRPr="003F1A75" w:rsidRDefault="00000000" w:rsidP="00C963FE">
      <w:pPr>
        <w:pStyle w:val="CBDTitle"/>
        <w:ind w:left="490"/>
        <w:rPr>
          <w:caps/>
          <w:lang w:eastAsia="zh-CN"/>
        </w:rPr>
      </w:pPr>
      <w:sdt>
        <w:sdtPr>
          <w:rPr>
            <w:rFonts w:ascii="黑体" w:eastAsia="黑体" w:hAnsi="黑体" w:hint="eastAsia"/>
            <w:b w:val="0"/>
            <w:bCs/>
            <w:lang w:eastAsia="zh-CN"/>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C963FE" w:rsidRPr="00C963FE">
            <w:rPr>
              <w:rFonts w:ascii="黑体" w:eastAsia="黑体" w:hAnsi="黑体" w:hint="eastAsia"/>
              <w:b w:val="0"/>
              <w:bCs/>
              <w:lang w:eastAsia="zh-CN"/>
            </w:rPr>
            <w:t>监测和报告</w:t>
          </w:r>
        </w:sdtContent>
      </w:sdt>
      <w:r w:rsidR="00105372" w:rsidRPr="003F1A75">
        <w:rPr>
          <w:caps/>
          <w:lang w:eastAsia="zh-CN"/>
        </w:rPr>
        <w:t xml:space="preserve"> </w:t>
      </w:r>
    </w:p>
    <w:p w14:paraId="561E2151" w14:textId="19A808E4" w:rsidR="00F6586C" w:rsidRPr="00C963FE" w:rsidRDefault="00C963FE" w:rsidP="00C963FE">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第二工作组主席提交的决定草案</w:t>
      </w:r>
    </w:p>
    <w:p w14:paraId="550B7D3B" w14:textId="77777777" w:rsidR="00C963FE" w:rsidRPr="00C963FE" w:rsidRDefault="00C963FE" w:rsidP="00C963FE">
      <w:pPr>
        <w:tabs>
          <w:tab w:val="clear" w:pos="567"/>
          <w:tab w:val="clear" w:pos="1134"/>
          <w:tab w:val="clear" w:pos="1701"/>
          <w:tab w:val="clear" w:pos="2268"/>
        </w:tabs>
        <w:spacing w:before="120" w:after="120"/>
        <w:ind w:left="490" w:firstLine="490"/>
        <w:rPr>
          <w:rFonts w:eastAsia="楷体"/>
          <w:i/>
          <w:sz w:val="24"/>
          <w:szCs w:val="24"/>
          <w:lang w:eastAsia="zh-CN"/>
        </w:rPr>
      </w:pPr>
      <w:r w:rsidRPr="00C963FE">
        <w:rPr>
          <w:rFonts w:eastAsia="楷体" w:hint="eastAsia"/>
          <w:noProof/>
          <w:sz w:val="24"/>
          <w:szCs w:val="24"/>
          <w:lang w:eastAsia="zh-CN"/>
        </w:rPr>
        <w:t>作为卡塔赫纳议定书缔约方会议的缔约方大会，</w:t>
      </w:r>
    </w:p>
    <w:p w14:paraId="34D01FF8" w14:textId="77777777" w:rsidR="00C963FE" w:rsidRPr="00C963FE" w:rsidRDefault="00C963FE" w:rsidP="00C963FE">
      <w:pPr>
        <w:tabs>
          <w:tab w:val="clear" w:pos="567"/>
          <w:tab w:val="clear" w:pos="1134"/>
          <w:tab w:val="clear" w:pos="1701"/>
          <w:tab w:val="clear" w:pos="2268"/>
        </w:tabs>
        <w:spacing w:before="120" w:after="120"/>
        <w:ind w:left="490"/>
        <w:rPr>
          <w:sz w:val="24"/>
          <w:szCs w:val="24"/>
          <w:lang w:eastAsia="zh-CN"/>
        </w:rPr>
      </w:pPr>
      <w:r w:rsidRPr="00C963FE">
        <w:rPr>
          <w:i/>
          <w:sz w:val="24"/>
          <w:szCs w:val="24"/>
          <w:lang w:eastAsia="zh-CN"/>
        </w:rPr>
        <w:tab/>
      </w:r>
      <w:r w:rsidRPr="00C963FE">
        <w:rPr>
          <w:rFonts w:eastAsia="楷体" w:hint="eastAsia"/>
          <w:sz w:val="24"/>
          <w:szCs w:val="24"/>
          <w:lang w:val="zh-CN" w:eastAsia="zh-CN"/>
        </w:rPr>
        <w:t>回顾</w:t>
      </w:r>
      <w:r w:rsidRPr="00C963FE">
        <w:rPr>
          <w:rFonts w:hint="eastAsia"/>
          <w:sz w:val="24"/>
          <w:szCs w:val="24"/>
          <w:lang w:val="zh-CN" w:eastAsia="zh-CN"/>
        </w:rPr>
        <w:t>《卡塔赫纳生物安全议定书》</w:t>
      </w:r>
      <w:r w:rsidRPr="00C963FE">
        <w:rPr>
          <w:sz w:val="24"/>
          <w:szCs w:val="24"/>
          <w:vertAlign w:val="superscript"/>
          <w:lang w:val="zh-CN" w:eastAsia="zh-CN"/>
        </w:rPr>
        <w:footnoteReference w:id="1"/>
      </w:r>
      <w:r w:rsidRPr="00C963FE">
        <w:rPr>
          <w:rFonts w:hint="eastAsia"/>
          <w:sz w:val="24"/>
          <w:szCs w:val="24"/>
          <w:lang w:val="zh-CN" w:eastAsia="zh-CN"/>
        </w:rPr>
        <w:t>第</w:t>
      </w:r>
      <w:r w:rsidRPr="00C963FE">
        <w:rPr>
          <w:noProof/>
          <w:sz w:val="24"/>
          <w:szCs w:val="24"/>
          <w:lang w:eastAsia="zh-CN"/>
        </w:rPr>
        <w:t>33</w:t>
      </w:r>
      <w:r w:rsidRPr="00C963FE">
        <w:rPr>
          <w:rFonts w:hint="eastAsia"/>
          <w:sz w:val="24"/>
          <w:szCs w:val="24"/>
          <w:lang w:val="zh-CN" w:eastAsia="zh-CN"/>
        </w:rPr>
        <w:t>条及其</w:t>
      </w:r>
      <w:smartTag w:uri="urn:schemas-microsoft-com:office:smarttags" w:element="chsdate">
        <w:smartTagPr>
          <w:attr w:name="IsROCDate" w:val="False"/>
          <w:attr w:name="IsLunarDate" w:val="False"/>
          <w:attr w:name="Day" w:val="25"/>
          <w:attr w:name="Month" w:val="10"/>
          <w:attr w:name="Year" w:val="2024"/>
        </w:smartTagPr>
        <w:r w:rsidRPr="00C963FE">
          <w:rPr>
            <w:noProof/>
            <w:sz w:val="24"/>
            <w:szCs w:val="24"/>
            <w:lang w:eastAsia="zh-CN"/>
          </w:rPr>
          <w:t>2022</w:t>
        </w:r>
        <w:r w:rsidRPr="00C963FE">
          <w:rPr>
            <w:rFonts w:hint="eastAsia"/>
            <w:sz w:val="24"/>
            <w:szCs w:val="24"/>
            <w:lang w:val="zh-CN" w:eastAsia="zh-CN"/>
          </w:rPr>
          <w:t>年</w:t>
        </w:r>
        <w:r w:rsidRPr="00C963FE">
          <w:rPr>
            <w:noProof/>
            <w:sz w:val="24"/>
            <w:szCs w:val="24"/>
            <w:lang w:eastAsia="zh-CN"/>
          </w:rPr>
          <w:t>12</w:t>
        </w:r>
        <w:r w:rsidRPr="00C963FE">
          <w:rPr>
            <w:rFonts w:hint="eastAsia"/>
            <w:sz w:val="24"/>
            <w:szCs w:val="24"/>
            <w:lang w:val="zh-CN" w:eastAsia="zh-CN"/>
          </w:rPr>
          <w:t>月</w:t>
        </w:r>
        <w:r w:rsidRPr="00C963FE">
          <w:rPr>
            <w:noProof/>
            <w:sz w:val="24"/>
            <w:szCs w:val="24"/>
            <w:lang w:eastAsia="zh-CN"/>
          </w:rPr>
          <w:t>10</w:t>
        </w:r>
        <w:r w:rsidRPr="00C963FE">
          <w:rPr>
            <w:rFonts w:hint="eastAsia"/>
            <w:sz w:val="24"/>
            <w:szCs w:val="24"/>
            <w:lang w:val="zh-CN" w:eastAsia="zh-CN"/>
          </w:rPr>
          <w:t>日</w:t>
        </w:r>
      </w:smartTag>
      <w:r w:rsidRPr="00C963FE">
        <w:rPr>
          <w:noProof/>
          <w:color w:val="008000"/>
          <w:sz w:val="24"/>
          <w:szCs w:val="24"/>
          <w:lang w:eastAsia="zh-CN"/>
        </w:rPr>
        <w:fldChar w:fldCharType="begin"/>
      </w:r>
      <w:r w:rsidRPr="00C963FE">
        <w:rPr>
          <w:noProof/>
          <w:color w:val="008000"/>
          <w:sz w:val="24"/>
          <w:szCs w:val="24"/>
          <w:lang w:eastAsia="zh-CN"/>
        </w:rPr>
        <w:instrText>HYPERLINK "https://www.cbd.int/decisions/mop?m=cp-mop-10"</w:instrText>
      </w:r>
      <w:r w:rsidRPr="00C963FE">
        <w:rPr>
          <w:noProof/>
          <w:color w:val="008000"/>
          <w:sz w:val="24"/>
          <w:szCs w:val="24"/>
          <w:lang w:eastAsia="zh-CN"/>
        </w:rPr>
      </w:r>
      <w:r w:rsidRPr="00C963FE">
        <w:rPr>
          <w:noProof/>
          <w:color w:val="008000"/>
          <w:sz w:val="24"/>
          <w:szCs w:val="24"/>
          <w:lang w:eastAsia="zh-CN"/>
        </w:rPr>
        <w:fldChar w:fldCharType="separate"/>
      </w:r>
      <w:r w:rsidRPr="00C963FE">
        <w:rPr>
          <w:noProof/>
          <w:color w:val="0000FF"/>
          <w:sz w:val="24"/>
          <w:szCs w:val="24"/>
          <w:u w:val="single"/>
          <w:lang w:eastAsia="zh-CN"/>
        </w:rPr>
        <w:t>CP-10/9</w:t>
      </w:r>
      <w:r w:rsidRPr="00C963FE">
        <w:rPr>
          <w:noProof/>
          <w:color w:val="008000"/>
          <w:sz w:val="24"/>
          <w:szCs w:val="24"/>
          <w:lang w:eastAsia="zh-CN"/>
        </w:rPr>
        <w:fldChar w:fldCharType="end"/>
      </w:r>
      <w:r w:rsidRPr="00C963FE">
        <w:rPr>
          <w:rFonts w:hint="eastAsia"/>
          <w:sz w:val="24"/>
          <w:szCs w:val="24"/>
          <w:lang w:val="zh-CN" w:eastAsia="zh-CN"/>
        </w:rPr>
        <w:t>号决定</w:t>
      </w:r>
      <w:r w:rsidRPr="00C963FE">
        <w:rPr>
          <w:rFonts w:hint="eastAsia"/>
          <w:noProof/>
          <w:sz w:val="24"/>
          <w:szCs w:val="24"/>
          <w:lang w:eastAsia="zh-CN"/>
        </w:rPr>
        <w:t>，</w:t>
      </w:r>
      <w:r w:rsidRPr="00C963FE">
        <w:rPr>
          <w:rFonts w:hint="eastAsia"/>
          <w:sz w:val="24"/>
          <w:szCs w:val="24"/>
          <w:lang w:val="zh-CN" w:eastAsia="zh-CN"/>
        </w:rPr>
        <w:t>其中要求缔约方向秘书处提交关于《议定书》实施情况的第五次国家报告</w:t>
      </w:r>
      <w:r w:rsidRPr="00C963FE">
        <w:rPr>
          <w:rFonts w:hint="eastAsia"/>
          <w:noProof/>
          <w:sz w:val="24"/>
          <w:szCs w:val="24"/>
          <w:lang w:eastAsia="zh-CN"/>
        </w:rPr>
        <w:t>，</w:t>
      </w:r>
    </w:p>
    <w:p w14:paraId="2F673746" w14:textId="77777777" w:rsidR="00C963FE" w:rsidRPr="00C963FE" w:rsidRDefault="00C963FE" w:rsidP="00C963FE">
      <w:pPr>
        <w:tabs>
          <w:tab w:val="clear" w:pos="567"/>
          <w:tab w:val="clear" w:pos="1134"/>
          <w:tab w:val="clear" w:pos="1701"/>
          <w:tab w:val="clear" w:pos="2268"/>
        </w:tabs>
        <w:spacing w:before="120" w:after="120"/>
        <w:ind w:left="490" w:firstLine="567"/>
        <w:rPr>
          <w:sz w:val="24"/>
          <w:szCs w:val="24"/>
          <w:lang w:eastAsia="zh-CN"/>
        </w:rPr>
      </w:pPr>
      <w:r w:rsidRPr="00C963FE">
        <w:rPr>
          <w:sz w:val="24"/>
          <w:szCs w:val="24"/>
          <w:lang w:eastAsia="zh-CN"/>
        </w:rPr>
        <w:t>1.</w:t>
      </w:r>
      <w:r w:rsidRPr="00C963FE">
        <w:rPr>
          <w:sz w:val="24"/>
          <w:szCs w:val="24"/>
          <w:lang w:eastAsia="zh-CN"/>
        </w:rPr>
        <w:tab/>
      </w:r>
      <w:r w:rsidRPr="00C963FE">
        <w:rPr>
          <w:rFonts w:eastAsia="楷体" w:hint="eastAsia"/>
          <w:sz w:val="24"/>
          <w:szCs w:val="24"/>
          <w:lang w:val="zh-CN" w:eastAsia="zh-CN"/>
        </w:rPr>
        <w:t>欢迎</w:t>
      </w:r>
      <w:r w:rsidRPr="00C963FE">
        <w:rPr>
          <w:rFonts w:hint="eastAsia"/>
          <w:sz w:val="24"/>
          <w:szCs w:val="24"/>
          <w:lang w:val="zh-CN" w:eastAsia="zh-CN"/>
        </w:rPr>
        <w:t>超过三分之二的缔约方在报告截止日期前提交了关于实施《卡塔赫纳生物安全议定书》的第五次国家报告</w:t>
      </w:r>
      <w:r w:rsidRPr="00C963FE">
        <w:rPr>
          <w:rFonts w:hint="eastAsia"/>
          <w:noProof/>
          <w:sz w:val="24"/>
          <w:szCs w:val="24"/>
          <w:lang w:eastAsia="zh-CN"/>
        </w:rPr>
        <w:t>；</w:t>
      </w:r>
    </w:p>
    <w:p w14:paraId="25C04B87" w14:textId="77777777" w:rsidR="00C963FE" w:rsidRPr="00C963FE" w:rsidRDefault="00C963FE" w:rsidP="00C963FE">
      <w:pPr>
        <w:tabs>
          <w:tab w:val="clear" w:pos="567"/>
          <w:tab w:val="clear" w:pos="1134"/>
          <w:tab w:val="clear" w:pos="1701"/>
          <w:tab w:val="clear" w:pos="2268"/>
        </w:tabs>
        <w:spacing w:before="120" w:after="120"/>
        <w:ind w:left="490" w:firstLine="567"/>
        <w:rPr>
          <w:sz w:val="24"/>
          <w:szCs w:val="24"/>
          <w:lang w:eastAsia="zh-CN"/>
        </w:rPr>
      </w:pPr>
      <w:r w:rsidRPr="00C963FE">
        <w:rPr>
          <w:sz w:val="24"/>
          <w:szCs w:val="24"/>
          <w:lang w:eastAsia="zh-CN"/>
        </w:rPr>
        <w:t>2.</w:t>
      </w:r>
      <w:r w:rsidRPr="00C963FE">
        <w:rPr>
          <w:sz w:val="24"/>
          <w:szCs w:val="24"/>
          <w:lang w:eastAsia="zh-CN"/>
        </w:rPr>
        <w:tab/>
      </w:r>
      <w:r w:rsidRPr="00C963FE">
        <w:rPr>
          <w:rFonts w:eastAsia="楷体" w:hint="eastAsia"/>
          <w:sz w:val="24"/>
          <w:szCs w:val="24"/>
          <w:lang w:val="zh-CN" w:eastAsia="zh-CN"/>
        </w:rPr>
        <w:t>提醒</w:t>
      </w:r>
      <w:r w:rsidRPr="00C963FE">
        <w:rPr>
          <w:rFonts w:hint="eastAsia"/>
          <w:sz w:val="24"/>
          <w:szCs w:val="24"/>
          <w:lang w:val="zh-CN" w:eastAsia="zh-CN"/>
        </w:rPr>
        <w:t>尚未提交第五次国家报告的缔约方尽快通过生物安全信息交换所提交报告</w:t>
      </w:r>
      <w:r w:rsidRPr="00C963FE">
        <w:rPr>
          <w:rFonts w:hint="eastAsia"/>
          <w:noProof/>
          <w:sz w:val="24"/>
          <w:szCs w:val="24"/>
          <w:lang w:eastAsia="zh-CN"/>
        </w:rPr>
        <w:t>；</w:t>
      </w:r>
    </w:p>
    <w:p w14:paraId="5D1E3E60" w14:textId="77777777" w:rsidR="00C963FE" w:rsidRPr="00C963FE" w:rsidRDefault="00C963FE" w:rsidP="00C963FE">
      <w:pPr>
        <w:tabs>
          <w:tab w:val="clear" w:pos="567"/>
          <w:tab w:val="clear" w:pos="1134"/>
          <w:tab w:val="clear" w:pos="1701"/>
          <w:tab w:val="clear" w:pos="2268"/>
        </w:tabs>
        <w:spacing w:before="120" w:after="120"/>
        <w:ind w:left="490" w:firstLine="567"/>
        <w:rPr>
          <w:sz w:val="24"/>
          <w:szCs w:val="24"/>
          <w:lang w:eastAsia="zh-CN"/>
        </w:rPr>
      </w:pPr>
      <w:r w:rsidRPr="00C963FE">
        <w:rPr>
          <w:sz w:val="24"/>
          <w:szCs w:val="24"/>
          <w:lang w:eastAsia="zh-CN"/>
        </w:rPr>
        <w:t>3.</w:t>
      </w:r>
      <w:r w:rsidRPr="00C963FE">
        <w:rPr>
          <w:sz w:val="24"/>
          <w:szCs w:val="24"/>
          <w:lang w:eastAsia="zh-CN"/>
        </w:rPr>
        <w:tab/>
      </w:r>
      <w:r w:rsidRPr="00C963FE">
        <w:rPr>
          <w:rFonts w:eastAsia="楷体" w:hint="eastAsia"/>
          <w:sz w:val="24"/>
          <w:szCs w:val="24"/>
          <w:lang w:val="zh-CN" w:eastAsia="zh-CN"/>
        </w:rPr>
        <w:t>表示赞赏</w:t>
      </w:r>
      <w:r w:rsidRPr="00C963FE">
        <w:rPr>
          <w:rFonts w:hint="eastAsia"/>
          <w:sz w:val="24"/>
          <w:szCs w:val="24"/>
          <w:lang w:val="zh-CN" w:eastAsia="zh-CN"/>
        </w:rPr>
        <w:t>全球环境基金和联合国环境规划署向符合条件的缔约方编制和提交第五次国家报告提供的支持</w:t>
      </w:r>
      <w:r w:rsidRPr="00C963FE">
        <w:rPr>
          <w:rFonts w:hint="eastAsia"/>
          <w:noProof/>
          <w:sz w:val="24"/>
          <w:szCs w:val="24"/>
          <w:lang w:eastAsia="zh-CN"/>
        </w:rPr>
        <w:t>；</w:t>
      </w:r>
    </w:p>
    <w:p w14:paraId="6C4BDBE3" w14:textId="77777777" w:rsidR="00C963FE" w:rsidRDefault="00C963FE" w:rsidP="00C963FE">
      <w:pPr>
        <w:tabs>
          <w:tab w:val="clear" w:pos="567"/>
          <w:tab w:val="clear" w:pos="1134"/>
          <w:tab w:val="clear" w:pos="1701"/>
          <w:tab w:val="clear" w:pos="2268"/>
        </w:tabs>
        <w:spacing w:before="120" w:after="120"/>
        <w:ind w:left="490" w:firstLine="567"/>
        <w:rPr>
          <w:noProof/>
          <w:sz w:val="24"/>
          <w:szCs w:val="24"/>
          <w:lang w:eastAsia="zh-CN"/>
        </w:rPr>
      </w:pPr>
      <w:r w:rsidRPr="00C963FE">
        <w:rPr>
          <w:sz w:val="24"/>
          <w:szCs w:val="24"/>
          <w:lang w:eastAsia="zh-CN"/>
        </w:rPr>
        <w:t>4.</w:t>
      </w:r>
      <w:r w:rsidRPr="00C963FE">
        <w:rPr>
          <w:sz w:val="24"/>
          <w:szCs w:val="24"/>
          <w:lang w:eastAsia="zh-CN"/>
        </w:rPr>
        <w:tab/>
      </w:r>
      <w:r w:rsidRPr="00C963FE">
        <w:rPr>
          <w:rFonts w:eastAsia="楷体" w:hint="eastAsia"/>
          <w:sz w:val="24"/>
          <w:szCs w:val="24"/>
          <w:lang w:val="zh-CN" w:eastAsia="zh-CN"/>
        </w:rPr>
        <w:t>注意到</w:t>
      </w:r>
      <w:r w:rsidRPr="00C963FE">
        <w:rPr>
          <w:rFonts w:hint="eastAsia"/>
          <w:sz w:val="24"/>
          <w:szCs w:val="24"/>
          <w:lang w:val="zh-CN" w:eastAsia="zh-CN"/>
        </w:rPr>
        <w:t>第六次国家报告应于</w:t>
      </w:r>
      <w:smartTag w:uri="urn:schemas-microsoft-com:office:smarttags" w:element="chsdate">
        <w:smartTagPr>
          <w:attr w:name="IsROCDate" w:val="False"/>
          <w:attr w:name="IsLunarDate" w:val="False"/>
          <w:attr w:name="Day" w:val="25"/>
          <w:attr w:name="Month" w:val="10"/>
          <w:attr w:name="Year" w:val="2024"/>
        </w:smartTagPr>
        <w:r w:rsidRPr="00C963FE">
          <w:rPr>
            <w:noProof/>
            <w:sz w:val="24"/>
            <w:szCs w:val="24"/>
            <w:lang w:eastAsia="zh-CN"/>
          </w:rPr>
          <w:t>2029</w:t>
        </w:r>
        <w:r w:rsidRPr="00C963FE">
          <w:rPr>
            <w:rFonts w:hint="eastAsia"/>
            <w:sz w:val="24"/>
            <w:szCs w:val="24"/>
            <w:lang w:val="zh-CN" w:eastAsia="zh-CN"/>
          </w:rPr>
          <w:t>年</w:t>
        </w:r>
        <w:r w:rsidRPr="00C963FE">
          <w:rPr>
            <w:noProof/>
            <w:sz w:val="24"/>
            <w:szCs w:val="24"/>
            <w:lang w:eastAsia="zh-CN"/>
          </w:rPr>
          <w:t>6</w:t>
        </w:r>
        <w:r w:rsidRPr="00C963FE">
          <w:rPr>
            <w:rFonts w:hint="eastAsia"/>
            <w:sz w:val="24"/>
            <w:szCs w:val="24"/>
            <w:lang w:val="zh-CN" w:eastAsia="zh-CN"/>
          </w:rPr>
          <w:t>月</w:t>
        </w:r>
        <w:r w:rsidRPr="00C963FE">
          <w:rPr>
            <w:noProof/>
            <w:sz w:val="24"/>
            <w:szCs w:val="24"/>
            <w:lang w:eastAsia="zh-CN"/>
          </w:rPr>
          <w:t>30</w:t>
        </w:r>
        <w:r w:rsidRPr="00C963FE">
          <w:rPr>
            <w:rFonts w:hint="eastAsia"/>
            <w:sz w:val="24"/>
            <w:szCs w:val="24"/>
            <w:lang w:val="zh-CN" w:eastAsia="zh-CN"/>
          </w:rPr>
          <w:t>日</w:t>
        </w:r>
      </w:smartTag>
      <w:r w:rsidRPr="00C963FE">
        <w:rPr>
          <w:rFonts w:hint="eastAsia"/>
          <w:sz w:val="24"/>
          <w:szCs w:val="24"/>
          <w:lang w:val="zh-CN" w:eastAsia="zh-CN"/>
        </w:rPr>
        <w:t>之前提交</w:t>
      </w:r>
      <w:r w:rsidRPr="00C963FE">
        <w:rPr>
          <w:rFonts w:hint="eastAsia"/>
          <w:noProof/>
          <w:sz w:val="24"/>
          <w:szCs w:val="24"/>
          <w:lang w:eastAsia="zh-CN"/>
        </w:rPr>
        <w:t>；</w:t>
      </w:r>
    </w:p>
    <w:p w14:paraId="108BEF5A" w14:textId="10CF3667" w:rsidR="00C963FE" w:rsidRPr="00C963FE" w:rsidRDefault="00C963FE" w:rsidP="00C963FE">
      <w:pPr>
        <w:tabs>
          <w:tab w:val="clear" w:pos="567"/>
          <w:tab w:val="clear" w:pos="1134"/>
          <w:tab w:val="clear" w:pos="1701"/>
          <w:tab w:val="clear" w:pos="2268"/>
        </w:tabs>
        <w:spacing w:before="120" w:after="120"/>
        <w:ind w:left="490" w:firstLine="567"/>
        <w:rPr>
          <w:sz w:val="24"/>
          <w:szCs w:val="24"/>
          <w:lang w:eastAsia="zh-CN"/>
        </w:rPr>
      </w:pPr>
      <w:r>
        <w:rPr>
          <w:rFonts w:hint="eastAsia"/>
          <w:noProof/>
          <w:sz w:val="24"/>
          <w:szCs w:val="24"/>
          <w:lang w:eastAsia="zh-CN"/>
        </w:rPr>
        <w:t>5.</w:t>
      </w:r>
      <w:r>
        <w:rPr>
          <w:noProof/>
          <w:sz w:val="24"/>
          <w:szCs w:val="24"/>
          <w:lang w:eastAsia="zh-CN"/>
        </w:rPr>
        <w:tab/>
      </w:r>
      <w:r w:rsidRPr="00C963FE">
        <w:rPr>
          <w:rFonts w:eastAsia="楷体" w:hint="eastAsia"/>
          <w:sz w:val="24"/>
          <w:szCs w:val="24"/>
          <w:lang w:val="zh-CN" w:eastAsia="zh-CN"/>
        </w:rPr>
        <w:t>邀请</w:t>
      </w:r>
      <w:r>
        <w:rPr>
          <w:rFonts w:hint="eastAsia"/>
          <w:noProof/>
          <w:sz w:val="24"/>
          <w:szCs w:val="24"/>
          <w:lang w:eastAsia="zh-CN"/>
        </w:rPr>
        <w:t>缔约方分享在为《公约》及其议定书编写综合报告过程中吸取的经验教训，以便改进下一个报告周期的国家报告进程；</w:t>
      </w:r>
    </w:p>
    <w:p w14:paraId="702DD22E" w14:textId="00884B0E" w:rsidR="004B60B3" w:rsidRPr="00C963FE" w:rsidRDefault="00C963FE" w:rsidP="00C963FE">
      <w:pPr>
        <w:pStyle w:val="CBDNormalNumber"/>
        <w:numPr>
          <w:ilvl w:val="0"/>
          <w:numId w:val="0"/>
        </w:numPr>
        <w:tabs>
          <w:tab w:val="clear" w:pos="567"/>
          <w:tab w:val="clear" w:pos="1134"/>
          <w:tab w:val="clear" w:pos="1701"/>
          <w:tab w:val="clear" w:pos="2268"/>
          <w:tab w:val="clear" w:pos="2835"/>
          <w:tab w:val="clear" w:pos="3402"/>
          <w:tab w:val="clear" w:pos="3969"/>
        </w:tabs>
        <w:ind w:left="490" w:firstLine="567"/>
        <w:rPr>
          <w:sz w:val="24"/>
          <w:lang w:eastAsia="zh-CN"/>
        </w:rPr>
      </w:pPr>
      <w:r>
        <w:rPr>
          <w:rFonts w:hint="eastAsia"/>
          <w:sz w:val="24"/>
          <w:szCs w:val="24"/>
          <w:lang w:eastAsia="zh-CN"/>
        </w:rPr>
        <w:t>6</w:t>
      </w:r>
      <w:r w:rsidRPr="00C963FE">
        <w:rPr>
          <w:sz w:val="24"/>
          <w:szCs w:val="24"/>
          <w:lang w:eastAsia="zh-CN"/>
        </w:rPr>
        <w:t>.</w:t>
      </w:r>
      <w:r w:rsidRPr="00C963FE">
        <w:rPr>
          <w:sz w:val="24"/>
          <w:szCs w:val="24"/>
          <w:lang w:eastAsia="zh-CN"/>
        </w:rPr>
        <w:tab/>
      </w:r>
      <w:r w:rsidRPr="00C963FE">
        <w:rPr>
          <w:rFonts w:eastAsia="楷体" w:hint="eastAsia"/>
          <w:sz w:val="24"/>
          <w:szCs w:val="24"/>
          <w:lang w:val="zh-CN" w:eastAsia="zh-CN"/>
        </w:rPr>
        <w:t>请</w:t>
      </w:r>
      <w:r w:rsidRPr="00C963FE">
        <w:rPr>
          <w:rFonts w:hint="eastAsia"/>
          <w:sz w:val="24"/>
          <w:szCs w:val="24"/>
          <w:lang w:val="zh-CN" w:eastAsia="zh-CN"/>
        </w:rPr>
        <w:t>执行秘书考虑到缔约方在第五次国家报告提出的意见</w:t>
      </w:r>
      <w:r w:rsidRPr="00C963FE">
        <w:rPr>
          <w:rFonts w:hint="eastAsia"/>
          <w:noProof/>
          <w:sz w:val="24"/>
          <w:szCs w:val="24"/>
          <w:lang w:eastAsia="zh-CN"/>
        </w:rPr>
        <w:t>，</w:t>
      </w:r>
      <w:r w:rsidRPr="00C963FE">
        <w:rPr>
          <w:rFonts w:hint="eastAsia"/>
          <w:sz w:val="24"/>
          <w:szCs w:val="24"/>
          <w:lang w:val="zh-CN" w:eastAsia="zh-CN"/>
        </w:rPr>
        <w:t>编写第六次国家报告的格式</w:t>
      </w:r>
      <w:r w:rsidRPr="00C963FE">
        <w:rPr>
          <w:rFonts w:hint="eastAsia"/>
          <w:noProof/>
          <w:sz w:val="24"/>
          <w:szCs w:val="24"/>
          <w:lang w:eastAsia="zh-CN"/>
        </w:rPr>
        <w:t>，</w:t>
      </w:r>
      <w:r w:rsidRPr="00C963FE">
        <w:rPr>
          <w:rFonts w:hint="eastAsia"/>
          <w:sz w:val="24"/>
          <w:szCs w:val="24"/>
          <w:lang w:val="zh-CN" w:eastAsia="zh-CN"/>
        </w:rPr>
        <w:t>同时保持问题</w:t>
      </w:r>
      <w:r>
        <w:rPr>
          <w:rFonts w:hint="eastAsia"/>
          <w:sz w:val="24"/>
          <w:szCs w:val="24"/>
          <w:lang w:val="zh-CN" w:eastAsia="zh-CN"/>
        </w:rPr>
        <w:t>在</w:t>
      </w:r>
      <w:r w:rsidR="00C23670">
        <w:rPr>
          <w:rFonts w:hint="eastAsia"/>
          <w:sz w:val="24"/>
          <w:szCs w:val="24"/>
          <w:lang w:val="zh-CN" w:eastAsia="zh-CN"/>
        </w:rPr>
        <w:t>内容、</w:t>
      </w:r>
      <w:r>
        <w:rPr>
          <w:rFonts w:hint="eastAsia"/>
          <w:sz w:val="24"/>
          <w:szCs w:val="24"/>
          <w:lang w:val="zh-CN" w:eastAsia="zh-CN"/>
        </w:rPr>
        <w:t>结构和格式上的</w:t>
      </w:r>
      <w:r w:rsidRPr="00C963FE">
        <w:rPr>
          <w:rFonts w:hint="eastAsia"/>
          <w:sz w:val="24"/>
          <w:szCs w:val="24"/>
          <w:lang w:val="zh-CN" w:eastAsia="zh-CN"/>
        </w:rPr>
        <w:t>连续性</w:t>
      </w:r>
      <w:r w:rsidRPr="00C963FE">
        <w:rPr>
          <w:rFonts w:hint="eastAsia"/>
          <w:noProof/>
          <w:sz w:val="24"/>
          <w:szCs w:val="24"/>
          <w:lang w:eastAsia="zh-CN"/>
        </w:rPr>
        <w:t>，</w:t>
      </w:r>
      <w:r w:rsidRPr="00C963FE">
        <w:rPr>
          <w:rFonts w:hint="eastAsia"/>
          <w:sz w:val="24"/>
          <w:szCs w:val="24"/>
          <w:lang w:val="zh-CN" w:eastAsia="zh-CN"/>
        </w:rPr>
        <w:t>以便根据《卡塔赫纳议定书执行计划》的指标衡量进展情况</w:t>
      </w:r>
      <w:r w:rsidRPr="00C963FE">
        <w:rPr>
          <w:rFonts w:hint="eastAsia"/>
          <w:noProof/>
          <w:sz w:val="24"/>
          <w:szCs w:val="24"/>
          <w:lang w:eastAsia="zh-CN"/>
        </w:rPr>
        <w:t>，</w:t>
      </w:r>
      <w:r w:rsidRPr="00C963FE">
        <w:rPr>
          <w:sz w:val="24"/>
          <w:szCs w:val="24"/>
          <w:vertAlign w:val="superscript"/>
          <w:lang w:val="zh-CN" w:eastAsia="zh-CN"/>
        </w:rPr>
        <w:footnoteReference w:id="2"/>
      </w:r>
      <w:r w:rsidRPr="00C963FE">
        <w:rPr>
          <w:rFonts w:hint="eastAsia"/>
          <w:sz w:val="24"/>
          <w:szCs w:val="24"/>
          <w:lang w:val="zh-CN" w:eastAsia="zh-CN"/>
        </w:rPr>
        <w:t>并将该格式提交作为议定书缔约方会议的缔约方大会第十三届会议审议。</w:t>
      </w:r>
    </w:p>
    <w:p w14:paraId="4E687CBF" w14:textId="359B5B70" w:rsidR="00A111D1" w:rsidRPr="00C963FE" w:rsidRDefault="00A111D1" w:rsidP="00975047">
      <w:pPr>
        <w:pStyle w:val="Para1"/>
        <w:numPr>
          <w:ilvl w:val="0"/>
          <w:numId w:val="0"/>
        </w:numPr>
        <w:ind w:left="567"/>
        <w:jc w:val="center"/>
        <w:rPr>
          <w:sz w:val="24"/>
        </w:rPr>
      </w:pPr>
      <w:r w:rsidRPr="00C963FE">
        <w:rPr>
          <w:sz w:val="24"/>
        </w:rPr>
        <w:t>_______</w:t>
      </w:r>
      <w:r w:rsidR="004B60B3" w:rsidRPr="00C963FE">
        <w:rPr>
          <w:sz w:val="24"/>
        </w:rPr>
        <w:t>___</w:t>
      </w:r>
    </w:p>
    <w:sectPr w:rsidR="00A111D1" w:rsidRPr="00C963FE" w:rsidSect="00C72AAE">
      <w:headerReference w:type="even" r:id="rId15"/>
      <w:headerReference w:type="default" r:id="rId16"/>
      <w:footerReference w:type="even" r:id="rId17"/>
      <w:footerReference w:type="default" r:id="rId18"/>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D7975" w14:textId="77777777" w:rsidR="0008608F" w:rsidRPr="003F1A75" w:rsidRDefault="0008608F" w:rsidP="00CF1848">
      <w:r w:rsidRPr="003F1A75">
        <w:separator/>
      </w:r>
    </w:p>
  </w:endnote>
  <w:endnote w:type="continuationSeparator" w:id="0">
    <w:p w14:paraId="7412966E" w14:textId="77777777" w:rsidR="0008608F" w:rsidRPr="003F1A75" w:rsidRDefault="0008608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Footer"/>
              <w:jc w:val="left"/>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noProof/>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noProof/>
                <w:szCs w:val="20"/>
              </w:rPr>
              <w:t>2</w:t>
            </w:r>
            <w:r w:rsidRPr="003F1A75">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32414" w14:textId="77777777" w:rsidR="0008608F" w:rsidRPr="003F1A75" w:rsidRDefault="0008608F" w:rsidP="00CF1848">
      <w:r w:rsidRPr="003F1A75">
        <w:separator/>
      </w:r>
    </w:p>
  </w:footnote>
  <w:footnote w:type="continuationSeparator" w:id="0">
    <w:p w14:paraId="19B86C99" w14:textId="77777777" w:rsidR="0008608F" w:rsidRPr="003F1A75" w:rsidRDefault="0008608F" w:rsidP="00CF1848">
      <w:r w:rsidRPr="003F1A75">
        <w:continuationSeparator/>
      </w:r>
    </w:p>
  </w:footnote>
  <w:footnote w:id="1">
    <w:p w14:paraId="620584F8" w14:textId="77777777" w:rsidR="00C963FE" w:rsidRDefault="00C963FE" w:rsidP="00C963FE">
      <w:pPr>
        <w:pStyle w:val="FootnoteText"/>
        <w:rPr>
          <w:lang w:eastAsia="zh-CN"/>
        </w:rPr>
      </w:pPr>
      <w:r w:rsidRPr="00CE6E6F">
        <w:rPr>
          <w:rStyle w:val="FootnoteReference"/>
          <w:sz w:val="20"/>
        </w:rPr>
        <w:footnoteRef/>
      </w:r>
      <w:r w:rsidRPr="00CE6E6F">
        <w:rPr>
          <w:sz w:val="20"/>
          <w:lang w:eastAsia="zh-CN"/>
        </w:rPr>
        <w:t xml:space="preserve"> </w:t>
      </w:r>
      <w:r w:rsidRPr="00CE6E6F">
        <w:rPr>
          <w:rFonts w:hint="eastAsia"/>
          <w:noProof/>
          <w:sz w:val="20"/>
          <w:lang w:eastAsia="zh-CN"/>
        </w:rPr>
        <w:t>联合国，《</w:t>
      </w:r>
      <w:r w:rsidRPr="00CE6E6F">
        <w:rPr>
          <w:rFonts w:eastAsia="楷体" w:hint="eastAsia"/>
          <w:noProof/>
          <w:sz w:val="20"/>
          <w:lang w:eastAsia="zh-CN"/>
        </w:rPr>
        <w:t>条约汇编</w:t>
      </w:r>
      <w:r w:rsidRPr="00CE6E6F">
        <w:rPr>
          <w:rFonts w:hint="eastAsia"/>
          <w:noProof/>
          <w:sz w:val="20"/>
          <w:lang w:eastAsia="zh-CN"/>
        </w:rPr>
        <w:t>》，第</w:t>
      </w:r>
      <w:r w:rsidRPr="00CE6E6F">
        <w:rPr>
          <w:noProof/>
          <w:sz w:val="20"/>
          <w:lang w:eastAsia="zh-CN"/>
        </w:rPr>
        <w:t>2226</w:t>
      </w:r>
      <w:r w:rsidRPr="00CE6E6F">
        <w:rPr>
          <w:rFonts w:hint="eastAsia"/>
          <w:noProof/>
          <w:sz w:val="20"/>
          <w:lang w:eastAsia="zh-CN"/>
        </w:rPr>
        <w:t>卷，第</w:t>
      </w:r>
      <w:r w:rsidRPr="00CE6E6F">
        <w:rPr>
          <w:noProof/>
          <w:sz w:val="20"/>
          <w:lang w:eastAsia="zh-CN"/>
        </w:rPr>
        <w:t>30619</w:t>
      </w:r>
      <w:r w:rsidRPr="00CE6E6F">
        <w:rPr>
          <w:rFonts w:hint="eastAsia"/>
          <w:noProof/>
          <w:sz w:val="20"/>
          <w:lang w:eastAsia="zh-CN"/>
        </w:rPr>
        <w:t>号。</w:t>
      </w:r>
    </w:p>
  </w:footnote>
  <w:footnote w:id="2">
    <w:p w14:paraId="08CB050D" w14:textId="77777777" w:rsidR="00C963FE" w:rsidRDefault="00C963FE" w:rsidP="00C963FE">
      <w:pPr>
        <w:pStyle w:val="FootnoteText"/>
      </w:pPr>
      <w:r w:rsidRPr="00CE6E6F">
        <w:rPr>
          <w:rStyle w:val="FootnoteReference"/>
          <w:sz w:val="20"/>
        </w:rPr>
        <w:footnoteRef/>
      </w:r>
      <w:r w:rsidRPr="00CE6E6F">
        <w:rPr>
          <w:sz w:val="20"/>
        </w:rPr>
        <w:t xml:space="preserve"> </w:t>
      </w:r>
      <w:r w:rsidRPr="00CE6E6F">
        <w:rPr>
          <w:rFonts w:hint="eastAsia"/>
          <w:sz w:val="20"/>
          <w:lang w:val="zh-CN"/>
        </w:rPr>
        <w:t>第</w:t>
      </w:r>
      <w:hyperlink r:id="rId1" w:history="1">
        <w:r w:rsidRPr="00CE6E6F">
          <w:rPr>
            <w:rStyle w:val="Hyperlink"/>
            <w:noProof/>
            <w:sz w:val="20"/>
          </w:rPr>
          <w:t>CP-10/3</w:t>
        </w:r>
      </w:hyperlink>
      <w:proofErr w:type="spellStart"/>
      <w:r w:rsidRPr="00CE6E6F">
        <w:rPr>
          <w:rFonts w:hint="eastAsia"/>
          <w:sz w:val="20"/>
          <w:lang w:val="zh-CN"/>
        </w:rPr>
        <w:t>号决定</w:t>
      </w:r>
      <w:r w:rsidRPr="00CE6E6F">
        <w:rPr>
          <w:rFonts w:hint="eastAsia"/>
          <w:noProof/>
          <w:sz w:val="20"/>
        </w:rPr>
        <w:t>，</w:t>
      </w:r>
      <w:r w:rsidRPr="00CE6E6F">
        <w:rPr>
          <w:rFonts w:hint="eastAsia"/>
          <w:sz w:val="20"/>
          <w:lang w:val="zh-CN"/>
        </w:rPr>
        <w:t>附件</w:t>
      </w:r>
      <w:proofErr w:type="spellEnd"/>
      <w:r w:rsidRPr="00CE6E6F">
        <w:rPr>
          <w:rFonts w:hint="eastAsia"/>
          <w:sz w:val="20"/>
          <w:lang w:val="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25056501" w:rsidR="00534681" w:rsidRPr="003F1A75" w:rsidRDefault="00975047" w:rsidP="007C4951">
        <w:pPr>
          <w:pStyle w:val="Header"/>
          <w:spacing w:after="240"/>
          <w:rPr>
            <w:szCs w:val="20"/>
          </w:rPr>
        </w:pPr>
        <w:r>
          <w:rPr>
            <w:szCs w:val="20"/>
          </w:rPr>
          <w:t>CBD/</w:t>
        </w:r>
        <w:r w:rsidR="00453073">
          <w:rPr>
            <w:szCs w:val="20"/>
          </w:rPr>
          <w:t>C</w:t>
        </w:r>
        <w:r>
          <w:rPr>
            <w:szCs w:val="20"/>
          </w:rPr>
          <w:t>P/MOP/</w:t>
        </w:r>
        <w:r w:rsidR="00453073">
          <w:rPr>
            <w:szCs w:val="20"/>
          </w:rPr>
          <w:t>12</w:t>
        </w:r>
        <w:r>
          <w:rPr>
            <w:szCs w:val="20"/>
          </w:rPr>
          <w:t>/</w:t>
        </w:r>
        <w:proofErr w:type="spellStart"/>
        <w:r w:rsidR="00C72AAE">
          <w:rPr>
            <w:szCs w:val="20"/>
          </w:rPr>
          <w:t>CRP.xx</w:t>
        </w:r>
        <w:proofErr w:type="spellEnd"/>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3B3AA814" w:rsidR="009505C9" w:rsidRPr="003F1A75" w:rsidRDefault="00C72AAE" w:rsidP="007C4951">
        <w:pPr>
          <w:pStyle w:val="Header"/>
          <w:spacing w:after="240"/>
          <w:jc w:val="right"/>
        </w:pPr>
        <w:r>
          <w:t>CBD/CP/MOP/12/</w:t>
        </w:r>
        <w:proofErr w:type="spellStart"/>
        <w:r>
          <w:t>CRP.xx</w:t>
        </w:r>
        <w:proofErr w:type="spellEnd"/>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492EF0C8"/>
    <w:lvl w:ilvl="0">
      <w:start w:val="1"/>
      <w:numFmt w:val="decimal"/>
      <w:lvlText w:val="%1."/>
      <w:lvlJc w:val="left"/>
      <w:pPr>
        <w:tabs>
          <w:tab w:val="num" w:pos="360"/>
        </w:tabs>
        <w:ind w:left="360" w:hanging="360"/>
      </w:pPr>
      <w:rPr>
        <w:rFonts w:cs="Times New Roman"/>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7"/>
  </w:num>
  <w:num w:numId="4" w16cid:durableId="1072390599">
    <w:abstractNumId w:val="8"/>
  </w:num>
  <w:num w:numId="5" w16cid:durableId="960385107">
    <w:abstractNumId w:val="2"/>
  </w:num>
  <w:num w:numId="6" w16cid:durableId="893932166">
    <w:abstractNumId w:val="6"/>
  </w:num>
  <w:num w:numId="7" w16cid:durableId="323945383">
    <w:abstractNumId w:val="4"/>
  </w:num>
  <w:num w:numId="8" w16cid:durableId="1948272757">
    <w:abstractNumId w:val="5"/>
  </w:num>
  <w:num w:numId="9" w16cid:durableId="143351803">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1373"/>
    <w:rsid w:val="0007171B"/>
    <w:rsid w:val="00071ED9"/>
    <w:rsid w:val="0008098C"/>
    <w:rsid w:val="0008608F"/>
    <w:rsid w:val="000C152D"/>
    <w:rsid w:val="000C350B"/>
    <w:rsid w:val="000D0F68"/>
    <w:rsid w:val="000E28FE"/>
    <w:rsid w:val="000E673A"/>
    <w:rsid w:val="000E73F8"/>
    <w:rsid w:val="000F6945"/>
    <w:rsid w:val="000F74F5"/>
    <w:rsid w:val="000F78FC"/>
    <w:rsid w:val="001031DF"/>
    <w:rsid w:val="00105372"/>
    <w:rsid w:val="001054A6"/>
    <w:rsid w:val="001078A1"/>
    <w:rsid w:val="00110B85"/>
    <w:rsid w:val="00130D0E"/>
    <w:rsid w:val="001312AD"/>
    <w:rsid w:val="00131E7A"/>
    <w:rsid w:val="00134846"/>
    <w:rsid w:val="0014178A"/>
    <w:rsid w:val="001643E3"/>
    <w:rsid w:val="00172AF6"/>
    <w:rsid w:val="00175D38"/>
    <w:rsid w:val="00176CEE"/>
    <w:rsid w:val="00186DD8"/>
    <w:rsid w:val="001A35EC"/>
    <w:rsid w:val="001A5872"/>
    <w:rsid w:val="001B13FE"/>
    <w:rsid w:val="001E6F5D"/>
    <w:rsid w:val="001F010D"/>
    <w:rsid w:val="00227D0F"/>
    <w:rsid w:val="0023080C"/>
    <w:rsid w:val="002534D8"/>
    <w:rsid w:val="00254EB5"/>
    <w:rsid w:val="0027049E"/>
    <w:rsid w:val="00286ADD"/>
    <w:rsid w:val="002B2E88"/>
    <w:rsid w:val="002B6812"/>
    <w:rsid w:val="002C1DB3"/>
    <w:rsid w:val="002D41B2"/>
    <w:rsid w:val="003008FE"/>
    <w:rsid w:val="0030169D"/>
    <w:rsid w:val="003060EB"/>
    <w:rsid w:val="003153EB"/>
    <w:rsid w:val="0032136E"/>
    <w:rsid w:val="00321985"/>
    <w:rsid w:val="003268DD"/>
    <w:rsid w:val="00351205"/>
    <w:rsid w:val="00362434"/>
    <w:rsid w:val="00372F74"/>
    <w:rsid w:val="0038203A"/>
    <w:rsid w:val="00384B60"/>
    <w:rsid w:val="003F1A75"/>
    <w:rsid w:val="003F7224"/>
    <w:rsid w:val="00413AFB"/>
    <w:rsid w:val="00427D21"/>
    <w:rsid w:val="00447F4A"/>
    <w:rsid w:val="00453073"/>
    <w:rsid w:val="00456F67"/>
    <w:rsid w:val="004644C2"/>
    <w:rsid w:val="00467F9C"/>
    <w:rsid w:val="00471D4D"/>
    <w:rsid w:val="004B60B3"/>
    <w:rsid w:val="004B6990"/>
    <w:rsid w:val="004C6BC7"/>
    <w:rsid w:val="004F5518"/>
    <w:rsid w:val="00502ED6"/>
    <w:rsid w:val="0051006C"/>
    <w:rsid w:val="00534681"/>
    <w:rsid w:val="0056033E"/>
    <w:rsid w:val="0056068E"/>
    <w:rsid w:val="00563442"/>
    <w:rsid w:val="0056348E"/>
    <w:rsid w:val="00565B42"/>
    <w:rsid w:val="00565ED4"/>
    <w:rsid w:val="005B31B1"/>
    <w:rsid w:val="005B35E2"/>
    <w:rsid w:val="005C4CE6"/>
    <w:rsid w:val="005C56F7"/>
    <w:rsid w:val="005D35B8"/>
    <w:rsid w:val="0060543A"/>
    <w:rsid w:val="006122BA"/>
    <w:rsid w:val="00636C9B"/>
    <w:rsid w:val="0064174C"/>
    <w:rsid w:val="006478BF"/>
    <w:rsid w:val="006524DF"/>
    <w:rsid w:val="00666F9C"/>
    <w:rsid w:val="006927D8"/>
    <w:rsid w:val="006A73C1"/>
    <w:rsid w:val="006B2290"/>
    <w:rsid w:val="006C432B"/>
    <w:rsid w:val="006D26BE"/>
    <w:rsid w:val="006E70F4"/>
    <w:rsid w:val="00717D88"/>
    <w:rsid w:val="00726A43"/>
    <w:rsid w:val="00726DEC"/>
    <w:rsid w:val="00732DB4"/>
    <w:rsid w:val="00743161"/>
    <w:rsid w:val="007572F4"/>
    <w:rsid w:val="00786056"/>
    <w:rsid w:val="007942D3"/>
    <w:rsid w:val="007A03BF"/>
    <w:rsid w:val="007A37E2"/>
    <w:rsid w:val="007B2099"/>
    <w:rsid w:val="007B6C09"/>
    <w:rsid w:val="007B7741"/>
    <w:rsid w:val="007C4951"/>
    <w:rsid w:val="007E09DA"/>
    <w:rsid w:val="007E0CB5"/>
    <w:rsid w:val="007E0F8A"/>
    <w:rsid w:val="007F718D"/>
    <w:rsid w:val="00801FAD"/>
    <w:rsid w:val="008178B6"/>
    <w:rsid w:val="00865B74"/>
    <w:rsid w:val="00866063"/>
    <w:rsid w:val="00872836"/>
    <w:rsid w:val="00884394"/>
    <w:rsid w:val="008974F0"/>
    <w:rsid w:val="008A1499"/>
    <w:rsid w:val="008A7156"/>
    <w:rsid w:val="008B012A"/>
    <w:rsid w:val="008D41D3"/>
    <w:rsid w:val="008D6140"/>
    <w:rsid w:val="008E591A"/>
    <w:rsid w:val="00901354"/>
    <w:rsid w:val="00906E17"/>
    <w:rsid w:val="00913699"/>
    <w:rsid w:val="00930BA1"/>
    <w:rsid w:val="0093169E"/>
    <w:rsid w:val="0094183C"/>
    <w:rsid w:val="009505C9"/>
    <w:rsid w:val="00950752"/>
    <w:rsid w:val="00966424"/>
    <w:rsid w:val="00975047"/>
    <w:rsid w:val="00995C1D"/>
    <w:rsid w:val="009A00A1"/>
    <w:rsid w:val="009C039B"/>
    <w:rsid w:val="009C17C0"/>
    <w:rsid w:val="009C2DE6"/>
    <w:rsid w:val="00A111D1"/>
    <w:rsid w:val="00A153E9"/>
    <w:rsid w:val="00A336FE"/>
    <w:rsid w:val="00A422C1"/>
    <w:rsid w:val="00A7043B"/>
    <w:rsid w:val="00A81935"/>
    <w:rsid w:val="00AA6F92"/>
    <w:rsid w:val="00AB2B6A"/>
    <w:rsid w:val="00AB6934"/>
    <w:rsid w:val="00AD38EF"/>
    <w:rsid w:val="00AE1597"/>
    <w:rsid w:val="00AF42DE"/>
    <w:rsid w:val="00B26BB8"/>
    <w:rsid w:val="00B3369F"/>
    <w:rsid w:val="00B337BC"/>
    <w:rsid w:val="00B40044"/>
    <w:rsid w:val="00B46DC5"/>
    <w:rsid w:val="00B51FC6"/>
    <w:rsid w:val="00B77640"/>
    <w:rsid w:val="00B94E6C"/>
    <w:rsid w:val="00B95815"/>
    <w:rsid w:val="00B96FC1"/>
    <w:rsid w:val="00BB4606"/>
    <w:rsid w:val="00C022A3"/>
    <w:rsid w:val="00C04D9C"/>
    <w:rsid w:val="00C23670"/>
    <w:rsid w:val="00C23D2F"/>
    <w:rsid w:val="00C3204A"/>
    <w:rsid w:val="00C443BD"/>
    <w:rsid w:val="00C451C5"/>
    <w:rsid w:val="00C51319"/>
    <w:rsid w:val="00C72AAE"/>
    <w:rsid w:val="00C76273"/>
    <w:rsid w:val="00C806AE"/>
    <w:rsid w:val="00C9161D"/>
    <w:rsid w:val="00C963FE"/>
    <w:rsid w:val="00CA0C1D"/>
    <w:rsid w:val="00CB6F5A"/>
    <w:rsid w:val="00CF1848"/>
    <w:rsid w:val="00D12044"/>
    <w:rsid w:val="00D170D9"/>
    <w:rsid w:val="00D33EFC"/>
    <w:rsid w:val="00D40DBC"/>
    <w:rsid w:val="00D61C85"/>
    <w:rsid w:val="00D75CA6"/>
    <w:rsid w:val="00D76A18"/>
    <w:rsid w:val="00D80849"/>
    <w:rsid w:val="00D82E8F"/>
    <w:rsid w:val="00DB5E0F"/>
    <w:rsid w:val="00DD118C"/>
    <w:rsid w:val="00DE765C"/>
    <w:rsid w:val="00E01D0E"/>
    <w:rsid w:val="00E5009E"/>
    <w:rsid w:val="00E56C3B"/>
    <w:rsid w:val="00E60D4B"/>
    <w:rsid w:val="00E66235"/>
    <w:rsid w:val="00E70E80"/>
    <w:rsid w:val="00E83C24"/>
    <w:rsid w:val="00E9160A"/>
    <w:rsid w:val="00E9318D"/>
    <w:rsid w:val="00E93F3E"/>
    <w:rsid w:val="00E96440"/>
    <w:rsid w:val="00EF680E"/>
    <w:rsid w:val="00F041E5"/>
    <w:rsid w:val="00F063C2"/>
    <w:rsid w:val="00F20BB7"/>
    <w:rsid w:val="00F21707"/>
    <w:rsid w:val="00F32041"/>
    <w:rsid w:val="00F53193"/>
    <w:rsid w:val="00F5357E"/>
    <w:rsid w:val="00F6586C"/>
    <w:rsid w:val="00F9038B"/>
    <w:rsid w:val="00F94774"/>
    <w:rsid w:val="00FA663B"/>
    <w:rsid w:val="00FB72C4"/>
    <w:rsid w:val="00FC0F8D"/>
    <w:rsid w:val="00FC4BBC"/>
    <w:rsid w:val="00FC53D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47B23D24"/>
  <w15:docId w15:val="{C053CA7B-9FD4-4A9E-965E-C5323C721E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宋体"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宋体"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宋体"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宋体"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宋体"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宋体"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宋体"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宋体"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宋体"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宋体"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宋体"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宋体"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宋体"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uiPriority w:val="99"/>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宋体"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宋体"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宋体"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宋体"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宋体"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宋体"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宋体"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宋体"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宋体"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宋体"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宋体" w:hAnsi="Times New Roman" w:cs="Times New Roman"/>
      <w:sz w:val="22"/>
      <w:szCs w:val="22"/>
      <w:lang w:val="en-GB"/>
    </w:rPr>
  </w:style>
  <w:style w:type="table" w:styleId="ColorfulGrid">
    <w:name w:val="Colorful Grid"/>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B2B2FF" w:themeFill="text1" w:themeFillTint="33"/>
    </w:tcPr>
    <w:tblStylePr w:type="firstRow">
      <w:rPr>
        <w:b/>
        <w:bCs/>
      </w:rPr>
      <w:tblPr/>
      <w:tcPr>
        <w:shd w:val="clear" w:color="auto" w:fill="6666FF" w:themeFill="text1" w:themeFillTint="66"/>
      </w:tcPr>
    </w:tblStylePr>
    <w:tblStylePr w:type="lastRow">
      <w:rPr>
        <w:b/>
        <w:bCs/>
        <w:color w:val="000080" w:themeColor="text1"/>
      </w:rPr>
      <w:tblPr/>
      <w:tcPr>
        <w:shd w:val="clear" w:color="auto" w:fill="6666FF" w:themeFill="text1" w:themeFillTint="66"/>
      </w:tcPr>
    </w:tblStylePr>
    <w:tblStylePr w:type="firstCol">
      <w:rPr>
        <w:color w:val="FFFFFF" w:themeColor="background1"/>
      </w:rPr>
      <w:tblPr/>
      <w:tcPr>
        <w:shd w:val="clear" w:color="auto" w:fill="00005F" w:themeFill="text1" w:themeFillShade="BF"/>
      </w:tcPr>
    </w:tblStylePr>
    <w:tblStylePr w:type="lastCol">
      <w:rPr>
        <w:color w:val="FFFFFF" w:themeColor="background1"/>
      </w:rPr>
      <w:tblPr/>
      <w:tcPr>
        <w:shd w:val="clear" w:color="auto" w:fill="00005F" w:themeFill="text1" w:themeFillShade="BF"/>
      </w:tc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ColorfulGrid-Accent1">
    <w:name w:val="Colorful Grid Accent 1"/>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8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8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8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8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8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8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8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80" w:themeColor="text1"/>
    </w:rPr>
    <w:tblPr>
      <w:tblStyleRowBandSize w:val="1"/>
      <w:tblStyleColBandSize w:val="1"/>
    </w:tblPr>
    <w:tcPr>
      <w:shd w:val="clear" w:color="auto" w:fill="D9D9FF"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0A0FF" w:themeFill="text1" w:themeFillTint="3F"/>
      </w:tcPr>
    </w:tblStylePr>
    <w:tblStylePr w:type="band1Horz">
      <w:tblPr/>
      <w:tcPr>
        <w:shd w:val="clear" w:color="auto" w:fill="B2B2FF" w:themeFill="text1" w:themeFillTint="33"/>
      </w:tcPr>
    </w:tblStylePr>
  </w:style>
  <w:style w:type="table" w:styleId="ColorfulList-Accent1">
    <w:name w:val="Colorful List Accent 1"/>
    <w:basedOn w:val="TableNormal"/>
    <w:uiPriority w:val="72"/>
    <w:semiHidden/>
    <w:unhideWhenUsed/>
    <w:rsid w:val="00A111D1"/>
    <w:rPr>
      <w:color w:val="00008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8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8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8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8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8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8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000080" w:themeColor="text1"/>
        <w:bottom w:val="single" w:sz="4" w:space="0" w:color="000080" w:themeColor="text1"/>
        <w:right w:val="single" w:sz="4" w:space="0" w:color="000080" w:themeColor="text1"/>
        <w:insideH w:val="single" w:sz="4" w:space="0" w:color="FFFFFF" w:themeColor="background1"/>
        <w:insideV w:val="single" w:sz="4" w:space="0" w:color="FFFFFF" w:themeColor="background1"/>
      </w:tblBorders>
    </w:tblPr>
    <w:tcPr>
      <w:shd w:val="clear" w:color="auto" w:fill="D9D9FF"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4C" w:themeFill="text1" w:themeFillShade="99"/>
      </w:tcPr>
    </w:tblStylePr>
    <w:tblStylePr w:type="firstCol">
      <w:rPr>
        <w:color w:val="FFFFFF" w:themeColor="background1"/>
      </w:rPr>
      <w:tblPr/>
      <w:tcPr>
        <w:tcBorders>
          <w:top w:val="nil"/>
          <w:left w:val="nil"/>
          <w:bottom w:val="nil"/>
          <w:right w:val="nil"/>
          <w:insideH w:val="single" w:sz="4" w:space="0" w:color="00004C" w:themeColor="text1" w:themeShade="99"/>
          <w:insideV w:val="nil"/>
        </w:tcBorders>
        <w:shd w:val="clear" w:color="auto" w:fill="00004C"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5F" w:themeFill="text1" w:themeFillShade="BF"/>
      </w:tcPr>
    </w:tblStylePr>
    <w:tblStylePr w:type="band1Vert">
      <w:tblPr/>
      <w:tcPr>
        <w:shd w:val="clear" w:color="auto" w:fill="6666FF" w:themeFill="text1" w:themeFillTint="66"/>
      </w:tcPr>
    </w:tblStylePr>
    <w:tblStylePr w:type="band1Horz">
      <w:tblPr/>
      <w:tcPr>
        <w:shd w:val="clear" w:color="auto" w:fill="4040FF" w:themeFill="text1" w:themeFillTint="7F"/>
      </w:tcPr>
    </w:tblStylePr>
    <w:tblStylePr w:type="neCell">
      <w:rPr>
        <w:color w:val="000080" w:themeColor="text1"/>
      </w:rPr>
    </w:tblStylePr>
    <w:tblStylePr w:type="nwCell">
      <w:rPr>
        <w:color w:val="000080" w:themeColor="text1"/>
      </w:rPr>
    </w:tblStylePr>
  </w:style>
  <w:style w:type="table" w:styleId="ColorfulShading-Accent1">
    <w:name w:val="Colorful Shading Accent 1"/>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80" w:themeColor="text1"/>
      </w:rPr>
    </w:tblStylePr>
    <w:tblStylePr w:type="nwCell">
      <w:rPr>
        <w:color w:val="000080" w:themeColor="text1"/>
      </w:rPr>
    </w:tblStylePr>
  </w:style>
  <w:style w:type="table" w:styleId="ColorfulShading-Accent2">
    <w:name w:val="Colorful Shading Accent 2"/>
    <w:basedOn w:val="TableNormal"/>
    <w:uiPriority w:val="71"/>
    <w:semiHidden/>
    <w:unhideWhenUsed/>
    <w:rsid w:val="00A111D1"/>
    <w:rPr>
      <w:color w:val="00008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80" w:themeColor="text1"/>
      </w:rPr>
    </w:tblStylePr>
    <w:tblStylePr w:type="nwCell">
      <w:rPr>
        <w:color w:val="000080" w:themeColor="text1"/>
      </w:rPr>
    </w:tblStylePr>
  </w:style>
  <w:style w:type="table" w:styleId="ColorfulShading-Accent3">
    <w:name w:val="Colorful Shading Accent 3"/>
    <w:basedOn w:val="TableNormal"/>
    <w:uiPriority w:val="71"/>
    <w:semiHidden/>
    <w:unhideWhenUsed/>
    <w:rsid w:val="00A111D1"/>
    <w:rPr>
      <w:color w:val="00008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8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80" w:themeColor="text1"/>
      </w:rPr>
    </w:tblStylePr>
    <w:tblStylePr w:type="nwCell">
      <w:rPr>
        <w:color w:val="000080" w:themeColor="text1"/>
      </w:rPr>
    </w:tblStylePr>
  </w:style>
  <w:style w:type="table" w:styleId="ColorfulShading-Accent5">
    <w:name w:val="Colorful Shading Accent 5"/>
    <w:basedOn w:val="TableNormal"/>
    <w:uiPriority w:val="71"/>
    <w:semiHidden/>
    <w:unhideWhenUsed/>
    <w:rsid w:val="00A111D1"/>
    <w:rPr>
      <w:color w:val="00008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80" w:themeColor="text1"/>
      </w:rPr>
    </w:tblStylePr>
    <w:tblStylePr w:type="nwCell">
      <w:rPr>
        <w:color w:val="000080" w:themeColor="text1"/>
      </w:rPr>
    </w:tblStylePr>
  </w:style>
  <w:style w:type="table" w:styleId="ColorfulShading-Accent6">
    <w:name w:val="Colorful Shading Accent 6"/>
    <w:basedOn w:val="TableNormal"/>
    <w:uiPriority w:val="71"/>
    <w:semiHidden/>
    <w:unhideWhenUsed/>
    <w:rsid w:val="00A111D1"/>
    <w:rPr>
      <w:color w:val="00008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80" w:themeColor="text1"/>
      </w:rPr>
    </w:tblStylePr>
    <w:tblStylePr w:type="nwCell">
      <w:rPr>
        <w:color w:val="00008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8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00003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5F"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5F" w:themeFill="text1" w:themeFillShade="BF"/>
      </w:tcPr>
    </w:tblStylePr>
    <w:tblStylePr w:type="band1Vert">
      <w:tblPr/>
      <w:tcPr>
        <w:tcBorders>
          <w:top w:val="nil"/>
          <w:left w:val="nil"/>
          <w:bottom w:val="nil"/>
          <w:right w:val="nil"/>
          <w:insideH w:val="nil"/>
          <w:insideV w:val="nil"/>
        </w:tcBorders>
        <w:shd w:val="clear" w:color="auto" w:fill="00005F" w:themeFill="text1" w:themeFillShade="BF"/>
      </w:tcPr>
    </w:tblStylePr>
    <w:tblStylePr w:type="band1Horz">
      <w:tblPr/>
      <w:tcPr>
        <w:tcBorders>
          <w:top w:val="nil"/>
          <w:left w:val="nil"/>
          <w:bottom w:val="nil"/>
          <w:right w:val="nil"/>
          <w:insideH w:val="nil"/>
          <w:insideV w:val="nil"/>
        </w:tcBorders>
        <w:shd w:val="clear" w:color="auto" w:fill="00005F"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8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宋体"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宋体"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宋体"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6666FF" w:themeColor="text1" w:themeTint="66"/>
        <w:left w:val="single" w:sz="4" w:space="0" w:color="6666FF" w:themeColor="text1" w:themeTint="66"/>
        <w:bottom w:val="single" w:sz="4" w:space="0" w:color="6666FF" w:themeColor="text1" w:themeTint="66"/>
        <w:right w:val="single" w:sz="4" w:space="0" w:color="6666FF" w:themeColor="text1" w:themeTint="66"/>
        <w:insideH w:val="single" w:sz="4" w:space="0" w:color="6666FF" w:themeColor="text1" w:themeTint="66"/>
        <w:insideV w:val="single" w:sz="4" w:space="0" w:color="6666FF" w:themeColor="text1" w:themeTint="66"/>
      </w:tblBorders>
    </w:tblPr>
    <w:tblStylePr w:type="firstRow">
      <w:rPr>
        <w:b/>
        <w:bCs/>
      </w:rPr>
      <w:tblPr/>
      <w:tcPr>
        <w:tcBorders>
          <w:bottom w:val="single" w:sz="12" w:space="0" w:color="1919FF" w:themeColor="text1" w:themeTint="99"/>
        </w:tcBorders>
      </w:tcPr>
    </w:tblStylePr>
    <w:tblStylePr w:type="lastRow">
      <w:rPr>
        <w:b/>
        <w:bCs/>
      </w:rPr>
      <w:tblPr/>
      <w:tcPr>
        <w:tcBorders>
          <w:top w:val="double" w:sz="2" w:space="0" w:color="1919FF"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1919FF" w:themeColor="text1" w:themeTint="99"/>
        <w:bottom w:val="single" w:sz="2" w:space="0" w:color="1919FF" w:themeColor="text1" w:themeTint="99"/>
        <w:insideH w:val="single" w:sz="2" w:space="0" w:color="1919FF" w:themeColor="text1" w:themeTint="99"/>
        <w:insideV w:val="single" w:sz="2" w:space="0" w:color="1919FF" w:themeColor="text1" w:themeTint="99"/>
      </w:tblBorders>
    </w:tblPr>
    <w:tblStylePr w:type="firstRow">
      <w:rPr>
        <w:b/>
        <w:bCs/>
      </w:rPr>
      <w:tblPr/>
      <w:tcPr>
        <w:tcBorders>
          <w:top w:val="nil"/>
          <w:bottom w:val="single" w:sz="12" w:space="0" w:color="1919FF" w:themeColor="text1" w:themeTint="99"/>
          <w:insideH w:val="nil"/>
          <w:insideV w:val="nil"/>
        </w:tcBorders>
        <w:shd w:val="clear" w:color="auto" w:fill="FFFFFF" w:themeFill="background1"/>
      </w:tcPr>
    </w:tblStylePr>
    <w:tblStylePr w:type="lastRow">
      <w:rPr>
        <w:b/>
        <w:bCs/>
      </w:rPr>
      <w:tblPr/>
      <w:tcPr>
        <w:tcBorders>
          <w:top w:val="double" w:sz="2" w:space="0" w:color="1919FF"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insideV w:val="nil"/>
        </w:tcBorders>
        <w:shd w:val="clear" w:color="auto" w:fill="000080" w:themeFill="text1"/>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2B2FF"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8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8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8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80" w:themeFill="text1"/>
      </w:tcPr>
    </w:tblStylePr>
    <w:tblStylePr w:type="band1Vert">
      <w:tblPr/>
      <w:tcPr>
        <w:shd w:val="clear" w:color="auto" w:fill="6666FF" w:themeFill="text1" w:themeFillTint="66"/>
      </w:tcPr>
    </w:tblStylePr>
    <w:tblStylePr w:type="band1Horz">
      <w:tblPr/>
      <w:tcPr>
        <w:shd w:val="clear" w:color="auto" w:fill="6666FF"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bottom w:val="single" w:sz="12" w:space="0" w:color="1919FF" w:themeColor="text1" w:themeTint="99"/>
        </w:tcBorders>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80" w:themeColor="text1"/>
    </w:rPr>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insideV w:val="single" w:sz="4" w:space="0" w:color="1919FF"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bottom w:val="single" w:sz="4" w:space="0" w:color="1919FF" w:themeColor="text1" w:themeTint="99"/>
        </w:tcBorders>
      </w:tcPr>
    </w:tblStylePr>
    <w:tblStylePr w:type="nwCell">
      <w:tblPr/>
      <w:tcPr>
        <w:tcBorders>
          <w:bottom w:val="single" w:sz="4" w:space="0" w:color="1919FF" w:themeColor="text1" w:themeTint="99"/>
        </w:tcBorders>
      </w:tcPr>
    </w:tblStylePr>
    <w:tblStylePr w:type="seCell">
      <w:tblPr/>
      <w:tcPr>
        <w:tcBorders>
          <w:top w:val="single" w:sz="4" w:space="0" w:color="1919FF" w:themeColor="text1" w:themeTint="99"/>
        </w:tcBorders>
      </w:tcPr>
    </w:tblStylePr>
    <w:tblStylePr w:type="swCell">
      <w:tblPr/>
      <w:tcPr>
        <w:tcBorders>
          <w:top w:val="single" w:sz="4" w:space="0" w:color="1919FF"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宋体"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宋体"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宋体"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18" w:space="0" w:color="000080" w:themeColor="text1"/>
          <w:right w:val="single" w:sz="8" w:space="0" w:color="000080" w:themeColor="text1"/>
          <w:insideH w:val="nil"/>
          <w:insideV w:val="single" w:sz="8" w:space="0" w:color="00008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insideH w:val="nil"/>
          <w:insideV w:val="single" w:sz="8" w:space="0" w:color="00008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shd w:val="clear" w:color="auto" w:fill="A0A0FF" w:themeFill="text1" w:themeFillTint="3F"/>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shd w:val="clear" w:color="auto" w:fill="A0A0FF" w:themeFill="text1" w:themeFillTint="3F"/>
      </w:tcPr>
    </w:tblStylePr>
    <w:tblStylePr w:type="band2Horz">
      <w:tblPr/>
      <w:tcPr>
        <w:tcBorders>
          <w:top w:val="single" w:sz="8" w:space="0" w:color="000080" w:themeColor="text1"/>
          <w:left w:val="single" w:sz="8" w:space="0" w:color="000080" w:themeColor="text1"/>
          <w:bottom w:val="single" w:sz="8" w:space="0" w:color="000080" w:themeColor="text1"/>
          <w:right w:val="single" w:sz="8" w:space="0" w:color="000080" w:themeColor="text1"/>
          <w:insideV w:val="single" w:sz="8" w:space="0" w:color="00008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pPr>
        <w:spacing w:before="0" w:after="0" w:line="240" w:lineRule="auto"/>
      </w:pPr>
      <w:rPr>
        <w:b/>
        <w:bCs/>
        <w:color w:val="FFFFFF" w:themeColor="background1"/>
      </w:rPr>
      <w:tblPr/>
      <w:tcPr>
        <w:shd w:val="clear" w:color="auto" w:fill="000080" w:themeFill="text1"/>
      </w:tcPr>
    </w:tblStylePr>
    <w:tblStylePr w:type="lastRow">
      <w:pPr>
        <w:spacing w:before="0" w:after="0" w:line="240" w:lineRule="auto"/>
      </w:pPr>
      <w:rPr>
        <w:b/>
        <w:bCs/>
      </w:rPr>
      <w:tblPr/>
      <w:tcPr>
        <w:tcBorders>
          <w:top w:val="double" w:sz="6" w:space="0" w:color="000080" w:themeColor="text1"/>
          <w:left w:val="single" w:sz="8" w:space="0" w:color="000080" w:themeColor="text1"/>
          <w:bottom w:val="single" w:sz="8" w:space="0" w:color="000080" w:themeColor="text1"/>
          <w:right w:val="single" w:sz="8" w:space="0" w:color="000080" w:themeColor="text1"/>
        </w:tcBorders>
      </w:tcPr>
    </w:tblStylePr>
    <w:tblStylePr w:type="firstCol">
      <w:rPr>
        <w:b/>
        <w:bCs/>
      </w:rPr>
    </w:tblStylePr>
    <w:tblStylePr w:type="lastCol">
      <w:rPr>
        <w:b/>
        <w:bCs/>
      </w:rPr>
    </w:tblStylePr>
    <w:tblStylePr w:type="band1Vert">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tblStylePr w:type="band1Horz">
      <w:tblPr/>
      <w:tcPr>
        <w:tcBorders>
          <w:top w:val="single" w:sz="8" w:space="0" w:color="000080" w:themeColor="text1"/>
          <w:left w:val="single" w:sz="8" w:space="0" w:color="000080" w:themeColor="text1"/>
          <w:bottom w:val="single" w:sz="8" w:space="0" w:color="000080" w:themeColor="text1"/>
          <w:right w:val="single" w:sz="8" w:space="0" w:color="00008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5F" w:themeColor="text1" w:themeShade="BF"/>
    </w:rPr>
    <w:tblPr>
      <w:tblStyleRowBandSize w:val="1"/>
      <w:tblStyleColBandSize w:val="1"/>
      <w:tblBorders>
        <w:top w:val="single" w:sz="8" w:space="0" w:color="000080" w:themeColor="text1"/>
        <w:bottom w:val="single" w:sz="8" w:space="0" w:color="000080" w:themeColor="text1"/>
      </w:tblBorders>
    </w:tblPr>
    <w:tblStylePr w:type="fir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lastRow">
      <w:pPr>
        <w:spacing w:before="0" w:after="0" w:line="240" w:lineRule="auto"/>
      </w:pPr>
      <w:rPr>
        <w:b/>
        <w:bCs/>
      </w:rPr>
      <w:tblPr/>
      <w:tcPr>
        <w:tcBorders>
          <w:top w:val="single" w:sz="8" w:space="0" w:color="000080" w:themeColor="text1"/>
          <w:left w:val="nil"/>
          <w:bottom w:val="single" w:sz="8" w:space="0" w:color="00008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left w:val="nil"/>
          <w:right w:val="nil"/>
          <w:insideH w:val="nil"/>
          <w:insideV w:val="nil"/>
        </w:tcBorders>
        <w:shd w:val="clear" w:color="auto" w:fill="A0A0FF"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1919FF" w:themeColor="text1" w:themeTint="99"/>
        </w:tcBorders>
      </w:tcPr>
    </w:tblStylePr>
    <w:tblStylePr w:type="lastRow">
      <w:rPr>
        <w:b/>
        <w:bCs/>
      </w:rPr>
      <w:tblPr/>
      <w:tcPr>
        <w:tcBorders>
          <w:top w:val="sing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1919FF" w:themeColor="text1" w:themeTint="99"/>
        <w:bottom w:val="single" w:sz="4" w:space="0" w:color="1919FF" w:themeColor="text1" w:themeTint="99"/>
        <w:insideH w:val="single" w:sz="4" w:space="0" w:color="1919FF"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80" w:themeColor="text1"/>
        <w:left w:val="single" w:sz="4" w:space="0" w:color="000080" w:themeColor="text1"/>
        <w:bottom w:val="single" w:sz="4" w:space="0" w:color="000080" w:themeColor="text1"/>
        <w:right w:val="single" w:sz="4" w:space="0" w:color="000080" w:themeColor="text1"/>
      </w:tblBorders>
    </w:tblPr>
    <w:tblStylePr w:type="firstRow">
      <w:rPr>
        <w:b/>
        <w:bCs/>
        <w:color w:val="FFFFFF" w:themeColor="background1"/>
      </w:rPr>
      <w:tblPr/>
      <w:tcPr>
        <w:shd w:val="clear" w:color="auto" w:fill="000080" w:themeFill="text1"/>
      </w:tcPr>
    </w:tblStylePr>
    <w:tblStylePr w:type="lastRow">
      <w:rPr>
        <w:b/>
        <w:bCs/>
      </w:rPr>
      <w:tblPr/>
      <w:tcPr>
        <w:tcBorders>
          <w:top w:val="double" w:sz="4" w:space="0" w:color="00008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80" w:themeColor="text1"/>
          <w:right w:val="single" w:sz="4" w:space="0" w:color="000080" w:themeColor="text1"/>
        </w:tcBorders>
      </w:tcPr>
    </w:tblStylePr>
    <w:tblStylePr w:type="band1Horz">
      <w:tblPr/>
      <w:tcPr>
        <w:tcBorders>
          <w:top w:val="single" w:sz="4" w:space="0" w:color="000080" w:themeColor="text1"/>
          <w:bottom w:val="single" w:sz="4" w:space="0" w:color="00008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0" w:themeColor="text1"/>
          <w:left w:val="nil"/>
        </w:tcBorders>
      </w:tcPr>
    </w:tblStylePr>
    <w:tblStylePr w:type="swCell">
      <w:tblPr/>
      <w:tcPr>
        <w:tcBorders>
          <w:top w:val="double" w:sz="4" w:space="0" w:color="00008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1919FF" w:themeColor="text1" w:themeTint="99"/>
        <w:left w:val="single" w:sz="4" w:space="0" w:color="1919FF" w:themeColor="text1" w:themeTint="99"/>
        <w:bottom w:val="single" w:sz="4" w:space="0" w:color="1919FF" w:themeColor="text1" w:themeTint="99"/>
        <w:right w:val="single" w:sz="4" w:space="0" w:color="1919FF" w:themeColor="text1" w:themeTint="99"/>
        <w:insideH w:val="single" w:sz="4" w:space="0" w:color="1919FF" w:themeColor="text1" w:themeTint="99"/>
      </w:tblBorders>
    </w:tblPr>
    <w:tblStylePr w:type="firstRow">
      <w:rPr>
        <w:b/>
        <w:bCs/>
        <w:color w:val="FFFFFF" w:themeColor="background1"/>
      </w:rPr>
      <w:tblPr/>
      <w:tcPr>
        <w:tcBorders>
          <w:top w:val="single" w:sz="4" w:space="0" w:color="000080" w:themeColor="text1"/>
          <w:left w:val="single" w:sz="4" w:space="0" w:color="000080" w:themeColor="text1"/>
          <w:bottom w:val="single" w:sz="4" w:space="0" w:color="000080" w:themeColor="text1"/>
          <w:right w:val="single" w:sz="4" w:space="0" w:color="000080" w:themeColor="text1"/>
          <w:insideH w:val="nil"/>
        </w:tcBorders>
        <w:shd w:val="clear" w:color="auto" w:fill="000080" w:themeFill="text1"/>
      </w:tcPr>
    </w:tblStylePr>
    <w:tblStylePr w:type="lastRow">
      <w:rPr>
        <w:b/>
        <w:bCs/>
      </w:rPr>
      <w:tblPr/>
      <w:tcPr>
        <w:tcBorders>
          <w:top w:val="double" w:sz="4" w:space="0" w:color="1919FF" w:themeColor="text1" w:themeTint="99"/>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80" w:themeColor="text1"/>
        <w:left w:val="single" w:sz="24" w:space="0" w:color="000080" w:themeColor="text1"/>
        <w:bottom w:val="single" w:sz="24" w:space="0" w:color="000080" w:themeColor="text1"/>
        <w:right w:val="single" w:sz="24" w:space="0" w:color="000080" w:themeColor="text1"/>
      </w:tblBorders>
    </w:tblPr>
    <w:tcPr>
      <w:shd w:val="clear" w:color="auto" w:fill="00008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80" w:themeColor="text1"/>
    </w:rPr>
    <w:tblPr>
      <w:tblStyleRowBandSize w:val="1"/>
      <w:tblStyleColBandSize w:val="1"/>
      <w:tblBorders>
        <w:top w:val="single" w:sz="4" w:space="0" w:color="000080" w:themeColor="text1"/>
        <w:bottom w:val="single" w:sz="4" w:space="0" w:color="000080" w:themeColor="text1"/>
      </w:tblBorders>
    </w:tblPr>
    <w:tblStylePr w:type="firstRow">
      <w:rPr>
        <w:b/>
        <w:bCs/>
      </w:rPr>
      <w:tblPr/>
      <w:tcPr>
        <w:tcBorders>
          <w:bottom w:val="single" w:sz="4" w:space="0" w:color="000080" w:themeColor="text1"/>
        </w:tcBorders>
      </w:tcPr>
    </w:tblStylePr>
    <w:tblStylePr w:type="lastRow">
      <w:rPr>
        <w:b/>
        <w:bCs/>
      </w:rPr>
      <w:tblPr/>
      <w:tcPr>
        <w:tcBorders>
          <w:top w:val="double" w:sz="4" w:space="0" w:color="000080" w:themeColor="text1"/>
        </w:tcBorders>
      </w:tcPr>
    </w:tblStylePr>
    <w:tblStylePr w:type="firstCol">
      <w:rPr>
        <w:b/>
        <w:bCs/>
      </w:rPr>
    </w:tblStylePr>
    <w:tblStylePr w:type="lastCol">
      <w:rPr>
        <w:b/>
        <w:bCs/>
      </w:rPr>
    </w:tblStylePr>
    <w:tblStylePr w:type="band1Vert">
      <w:tblPr/>
      <w:tcPr>
        <w:shd w:val="clear" w:color="auto" w:fill="B2B2FF" w:themeFill="text1" w:themeFillTint="33"/>
      </w:tcPr>
    </w:tblStylePr>
    <w:tblStylePr w:type="band1Horz">
      <w:tblPr/>
      <w:tcPr>
        <w:shd w:val="clear" w:color="auto" w:fill="B2B2FF"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8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8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8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8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80" w:themeColor="text1"/>
        </w:tcBorders>
        <w:shd w:val="clear" w:color="auto" w:fill="FFFFFF" w:themeFill="background1"/>
      </w:tcPr>
    </w:tblStylePr>
    <w:tblStylePr w:type="band1Vert">
      <w:tblPr/>
      <w:tcPr>
        <w:shd w:val="clear" w:color="auto" w:fill="B2B2FF" w:themeFill="text1" w:themeFillTint="33"/>
      </w:tcPr>
    </w:tblStylePr>
    <w:tblStylePr w:type="band1Horz">
      <w:tblPr/>
      <w:tcPr>
        <w:shd w:val="clear" w:color="auto" w:fill="B2B2FF"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宋体"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宋体"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insideV w:val="single" w:sz="8" w:space="0" w:color="0000DF" w:themeColor="text1" w:themeTint="BF"/>
      </w:tblBorders>
    </w:tblPr>
    <w:tcPr>
      <w:shd w:val="clear" w:color="auto" w:fill="A0A0FF" w:themeFill="text1" w:themeFillTint="3F"/>
    </w:tcPr>
    <w:tblStylePr w:type="firstRow">
      <w:rPr>
        <w:b/>
        <w:bCs/>
      </w:rPr>
    </w:tblStylePr>
    <w:tblStylePr w:type="lastRow">
      <w:rPr>
        <w:b/>
        <w:bCs/>
      </w:rPr>
      <w:tblPr/>
      <w:tcPr>
        <w:tcBorders>
          <w:top w:val="single" w:sz="18" w:space="0" w:color="0000DF" w:themeColor="text1" w:themeTint="BF"/>
        </w:tcBorders>
      </w:tcPr>
    </w:tblStylePr>
    <w:tblStylePr w:type="firstCol">
      <w:rPr>
        <w:b/>
        <w:bCs/>
      </w:rPr>
    </w:tblStylePr>
    <w:tblStylePr w:type="lastCol">
      <w:rPr>
        <w:b/>
        <w:bCs/>
      </w:rPr>
    </w:tblStylePr>
    <w:tblStylePr w:type="band1Vert">
      <w:tblPr/>
      <w:tcPr>
        <w:shd w:val="clear" w:color="auto" w:fill="4040FF" w:themeFill="text1" w:themeFillTint="7F"/>
      </w:tcPr>
    </w:tblStylePr>
    <w:tblStylePr w:type="band1Horz">
      <w:tblPr/>
      <w:tcPr>
        <w:shd w:val="clear" w:color="auto" w:fill="4040FF"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insideH w:val="single" w:sz="8" w:space="0" w:color="000080" w:themeColor="text1"/>
        <w:insideV w:val="single" w:sz="8" w:space="0" w:color="000080" w:themeColor="text1"/>
      </w:tblBorders>
    </w:tblPr>
    <w:tcPr>
      <w:shd w:val="clear" w:color="auto" w:fill="A0A0FF" w:themeFill="text1" w:themeFillTint="3F"/>
    </w:tcPr>
    <w:tblStylePr w:type="firstRow">
      <w:rPr>
        <w:b/>
        <w:bCs/>
        <w:color w:val="000080" w:themeColor="text1"/>
      </w:rPr>
      <w:tblPr/>
      <w:tcPr>
        <w:shd w:val="clear" w:color="auto" w:fill="D9D9FF" w:themeFill="tex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B2B2FF" w:themeFill="text1" w:themeFillTint="33"/>
      </w:tcPr>
    </w:tblStylePr>
    <w:tblStylePr w:type="band1Vert">
      <w:tblPr/>
      <w:tcPr>
        <w:shd w:val="clear" w:color="auto" w:fill="4040FF" w:themeFill="text1" w:themeFillTint="7F"/>
      </w:tcPr>
    </w:tblStylePr>
    <w:tblStylePr w:type="band1Horz">
      <w:tblPr/>
      <w:tcPr>
        <w:tcBorders>
          <w:insideH w:val="single" w:sz="6" w:space="0" w:color="000080" w:themeColor="text1"/>
          <w:insideV w:val="single" w:sz="6" w:space="0" w:color="000080" w:themeColor="text1"/>
        </w:tcBorders>
        <w:shd w:val="clear" w:color="auto" w:fill="4040F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80" w:themeColor="text1"/>
      </w:rPr>
      <w:tblPr/>
      <w:tcPr>
        <w:shd w:val="clear" w:color="auto" w:fill="EDF2F8" w:themeFill="accent1"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80" w:themeColor="text1"/>
      </w:rPr>
      <w:tblPr/>
      <w:tcPr>
        <w:shd w:val="clear" w:color="auto" w:fill="F8EDED" w:themeFill="accent2"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80" w:themeColor="text1"/>
      </w:rPr>
      <w:tblPr/>
      <w:tcPr>
        <w:shd w:val="clear" w:color="auto" w:fill="F5F8EE" w:themeFill="accent3"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80" w:themeColor="text1"/>
      </w:rPr>
      <w:tblPr/>
      <w:tcPr>
        <w:shd w:val="clear" w:color="auto" w:fill="F2EFF6" w:themeFill="accent4"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80" w:themeColor="text1"/>
      </w:rPr>
      <w:tblPr/>
      <w:tcPr>
        <w:shd w:val="clear" w:color="auto" w:fill="EDF6F9" w:themeFill="accent5"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80" w:themeColor="text1"/>
      </w:rPr>
      <w:tblPr/>
      <w:tcPr>
        <w:shd w:val="clear" w:color="auto" w:fill="FEF4EC" w:themeFill="accent6" w:themeFillTint="19"/>
      </w:tcPr>
    </w:tblStylePr>
    <w:tblStylePr w:type="lastRow">
      <w:rPr>
        <w:b/>
        <w:bCs/>
        <w:color w:val="000080" w:themeColor="text1"/>
      </w:rPr>
      <w:tblPr/>
      <w:tcPr>
        <w:tcBorders>
          <w:top w:val="single" w:sz="12" w:space="0" w:color="000080" w:themeColor="text1"/>
          <w:left w:val="nil"/>
          <w:bottom w:val="nil"/>
          <w:right w:val="nil"/>
          <w:insideH w:val="nil"/>
          <w:insideV w:val="nil"/>
        </w:tcBorders>
        <w:shd w:val="clear" w:color="auto" w:fill="FFFFFF" w:themeFill="background1"/>
      </w:tcPr>
    </w:tblStylePr>
    <w:tblStylePr w:type="firstCol">
      <w:rPr>
        <w:b/>
        <w:bCs/>
        <w:color w:val="00008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8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0A0FF"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8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8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8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040F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040FF"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80" w:themeColor="text1"/>
    </w:rPr>
    <w:tblPr>
      <w:tblStyleRowBandSize w:val="1"/>
      <w:tblStyleColBandSize w:val="1"/>
      <w:tblBorders>
        <w:top w:val="single" w:sz="8" w:space="0" w:color="000080" w:themeColor="text1"/>
        <w:bottom w:val="single" w:sz="8" w:space="0" w:color="000080" w:themeColor="text1"/>
      </w:tblBorders>
    </w:tblPr>
    <w:tblStylePr w:type="firstRow">
      <w:rPr>
        <w:rFonts w:asciiTheme="majorHAnsi" w:eastAsiaTheme="majorEastAsia" w:hAnsiTheme="majorHAnsi" w:cstheme="majorBidi"/>
      </w:rPr>
      <w:tblPr/>
      <w:tcPr>
        <w:tcBorders>
          <w:top w:val="nil"/>
          <w:bottom w:val="single" w:sz="8" w:space="0" w:color="000080" w:themeColor="text1"/>
        </w:tcBorders>
      </w:tcPr>
    </w:tblStylePr>
    <w:tblStylePr w:type="lastRow">
      <w:rPr>
        <w:b/>
        <w:bCs/>
        <w:color w:val="1F497D" w:themeColor="text2"/>
      </w:rPr>
      <w:tblPr/>
      <w:tcPr>
        <w:tcBorders>
          <w:top w:val="single" w:sz="8" w:space="0" w:color="000080" w:themeColor="text1"/>
          <w:bottom w:val="single" w:sz="8" w:space="0" w:color="000080" w:themeColor="text1"/>
        </w:tcBorders>
      </w:tcPr>
    </w:tblStylePr>
    <w:tblStylePr w:type="firstCol">
      <w:rPr>
        <w:b/>
        <w:bCs/>
      </w:rPr>
    </w:tblStylePr>
    <w:tblStylePr w:type="lastCol">
      <w:rPr>
        <w:b/>
        <w:bCs/>
      </w:rPr>
      <w:tblPr/>
      <w:tcPr>
        <w:tcBorders>
          <w:top w:val="single" w:sz="8" w:space="0" w:color="000080" w:themeColor="text1"/>
          <w:bottom w:val="single" w:sz="8" w:space="0" w:color="000080" w:themeColor="text1"/>
        </w:tcBorders>
      </w:tcPr>
    </w:tblStylePr>
    <w:tblStylePr w:type="band1Vert">
      <w:tblPr/>
      <w:tcPr>
        <w:shd w:val="clear" w:color="auto" w:fill="A0A0FF" w:themeFill="text1" w:themeFillTint="3F"/>
      </w:tcPr>
    </w:tblStylePr>
    <w:tblStylePr w:type="band1Horz">
      <w:tblPr/>
      <w:tcPr>
        <w:shd w:val="clear" w:color="auto" w:fill="A0A0FF" w:themeFill="text1" w:themeFillTint="3F"/>
      </w:tcPr>
    </w:tblStylePr>
  </w:style>
  <w:style w:type="table" w:styleId="MediumList1-Accent1">
    <w:name w:val="Medium List 1 Accent 1"/>
    <w:basedOn w:val="TableNormal"/>
    <w:uiPriority w:val="65"/>
    <w:semiHidden/>
    <w:unhideWhenUsed/>
    <w:rsid w:val="00A111D1"/>
    <w:rPr>
      <w:color w:val="00008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8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8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8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8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8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000080" w:themeColor="text1"/>
        <w:left w:val="single" w:sz="8" w:space="0" w:color="000080" w:themeColor="text1"/>
        <w:bottom w:val="single" w:sz="8" w:space="0" w:color="000080" w:themeColor="text1"/>
        <w:right w:val="single" w:sz="8" w:space="0" w:color="000080" w:themeColor="text1"/>
      </w:tblBorders>
    </w:tblPr>
    <w:tblStylePr w:type="firstRow">
      <w:rPr>
        <w:sz w:val="24"/>
        <w:szCs w:val="24"/>
      </w:rPr>
      <w:tblPr/>
      <w:tcPr>
        <w:tcBorders>
          <w:top w:val="nil"/>
          <w:left w:val="nil"/>
          <w:bottom w:val="single" w:sz="24" w:space="0" w:color="000080" w:themeColor="text1"/>
          <w:right w:val="nil"/>
          <w:insideH w:val="nil"/>
          <w:insideV w:val="nil"/>
        </w:tcBorders>
        <w:shd w:val="clear" w:color="auto" w:fill="FFFFFF" w:themeFill="background1"/>
      </w:tcPr>
    </w:tblStylePr>
    <w:tblStylePr w:type="lastRow">
      <w:tblPr/>
      <w:tcPr>
        <w:tcBorders>
          <w:top w:val="single" w:sz="8" w:space="0" w:color="00008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80" w:themeColor="text1"/>
          <w:insideH w:val="nil"/>
          <w:insideV w:val="nil"/>
        </w:tcBorders>
        <w:shd w:val="clear" w:color="auto" w:fill="FFFFFF" w:themeFill="background1"/>
      </w:tcPr>
    </w:tblStylePr>
    <w:tblStylePr w:type="lastCol">
      <w:tblPr/>
      <w:tcPr>
        <w:tcBorders>
          <w:top w:val="nil"/>
          <w:left w:val="single" w:sz="8" w:space="0" w:color="00008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0A0FF" w:themeFill="text1" w:themeFillTint="3F"/>
      </w:tcPr>
    </w:tblStylePr>
    <w:tblStylePr w:type="band1Horz">
      <w:tblPr/>
      <w:tcPr>
        <w:tcBorders>
          <w:top w:val="nil"/>
          <w:bottom w:val="nil"/>
          <w:insideH w:val="nil"/>
          <w:insideV w:val="nil"/>
        </w:tcBorders>
        <w:shd w:val="clear" w:color="auto" w:fill="A0A0F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8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single" w:sz="8" w:space="0" w:color="0000DF" w:themeColor="text1" w:themeTint="BF"/>
      </w:tblBorders>
    </w:tblPr>
    <w:tblStylePr w:type="firstRow">
      <w:pPr>
        <w:spacing w:before="0" w:after="0" w:line="240" w:lineRule="auto"/>
      </w:pPr>
      <w:rPr>
        <w:b/>
        <w:bCs/>
        <w:color w:val="FFFFFF" w:themeColor="background1"/>
      </w:rPr>
      <w:tblPr/>
      <w:tcPr>
        <w:tcBorders>
          <w:top w:val="single" w:sz="8"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shd w:val="clear" w:color="auto" w:fill="000080" w:themeFill="text1"/>
      </w:tcPr>
    </w:tblStylePr>
    <w:tblStylePr w:type="lastRow">
      <w:pPr>
        <w:spacing w:before="0" w:after="0" w:line="240" w:lineRule="auto"/>
      </w:pPr>
      <w:rPr>
        <w:b/>
        <w:bCs/>
      </w:rPr>
      <w:tblPr/>
      <w:tcPr>
        <w:tcBorders>
          <w:top w:val="double" w:sz="6" w:space="0" w:color="0000DF" w:themeColor="text1" w:themeTint="BF"/>
          <w:left w:val="single" w:sz="8" w:space="0" w:color="0000DF" w:themeColor="text1" w:themeTint="BF"/>
          <w:bottom w:val="single" w:sz="8" w:space="0" w:color="0000DF" w:themeColor="text1" w:themeTint="BF"/>
          <w:right w:val="single" w:sz="8" w:space="0" w:color="0000DF" w:themeColor="text1" w:themeTint="BF"/>
          <w:insideH w:val="nil"/>
          <w:insideV w:val="nil"/>
        </w:tcBorders>
      </w:tcPr>
    </w:tblStylePr>
    <w:tblStylePr w:type="firstCol">
      <w:rPr>
        <w:b/>
        <w:bCs/>
      </w:rPr>
    </w:tblStylePr>
    <w:tblStylePr w:type="lastCol">
      <w:rPr>
        <w:b/>
        <w:bCs/>
      </w:rPr>
    </w:tblStylePr>
    <w:tblStylePr w:type="band1Vert">
      <w:tblPr/>
      <w:tcPr>
        <w:shd w:val="clear" w:color="auto" w:fill="A0A0FF" w:themeFill="text1" w:themeFillTint="3F"/>
      </w:tcPr>
    </w:tblStylePr>
    <w:tblStylePr w:type="band1Horz">
      <w:tblPr/>
      <w:tcPr>
        <w:tcBorders>
          <w:insideH w:val="nil"/>
          <w:insideV w:val="nil"/>
        </w:tcBorders>
        <w:shd w:val="clear" w:color="auto" w:fill="A0A0FF"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8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80" w:themeFill="text1"/>
      </w:tcPr>
    </w:tblStylePr>
    <w:tblStylePr w:type="lastCol">
      <w:rPr>
        <w:b/>
        <w:bCs/>
        <w:color w:val="FFFFFF" w:themeColor="background1"/>
      </w:rPr>
      <w:tblPr/>
      <w:tcPr>
        <w:tcBorders>
          <w:left w:val="nil"/>
          <w:right w:val="nil"/>
          <w:insideH w:val="nil"/>
          <w:insideV w:val="nil"/>
        </w:tcBorders>
        <w:shd w:val="clear" w:color="auto" w:fill="00008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宋体"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宋体"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3F3FFF" w:themeColor="text1" w:themeTint="80"/>
        <w:bottom w:val="single" w:sz="4" w:space="0" w:color="3F3FFF" w:themeColor="text1" w:themeTint="80"/>
      </w:tblBorders>
    </w:tblPr>
    <w:tblStylePr w:type="firstRow">
      <w:rPr>
        <w:b/>
        <w:bCs/>
      </w:rPr>
      <w:tblPr/>
      <w:tcPr>
        <w:tcBorders>
          <w:bottom w:val="single" w:sz="4" w:space="0" w:color="3F3FFF" w:themeColor="text1" w:themeTint="80"/>
        </w:tcBorders>
      </w:tcPr>
    </w:tblStylePr>
    <w:tblStylePr w:type="lastRow">
      <w:rPr>
        <w:b/>
        <w:bCs/>
      </w:rPr>
      <w:tblPr/>
      <w:tcPr>
        <w:tcBorders>
          <w:top w:val="single" w:sz="4" w:space="0" w:color="3F3FFF" w:themeColor="text1" w:themeTint="80"/>
        </w:tcBorders>
      </w:tcPr>
    </w:tblStylePr>
    <w:tblStylePr w:type="firstCol">
      <w:rPr>
        <w:b/>
        <w:bCs/>
      </w:rPr>
    </w:tblStylePr>
    <w:tblStylePr w:type="lastCol">
      <w:rPr>
        <w:b/>
        <w:bCs/>
      </w:rPr>
    </w:tblStylePr>
    <w:tblStylePr w:type="band1Vert">
      <w:tblPr/>
      <w:tcPr>
        <w:tcBorders>
          <w:left w:val="single" w:sz="4" w:space="0" w:color="3F3FFF" w:themeColor="text1" w:themeTint="80"/>
          <w:right w:val="single" w:sz="4" w:space="0" w:color="3F3FFF" w:themeColor="text1" w:themeTint="80"/>
        </w:tcBorders>
      </w:tcPr>
    </w:tblStylePr>
    <w:tblStylePr w:type="band2Vert">
      <w:tblPr/>
      <w:tcPr>
        <w:tcBorders>
          <w:left w:val="single" w:sz="4" w:space="0" w:color="3F3FFF" w:themeColor="text1" w:themeTint="80"/>
          <w:right w:val="single" w:sz="4" w:space="0" w:color="3F3FFF" w:themeColor="text1" w:themeTint="80"/>
        </w:tcBorders>
      </w:tcPr>
    </w:tblStylePr>
    <w:tblStylePr w:type="band1Horz">
      <w:tblPr/>
      <w:tcPr>
        <w:tcBorders>
          <w:top w:val="single" w:sz="4" w:space="0" w:color="3F3FFF" w:themeColor="text1" w:themeTint="80"/>
          <w:bottom w:val="single" w:sz="4" w:space="0" w:color="3F3FF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3F3FF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3F3FF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F3FF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F3FF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F3FF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F3FF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宋体"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0000DF" w:themeColor="text1" w:themeTint="BF"/>
    </w:rPr>
  </w:style>
  <w:style w:type="character" w:customStyle="1" w:styleId="QuoteChar">
    <w:name w:val="Quote Char"/>
    <w:basedOn w:val="DefaultParagraphFont"/>
    <w:link w:val="Quote"/>
    <w:uiPriority w:val="29"/>
    <w:rsid w:val="00A111D1"/>
    <w:rPr>
      <w:rFonts w:ascii="Times New Roman" w:eastAsia="宋体" w:hAnsi="Times New Roman" w:cs="Times New Roman"/>
      <w:i/>
      <w:iCs/>
      <w:color w:val="0000DF"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宋体"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宋体"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0000DF" w:themeColor="text1" w:themeTint="BF"/>
      <w:lang w:val="en-GB"/>
    </w:rPr>
  </w:style>
  <w:style w:type="character" w:styleId="SubtleReference">
    <w:name w:val="Subtle Reference"/>
    <w:basedOn w:val="DefaultParagraphFont"/>
    <w:uiPriority w:val="31"/>
    <w:qFormat/>
    <w:rsid w:val="00A111D1"/>
    <w:rPr>
      <w:smallCaps/>
      <w:color w:val="0707FF"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mop?m=cp-mop-1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E73F8"/>
    <w:rsid w:val="00130D0E"/>
    <w:rsid w:val="001C7BCC"/>
    <w:rsid w:val="00254EB5"/>
    <w:rsid w:val="00292908"/>
    <w:rsid w:val="002C1DB3"/>
    <w:rsid w:val="003227B6"/>
    <w:rsid w:val="003268DD"/>
    <w:rsid w:val="00345981"/>
    <w:rsid w:val="003B610C"/>
    <w:rsid w:val="003C3F59"/>
    <w:rsid w:val="00567BFE"/>
    <w:rsid w:val="009B5918"/>
    <w:rsid w:val="009B5F4C"/>
    <w:rsid w:val="00A13632"/>
    <w:rsid w:val="00A422C1"/>
    <w:rsid w:val="00C51319"/>
    <w:rsid w:val="00DE1C1C"/>
    <w:rsid w:val="00E865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8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BE2CD514-8651-4232-BEE7-F1A0E58A22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8</TotalTime>
  <Pages>1</Pages>
  <Words>108</Words>
  <Characters>619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726</CharactersWithSpaces>
  <SharedDoc>false</SharedDoc>
  <HLinks>
    <vt:vector size="12" baseType="variant">
      <vt:variant>
        <vt:i4>5242958</vt:i4>
      </vt:variant>
      <vt:variant>
        <vt:i4>0</vt:i4>
      </vt:variant>
      <vt:variant>
        <vt:i4>0</vt:i4>
      </vt:variant>
      <vt:variant>
        <vt:i4>5</vt:i4>
      </vt:variant>
      <vt:variant>
        <vt:lpwstr>https://www.cbd.int/decisions/mop?m=cp-mop-10</vt:lpwstr>
      </vt:variant>
      <vt:variant>
        <vt:lpwstr/>
      </vt:variant>
      <vt:variant>
        <vt:i4>5242958</vt:i4>
      </vt:variant>
      <vt:variant>
        <vt:i4>0</vt:i4>
      </vt:variant>
      <vt:variant>
        <vt:i4>0</vt:i4>
      </vt:variant>
      <vt:variant>
        <vt:i4>5</vt:i4>
      </vt:variant>
      <vt:variant>
        <vt:lpwstr>https://www.cbd.int/decisions/mop?m=cp-mop-10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监测和报告</dc:title>
  <dc:subject>CBD/CP/MOP/12/CRP.xx</dc:subject>
  <dc:creator>Veronique Lefebvre</dc:creator>
  <cp:keywords>Convention on Biological Diversity</cp:keywords>
  <cp:lastModifiedBy>Steve Pei</cp:lastModifiedBy>
  <cp:revision>4</cp:revision>
  <cp:lastPrinted>2020-01-22T04:56:00Z</cp:lastPrinted>
  <dcterms:created xsi:type="dcterms:W3CDTF">2026-10-20T18:35:00Z</dcterms:created>
  <dcterms:modified xsi:type="dcterms:W3CDTF">2026-10-22T13:28:00Z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