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
        <w:gridCol w:w="349"/>
        <w:gridCol w:w="5141"/>
        <w:gridCol w:w="156"/>
        <w:gridCol w:w="4405"/>
        <w:gridCol w:w="156"/>
      </w:tblGrid>
      <w:tr w:rsidR="007810D8" w:rsidRPr="009A2BF2" w14:paraId="664978A0" w14:textId="77777777" w:rsidTr="007810D8">
        <w:trPr>
          <w:gridAfter w:val="1"/>
          <w:wAfter w:w="156" w:type="dxa"/>
          <w:trHeight w:val="844"/>
        </w:trPr>
        <w:tc>
          <w:tcPr>
            <w:tcW w:w="505" w:type="dxa"/>
            <w:gridSpan w:val="2"/>
            <w:tcBorders>
              <w:bottom w:val="single" w:sz="12" w:space="0" w:color="auto"/>
            </w:tcBorders>
          </w:tcPr>
          <w:p w14:paraId="67FB6442" w14:textId="77777777" w:rsidR="007810D8" w:rsidRPr="009A2BF2" w:rsidRDefault="007810D8" w:rsidP="0063040B">
            <w:pPr>
              <w:rPr>
                <w:kern w:val="22"/>
              </w:rPr>
            </w:pPr>
            <w:bookmarkStart w:id="0" w:name="_Hlk505247837"/>
            <w:r w:rsidRPr="009719BC">
              <w:rPr>
                <w:noProof/>
                <w:kern w:val="22"/>
              </w:rPr>
              <w:drawing>
                <wp:anchor distT="0" distB="0" distL="114300" distR="114300" simplePos="0" relativeHeight="251660288" behindDoc="0" locked="0" layoutInCell="1" allowOverlap="1" wp14:anchorId="2BA57781" wp14:editId="05E6607D">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2422D77" w14:textId="77777777" w:rsidR="007810D8" w:rsidRPr="009A2BF2" w:rsidRDefault="007810D8" w:rsidP="0063040B">
            <w:pPr>
              <w:rPr>
                <w:kern w:val="22"/>
              </w:rPr>
            </w:pPr>
            <w:r w:rsidRPr="00D23192">
              <w:rPr>
                <w:noProof/>
              </w:rPr>
              <w:drawing>
                <wp:anchor distT="0" distB="0" distL="114300" distR="114300" simplePos="0" relativeHeight="251659264" behindDoc="0" locked="0" layoutInCell="1" allowOverlap="1" wp14:anchorId="72105FF8" wp14:editId="793E8EA6">
                  <wp:simplePos x="0" y="0"/>
                  <wp:positionH relativeFrom="column">
                    <wp:posOffset>52100</wp:posOffset>
                  </wp:positionH>
                  <wp:positionV relativeFrom="page">
                    <wp:posOffset>-76134</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561" w:type="dxa"/>
            <w:gridSpan w:val="2"/>
            <w:tcBorders>
              <w:bottom w:val="single" w:sz="12" w:space="0" w:color="auto"/>
            </w:tcBorders>
          </w:tcPr>
          <w:p w14:paraId="2FD700E1" w14:textId="77777777" w:rsidR="007810D8" w:rsidRPr="00966A92" w:rsidRDefault="007810D8" w:rsidP="0063040B">
            <w:pPr>
              <w:jc w:val="right"/>
              <w:rPr>
                <w:rFonts w:ascii="Arial" w:hAnsi="Arial" w:cs="Arial"/>
                <w:b/>
                <w:kern w:val="22"/>
                <w:sz w:val="32"/>
                <w:szCs w:val="32"/>
              </w:rPr>
            </w:pPr>
            <w:r w:rsidRPr="00966A92">
              <w:rPr>
                <w:rFonts w:ascii="Arial" w:hAnsi="Arial" w:cs="Arial"/>
                <w:b/>
                <w:kern w:val="22"/>
                <w:sz w:val="32"/>
                <w:szCs w:val="32"/>
              </w:rPr>
              <w:t>CBD</w:t>
            </w:r>
          </w:p>
        </w:tc>
      </w:tr>
      <w:bookmarkEnd w:id="0"/>
      <w:tr w:rsidR="00C9161D" w:rsidRPr="009A2BF2" w14:paraId="6FDB4B3C" w14:textId="77777777" w:rsidTr="007810D8">
        <w:trPr>
          <w:gridBefore w:val="1"/>
          <w:wBefore w:w="156" w:type="dxa"/>
        </w:trPr>
        <w:tc>
          <w:tcPr>
            <w:tcW w:w="5646" w:type="dxa"/>
            <w:gridSpan w:val="3"/>
            <w:tcBorders>
              <w:top w:val="single" w:sz="12" w:space="0" w:color="auto"/>
              <w:bottom w:val="single" w:sz="36" w:space="0" w:color="auto"/>
            </w:tcBorders>
            <w:vAlign w:val="center"/>
          </w:tcPr>
          <w:p w14:paraId="3D818A39" w14:textId="77777777" w:rsidR="00C9161D" w:rsidRPr="009A2BF2" w:rsidRDefault="00C9161D" w:rsidP="0066015A">
            <w:pPr>
              <w:suppressLineNumbers/>
              <w:suppressAutoHyphens/>
              <w:kinsoku w:val="0"/>
              <w:overflowPunct w:val="0"/>
              <w:autoSpaceDE w:val="0"/>
              <w:autoSpaceDN w:val="0"/>
              <w:rPr>
                <w:snapToGrid w:val="0"/>
                <w:kern w:val="22"/>
              </w:rPr>
            </w:pPr>
            <w:r w:rsidRPr="00D23192">
              <w:rPr>
                <w:noProof/>
                <w:snapToGrid w:val="0"/>
                <w:kern w:val="22"/>
                <w:lang w:eastAsia="zh-CN"/>
              </w:rPr>
              <w:drawing>
                <wp:inline distT="0" distB="0" distL="0" distR="0" wp14:anchorId="47AF4AA5" wp14:editId="2ACF6CC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61" w:type="dxa"/>
            <w:gridSpan w:val="2"/>
            <w:tcBorders>
              <w:top w:val="single" w:sz="12" w:space="0" w:color="auto"/>
              <w:bottom w:val="single" w:sz="36" w:space="0" w:color="auto"/>
            </w:tcBorders>
          </w:tcPr>
          <w:p w14:paraId="2DA088A5" w14:textId="77777777" w:rsidR="00C9161D" w:rsidRPr="00966A92" w:rsidRDefault="00C9161D" w:rsidP="009719BC">
            <w:pPr>
              <w:suppressLineNumbers/>
              <w:suppressAutoHyphens/>
              <w:kinsoku w:val="0"/>
              <w:overflowPunct w:val="0"/>
              <w:autoSpaceDE w:val="0"/>
              <w:autoSpaceDN w:val="0"/>
              <w:ind w:left="1525"/>
              <w:jc w:val="left"/>
              <w:rPr>
                <w:snapToGrid w:val="0"/>
                <w:kern w:val="22"/>
                <w:szCs w:val="22"/>
              </w:rPr>
            </w:pPr>
            <w:r w:rsidRPr="00966A92">
              <w:rPr>
                <w:snapToGrid w:val="0"/>
                <w:kern w:val="22"/>
                <w:szCs w:val="22"/>
              </w:rPr>
              <w:t>Distr.</w:t>
            </w:r>
          </w:p>
          <w:p w14:paraId="02A6F6EA" w14:textId="77777777" w:rsidR="00C9161D" w:rsidRPr="009A2BF2" w:rsidRDefault="00DC609E" w:rsidP="009719BC">
            <w:pPr>
              <w:suppressLineNumbers/>
              <w:suppressAutoHyphens/>
              <w:kinsoku w:val="0"/>
              <w:overflowPunct w:val="0"/>
              <w:autoSpaceDE w:val="0"/>
              <w:autoSpaceDN w:val="0"/>
              <w:ind w:left="1525"/>
              <w:jc w:val="left"/>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9719BC">
                  <w:rPr>
                    <w:snapToGrid w:val="0"/>
                    <w:kern w:val="22"/>
                    <w:szCs w:val="22"/>
                  </w:rPr>
                  <w:t>GENERAL</w:t>
                </w:r>
              </w:sdtContent>
            </w:sdt>
          </w:p>
          <w:p w14:paraId="5A5B21BC" w14:textId="77777777" w:rsidR="00C9161D" w:rsidRPr="00966A92" w:rsidRDefault="00C9161D" w:rsidP="009719BC">
            <w:pPr>
              <w:suppressLineNumbers/>
              <w:suppressAutoHyphens/>
              <w:kinsoku w:val="0"/>
              <w:overflowPunct w:val="0"/>
              <w:autoSpaceDE w:val="0"/>
              <w:autoSpaceDN w:val="0"/>
              <w:ind w:left="1525"/>
              <w:jc w:val="left"/>
              <w:rPr>
                <w:snapToGrid w:val="0"/>
                <w:kern w:val="22"/>
                <w:szCs w:val="22"/>
              </w:rPr>
            </w:pPr>
          </w:p>
          <w:p w14:paraId="752A0203" w14:textId="3C9AC427" w:rsidR="00C9161D" w:rsidRPr="009A2BF2" w:rsidRDefault="00DC609E" w:rsidP="009719BC">
            <w:pPr>
              <w:suppressLineNumbers/>
              <w:suppressAutoHyphens/>
              <w:kinsoku w:val="0"/>
              <w:overflowPunct w:val="0"/>
              <w:autoSpaceDE w:val="0"/>
              <w:autoSpaceDN w:val="0"/>
              <w:ind w:left="1525"/>
              <w:jc w:val="left"/>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45921" w:rsidRPr="009A2BF2">
                  <w:rPr>
                    <w:snapToGrid w:val="0"/>
                    <w:kern w:val="22"/>
                  </w:rPr>
                  <w:t>CBD/NP/CC/3/2</w:t>
                </w:r>
              </w:sdtContent>
            </w:sdt>
          </w:p>
          <w:p w14:paraId="679C2054" w14:textId="4CEA9423" w:rsidR="00C9161D" w:rsidRPr="009A2BF2" w:rsidRDefault="00552C43" w:rsidP="009719BC">
            <w:pPr>
              <w:suppressLineNumbers/>
              <w:suppressAutoHyphens/>
              <w:kinsoku w:val="0"/>
              <w:overflowPunct w:val="0"/>
              <w:autoSpaceDE w:val="0"/>
              <w:autoSpaceDN w:val="0"/>
              <w:ind w:left="1525"/>
              <w:jc w:val="left"/>
              <w:rPr>
                <w:snapToGrid w:val="0"/>
                <w:kern w:val="22"/>
                <w:szCs w:val="22"/>
              </w:rPr>
            </w:pPr>
            <w:r w:rsidRPr="009A2BF2">
              <w:rPr>
                <w:snapToGrid w:val="0"/>
                <w:kern w:val="22"/>
                <w:szCs w:val="22"/>
              </w:rPr>
              <w:t>24 February 2020</w:t>
            </w:r>
          </w:p>
          <w:p w14:paraId="6B911E70" w14:textId="77777777" w:rsidR="00C9161D" w:rsidRPr="00966A92" w:rsidRDefault="00C9161D" w:rsidP="009719BC">
            <w:pPr>
              <w:suppressLineNumbers/>
              <w:suppressAutoHyphens/>
              <w:kinsoku w:val="0"/>
              <w:overflowPunct w:val="0"/>
              <w:autoSpaceDE w:val="0"/>
              <w:autoSpaceDN w:val="0"/>
              <w:ind w:left="1525"/>
              <w:jc w:val="left"/>
              <w:rPr>
                <w:snapToGrid w:val="0"/>
                <w:kern w:val="22"/>
                <w:szCs w:val="22"/>
              </w:rPr>
            </w:pPr>
          </w:p>
          <w:p w14:paraId="3949AC6B" w14:textId="77777777" w:rsidR="00C9161D" w:rsidRPr="00966A92" w:rsidRDefault="00C9161D" w:rsidP="009719BC">
            <w:pPr>
              <w:suppressLineNumbers/>
              <w:suppressAutoHyphens/>
              <w:kinsoku w:val="0"/>
              <w:overflowPunct w:val="0"/>
              <w:autoSpaceDE w:val="0"/>
              <w:autoSpaceDN w:val="0"/>
              <w:ind w:left="1525"/>
              <w:jc w:val="left"/>
              <w:rPr>
                <w:snapToGrid w:val="0"/>
                <w:kern w:val="22"/>
                <w:szCs w:val="22"/>
              </w:rPr>
            </w:pPr>
            <w:r w:rsidRPr="00966A92">
              <w:rPr>
                <w:snapToGrid w:val="0"/>
                <w:kern w:val="22"/>
                <w:szCs w:val="22"/>
              </w:rPr>
              <w:t>ENGLISH</w:t>
            </w:r>
            <w:r w:rsidR="00172AF6" w:rsidRPr="00966A92">
              <w:rPr>
                <w:snapToGrid w:val="0"/>
                <w:kern w:val="22"/>
                <w:szCs w:val="22"/>
              </w:rPr>
              <w:t xml:space="preserve"> ONLY</w:t>
            </w:r>
          </w:p>
          <w:p w14:paraId="5A6856EB" w14:textId="77777777" w:rsidR="00C9161D" w:rsidRPr="00966A92" w:rsidRDefault="00C9161D" w:rsidP="009719BC">
            <w:pPr>
              <w:suppressLineNumbers/>
              <w:suppressAutoHyphens/>
              <w:kinsoku w:val="0"/>
              <w:overflowPunct w:val="0"/>
              <w:autoSpaceDE w:val="0"/>
              <w:autoSpaceDN w:val="0"/>
              <w:jc w:val="left"/>
              <w:rPr>
                <w:snapToGrid w:val="0"/>
                <w:kern w:val="22"/>
              </w:rPr>
            </w:pPr>
          </w:p>
        </w:tc>
      </w:tr>
    </w:tbl>
    <w:p w14:paraId="4AE24325" w14:textId="77777777" w:rsidR="00B5513E" w:rsidRPr="00433C1B" w:rsidRDefault="00B5513E" w:rsidP="0066015A">
      <w:pPr>
        <w:pStyle w:val="Cornernotation"/>
        <w:suppressLineNumbers/>
        <w:suppressAutoHyphens/>
        <w:kinsoku w:val="0"/>
        <w:overflowPunct w:val="0"/>
        <w:autoSpaceDE w:val="0"/>
        <w:autoSpaceDN w:val="0"/>
        <w:ind w:left="284" w:right="3973" w:hanging="284"/>
        <w:rPr>
          <w:snapToGrid w:val="0"/>
          <w:kern w:val="22"/>
          <w:szCs w:val="22"/>
        </w:rPr>
      </w:pPr>
      <w:r w:rsidRPr="00433C1B">
        <w:rPr>
          <w:snapToGrid w:val="0"/>
          <w:kern w:val="22"/>
          <w:szCs w:val="22"/>
        </w:rPr>
        <w:t xml:space="preserve">COMPLIANCE COMMITTEE UNDER THE </w:t>
      </w:r>
    </w:p>
    <w:p w14:paraId="6536B024" w14:textId="77777777" w:rsidR="00B5513E" w:rsidRPr="00433C1B" w:rsidRDefault="00B5513E" w:rsidP="0066015A">
      <w:pPr>
        <w:pStyle w:val="Cornernotation"/>
        <w:suppressLineNumbers/>
        <w:suppressAutoHyphens/>
        <w:kinsoku w:val="0"/>
        <w:overflowPunct w:val="0"/>
        <w:autoSpaceDE w:val="0"/>
        <w:autoSpaceDN w:val="0"/>
        <w:ind w:left="284" w:right="3973" w:firstLine="0"/>
        <w:rPr>
          <w:snapToGrid w:val="0"/>
          <w:kern w:val="22"/>
          <w:szCs w:val="22"/>
        </w:rPr>
      </w:pPr>
      <w:r w:rsidRPr="00433C1B">
        <w:rPr>
          <w:snapToGrid w:val="0"/>
          <w:kern w:val="22"/>
          <w:szCs w:val="22"/>
        </w:rPr>
        <w:t>NAGOYA PROTOCOL</w:t>
      </w:r>
    </w:p>
    <w:p w14:paraId="7E103CC7" w14:textId="77777777" w:rsidR="00B5513E" w:rsidRPr="00433C1B" w:rsidRDefault="00380613" w:rsidP="0066015A">
      <w:pPr>
        <w:pStyle w:val="Cornernotation"/>
        <w:suppressLineNumbers/>
        <w:suppressAutoHyphens/>
        <w:kinsoku w:val="0"/>
        <w:overflowPunct w:val="0"/>
        <w:autoSpaceDE w:val="0"/>
        <w:autoSpaceDN w:val="0"/>
        <w:ind w:left="0" w:right="3548" w:firstLine="0"/>
        <w:rPr>
          <w:snapToGrid w:val="0"/>
          <w:kern w:val="22"/>
          <w:szCs w:val="22"/>
        </w:rPr>
      </w:pPr>
      <w:r w:rsidRPr="00433C1B">
        <w:rPr>
          <w:snapToGrid w:val="0"/>
          <w:kern w:val="22"/>
          <w:szCs w:val="22"/>
        </w:rPr>
        <w:t xml:space="preserve">Third </w:t>
      </w:r>
      <w:r w:rsidR="00B5513E" w:rsidRPr="00433C1B">
        <w:rPr>
          <w:snapToGrid w:val="0"/>
          <w:kern w:val="22"/>
          <w:szCs w:val="22"/>
        </w:rPr>
        <w:t>meeting</w:t>
      </w:r>
    </w:p>
    <w:p w14:paraId="4FF8871E" w14:textId="1FEDA2CE" w:rsidR="00B5513E" w:rsidRPr="00433C1B" w:rsidRDefault="0004410C" w:rsidP="0066015A">
      <w:pPr>
        <w:pStyle w:val="Cornernotation"/>
        <w:suppressLineNumbers/>
        <w:suppressAutoHyphens/>
        <w:kinsoku w:val="0"/>
        <w:overflowPunct w:val="0"/>
        <w:autoSpaceDE w:val="0"/>
        <w:autoSpaceDN w:val="0"/>
        <w:ind w:left="0" w:right="3548" w:firstLine="0"/>
        <w:rPr>
          <w:snapToGrid w:val="0"/>
          <w:kern w:val="22"/>
          <w:szCs w:val="22"/>
        </w:rPr>
      </w:pPr>
      <w:r w:rsidRPr="00433C1B">
        <w:rPr>
          <w:snapToGrid w:val="0"/>
          <w:kern w:val="22"/>
          <w:szCs w:val="22"/>
        </w:rPr>
        <w:t>Online</w:t>
      </w:r>
      <w:r w:rsidR="00B5513E" w:rsidRPr="00433C1B">
        <w:rPr>
          <w:snapToGrid w:val="0"/>
          <w:kern w:val="22"/>
          <w:szCs w:val="22"/>
        </w:rPr>
        <w:t>, 2</w:t>
      </w:r>
      <w:r w:rsidR="00380613" w:rsidRPr="00433C1B">
        <w:rPr>
          <w:snapToGrid w:val="0"/>
          <w:kern w:val="22"/>
          <w:szCs w:val="22"/>
        </w:rPr>
        <w:t>1</w:t>
      </w:r>
      <w:r w:rsidR="00B5513E" w:rsidRPr="00433C1B">
        <w:rPr>
          <w:snapToGrid w:val="0"/>
          <w:kern w:val="22"/>
          <w:szCs w:val="22"/>
        </w:rPr>
        <w:t>-2</w:t>
      </w:r>
      <w:r w:rsidR="00380613" w:rsidRPr="00433C1B">
        <w:rPr>
          <w:snapToGrid w:val="0"/>
          <w:kern w:val="22"/>
          <w:szCs w:val="22"/>
        </w:rPr>
        <w:t>3</w:t>
      </w:r>
      <w:r w:rsidR="00B5513E" w:rsidRPr="00433C1B">
        <w:rPr>
          <w:snapToGrid w:val="0"/>
          <w:kern w:val="22"/>
          <w:szCs w:val="22"/>
        </w:rPr>
        <w:t xml:space="preserve"> April 20</w:t>
      </w:r>
      <w:r w:rsidR="00552C43" w:rsidRPr="00433C1B">
        <w:rPr>
          <w:snapToGrid w:val="0"/>
          <w:kern w:val="22"/>
          <w:szCs w:val="22"/>
        </w:rPr>
        <w:t>20</w:t>
      </w:r>
    </w:p>
    <w:p w14:paraId="4A14A7DD" w14:textId="7086A2C9" w:rsidR="0094047D" w:rsidRPr="00433C1B" w:rsidRDefault="0094047D" w:rsidP="0066015A">
      <w:pPr>
        <w:pStyle w:val="Cornernotation"/>
        <w:suppressLineNumbers/>
        <w:suppressAutoHyphens/>
        <w:kinsoku w:val="0"/>
        <w:overflowPunct w:val="0"/>
        <w:autoSpaceDE w:val="0"/>
        <w:autoSpaceDN w:val="0"/>
        <w:ind w:left="0" w:right="3548" w:firstLine="0"/>
        <w:rPr>
          <w:snapToGrid w:val="0"/>
          <w:kern w:val="22"/>
          <w:szCs w:val="22"/>
        </w:rPr>
      </w:pPr>
      <w:r w:rsidRPr="00433C1B">
        <w:rPr>
          <w:snapToGrid w:val="0"/>
          <w:kern w:val="22"/>
          <w:szCs w:val="22"/>
        </w:rPr>
        <w:t xml:space="preserve">Item </w:t>
      </w:r>
      <w:r w:rsidR="000F0CA9" w:rsidRPr="00433C1B">
        <w:rPr>
          <w:snapToGrid w:val="0"/>
          <w:kern w:val="22"/>
          <w:szCs w:val="22"/>
        </w:rPr>
        <w:t>3 of the provisional agenda</w:t>
      </w:r>
    </w:p>
    <w:p w14:paraId="0C64683D" w14:textId="77777777" w:rsidR="00176CEE" w:rsidRPr="00433C1B" w:rsidRDefault="00DC609E" w:rsidP="0066015A">
      <w:pPr>
        <w:suppressLineNumbers/>
        <w:suppressAutoHyphens/>
        <w:kinsoku w:val="0"/>
        <w:overflowPunct w:val="0"/>
        <w:autoSpaceDE w:val="0"/>
        <w:autoSpaceDN w:val="0"/>
        <w:spacing w:before="240" w:after="120"/>
        <w:jc w:val="center"/>
        <w:rPr>
          <w:b/>
          <w:caps/>
          <w:snapToGrid w:val="0"/>
          <w:kern w:val="22"/>
          <w:szCs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924AB" w:rsidRPr="009719BC">
            <w:rPr>
              <w:b/>
              <w:caps/>
              <w:snapToGrid w:val="0"/>
              <w:kern w:val="22"/>
              <w:szCs w:val="22"/>
            </w:rPr>
            <w:t xml:space="preserve">Review of the outcomes of the </w:t>
          </w:r>
          <w:r w:rsidR="00A34BE9" w:rsidRPr="009719BC">
            <w:rPr>
              <w:b/>
              <w:caps/>
              <w:snapToGrid w:val="0"/>
              <w:kern w:val="22"/>
              <w:szCs w:val="22"/>
            </w:rPr>
            <w:t xml:space="preserve">third </w:t>
          </w:r>
          <w:r w:rsidR="00D924AB" w:rsidRPr="009719BC">
            <w:rPr>
              <w:b/>
              <w:caps/>
              <w:snapToGrid w:val="0"/>
              <w:kern w:val="22"/>
              <w:szCs w:val="22"/>
            </w:rPr>
            <w:t>meeting of the Conference of the Parties serving as the meeting of the Parties to the Nagoya Protocol regarding items relevant to compliance</w:t>
          </w:r>
        </w:sdtContent>
      </w:sdt>
      <w:r w:rsidR="00105372" w:rsidRPr="00433C1B">
        <w:rPr>
          <w:b/>
          <w:caps/>
          <w:snapToGrid w:val="0"/>
          <w:kern w:val="22"/>
          <w:szCs w:val="22"/>
        </w:rPr>
        <w:t xml:space="preserve"> </w:t>
      </w:r>
    </w:p>
    <w:p w14:paraId="02FF9394" w14:textId="77777777" w:rsidR="00660370" w:rsidRPr="00433C1B" w:rsidRDefault="00660370" w:rsidP="0066015A">
      <w:pPr>
        <w:suppressLineNumbers/>
        <w:suppressAutoHyphens/>
        <w:kinsoku w:val="0"/>
        <w:overflowPunct w:val="0"/>
        <w:autoSpaceDE w:val="0"/>
        <w:autoSpaceDN w:val="0"/>
        <w:spacing w:before="120" w:after="120"/>
        <w:jc w:val="center"/>
        <w:rPr>
          <w:i/>
          <w:iCs/>
          <w:snapToGrid w:val="0"/>
          <w:kern w:val="22"/>
          <w:szCs w:val="22"/>
          <w:lang w:eastAsia="en-CA"/>
        </w:rPr>
      </w:pPr>
      <w:r w:rsidRPr="00433C1B">
        <w:rPr>
          <w:i/>
          <w:iCs/>
          <w:snapToGrid w:val="0"/>
          <w:kern w:val="22"/>
          <w:szCs w:val="22"/>
          <w:lang w:eastAsia="en-CA"/>
        </w:rPr>
        <w:t>Note by the Executive Secretary</w:t>
      </w:r>
    </w:p>
    <w:p w14:paraId="21CD36B6" w14:textId="77777777" w:rsidR="00B5513E" w:rsidRPr="009719BC" w:rsidRDefault="00CE0864" w:rsidP="00E958CB">
      <w:pPr>
        <w:pStyle w:val="Heading1longmultiline"/>
        <w:numPr>
          <w:ilvl w:val="0"/>
          <w:numId w:val="24"/>
        </w:numPr>
        <w:suppressLineNumbers/>
        <w:tabs>
          <w:tab w:val="clear" w:pos="720"/>
        </w:tabs>
        <w:suppressAutoHyphens/>
        <w:kinsoku w:val="0"/>
        <w:overflowPunct w:val="0"/>
        <w:autoSpaceDE w:val="0"/>
        <w:autoSpaceDN w:val="0"/>
        <w:ind w:left="4253"/>
        <w:rPr>
          <w:snapToGrid w:val="0"/>
          <w:kern w:val="22"/>
          <w:szCs w:val="22"/>
        </w:rPr>
      </w:pPr>
      <w:r w:rsidRPr="009719BC">
        <w:rPr>
          <w:bCs/>
          <w:snapToGrid w:val="0"/>
          <w:kern w:val="22"/>
          <w:szCs w:val="22"/>
        </w:rPr>
        <w:t>Introduction</w:t>
      </w:r>
    </w:p>
    <w:p w14:paraId="58B8A275" w14:textId="7A71ED58" w:rsidR="00B5513E" w:rsidRPr="00433C1B" w:rsidRDefault="00B5513E" w:rsidP="00957565">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433C1B">
        <w:rPr>
          <w:kern w:val="22"/>
          <w:szCs w:val="22"/>
        </w:rPr>
        <w:t xml:space="preserve">The Conference of the Parties serving as the meeting of the Parties to the Nagoya Protocol </w:t>
      </w:r>
      <w:r w:rsidR="00523F42" w:rsidRPr="00433C1B">
        <w:rPr>
          <w:kern w:val="22"/>
          <w:szCs w:val="22"/>
        </w:rPr>
        <w:t xml:space="preserve">at </w:t>
      </w:r>
      <w:r w:rsidRPr="00433C1B">
        <w:rPr>
          <w:kern w:val="22"/>
          <w:szCs w:val="22"/>
        </w:rPr>
        <w:t xml:space="preserve">its </w:t>
      </w:r>
      <w:r w:rsidR="000110B1" w:rsidRPr="00433C1B">
        <w:rPr>
          <w:kern w:val="22"/>
          <w:szCs w:val="22"/>
        </w:rPr>
        <w:t>third meeting</w:t>
      </w:r>
      <w:r w:rsidRPr="00433C1B">
        <w:rPr>
          <w:kern w:val="22"/>
          <w:szCs w:val="22"/>
        </w:rPr>
        <w:t xml:space="preserve"> considered, among other things, the report, including recommendations, submitted by the Compliance Committee, and </w:t>
      </w:r>
      <w:r w:rsidR="002900FA" w:rsidRPr="00433C1B">
        <w:rPr>
          <w:kern w:val="22"/>
          <w:szCs w:val="22"/>
        </w:rPr>
        <w:t xml:space="preserve">adopted </w:t>
      </w:r>
      <w:r w:rsidRPr="00433C1B">
        <w:rPr>
          <w:kern w:val="22"/>
          <w:szCs w:val="22"/>
        </w:rPr>
        <w:t>decisions accordingly.</w:t>
      </w:r>
    </w:p>
    <w:p w14:paraId="7C5969A2" w14:textId="6435FD6D" w:rsidR="00957565" w:rsidRPr="00433C1B" w:rsidRDefault="00957565" w:rsidP="00957565">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433C1B">
        <w:rPr>
          <w:kern w:val="22"/>
          <w:szCs w:val="22"/>
        </w:rPr>
        <w:t xml:space="preserve">In addition, </w:t>
      </w:r>
      <w:r w:rsidR="00994ED2" w:rsidRPr="00433C1B">
        <w:rPr>
          <w:kern w:val="22"/>
          <w:szCs w:val="22"/>
        </w:rPr>
        <w:t xml:space="preserve">at its </w:t>
      </w:r>
      <w:r w:rsidRPr="00433C1B">
        <w:rPr>
          <w:kern w:val="22"/>
          <w:szCs w:val="22"/>
        </w:rPr>
        <w:t>third meeting</w:t>
      </w:r>
      <w:r w:rsidR="00994ED2" w:rsidRPr="00433C1B">
        <w:rPr>
          <w:kern w:val="22"/>
          <w:szCs w:val="22"/>
        </w:rPr>
        <w:t>,</w:t>
      </w:r>
      <w:r w:rsidRPr="00433C1B">
        <w:rPr>
          <w:kern w:val="22"/>
          <w:szCs w:val="22"/>
        </w:rPr>
        <w:t xml:space="preserve"> </w:t>
      </w:r>
      <w:r w:rsidR="00994ED2" w:rsidRPr="00433C1B">
        <w:rPr>
          <w:kern w:val="22"/>
          <w:szCs w:val="22"/>
        </w:rPr>
        <w:t xml:space="preserve">the Conference of the Parties serving as the meeting </w:t>
      </w:r>
      <w:r w:rsidRPr="00433C1B">
        <w:rPr>
          <w:kern w:val="22"/>
          <w:szCs w:val="22"/>
        </w:rPr>
        <w:t>of the Parties conducted the first assessment and review of the effectiveness of the Protocol</w:t>
      </w:r>
      <w:r w:rsidR="0067709D" w:rsidRPr="00433C1B">
        <w:rPr>
          <w:kern w:val="22"/>
          <w:szCs w:val="22"/>
        </w:rPr>
        <w:t>. The</w:t>
      </w:r>
      <w:r w:rsidRPr="00433C1B">
        <w:rPr>
          <w:kern w:val="22"/>
          <w:szCs w:val="22"/>
        </w:rPr>
        <w:t xml:space="preserve"> Compliance Committee provide</w:t>
      </w:r>
      <w:r w:rsidR="0067709D" w:rsidRPr="00433C1B">
        <w:rPr>
          <w:kern w:val="22"/>
          <w:szCs w:val="22"/>
        </w:rPr>
        <w:t>d</w:t>
      </w:r>
      <w:r w:rsidRPr="00433C1B">
        <w:rPr>
          <w:kern w:val="22"/>
          <w:szCs w:val="22"/>
        </w:rPr>
        <w:t xml:space="preserve"> inputs</w:t>
      </w:r>
      <w:r w:rsidR="0067709D" w:rsidRPr="00433C1B">
        <w:rPr>
          <w:kern w:val="22"/>
          <w:szCs w:val="22"/>
        </w:rPr>
        <w:t xml:space="preserve"> to this process</w:t>
      </w:r>
      <w:r w:rsidRPr="00433C1B">
        <w:rPr>
          <w:kern w:val="22"/>
          <w:szCs w:val="22"/>
        </w:rPr>
        <w:t xml:space="preserve"> in the form of information and findings on general issues of compliance and recommendations to assist in addressing challenges to the implementation of the Protocol </w:t>
      </w:r>
      <w:r w:rsidR="0067709D" w:rsidRPr="00433C1B">
        <w:rPr>
          <w:kern w:val="22"/>
          <w:szCs w:val="22"/>
        </w:rPr>
        <w:t xml:space="preserve">as requested </w:t>
      </w:r>
      <w:r w:rsidR="00825980" w:rsidRPr="00433C1B">
        <w:rPr>
          <w:kern w:val="22"/>
          <w:szCs w:val="22"/>
        </w:rPr>
        <w:t xml:space="preserve">in </w:t>
      </w:r>
      <w:r w:rsidR="0067709D" w:rsidRPr="00433C1B">
        <w:rPr>
          <w:kern w:val="22"/>
          <w:szCs w:val="22"/>
        </w:rPr>
        <w:t xml:space="preserve">decision </w:t>
      </w:r>
      <w:hyperlink r:id="rId15" w:history="1">
        <w:r w:rsidR="0067709D" w:rsidRPr="00433C1B">
          <w:rPr>
            <w:rStyle w:val="Hyperlink"/>
            <w:kern w:val="22"/>
            <w:sz w:val="22"/>
            <w:szCs w:val="22"/>
          </w:rPr>
          <w:t>NP-2/4</w:t>
        </w:r>
      </w:hyperlink>
      <w:r w:rsidR="0067709D" w:rsidRPr="00433C1B">
        <w:rPr>
          <w:kern w:val="22"/>
          <w:szCs w:val="22"/>
        </w:rPr>
        <w:t xml:space="preserve">, </w:t>
      </w:r>
      <w:r w:rsidRPr="00433C1B">
        <w:rPr>
          <w:kern w:val="22"/>
          <w:szCs w:val="22"/>
        </w:rPr>
        <w:t>para</w:t>
      </w:r>
      <w:r w:rsidR="00F10836" w:rsidRPr="00433C1B">
        <w:rPr>
          <w:kern w:val="22"/>
          <w:szCs w:val="22"/>
        </w:rPr>
        <w:t>graph</w:t>
      </w:r>
      <w:r w:rsidR="000F6A05" w:rsidRPr="00433C1B">
        <w:rPr>
          <w:kern w:val="22"/>
          <w:szCs w:val="22"/>
        </w:rPr>
        <w:t> </w:t>
      </w:r>
      <w:r w:rsidR="0067709D" w:rsidRPr="00433C1B">
        <w:rPr>
          <w:kern w:val="22"/>
          <w:szCs w:val="22"/>
        </w:rPr>
        <w:t>5.</w:t>
      </w:r>
    </w:p>
    <w:p w14:paraId="3E3D5824" w14:textId="4B10537F" w:rsidR="00B5513E" w:rsidRPr="00433C1B"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433C1B">
        <w:rPr>
          <w:kern w:val="22"/>
          <w:szCs w:val="22"/>
        </w:rPr>
        <w:t xml:space="preserve">The present document provides an overview of the outcomes of </w:t>
      </w:r>
      <w:r w:rsidR="005901DC" w:rsidRPr="00433C1B">
        <w:rPr>
          <w:kern w:val="22"/>
          <w:szCs w:val="22"/>
        </w:rPr>
        <w:t xml:space="preserve">the </w:t>
      </w:r>
      <w:r w:rsidR="000110B1" w:rsidRPr="00433C1B">
        <w:rPr>
          <w:kern w:val="22"/>
          <w:szCs w:val="22"/>
        </w:rPr>
        <w:t xml:space="preserve">third </w:t>
      </w:r>
      <w:r w:rsidR="005901DC" w:rsidRPr="00433C1B">
        <w:rPr>
          <w:kern w:val="22"/>
          <w:szCs w:val="22"/>
        </w:rPr>
        <w:t xml:space="preserve">meeting of </w:t>
      </w:r>
      <w:r w:rsidR="00E30700" w:rsidRPr="00433C1B">
        <w:rPr>
          <w:kern w:val="22"/>
          <w:szCs w:val="22"/>
        </w:rPr>
        <w:t>the Parties to the Protocol</w:t>
      </w:r>
      <w:r w:rsidRPr="00433C1B">
        <w:rPr>
          <w:kern w:val="22"/>
          <w:szCs w:val="22"/>
        </w:rPr>
        <w:t xml:space="preserve"> relating to compliance. Section II </w:t>
      </w:r>
      <w:r w:rsidR="00701C68" w:rsidRPr="00433C1B">
        <w:rPr>
          <w:kern w:val="22"/>
          <w:szCs w:val="22"/>
        </w:rPr>
        <w:t>below</w:t>
      </w:r>
      <w:r w:rsidRPr="00433C1B">
        <w:rPr>
          <w:kern w:val="22"/>
          <w:szCs w:val="22"/>
        </w:rPr>
        <w:t xml:space="preserve"> examines how the Committee’s recommendations were taken up by </w:t>
      </w:r>
      <w:r w:rsidR="00E30700" w:rsidRPr="00433C1B">
        <w:rPr>
          <w:kern w:val="22"/>
          <w:szCs w:val="22"/>
        </w:rPr>
        <w:t>the Parties to the Protocol</w:t>
      </w:r>
      <w:r w:rsidRPr="00433C1B">
        <w:rPr>
          <w:kern w:val="22"/>
          <w:szCs w:val="22"/>
        </w:rPr>
        <w:t xml:space="preserve"> in the different decisions adopted </w:t>
      </w:r>
      <w:r w:rsidR="00EE7EE9" w:rsidRPr="00433C1B">
        <w:rPr>
          <w:kern w:val="22"/>
          <w:szCs w:val="22"/>
        </w:rPr>
        <w:t xml:space="preserve">at </w:t>
      </w:r>
      <w:r w:rsidRPr="00433C1B">
        <w:rPr>
          <w:kern w:val="22"/>
          <w:szCs w:val="22"/>
        </w:rPr>
        <w:t xml:space="preserve">the meeting. The decisions are reviewed vis-à-vis the recommendations that the Committee proposed </w:t>
      </w:r>
      <w:r w:rsidR="00C86F44" w:rsidRPr="00433C1B">
        <w:rPr>
          <w:kern w:val="22"/>
          <w:szCs w:val="22"/>
        </w:rPr>
        <w:t>at</w:t>
      </w:r>
      <w:r w:rsidR="00782D60" w:rsidRPr="00433C1B">
        <w:rPr>
          <w:kern w:val="22"/>
          <w:szCs w:val="22"/>
        </w:rPr>
        <w:t xml:space="preserve"> </w:t>
      </w:r>
      <w:r w:rsidR="00B87727" w:rsidRPr="00433C1B">
        <w:rPr>
          <w:kern w:val="22"/>
          <w:szCs w:val="22"/>
        </w:rPr>
        <w:t>its second meeting</w:t>
      </w:r>
      <w:r w:rsidRPr="00433C1B">
        <w:rPr>
          <w:kern w:val="22"/>
          <w:szCs w:val="22"/>
        </w:rPr>
        <w:t>.</w:t>
      </w:r>
      <w:r w:rsidRPr="00433C1B">
        <w:rPr>
          <w:rStyle w:val="FootnoteReference"/>
          <w:kern w:val="22"/>
          <w:szCs w:val="22"/>
        </w:rPr>
        <w:footnoteReference w:id="1"/>
      </w:r>
      <w:r w:rsidR="00DF55C2" w:rsidRPr="00433C1B">
        <w:rPr>
          <w:kern w:val="22"/>
          <w:szCs w:val="22"/>
        </w:rPr>
        <w:t xml:space="preserve"> </w:t>
      </w:r>
      <w:r w:rsidR="0067709D" w:rsidRPr="00433C1B">
        <w:rPr>
          <w:kern w:val="22"/>
          <w:szCs w:val="22"/>
        </w:rPr>
        <w:t>Section III contains information on how the input provided by the Compliance Committee</w:t>
      </w:r>
      <w:r w:rsidR="00BB2812" w:rsidRPr="00433C1B">
        <w:rPr>
          <w:kern w:val="22"/>
          <w:szCs w:val="22"/>
        </w:rPr>
        <w:t xml:space="preserve"> (annex I of its report)</w:t>
      </w:r>
      <w:r w:rsidR="0067709D" w:rsidRPr="00433C1B">
        <w:rPr>
          <w:kern w:val="22"/>
          <w:szCs w:val="22"/>
        </w:rPr>
        <w:t xml:space="preserve"> was considered as part of the first assessment and review of the Protocol. </w:t>
      </w:r>
      <w:r w:rsidR="00EB5858" w:rsidRPr="00433C1B">
        <w:rPr>
          <w:kern w:val="22"/>
          <w:szCs w:val="22"/>
        </w:rPr>
        <w:t xml:space="preserve">Section IV provides </w:t>
      </w:r>
      <w:r w:rsidR="007C6583" w:rsidRPr="00433C1B">
        <w:rPr>
          <w:kern w:val="22"/>
          <w:szCs w:val="22"/>
        </w:rPr>
        <w:t>information on the membership of the Committee</w:t>
      </w:r>
      <w:r w:rsidR="00CC41B4">
        <w:rPr>
          <w:kern w:val="22"/>
          <w:szCs w:val="22"/>
        </w:rPr>
        <w:t>,</w:t>
      </w:r>
      <w:r w:rsidR="00E958CB" w:rsidRPr="00433C1B">
        <w:rPr>
          <w:kern w:val="22"/>
          <w:szCs w:val="22"/>
        </w:rPr>
        <w:t xml:space="preserve"> and section V provides </w:t>
      </w:r>
      <w:r w:rsidR="00EB5858" w:rsidRPr="00433C1B">
        <w:rPr>
          <w:kern w:val="22"/>
          <w:szCs w:val="22"/>
        </w:rPr>
        <w:t>a conclusion.</w:t>
      </w:r>
    </w:p>
    <w:p w14:paraId="526B3DA9" w14:textId="11697EF6" w:rsidR="00B5513E" w:rsidRPr="009719BC" w:rsidRDefault="00B5513E" w:rsidP="009719BC">
      <w:pPr>
        <w:pStyle w:val="Heading1longmultiline"/>
        <w:suppressLineNumbers/>
        <w:tabs>
          <w:tab w:val="clear" w:pos="720"/>
        </w:tabs>
        <w:suppressAutoHyphens/>
        <w:kinsoku w:val="0"/>
        <w:overflowPunct w:val="0"/>
        <w:autoSpaceDE w:val="0"/>
        <w:autoSpaceDN w:val="0"/>
        <w:spacing w:before="120"/>
        <w:ind w:left="1134" w:hanging="567"/>
        <w:rPr>
          <w:bCs/>
          <w:snapToGrid w:val="0"/>
          <w:kern w:val="22"/>
          <w:szCs w:val="22"/>
        </w:rPr>
      </w:pPr>
      <w:r w:rsidRPr="009719BC">
        <w:rPr>
          <w:bCs/>
          <w:snapToGrid w:val="0"/>
          <w:kern w:val="22"/>
          <w:szCs w:val="22"/>
        </w:rPr>
        <w:t>II.</w:t>
      </w:r>
      <w:r w:rsidRPr="009719BC">
        <w:rPr>
          <w:bCs/>
          <w:snapToGrid w:val="0"/>
          <w:kern w:val="22"/>
          <w:szCs w:val="22"/>
        </w:rPr>
        <w:tab/>
        <w:t xml:space="preserve">Decisions </w:t>
      </w:r>
      <w:r w:rsidR="000B52CC" w:rsidRPr="009719BC">
        <w:rPr>
          <w:bCs/>
          <w:snapToGrid w:val="0"/>
          <w:kern w:val="22"/>
          <w:szCs w:val="22"/>
        </w:rPr>
        <w:t xml:space="preserve">taken </w:t>
      </w:r>
      <w:r w:rsidRPr="009719BC">
        <w:rPr>
          <w:bCs/>
          <w:snapToGrid w:val="0"/>
          <w:kern w:val="22"/>
          <w:szCs w:val="22"/>
        </w:rPr>
        <w:t xml:space="preserve">by the Parties to the </w:t>
      </w:r>
      <w:r w:rsidR="000B52CC" w:rsidRPr="009719BC">
        <w:rPr>
          <w:bCs/>
          <w:snapToGrid w:val="0"/>
          <w:kern w:val="22"/>
          <w:szCs w:val="22"/>
        </w:rPr>
        <w:t>Protocol</w:t>
      </w:r>
      <w:r w:rsidR="00FA48E0" w:rsidRPr="009719BC">
        <w:rPr>
          <w:bCs/>
          <w:snapToGrid w:val="0"/>
          <w:kern w:val="22"/>
          <w:szCs w:val="22"/>
        </w:rPr>
        <w:t xml:space="preserve"> at their </w:t>
      </w:r>
      <w:r w:rsidR="00523F42" w:rsidRPr="009719BC">
        <w:rPr>
          <w:bCs/>
          <w:snapToGrid w:val="0"/>
          <w:kern w:val="22"/>
          <w:szCs w:val="22"/>
        </w:rPr>
        <w:t xml:space="preserve">third </w:t>
      </w:r>
      <w:r w:rsidR="00FA48E0" w:rsidRPr="009719BC">
        <w:rPr>
          <w:bCs/>
          <w:snapToGrid w:val="0"/>
          <w:kern w:val="22"/>
          <w:szCs w:val="22"/>
        </w:rPr>
        <w:t>meeting</w:t>
      </w:r>
      <w:r w:rsidR="00C60D38" w:rsidRPr="009719BC">
        <w:rPr>
          <w:bCs/>
          <w:snapToGrid w:val="0"/>
          <w:kern w:val="22"/>
          <w:szCs w:val="22"/>
        </w:rPr>
        <w:t>,</w:t>
      </w:r>
      <w:r w:rsidR="000B52CC" w:rsidRPr="009719BC">
        <w:rPr>
          <w:bCs/>
          <w:snapToGrid w:val="0"/>
          <w:kern w:val="22"/>
          <w:szCs w:val="22"/>
        </w:rPr>
        <w:t xml:space="preserve"> </w:t>
      </w:r>
      <w:r w:rsidRPr="009719BC">
        <w:rPr>
          <w:bCs/>
          <w:snapToGrid w:val="0"/>
          <w:kern w:val="22"/>
          <w:szCs w:val="22"/>
        </w:rPr>
        <w:t xml:space="preserve">taking into account </w:t>
      </w:r>
      <w:r w:rsidR="000B52CC" w:rsidRPr="009719BC">
        <w:rPr>
          <w:bCs/>
          <w:snapToGrid w:val="0"/>
          <w:kern w:val="22"/>
          <w:szCs w:val="22"/>
        </w:rPr>
        <w:t xml:space="preserve">the recommendations of the </w:t>
      </w:r>
      <w:r w:rsidR="00FA48E0" w:rsidRPr="009719BC">
        <w:rPr>
          <w:bCs/>
          <w:snapToGrid w:val="0"/>
          <w:kern w:val="22"/>
          <w:szCs w:val="22"/>
        </w:rPr>
        <w:t>Compliance Committee</w:t>
      </w:r>
    </w:p>
    <w:p w14:paraId="77295B67" w14:textId="54CBDE09" w:rsidR="00B5513E" w:rsidRPr="00433C1B" w:rsidRDefault="0067118A" w:rsidP="0066015A">
      <w:pPr>
        <w:pStyle w:val="Para10"/>
        <w:numPr>
          <w:ilvl w:val="0"/>
          <w:numId w:val="14"/>
        </w:numPr>
        <w:suppressLineNumbers/>
        <w:tabs>
          <w:tab w:val="clear" w:pos="644"/>
        </w:tabs>
        <w:suppressAutoHyphens/>
        <w:kinsoku w:val="0"/>
        <w:overflowPunct w:val="0"/>
        <w:autoSpaceDE w:val="0"/>
        <w:autoSpaceDN w:val="0"/>
        <w:ind w:left="0"/>
        <w:rPr>
          <w:snapToGrid w:val="0"/>
          <w:kern w:val="22"/>
          <w:szCs w:val="22"/>
        </w:rPr>
      </w:pPr>
      <w:r w:rsidRPr="00433C1B">
        <w:rPr>
          <w:snapToGrid w:val="0"/>
          <w:kern w:val="22"/>
          <w:szCs w:val="22"/>
        </w:rPr>
        <w:t xml:space="preserve">Mr. </w:t>
      </w:r>
      <w:r w:rsidRPr="00433C1B">
        <w:rPr>
          <w:noProof/>
          <w:snapToGrid w:val="0"/>
          <w:kern w:val="22"/>
          <w:szCs w:val="22"/>
        </w:rPr>
        <w:t>Kaspar Sollberger</w:t>
      </w:r>
      <w:r w:rsidRPr="00433C1B">
        <w:rPr>
          <w:snapToGrid w:val="0"/>
          <w:kern w:val="22"/>
          <w:szCs w:val="22"/>
        </w:rPr>
        <w:t>, Chair of the Compliance Committee</w:t>
      </w:r>
      <w:r w:rsidR="00B5513E" w:rsidRPr="00433C1B">
        <w:rPr>
          <w:snapToGrid w:val="0"/>
          <w:kern w:val="22"/>
          <w:szCs w:val="22"/>
        </w:rPr>
        <w:t xml:space="preserve">, made a statement at the opening plenary of </w:t>
      </w:r>
      <w:r w:rsidR="0050335E" w:rsidRPr="00433C1B">
        <w:rPr>
          <w:snapToGrid w:val="0"/>
          <w:kern w:val="22"/>
          <w:szCs w:val="22"/>
        </w:rPr>
        <w:t xml:space="preserve">the </w:t>
      </w:r>
      <w:r w:rsidR="00E215AA" w:rsidRPr="00433C1B">
        <w:rPr>
          <w:snapToGrid w:val="0"/>
          <w:kern w:val="22"/>
          <w:szCs w:val="22"/>
        </w:rPr>
        <w:t xml:space="preserve">third </w:t>
      </w:r>
      <w:r w:rsidR="0050335E" w:rsidRPr="00433C1B">
        <w:rPr>
          <w:snapToGrid w:val="0"/>
          <w:kern w:val="22"/>
          <w:szCs w:val="22"/>
        </w:rPr>
        <w:t xml:space="preserve">meeting of </w:t>
      </w:r>
      <w:r w:rsidR="00E30700" w:rsidRPr="00433C1B">
        <w:rPr>
          <w:snapToGrid w:val="0"/>
          <w:kern w:val="22"/>
          <w:szCs w:val="22"/>
        </w:rPr>
        <w:t>the Parties to the Protocol</w:t>
      </w:r>
      <w:r w:rsidR="00B5513E" w:rsidRPr="00433C1B">
        <w:rPr>
          <w:snapToGrid w:val="0"/>
          <w:kern w:val="22"/>
          <w:szCs w:val="22"/>
        </w:rPr>
        <w:t xml:space="preserve"> and submitted the report </w:t>
      </w:r>
      <w:r w:rsidR="00EA0C18" w:rsidRPr="00433C1B">
        <w:rPr>
          <w:snapToGrid w:val="0"/>
          <w:kern w:val="22"/>
          <w:szCs w:val="22"/>
        </w:rPr>
        <w:t xml:space="preserve">on </w:t>
      </w:r>
      <w:r w:rsidR="00B5513E" w:rsidRPr="00433C1B">
        <w:rPr>
          <w:snapToGrid w:val="0"/>
          <w:kern w:val="22"/>
          <w:szCs w:val="22"/>
        </w:rPr>
        <w:t xml:space="preserve">the Committee’s </w:t>
      </w:r>
      <w:r w:rsidR="00E215AA" w:rsidRPr="00433C1B">
        <w:rPr>
          <w:snapToGrid w:val="0"/>
          <w:kern w:val="22"/>
          <w:szCs w:val="22"/>
        </w:rPr>
        <w:t xml:space="preserve">second </w:t>
      </w:r>
      <w:r w:rsidR="00B5513E" w:rsidRPr="00433C1B">
        <w:rPr>
          <w:snapToGrid w:val="0"/>
          <w:kern w:val="22"/>
          <w:szCs w:val="22"/>
        </w:rPr>
        <w:t xml:space="preserve">meeting, including its recommendations, for </w:t>
      </w:r>
      <w:r w:rsidR="00EA0C18" w:rsidRPr="00433C1B">
        <w:rPr>
          <w:snapToGrid w:val="0"/>
          <w:kern w:val="22"/>
          <w:szCs w:val="22"/>
        </w:rPr>
        <w:t>the</w:t>
      </w:r>
      <w:r w:rsidR="00B5513E" w:rsidRPr="00433C1B">
        <w:rPr>
          <w:snapToGrid w:val="0"/>
          <w:kern w:val="22"/>
          <w:szCs w:val="22"/>
        </w:rPr>
        <w:t xml:space="preserve"> consideration</w:t>
      </w:r>
      <w:r w:rsidR="00EA0C18" w:rsidRPr="00433C1B">
        <w:rPr>
          <w:snapToGrid w:val="0"/>
          <w:kern w:val="22"/>
          <w:szCs w:val="22"/>
        </w:rPr>
        <w:t xml:space="preserve"> of the Parties to the Protocol</w:t>
      </w:r>
      <w:r w:rsidR="00B5513E" w:rsidRPr="00433C1B">
        <w:rPr>
          <w:snapToGrid w:val="0"/>
          <w:kern w:val="22"/>
          <w:szCs w:val="22"/>
        </w:rPr>
        <w:t>.</w:t>
      </w:r>
    </w:p>
    <w:p w14:paraId="08A4648D" w14:textId="5E9DEA4A" w:rsidR="00B5513E" w:rsidRPr="00433C1B" w:rsidRDefault="00B5513E" w:rsidP="0066015A">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433C1B">
        <w:rPr>
          <w:kern w:val="22"/>
          <w:szCs w:val="22"/>
        </w:rPr>
        <w:t xml:space="preserve">Following the suggestion of the Committee as specified in the annex to its report, the recommendations of the Committee were considered under the relevant </w:t>
      </w:r>
      <w:r w:rsidR="00934EB4" w:rsidRPr="009719BC">
        <w:rPr>
          <w:kern w:val="22"/>
          <w:szCs w:val="22"/>
        </w:rPr>
        <w:t xml:space="preserve">agenda </w:t>
      </w:r>
      <w:r w:rsidRPr="00433C1B">
        <w:rPr>
          <w:kern w:val="22"/>
          <w:szCs w:val="22"/>
        </w:rPr>
        <w:t xml:space="preserve">items of </w:t>
      </w:r>
      <w:r w:rsidR="0050335E" w:rsidRPr="00433C1B">
        <w:rPr>
          <w:kern w:val="22"/>
          <w:szCs w:val="22"/>
        </w:rPr>
        <w:t>the</w:t>
      </w:r>
      <w:r w:rsidR="00100167" w:rsidRPr="00433C1B">
        <w:rPr>
          <w:kern w:val="22"/>
          <w:szCs w:val="22"/>
        </w:rPr>
        <w:t xml:space="preserve"> third</w:t>
      </w:r>
      <w:r w:rsidR="0050335E" w:rsidRPr="00433C1B">
        <w:rPr>
          <w:kern w:val="22"/>
          <w:szCs w:val="22"/>
        </w:rPr>
        <w:t xml:space="preserve"> meeting of </w:t>
      </w:r>
      <w:r w:rsidR="00E30700" w:rsidRPr="00433C1B">
        <w:rPr>
          <w:kern w:val="22"/>
          <w:szCs w:val="22"/>
        </w:rPr>
        <w:t>the Parties to the Protocol</w:t>
      </w:r>
      <w:r w:rsidR="00264758" w:rsidRPr="00433C1B">
        <w:rPr>
          <w:kern w:val="22"/>
          <w:szCs w:val="22"/>
        </w:rPr>
        <w:t xml:space="preserve"> as follows</w:t>
      </w:r>
      <w:r w:rsidRPr="00433C1B">
        <w:rPr>
          <w:kern w:val="22"/>
          <w:szCs w:val="22"/>
        </w:rPr>
        <w:t>:</w:t>
      </w:r>
    </w:p>
    <w:p w14:paraId="25B21884" w14:textId="4CB8261A" w:rsidR="00B5513E" w:rsidRPr="00433C1B" w:rsidRDefault="00B5513E" w:rsidP="0066015A">
      <w:pPr>
        <w:pStyle w:val="Para2"/>
        <w:numPr>
          <w:ilvl w:val="0"/>
          <w:numId w:val="3"/>
        </w:numPr>
        <w:suppressLineNumbers/>
        <w:tabs>
          <w:tab w:val="clear" w:pos="1080"/>
        </w:tabs>
        <w:suppressAutoHyphens/>
        <w:kinsoku w:val="0"/>
        <w:overflowPunct w:val="0"/>
        <w:spacing w:after="0"/>
        <w:ind w:left="0" w:firstLine="706"/>
        <w:rPr>
          <w:kern w:val="22"/>
          <w:szCs w:val="22"/>
        </w:rPr>
      </w:pPr>
      <w:r w:rsidRPr="00433C1B">
        <w:rPr>
          <w:kern w:val="22"/>
          <w:szCs w:val="22"/>
        </w:rPr>
        <w:lastRenderedPageBreak/>
        <w:t xml:space="preserve">Recommendations 1 </w:t>
      </w:r>
      <w:r w:rsidR="00EB5858" w:rsidRPr="00433C1B">
        <w:rPr>
          <w:kern w:val="22"/>
          <w:szCs w:val="22"/>
        </w:rPr>
        <w:t xml:space="preserve">and </w:t>
      </w:r>
      <w:r w:rsidR="00A50007" w:rsidRPr="00433C1B">
        <w:rPr>
          <w:kern w:val="22"/>
          <w:szCs w:val="22"/>
        </w:rPr>
        <w:t>2</w:t>
      </w:r>
      <w:r w:rsidRPr="00433C1B">
        <w:rPr>
          <w:kern w:val="22"/>
          <w:szCs w:val="22"/>
        </w:rPr>
        <w:t xml:space="preserve"> remained under the agenda item on compliance (item </w:t>
      </w:r>
      <w:r w:rsidR="00934EB4" w:rsidRPr="00433C1B">
        <w:rPr>
          <w:kern w:val="22"/>
          <w:szCs w:val="22"/>
        </w:rPr>
        <w:t>5</w:t>
      </w:r>
      <w:r w:rsidRPr="00433C1B">
        <w:rPr>
          <w:kern w:val="22"/>
          <w:szCs w:val="22"/>
        </w:rPr>
        <w:t>);</w:t>
      </w:r>
    </w:p>
    <w:p w14:paraId="58CC7FA8" w14:textId="7E980F45" w:rsidR="00A50007" w:rsidRPr="00433C1B" w:rsidRDefault="00B5513E" w:rsidP="0066015A">
      <w:pPr>
        <w:pStyle w:val="Para2"/>
        <w:numPr>
          <w:ilvl w:val="0"/>
          <w:numId w:val="3"/>
        </w:numPr>
        <w:suppressLineNumbers/>
        <w:tabs>
          <w:tab w:val="clear" w:pos="1080"/>
        </w:tabs>
        <w:suppressAutoHyphens/>
        <w:kinsoku w:val="0"/>
        <w:overflowPunct w:val="0"/>
        <w:spacing w:after="0"/>
        <w:ind w:left="0" w:firstLine="706"/>
        <w:rPr>
          <w:kern w:val="22"/>
          <w:szCs w:val="22"/>
        </w:rPr>
      </w:pPr>
      <w:r w:rsidRPr="00433C1B">
        <w:rPr>
          <w:kern w:val="22"/>
          <w:szCs w:val="22"/>
        </w:rPr>
        <w:t>Recommendation</w:t>
      </w:r>
      <w:r w:rsidR="00A50007" w:rsidRPr="00433C1B">
        <w:rPr>
          <w:kern w:val="22"/>
          <w:szCs w:val="22"/>
        </w:rPr>
        <w:t>s</w:t>
      </w:r>
      <w:r w:rsidRPr="00433C1B">
        <w:rPr>
          <w:kern w:val="22"/>
          <w:szCs w:val="22"/>
        </w:rPr>
        <w:t xml:space="preserve"> </w:t>
      </w:r>
      <w:r w:rsidR="00A50007" w:rsidRPr="00433C1B">
        <w:rPr>
          <w:kern w:val="22"/>
          <w:szCs w:val="22"/>
        </w:rPr>
        <w:t xml:space="preserve">3 to 8 </w:t>
      </w:r>
      <w:r w:rsidRPr="00433C1B">
        <w:rPr>
          <w:kern w:val="22"/>
          <w:szCs w:val="22"/>
        </w:rPr>
        <w:t>w</w:t>
      </w:r>
      <w:r w:rsidR="00A50007" w:rsidRPr="00433C1B">
        <w:rPr>
          <w:kern w:val="22"/>
          <w:szCs w:val="22"/>
        </w:rPr>
        <w:t xml:space="preserve">ere </w:t>
      </w:r>
      <w:r w:rsidRPr="00433C1B">
        <w:rPr>
          <w:kern w:val="22"/>
          <w:szCs w:val="22"/>
        </w:rPr>
        <w:t>allocated t</w:t>
      </w:r>
      <w:r w:rsidR="00A50007" w:rsidRPr="00433C1B">
        <w:rPr>
          <w:kern w:val="22"/>
          <w:szCs w:val="22"/>
        </w:rPr>
        <w:t>o the item on monitoring and reporting (item</w:t>
      </w:r>
      <w:r w:rsidR="00934EB4" w:rsidRPr="00433C1B">
        <w:rPr>
          <w:kern w:val="22"/>
          <w:szCs w:val="22"/>
        </w:rPr>
        <w:t xml:space="preserve"> 11</w:t>
      </w:r>
      <w:r w:rsidR="00A50007" w:rsidRPr="00433C1B">
        <w:rPr>
          <w:kern w:val="22"/>
          <w:szCs w:val="22"/>
        </w:rPr>
        <w:t>)</w:t>
      </w:r>
      <w:r w:rsidR="00EB5858" w:rsidRPr="00433C1B">
        <w:rPr>
          <w:kern w:val="22"/>
          <w:szCs w:val="22"/>
        </w:rPr>
        <w:t>;</w:t>
      </w:r>
    </w:p>
    <w:p w14:paraId="3C6348A2" w14:textId="3578044C" w:rsidR="00B5513E" w:rsidRPr="00433C1B" w:rsidRDefault="00A50007" w:rsidP="0066015A">
      <w:pPr>
        <w:pStyle w:val="Para2"/>
        <w:numPr>
          <w:ilvl w:val="0"/>
          <w:numId w:val="3"/>
        </w:numPr>
        <w:suppressLineNumbers/>
        <w:tabs>
          <w:tab w:val="clear" w:pos="1080"/>
        </w:tabs>
        <w:suppressAutoHyphens/>
        <w:kinsoku w:val="0"/>
        <w:overflowPunct w:val="0"/>
        <w:spacing w:after="0"/>
        <w:ind w:left="0" w:firstLine="706"/>
        <w:rPr>
          <w:kern w:val="22"/>
          <w:szCs w:val="22"/>
        </w:rPr>
      </w:pPr>
      <w:r w:rsidRPr="00433C1B">
        <w:rPr>
          <w:kern w:val="22"/>
          <w:szCs w:val="22"/>
        </w:rPr>
        <w:t xml:space="preserve">Recommendations 9 </w:t>
      </w:r>
      <w:r w:rsidR="00EB5858" w:rsidRPr="00433C1B">
        <w:rPr>
          <w:kern w:val="22"/>
          <w:szCs w:val="22"/>
        </w:rPr>
        <w:t xml:space="preserve">and </w:t>
      </w:r>
      <w:r w:rsidRPr="00433C1B">
        <w:rPr>
          <w:kern w:val="22"/>
          <w:szCs w:val="22"/>
        </w:rPr>
        <w:t xml:space="preserve">10 </w:t>
      </w:r>
      <w:r w:rsidR="00EB5858" w:rsidRPr="00433C1B">
        <w:rPr>
          <w:kern w:val="22"/>
          <w:szCs w:val="22"/>
        </w:rPr>
        <w:t xml:space="preserve">were </w:t>
      </w:r>
      <w:r w:rsidRPr="00433C1B">
        <w:rPr>
          <w:kern w:val="22"/>
          <w:szCs w:val="22"/>
        </w:rPr>
        <w:t xml:space="preserve">considered under </w:t>
      </w:r>
      <w:r w:rsidR="00B5513E" w:rsidRPr="00433C1B">
        <w:rPr>
          <w:kern w:val="22"/>
          <w:szCs w:val="22"/>
        </w:rPr>
        <w:t xml:space="preserve">the item on the Access and Benefit-Sharing Clearing-House and information-sharing (item </w:t>
      </w:r>
      <w:r w:rsidR="00934EB4" w:rsidRPr="00433C1B">
        <w:rPr>
          <w:kern w:val="22"/>
          <w:szCs w:val="22"/>
        </w:rPr>
        <w:t>10</w:t>
      </w:r>
      <w:r w:rsidR="00B5513E" w:rsidRPr="00433C1B">
        <w:rPr>
          <w:kern w:val="22"/>
          <w:szCs w:val="22"/>
        </w:rPr>
        <w:t>);</w:t>
      </w:r>
    </w:p>
    <w:p w14:paraId="47E65009" w14:textId="779B4812" w:rsidR="00B5513E" w:rsidRPr="00433C1B" w:rsidRDefault="00B5513E" w:rsidP="0066015A">
      <w:pPr>
        <w:pStyle w:val="Para2"/>
        <w:numPr>
          <w:ilvl w:val="0"/>
          <w:numId w:val="3"/>
        </w:numPr>
        <w:suppressLineNumbers/>
        <w:tabs>
          <w:tab w:val="clear" w:pos="1080"/>
        </w:tabs>
        <w:suppressAutoHyphens/>
        <w:kinsoku w:val="0"/>
        <w:overflowPunct w:val="0"/>
        <w:ind w:left="0" w:firstLine="709"/>
        <w:rPr>
          <w:kern w:val="22"/>
          <w:szCs w:val="22"/>
        </w:rPr>
      </w:pPr>
      <w:r w:rsidRPr="00433C1B">
        <w:rPr>
          <w:kern w:val="22"/>
          <w:szCs w:val="22"/>
        </w:rPr>
        <w:t>Recommendation</w:t>
      </w:r>
      <w:r w:rsidR="00A50007" w:rsidRPr="00433C1B">
        <w:rPr>
          <w:kern w:val="22"/>
          <w:szCs w:val="22"/>
        </w:rPr>
        <w:t>s</w:t>
      </w:r>
      <w:r w:rsidRPr="00433C1B">
        <w:rPr>
          <w:kern w:val="22"/>
          <w:szCs w:val="22"/>
        </w:rPr>
        <w:t xml:space="preserve"> </w:t>
      </w:r>
      <w:r w:rsidR="00A50007" w:rsidRPr="00433C1B">
        <w:rPr>
          <w:kern w:val="22"/>
          <w:szCs w:val="22"/>
        </w:rPr>
        <w:t xml:space="preserve">11 </w:t>
      </w:r>
      <w:r w:rsidR="00EB5858" w:rsidRPr="00433C1B">
        <w:rPr>
          <w:kern w:val="22"/>
          <w:szCs w:val="22"/>
        </w:rPr>
        <w:t xml:space="preserve">and </w:t>
      </w:r>
      <w:r w:rsidR="00A50007" w:rsidRPr="00433C1B">
        <w:rPr>
          <w:kern w:val="22"/>
          <w:szCs w:val="22"/>
        </w:rPr>
        <w:t>12</w:t>
      </w:r>
      <w:r w:rsidRPr="00433C1B">
        <w:rPr>
          <w:kern w:val="22"/>
          <w:szCs w:val="22"/>
        </w:rPr>
        <w:t xml:space="preserve"> w</w:t>
      </w:r>
      <w:r w:rsidR="00A50007" w:rsidRPr="00433C1B">
        <w:rPr>
          <w:kern w:val="22"/>
          <w:szCs w:val="22"/>
        </w:rPr>
        <w:t>ere</w:t>
      </w:r>
      <w:r w:rsidRPr="00433C1B">
        <w:rPr>
          <w:kern w:val="22"/>
          <w:szCs w:val="22"/>
        </w:rPr>
        <w:t xml:space="preserve"> </w:t>
      </w:r>
      <w:r w:rsidR="00A50007" w:rsidRPr="00433C1B">
        <w:rPr>
          <w:kern w:val="22"/>
          <w:szCs w:val="22"/>
        </w:rPr>
        <w:t xml:space="preserve">allocated to </w:t>
      </w:r>
      <w:r w:rsidRPr="00433C1B">
        <w:rPr>
          <w:kern w:val="22"/>
          <w:szCs w:val="22"/>
        </w:rPr>
        <w:t xml:space="preserve">the item on </w:t>
      </w:r>
      <w:r w:rsidR="00A50007" w:rsidRPr="00433C1B">
        <w:rPr>
          <w:kern w:val="22"/>
          <w:szCs w:val="22"/>
        </w:rPr>
        <w:t xml:space="preserve">preparation for the follow-up to the Strategic Plan for Biodiversity 2011-2020 </w:t>
      </w:r>
      <w:r w:rsidRPr="00433C1B">
        <w:rPr>
          <w:kern w:val="22"/>
          <w:szCs w:val="22"/>
        </w:rPr>
        <w:t xml:space="preserve">(item </w:t>
      </w:r>
      <w:r w:rsidR="00934EB4" w:rsidRPr="00433C1B">
        <w:rPr>
          <w:kern w:val="22"/>
          <w:szCs w:val="22"/>
        </w:rPr>
        <w:t>16</w:t>
      </w:r>
      <w:r w:rsidRPr="00433C1B">
        <w:rPr>
          <w:kern w:val="22"/>
          <w:szCs w:val="22"/>
        </w:rPr>
        <w:t>).</w:t>
      </w:r>
    </w:p>
    <w:p w14:paraId="6C6DACE6" w14:textId="1B28DE0A" w:rsidR="00DF55C2" w:rsidRPr="00433C1B" w:rsidRDefault="00DF55C2" w:rsidP="00DF55C2">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433C1B">
        <w:rPr>
          <w:kern w:val="22"/>
          <w:szCs w:val="22"/>
        </w:rPr>
        <w:t xml:space="preserve">For ease of reference, a table is also provided as an annex to the present document showing how and to what extent the recommendations of the Compliance Committee have been integrated into the decisions adopted by the Parties to the Protocol at their third meeting. </w:t>
      </w:r>
      <w:r w:rsidR="00EB5858" w:rsidRPr="00433C1B">
        <w:rPr>
          <w:kern w:val="22"/>
          <w:szCs w:val="22"/>
        </w:rPr>
        <w:t>Overall, t</w:t>
      </w:r>
      <w:r w:rsidRPr="00433C1B">
        <w:rPr>
          <w:kern w:val="22"/>
          <w:szCs w:val="22"/>
        </w:rPr>
        <w:t>he recommendations from the Compliance Committee were adopted with minim</w:t>
      </w:r>
      <w:r w:rsidR="00A13DBE" w:rsidRPr="00433C1B">
        <w:rPr>
          <w:kern w:val="22"/>
          <w:szCs w:val="22"/>
        </w:rPr>
        <w:t>al</w:t>
      </w:r>
      <w:r w:rsidRPr="00433C1B">
        <w:rPr>
          <w:kern w:val="22"/>
          <w:szCs w:val="22"/>
        </w:rPr>
        <w:t xml:space="preserve"> or no changes.</w:t>
      </w:r>
    </w:p>
    <w:p w14:paraId="29078D8F" w14:textId="01380E82" w:rsidR="0078553B" w:rsidRPr="009719BC" w:rsidRDefault="0078553B" w:rsidP="009719BC">
      <w:pPr>
        <w:pStyle w:val="Heading1longmultiline"/>
        <w:suppressLineNumbers/>
        <w:suppressAutoHyphens/>
        <w:kinsoku w:val="0"/>
        <w:overflowPunct w:val="0"/>
        <w:autoSpaceDE w:val="0"/>
        <w:autoSpaceDN w:val="0"/>
        <w:spacing w:before="120"/>
        <w:ind w:left="1287" w:hanging="567"/>
        <w:rPr>
          <w:bCs/>
          <w:snapToGrid w:val="0"/>
          <w:kern w:val="22"/>
          <w:szCs w:val="22"/>
        </w:rPr>
      </w:pPr>
      <w:r w:rsidRPr="009719BC">
        <w:rPr>
          <w:bCs/>
          <w:snapToGrid w:val="0"/>
          <w:kern w:val="22"/>
          <w:szCs w:val="22"/>
        </w:rPr>
        <w:t>III.</w:t>
      </w:r>
      <w:r w:rsidRPr="009719BC">
        <w:rPr>
          <w:bCs/>
          <w:snapToGrid w:val="0"/>
          <w:kern w:val="22"/>
          <w:szCs w:val="22"/>
        </w:rPr>
        <w:tab/>
      </w:r>
      <w:r w:rsidR="00A13DBE" w:rsidRPr="009719BC">
        <w:rPr>
          <w:bCs/>
          <w:snapToGrid w:val="0"/>
          <w:kern w:val="22"/>
          <w:szCs w:val="22"/>
        </w:rPr>
        <w:t>C</w:t>
      </w:r>
      <w:r w:rsidR="008005AD" w:rsidRPr="009719BC">
        <w:rPr>
          <w:bCs/>
          <w:snapToGrid w:val="0"/>
          <w:kern w:val="22"/>
          <w:szCs w:val="22"/>
        </w:rPr>
        <w:t xml:space="preserve">onsideration of the input of the </w:t>
      </w:r>
      <w:r w:rsidR="00A13DBE" w:rsidRPr="009719BC">
        <w:rPr>
          <w:bCs/>
          <w:snapToGrid w:val="0"/>
          <w:kern w:val="22"/>
          <w:szCs w:val="22"/>
        </w:rPr>
        <w:t>C</w:t>
      </w:r>
      <w:r w:rsidR="008005AD" w:rsidRPr="009719BC">
        <w:rPr>
          <w:bCs/>
          <w:snapToGrid w:val="0"/>
          <w:kern w:val="22"/>
          <w:szCs w:val="22"/>
        </w:rPr>
        <w:t xml:space="preserve">ompliance </w:t>
      </w:r>
      <w:r w:rsidR="00A13DBE" w:rsidRPr="009719BC">
        <w:rPr>
          <w:bCs/>
          <w:snapToGrid w:val="0"/>
          <w:kern w:val="22"/>
          <w:szCs w:val="22"/>
        </w:rPr>
        <w:t>C</w:t>
      </w:r>
      <w:r w:rsidR="008005AD" w:rsidRPr="009719BC">
        <w:rPr>
          <w:bCs/>
          <w:snapToGrid w:val="0"/>
          <w:kern w:val="22"/>
          <w:szCs w:val="22"/>
        </w:rPr>
        <w:t xml:space="preserve">ommittee in the </w:t>
      </w:r>
      <w:r w:rsidR="00A13DBE" w:rsidRPr="009719BC">
        <w:rPr>
          <w:bCs/>
          <w:snapToGrid w:val="0"/>
          <w:kern w:val="22"/>
          <w:szCs w:val="22"/>
        </w:rPr>
        <w:t>f</w:t>
      </w:r>
      <w:r w:rsidR="008005AD" w:rsidRPr="009719BC">
        <w:rPr>
          <w:bCs/>
          <w:snapToGrid w:val="0"/>
          <w:kern w:val="22"/>
          <w:szCs w:val="22"/>
        </w:rPr>
        <w:t xml:space="preserve">irst assessment and review of the effectiveness of the </w:t>
      </w:r>
      <w:r w:rsidR="00A13DBE" w:rsidRPr="009719BC">
        <w:rPr>
          <w:bCs/>
          <w:snapToGrid w:val="0"/>
          <w:kern w:val="22"/>
          <w:szCs w:val="22"/>
        </w:rPr>
        <w:t>P</w:t>
      </w:r>
      <w:r w:rsidR="008005AD" w:rsidRPr="009719BC">
        <w:rPr>
          <w:bCs/>
          <w:snapToGrid w:val="0"/>
          <w:kern w:val="22"/>
          <w:szCs w:val="22"/>
        </w:rPr>
        <w:t>rotocol</w:t>
      </w:r>
    </w:p>
    <w:p w14:paraId="47218C00" w14:textId="37C009A1" w:rsidR="00181463" w:rsidRPr="009719BC" w:rsidRDefault="00181463" w:rsidP="00181463">
      <w:pPr>
        <w:pStyle w:val="Para1"/>
        <w:numPr>
          <w:ilvl w:val="0"/>
          <w:numId w:val="14"/>
        </w:numPr>
        <w:suppressLineNumbers/>
        <w:tabs>
          <w:tab w:val="clear" w:pos="644"/>
        </w:tabs>
        <w:suppressAutoHyphens/>
        <w:kinsoku w:val="0"/>
        <w:overflowPunct w:val="0"/>
        <w:autoSpaceDE w:val="0"/>
        <w:autoSpaceDN w:val="0"/>
        <w:ind w:left="0"/>
        <w:rPr>
          <w:spacing w:val="-2"/>
          <w:kern w:val="22"/>
          <w:szCs w:val="22"/>
        </w:rPr>
      </w:pPr>
      <w:r w:rsidRPr="009719BC">
        <w:rPr>
          <w:spacing w:val="-2"/>
          <w:kern w:val="22"/>
          <w:szCs w:val="22"/>
        </w:rPr>
        <w:t xml:space="preserve">Article 31 of the Nagoya Protocol addresses </w:t>
      </w:r>
      <w:r w:rsidR="00C719E3" w:rsidRPr="009719BC">
        <w:rPr>
          <w:spacing w:val="-2"/>
          <w:kern w:val="22"/>
          <w:szCs w:val="22"/>
        </w:rPr>
        <w:t>“</w:t>
      </w:r>
      <w:r w:rsidRPr="009719BC">
        <w:rPr>
          <w:spacing w:val="-2"/>
          <w:kern w:val="22"/>
          <w:szCs w:val="22"/>
        </w:rPr>
        <w:t>assessment and review</w:t>
      </w:r>
      <w:r w:rsidR="00C719E3" w:rsidRPr="009719BC">
        <w:rPr>
          <w:spacing w:val="-2"/>
          <w:kern w:val="22"/>
          <w:szCs w:val="22"/>
        </w:rPr>
        <w:t>”</w:t>
      </w:r>
      <w:r w:rsidRPr="009719BC">
        <w:rPr>
          <w:spacing w:val="-2"/>
          <w:kern w:val="22"/>
          <w:szCs w:val="22"/>
        </w:rPr>
        <w:t xml:space="preserve"> and provides that the meeting of the Parties to the Protocol shall undertake an evaluation of the effectiveness of the Protocol four years after its entry into force. In decision NP-2/4, the meeting of the Parties decided on the process for the first assessment and review of the Protocol and the elements to be included in the first assessment and review. As part of this, it requested the Compliance Committee to provide inputs in the form of information and findings on general issues of compliance and recommendations to assist in addressing challenges to the implementation of the Protocol (para.</w:t>
      </w:r>
      <w:r w:rsidR="00C075CC" w:rsidRPr="009719BC">
        <w:rPr>
          <w:spacing w:val="-2"/>
          <w:kern w:val="22"/>
          <w:szCs w:val="22"/>
        </w:rPr>
        <w:t> </w:t>
      </w:r>
      <w:r w:rsidRPr="009719BC">
        <w:rPr>
          <w:spacing w:val="-2"/>
          <w:kern w:val="22"/>
          <w:szCs w:val="22"/>
        </w:rPr>
        <w:t>5).</w:t>
      </w:r>
    </w:p>
    <w:p w14:paraId="565BA75D" w14:textId="13977C65" w:rsidR="00366FBF" w:rsidRPr="00433C1B" w:rsidRDefault="00F16D18" w:rsidP="00386703">
      <w:pPr>
        <w:pStyle w:val="Para1"/>
        <w:numPr>
          <w:ilvl w:val="0"/>
          <w:numId w:val="14"/>
        </w:numPr>
        <w:suppressLineNumbers/>
        <w:tabs>
          <w:tab w:val="clear" w:pos="644"/>
        </w:tabs>
        <w:suppressAutoHyphens/>
        <w:kinsoku w:val="0"/>
        <w:overflowPunct w:val="0"/>
        <w:autoSpaceDE w:val="0"/>
        <w:autoSpaceDN w:val="0"/>
        <w:ind w:left="0"/>
        <w:rPr>
          <w:kern w:val="22"/>
          <w:szCs w:val="22"/>
        </w:rPr>
      </w:pPr>
      <w:r w:rsidRPr="00433C1B">
        <w:rPr>
          <w:kern w:val="22"/>
          <w:szCs w:val="22"/>
        </w:rPr>
        <w:t>Pursuant to this request, the</w:t>
      </w:r>
      <w:r w:rsidR="003E0A83" w:rsidRPr="00433C1B">
        <w:rPr>
          <w:kern w:val="22"/>
          <w:szCs w:val="22"/>
        </w:rPr>
        <w:t xml:space="preserve"> findings and recommendations of the</w:t>
      </w:r>
      <w:r w:rsidRPr="00433C1B">
        <w:rPr>
          <w:kern w:val="22"/>
          <w:szCs w:val="22"/>
        </w:rPr>
        <w:t xml:space="preserve"> Compliance Committee </w:t>
      </w:r>
      <w:r w:rsidR="003E0A83" w:rsidRPr="00433C1B">
        <w:rPr>
          <w:kern w:val="22"/>
          <w:szCs w:val="22"/>
        </w:rPr>
        <w:t xml:space="preserve">were </w:t>
      </w:r>
      <w:r w:rsidR="00D43B8D" w:rsidRPr="00433C1B">
        <w:rPr>
          <w:kern w:val="22"/>
          <w:szCs w:val="22"/>
        </w:rPr>
        <w:t xml:space="preserve">included in annex I </w:t>
      </w:r>
      <w:r w:rsidR="00C05126" w:rsidRPr="00433C1B">
        <w:rPr>
          <w:kern w:val="22"/>
          <w:szCs w:val="22"/>
        </w:rPr>
        <w:t xml:space="preserve">to </w:t>
      </w:r>
      <w:r w:rsidR="00B87727" w:rsidRPr="00433C1B">
        <w:rPr>
          <w:kern w:val="22"/>
          <w:szCs w:val="22"/>
        </w:rPr>
        <w:t xml:space="preserve">the </w:t>
      </w:r>
      <w:r w:rsidR="00D43B8D" w:rsidRPr="00433C1B">
        <w:rPr>
          <w:kern w:val="22"/>
          <w:szCs w:val="22"/>
        </w:rPr>
        <w:t>report</w:t>
      </w:r>
      <w:r w:rsidR="00B87727" w:rsidRPr="00433C1B">
        <w:rPr>
          <w:kern w:val="22"/>
          <w:szCs w:val="22"/>
        </w:rPr>
        <w:t xml:space="preserve"> of its second meeting</w:t>
      </w:r>
      <w:r w:rsidR="00D43B8D" w:rsidRPr="00433C1B">
        <w:rPr>
          <w:kern w:val="22"/>
          <w:szCs w:val="22"/>
        </w:rPr>
        <w:t>.</w:t>
      </w:r>
      <w:r w:rsidR="003E0A83" w:rsidRPr="00433C1B">
        <w:rPr>
          <w:kern w:val="22"/>
          <w:szCs w:val="22"/>
        </w:rPr>
        <w:t xml:space="preserve"> </w:t>
      </w:r>
      <w:r w:rsidR="00386703" w:rsidRPr="00433C1B">
        <w:rPr>
          <w:kern w:val="22"/>
          <w:szCs w:val="22"/>
        </w:rPr>
        <w:t>The Subsidiary Body on Implementation at its second meeting, in consider</w:t>
      </w:r>
      <w:r w:rsidR="005B3C45">
        <w:rPr>
          <w:kern w:val="22"/>
          <w:szCs w:val="22"/>
        </w:rPr>
        <w:t>ing</w:t>
      </w:r>
      <w:r w:rsidR="00386703" w:rsidRPr="00433C1B">
        <w:rPr>
          <w:kern w:val="22"/>
          <w:szCs w:val="22"/>
        </w:rPr>
        <w:t xml:space="preserve"> </w:t>
      </w:r>
      <w:r w:rsidR="00EB5858" w:rsidRPr="00433C1B">
        <w:rPr>
          <w:kern w:val="22"/>
          <w:szCs w:val="22"/>
        </w:rPr>
        <w:t xml:space="preserve">the </w:t>
      </w:r>
      <w:r w:rsidR="00386703" w:rsidRPr="00433C1B">
        <w:rPr>
          <w:kern w:val="22"/>
          <w:szCs w:val="22"/>
        </w:rPr>
        <w:t>agenda item on assessment and review, took into account the inputs from the Compliance Committee</w:t>
      </w:r>
      <w:r w:rsidR="00386703" w:rsidRPr="00433C1B">
        <w:rPr>
          <w:rStyle w:val="FootnoteReference"/>
          <w:kern w:val="22"/>
          <w:szCs w:val="22"/>
        </w:rPr>
        <w:footnoteReference w:id="2"/>
      </w:r>
      <w:r w:rsidR="00386703" w:rsidRPr="00433C1B">
        <w:rPr>
          <w:kern w:val="22"/>
          <w:szCs w:val="22"/>
        </w:rPr>
        <w:t xml:space="preserve"> and adopted recommendation </w:t>
      </w:r>
      <w:hyperlink r:id="rId16" w:history="1">
        <w:r w:rsidR="007407C0" w:rsidRPr="00433C1B">
          <w:rPr>
            <w:rStyle w:val="Hyperlink"/>
            <w:kern w:val="22"/>
            <w:sz w:val="22"/>
            <w:szCs w:val="22"/>
          </w:rPr>
          <w:t>SBI-</w:t>
        </w:r>
        <w:r w:rsidR="00386703" w:rsidRPr="00433C1B">
          <w:rPr>
            <w:rStyle w:val="Hyperlink"/>
            <w:kern w:val="22"/>
            <w:sz w:val="22"/>
            <w:szCs w:val="22"/>
          </w:rPr>
          <w:t>2/2</w:t>
        </w:r>
      </w:hyperlink>
      <w:r w:rsidR="00386703" w:rsidRPr="00433C1B">
        <w:rPr>
          <w:kern w:val="22"/>
          <w:szCs w:val="22"/>
        </w:rPr>
        <w:t>.</w:t>
      </w:r>
      <w:r w:rsidR="003E0A83" w:rsidRPr="00433C1B">
        <w:rPr>
          <w:kern w:val="22"/>
          <w:szCs w:val="22"/>
        </w:rPr>
        <w:t xml:space="preserve"> The findings </w:t>
      </w:r>
      <w:r w:rsidR="00DD5887" w:rsidRPr="00433C1B">
        <w:rPr>
          <w:kern w:val="22"/>
          <w:szCs w:val="22"/>
        </w:rPr>
        <w:t xml:space="preserve">contained </w:t>
      </w:r>
      <w:r w:rsidR="003E0A83" w:rsidRPr="00433C1B">
        <w:rPr>
          <w:kern w:val="22"/>
          <w:szCs w:val="22"/>
        </w:rPr>
        <w:t xml:space="preserve">in the annex to the recommendations </w:t>
      </w:r>
      <w:r w:rsidR="00207ACE" w:rsidRPr="00433C1B">
        <w:rPr>
          <w:kern w:val="22"/>
          <w:szCs w:val="22"/>
        </w:rPr>
        <w:t xml:space="preserve">include </w:t>
      </w:r>
      <w:r w:rsidR="003E0A83" w:rsidRPr="00433C1B">
        <w:rPr>
          <w:kern w:val="22"/>
          <w:szCs w:val="22"/>
        </w:rPr>
        <w:t xml:space="preserve">the inputs </w:t>
      </w:r>
      <w:r w:rsidR="00207ACE" w:rsidRPr="00433C1B">
        <w:rPr>
          <w:kern w:val="22"/>
          <w:szCs w:val="22"/>
        </w:rPr>
        <w:t>of</w:t>
      </w:r>
      <w:r w:rsidR="003E0A83" w:rsidRPr="00433C1B">
        <w:rPr>
          <w:kern w:val="22"/>
          <w:szCs w:val="22"/>
        </w:rPr>
        <w:t xml:space="preserve"> the Compliance Committee.</w:t>
      </w:r>
    </w:p>
    <w:p w14:paraId="13AD247E" w14:textId="505220A5" w:rsidR="00B5513E" w:rsidRPr="00433C1B" w:rsidRDefault="00D63BFB" w:rsidP="00B81378">
      <w:pPr>
        <w:pStyle w:val="Para1"/>
        <w:numPr>
          <w:ilvl w:val="0"/>
          <w:numId w:val="14"/>
        </w:numPr>
        <w:suppressLineNumbers/>
        <w:tabs>
          <w:tab w:val="clear" w:pos="644"/>
        </w:tabs>
        <w:suppressAutoHyphens/>
        <w:kinsoku w:val="0"/>
        <w:overflowPunct w:val="0"/>
        <w:autoSpaceDE w:val="0"/>
        <w:autoSpaceDN w:val="0"/>
        <w:ind w:left="0"/>
        <w:rPr>
          <w:kern w:val="22"/>
          <w:szCs w:val="22"/>
        </w:rPr>
      </w:pPr>
      <w:r>
        <w:rPr>
          <w:kern w:val="22"/>
          <w:szCs w:val="22"/>
        </w:rPr>
        <w:t>A</w:t>
      </w:r>
      <w:r w:rsidR="008D004D">
        <w:rPr>
          <w:kern w:val="22"/>
          <w:szCs w:val="22"/>
        </w:rPr>
        <w:t>t</w:t>
      </w:r>
      <w:r>
        <w:rPr>
          <w:kern w:val="22"/>
          <w:szCs w:val="22"/>
        </w:rPr>
        <w:t xml:space="preserve"> th</w:t>
      </w:r>
      <w:r w:rsidR="008D004D">
        <w:rPr>
          <w:kern w:val="22"/>
          <w:szCs w:val="22"/>
        </w:rPr>
        <w:t>ei</w:t>
      </w:r>
      <w:r>
        <w:rPr>
          <w:kern w:val="22"/>
          <w:szCs w:val="22"/>
        </w:rPr>
        <w:t>r</w:t>
      </w:r>
      <w:r w:rsidRPr="00433C1B">
        <w:rPr>
          <w:kern w:val="22"/>
          <w:szCs w:val="22"/>
        </w:rPr>
        <w:t xml:space="preserve"> </w:t>
      </w:r>
      <w:r w:rsidR="003E0A83" w:rsidRPr="00433C1B">
        <w:rPr>
          <w:kern w:val="22"/>
          <w:szCs w:val="22"/>
        </w:rPr>
        <w:t>third meeting</w:t>
      </w:r>
      <w:r w:rsidR="008D004D">
        <w:rPr>
          <w:kern w:val="22"/>
          <w:szCs w:val="22"/>
        </w:rPr>
        <w:t>,</w:t>
      </w:r>
      <w:r w:rsidR="00386703" w:rsidRPr="00433C1B">
        <w:rPr>
          <w:kern w:val="22"/>
          <w:szCs w:val="22"/>
        </w:rPr>
        <w:t xml:space="preserve"> the Parties to the Protocol considered the recommendation on assessment and review from the Subsidiary Body on Implementation, among other things, and adopted decision </w:t>
      </w:r>
      <w:hyperlink r:id="rId17" w:history="1">
        <w:r w:rsidR="00386703" w:rsidRPr="00433C1B">
          <w:rPr>
            <w:rStyle w:val="Hyperlink"/>
            <w:kern w:val="22"/>
            <w:sz w:val="22"/>
            <w:szCs w:val="22"/>
          </w:rPr>
          <w:t>NP-3/1</w:t>
        </w:r>
      </w:hyperlink>
      <w:r w:rsidR="00812A2D" w:rsidRPr="00433C1B">
        <w:rPr>
          <w:kern w:val="22"/>
          <w:szCs w:val="22"/>
        </w:rPr>
        <w:t>,</w:t>
      </w:r>
      <w:r w:rsidR="00386703" w:rsidRPr="00433C1B">
        <w:rPr>
          <w:kern w:val="22"/>
          <w:szCs w:val="22"/>
        </w:rPr>
        <w:t xml:space="preserve"> which contains</w:t>
      </w:r>
      <w:r w:rsidR="00812A2D" w:rsidRPr="00433C1B">
        <w:rPr>
          <w:kern w:val="22"/>
          <w:szCs w:val="22"/>
        </w:rPr>
        <w:t>,</w:t>
      </w:r>
      <w:r w:rsidR="00386703" w:rsidRPr="00433C1B">
        <w:rPr>
          <w:kern w:val="22"/>
          <w:szCs w:val="22"/>
        </w:rPr>
        <w:t xml:space="preserve"> in its annex</w:t>
      </w:r>
      <w:r w:rsidR="00812A2D" w:rsidRPr="00433C1B">
        <w:rPr>
          <w:kern w:val="22"/>
          <w:szCs w:val="22"/>
        </w:rPr>
        <w:t>,</w:t>
      </w:r>
      <w:r w:rsidR="00386703" w:rsidRPr="00433C1B">
        <w:rPr>
          <w:kern w:val="22"/>
          <w:szCs w:val="22"/>
        </w:rPr>
        <w:t xml:space="preserve"> the input </w:t>
      </w:r>
      <w:r w:rsidR="00812A2D" w:rsidRPr="00433C1B">
        <w:rPr>
          <w:kern w:val="22"/>
          <w:szCs w:val="22"/>
        </w:rPr>
        <w:t>of</w:t>
      </w:r>
      <w:r w:rsidR="00386703" w:rsidRPr="00433C1B">
        <w:rPr>
          <w:kern w:val="22"/>
          <w:szCs w:val="22"/>
        </w:rPr>
        <w:t xml:space="preserve"> the Compliance Committee in the form of key findings.</w:t>
      </w:r>
    </w:p>
    <w:p w14:paraId="745DAA98" w14:textId="658A7C7D" w:rsidR="00B5513E" w:rsidRPr="009719BC" w:rsidRDefault="00B81378" w:rsidP="009719BC">
      <w:pPr>
        <w:pStyle w:val="HEADING"/>
        <w:suppressLineNumbers/>
        <w:tabs>
          <w:tab w:val="left" w:pos="426"/>
        </w:tabs>
        <w:suppressAutoHyphens/>
        <w:kinsoku w:val="0"/>
        <w:overflowPunct w:val="0"/>
        <w:autoSpaceDE w:val="0"/>
        <w:autoSpaceDN w:val="0"/>
        <w:spacing w:before="120"/>
        <w:rPr>
          <w:snapToGrid w:val="0"/>
          <w:kern w:val="22"/>
          <w:szCs w:val="22"/>
        </w:rPr>
      </w:pPr>
      <w:r w:rsidRPr="009719BC">
        <w:rPr>
          <w:snapToGrid w:val="0"/>
          <w:kern w:val="22"/>
          <w:szCs w:val="22"/>
        </w:rPr>
        <w:t>I</w:t>
      </w:r>
      <w:r w:rsidR="00B5513E" w:rsidRPr="009719BC">
        <w:rPr>
          <w:snapToGrid w:val="0"/>
          <w:kern w:val="22"/>
          <w:szCs w:val="22"/>
        </w:rPr>
        <w:t>V.</w:t>
      </w:r>
      <w:r w:rsidR="00B5513E" w:rsidRPr="009719BC">
        <w:rPr>
          <w:snapToGrid w:val="0"/>
          <w:kern w:val="22"/>
          <w:szCs w:val="22"/>
        </w:rPr>
        <w:tab/>
      </w:r>
      <w:r w:rsidR="00285BF8" w:rsidRPr="009719BC">
        <w:rPr>
          <w:snapToGrid w:val="0"/>
          <w:kern w:val="22"/>
          <w:szCs w:val="22"/>
        </w:rPr>
        <w:t>Membership</w:t>
      </w:r>
    </w:p>
    <w:p w14:paraId="48668B98" w14:textId="1CCCDC32" w:rsidR="00B5513E" w:rsidRPr="00433C1B" w:rsidRDefault="00B5513E" w:rsidP="009719BC">
      <w:pPr>
        <w:pStyle w:val="Para1"/>
        <w:keepNext/>
        <w:keepLines/>
        <w:numPr>
          <w:ilvl w:val="0"/>
          <w:numId w:val="14"/>
        </w:numPr>
        <w:suppressLineNumbers/>
        <w:tabs>
          <w:tab w:val="clear" w:pos="644"/>
        </w:tabs>
        <w:suppressAutoHyphens/>
        <w:kinsoku w:val="0"/>
        <w:overflowPunct w:val="0"/>
        <w:autoSpaceDE w:val="0"/>
        <w:autoSpaceDN w:val="0"/>
        <w:spacing w:after="0"/>
        <w:ind w:left="0" w:firstLine="720"/>
        <w:rPr>
          <w:kern w:val="22"/>
          <w:szCs w:val="22"/>
        </w:rPr>
      </w:pPr>
      <w:r w:rsidRPr="00433C1B">
        <w:rPr>
          <w:kern w:val="22"/>
          <w:szCs w:val="22"/>
        </w:rPr>
        <w:t xml:space="preserve">As the Committee had noted at its last meeting, the term of </w:t>
      </w:r>
      <w:r w:rsidR="00273006" w:rsidRPr="00433C1B">
        <w:rPr>
          <w:kern w:val="22"/>
          <w:szCs w:val="22"/>
        </w:rPr>
        <w:t xml:space="preserve">12 </w:t>
      </w:r>
      <w:r w:rsidRPr="00433C1B">
        <w:rPr>
          <w:kern w:val="22"/>
          <w:szCs w:val="22"/>
        </w:rPr>
        <w:t>members came to an end on 31</w:t>
      </w:r>
      <w:r w:rsidR="001D4057" w:rsidRPr="00433C1B">
        <w:rPr>
          <w:kern w:val="22"/>
          <w:szCs w:val="22"/>
        </w:rPr>
        <w:t> </w:t>
      </w:r>
      <w:r w:rsidRPr="00433C1B">
        <w:rPr>
          <w:kern w:val="22"/>
          <w:szCs w:val="22"/>
        </w:rPr>
        <w:t xml:space="preserve">December </w:t>
      </w:r>
      <w:r w:rsidR="00A728A8" w:rsidRPr="00433C1B">
        <w:rPr>
          <w:kern w:val="22"/>
          <w:szCs w:val="22"/>
        </w:rPr>
        <w:t>2018</w:t>
      </w:r>
      <w:r w:rsidRPr="00433C1B">
        <w:rPr>
          <w:kern w:val="22"/>
          <w:szCs w:val="22"/>
        </w:rPr>
        <w:t>:</w:t>
      </w:r>
    </w:p>
    <w:p w14:paraId="21062228" w14:textId="5E01F3A3" w:rsidR="00B5513E" w:rsidRPr="00433C1B" w:rsidRDefault="00B5513E" w:rsidP="009719BC">
      <w:pPr>
        <w:pStyle w:val="Para2"/>
        <w:suppressLineNumbers/>
        <w:suppressAutoHyphens/>
        <w:kinsoku w:val="0"/>
        <w:overflowPunct w:val="0"/>
        <w:spacing w:after="0"/>
        <w:ind w:firstLine="720"/>
        <w:rPr>
          <w:kern w:val="22"/>
          <w:szCs w:val="22"/>
        </w:rPr>
      </w:pPr>
      <w:r w:rsidRPr="00433C1B">
        <w:rPr>
          <w:bCs/>
          <w:iCs/>
          <w:kern w:val="22"/>
          <w:szCs w:val="22"/>
        </w:rPr>
        <w:t>(a)</w:t>
      </w:r>
      <w:r w:rsidRPr="00433C1B">
        <w:rPr>
          <w:b/>
          <w:bCs/>
          <w:iCs/>
          <w:kern w:val="22"/>
          <w:szCs w:val="22"/>
        </w:rPr>
        <w:tab/>
      </w:r>
      <w:r w:rsidRPr="009719BC">
        <w:rPr>
          <w:i/>
          <w:iCs/>
          <w:kern w:val="22"/>
          <w:szCs w:val="22"/>
        </w:rPr>
        <w:t>Africa</w:t>
      </w:r>
      <w:r w:rsidR="00DD5FFE" w:rsidRPr="00433C1B">
        <w:rPr>
          <w:kern w:val="22"/>
          <w:szCs w:val="22"/>
        </w:rPr>
        <w:t>:</w:t>
      </w:r>
      <w:r w:rsidRPr="00433C1B">
        <w:rPr>
          <w:kern w:val="22"/>
          <w:szCs w:val="22"/>
        </w:rPr>
        <w:t xml:space="preserve"> </w:t>
      </w:r>
      <w:r w:rsidR="00DD5FFE" w:rsidRPr="00433C1B">
        <w:rPr>
          <w:kern w:val="22"/>
          <w:szCs w:val="22"/>
        </w:rPr>
        <w:t xml:space="preserve">Mr. </w:t>
      </w:r>
      <w:r w:rsidR="00DD5FFE" w:rsidRPr="00433C1B">
        <w:rPr>
          <w:noProof/>
          <w:kern w:val="22"/>
          <w:szCs w:val="22"/>
        </w:rPr>
        <w:t>Ayman Tharwat Abdel Aziz</w:t>
      </w:r>
      <w:r w:rsidR="00DD5FFE" w:rsidRPr="00433C1B">
        <w:rPr>
          <w:kern w:val="22"/>
          <w:szCs w:val="22"/>
        </w:rPr>
        <w:t xml:space="preserve"> (Egypt); Ms. </w:t>
      </w:r>
      <w:r w:rsidR="00DD5FFE" w:rsidRPr="00433C1B">
        <w:rPr>
          <w:noProof/>
          <w:kern w:val="22"/>
          <w:szCs w:val="22"/>
        </w:rPr>
        <w:t>Naritiana Rakotoniaina Ranaivoson</w:t>
      </w:r>
      <w:r w:rsidR="00DD5FFE" w:rsidRPr="00433C1B">
        <w:rPr>
          <w:kern w:val="22"/>
          <w:szCs w:val="22"/>
        </w:rPr>
        <w:t xml:space="preserve"> (Madagascar)</w:t>
      </w:r>
      <w:r w:rsidRPr="00433C1B">
        <w:rPr>
          <w:kern w:val="22"/>
          <w:szCs w:val="22"/>
        </w:rPr>
        <w:t>;</w:t>
      </w:r>
    </w:p>
    <w:p w14:paraId="03592D81" w14:textId="24FA3806" w:rsidR="00B5513E" w:rsidRPr="00433C1B" w:rsidRDefault="00E409E5" w:rsidP="009719BC">
      <w:pPr>
        <w:pStyle w:val="Para2"/>
        <w:suppressLineNumbers/>
        <w:suppressAutoHyphens/>
        <w:kinsoku w:val="0"/>
        <w:overflowPunct w:val="0"/>
        <w:spacing w:after="0"/>
        <w:ind w:firstLine="720"/>
        <w:rPr>
          <w:kern w:val="22"/>
          <w:szCs w:val="22"/>
        </w:rPr>
      </w:pPr>
      <w:r w:rsidRPr="00433C1B">
        <w:rPr>
          <w:kern w:val="22"/>
          <w:szCs w:val="22"/>
        </w:rPr>
        <w:t>(b)</w:t>
      </w:r>
      <w:r w:rsidRPr="00433C1B">
        <w:rPr>
          <w:kern w:val="22"/>
          <w:szCs w:val="22"/>
        </w:rPr>
        <w:tab/>
      </w:r>
      <w:r w:rsidRPr="009719BC">
        <w:rPr>
          <w:i/>
          <w:iCs/>
          <w:kern w:val="22"/>
          <w:szCs w:val="22"/>
        </w:rPr>
        <w:t>Asia and the Pacific</w:t>
      </w:r>
      <w:r w:rsidRPr="00433C1B">
        <w:rPr>
          <w:kern w:val="22"/>
          <w:szCs w:val="22"/>
        </w:rPr>
        <w:t>:</w:t>
      </w:r>
      <w:r w:rsidR="00B5513E" w:rsidRPr="00433C1B">
        <w:rPr>
          <w:kern w:val="22"/>
          <w:szCs w:val="22"/>
        </w:rPr>
        <w:t xml:space="preserve"> </w:t>
      </w:r>
      <w:r w:rsidR="00DD5FFE" w:rsidRPr="00433C1B">
        <w:rPr>
          <w:kern w:val="22"/>
          <w:szCs w:val="22"/>
        </w:rPr>
        <w:t xml:space="preserve">Mr. </w:t>
      </w:r>
      <w:r w:rsidR="00DD5FFE" w:rsidRPr="00433C1B">
        <w:rPr>
          <w:noProof/>
          <w:kern w:val="22"/>
          <w:szCs w:val="22"/>
        </w:rPr>
        <w:t>Luther M. Rangreji</w:t>
      </w:r>
      <w:r w:rsidR="00DD5FFE" w:rsidRPr="00433C1B">
        <w:rPr>
          <w:kern w:val="22"/>
          <w:szCs w:val="22"/>
        </w:rPr>
        <w:t xml:space="preserve"> (India); Mr. </w:t>
      </w:r>
      <w:r w:rsidR="00DD5FFE" w:rsidRPr="00433C1B">
        <w:rPr>
          <w:noProof/>
          <w:kern w:val="22"/>
          <w:szCs w:val="22"/>
        </w:rPr>
        <w:t>Clark Peteru</w:t>
      </w:r>
      <w:r w:rsidR="00DD5FFE" w:rsidRPr="00433C1B">
        <w:rPr>
          <w:kern w:val="22"/>
          <w:szCs w:val="22"/>
        </w:rPr>
        <w:t xml:space="preserve"> (Samoa)</w:t>
      </w:r>
      <w:r w:rsidR="00B5513E" w:rsidRPr="00433C1B">
        <w:rPr>
          <w:kern w:val="22"/>
          <w:szCs w:val="22"/>
        </w:rPr>
        <w:t>;</w:t>
      </w:r>
    </w:p>
    <w:p w14:paraId="0F336098" w14:textId="659B4513" w:rsidR="00B5513E" w:rsidRPr="009719BC" w:rsidRDefault="00B5513E" w:rsidP="009719BC">
      <w:pPr>
        <w:pStyle w:val="Para2"/>
        <w:suppressLineNumbers/>
        <w:suppressAutoHyphens/>
        <w:kinsoku w:val="0"/>
        <w:overflowPunct w:val="0"/>
        <w:spacing w:after="0"/>
        <w:ind w:firstLine="720"/>
        <w:rPr>
          <w:kern w:val="22"/>
          <w:szCs w:val="22"/>
        </w:rPr>
      </w:pPr>
      <w:r w:rsidRPr="009719BC">
        <w:rPr>
          <w:kern w:val="22"/>
          <w:szCs w:val="22"/>
        </w:rPr>
        <w:t>(c)</w:t>
      </w:r>
      <w:r w:rsidRPr="009719BC">
        <w:rPr>
          <w:kern w:val="22"/>
          <w:szCs w:val="22"/>
        </w:rPr>
        <w:tab/>
      </w:r>
      <w:r w:rsidR="00A535F2" w:rsidRPr="009719BC">
        <w:rPr>
          <w:i/>
          <w:iCs/>
          <w:kern w:val="22"/>
          <w:szCs w:val="22"/>
        </w:rPr>
        <w:t>Central and Eastern Europe</w:t>
      </w:r>
      <w:r w:rsidR="00DD5FFE" w:rsidRPr="009719BC">
        <w:rPr>
          <w:kern w:val="22"/>
          <w:szCs w:val="22"/>
        </w:rPr>
        <w:t>:</w:t>
      </w:r>
      <w:r w:rsidRPr="009719BC">
        <w:rPr>
          <w:kern w:val="22"/>
          <w:szCs w:val="22"/>
        </w:rPr>
        <w:t xml:space="preserve"> </w:t>
      </w:r>
      <w:r w:rsidR="00DD5FFE" w:rsidRPr="009719BC">
        <w:rPr>
          <w:kern w:val="22"/>
          <w:szCs w:val="22"/>
        </w:rPr>
        <w:t xml:space="preserve">Ms. </w:t>
      </w:r>
      <w:r w:rsidR="00DD5FFE" w:rsidRPr="009719BC">
        <w:rPr>
          <w:noProof/>
          <w:kern w:val="22"/>
          <w:szCs w:val="22"/>
        </w:rPr>
        <w:t>Elena Makeyeva</w:t>
      </w:r>
      <w:r w:rsidR="00DD5FFE" w:rsidRPr="009719BC">
        <w:rPr>
          <w:kern w:val="22"/>
          <w:szCs w:val="22"/>
        </w:rPr>
        <w:t xml:space="preserve"> (Belarus); Ms. </w:t>
      </w:r>
      <w:r w:rsidR="00DD5FFE" w:rsidRPr="009719BC">
        <w:rPr>
          <w:noProof/>
          <w:kern w:val="22"/>
          <w:szCs w:val="22"/>
        </w:rPr>
        <w:t>Elvana Ramaj</w:t>
      </w:r>
      <w:r w:rsidR="00A535F2" w:rsidRPr="009719BC">
        <w:rPr>
          <w:kern w:val="22"/>
          <w:szCs w:val="22"/>
        </w:rPr>
        <w:t xml:space="preserve"> (Albania)</w:t>
      </w:r>
      <w:r w:rsidRPr="009719BC">
        <w:rPr>
          <w:kern w:val="22"/>
          <w:szCs w:val="22"/>
        </w:rPr>
        <w:t>;</w:t>
      </w:r>
    </w:p>
    <w:p w14:paraId="410D5992" w14:textId="65759364" w:rsidR="00B5513E" w:rsidRPr="009719BC" w:rsidRDefault="00B5513E" w:rsidP="009719BC">
      <w:pPr>
        <w:pStyle w:val="Para2"/>
        <w:suppressLineNumbers/>
        <w:suppressAutoHyphens/>
        <w:kinsoku w:val="0"/>
        <w:overflowPunct w:val="0"/>
        <w:spacing w:after="0"/>
        <w:ind w:firstLine="720"/>
        <w:rPr>
          <w:kern w:val="22"/>
          <w:szCs w:val="22"/>
        </w:rPr>
      </w:pPr>
      <w:r w:rsidRPr="009719BC">
        <w:rPr>
          <w:kern w:val="22"/>
          <w:szCs w:val="22"/>
        </w:rPr>
        <w:t>(d)</w:t>
      </w:r>
      <w:r w:rsidRPr="009719BC">
        <w:rPr>
          <w:kern w:val="22"/>
          <w:szCs w:val="22"/>
        </w:rPr>
        <w:tab/>
      </w:r>
      <w:r w:rsidR="00A535F2" w:rsidRPr="009719BC">
        <w:rPr>
          <w:i/>
          <w:iCs/>
          <w:kern w:val="22"/>
          <w:szCs w:val="22"/>
        </w:rPr>
        <w:t>Latin America and the Caribbean</w:t>
      </w:r>
      <w:r w:rsidR="00A535F2" w:rsidRPr="009719BC">
        <w:rPr>
          <w:kern w:val="22"/>
          <w:szCs w:val="22"/>
        </w:rPr>
        <w:t>:</w:t>
      </w:r>
      <w:r w:rsidRPr="009719BC">
        <w:rPr>
          <w:kern w:val="22"/>
          <w:szCs w:val="22"/>
        </w:rPr>
        <w:t xml:space="preserve"> </w:t>
      </w:r>
      <w:r w:rsidR="00A535F2" w:rsidRPr="009719BC">
        <w:rPr>
          <w:kern w:val="22"/>
          <w:szCs w:val="22"/>
        </w:rPr>
        <w:t xml:space="preserve">Ms. </w:t>
      </w:r>
      <w:r w:rsidR="00A535F2" w:rsidRPr="009719BC">
        <w:rPr>
          <w:noProof/>
          <w:kern w:val="22"/>
          <w:szCs w:val="22"/>
        </w:rPr>
        <w:t>Norma Munguía Aldaraca</w:t>
      </w:r>
      <w:r w:rsidR="00A535F2" w:rsidRPr="009719BC">
        <w:rPr>
          <w:kern w:val="22"/>
          <w:szCs w:val="22"/>
        </w:rPr>
        <w:t xml:space="preserve"> (Mexico); Mr. </w:t>
      </w:r>
      <w:r w:rsidR="00A535F2" w:rsidRPr="009719BC">
        <w:rPr>
          <w:noProof/>
          <w:kern w:val="22"/>
          <w:szCs w:val="22"/>
        </w:rPr>
        <w:t>Andrés Valladolid Cavero</w:t>
      </w:r>
      <w:r w:rsidR="00A535F2" w:rsidRPr="009719BC">
        <w:rPr>
          <w:kern w:val="22"/>
          <w:szCs w:val="22"/>
        </w:rPr>
        <w:t xml:space="preserve"> (Peru)</w:t>
      </w:r>
      <w:r w:rsidRPr="009719BC">
        <w:rPr>
          <w:kern w:val="22"/>
          <w:szCs w:val="22"/>
        </w:rPr>
        <w:t>;</w:t>
      </w:r>
    </w:p>
    <w:p w14:paraId="04229F7D" w14:textId="4BF2231A" w:rsidR="00A535F2" w:rsidRPr="00433C1B" w:rsidRDefault="00B5513E" w:rsidP="009719BC">
      <w:pPr>
        <w:pStyle w:val="Para2"/>
        <w:suppressLineNumbers/>
        <w:suppressAutoHyphens/>
        <w:kinsoku w:val="0"/>
        <w:overflowPunct w:val="0"/>
        <w:spacing w:after="0"/>
        <w:ind w:firstLine="720"/>
        <w:rPr>
          <w:kern w:val="22"/>
          <w:szCs w:val="22"/>
        </w:rPr>
      </w:pPr>
      <w:r w:rsidRPr="00433C1B">
        <w:rPr>
          <w:kern w:val="22"/>
          <w:szCs w:val="22"/>
        </w:rPr>
        <w:t>(e)</w:t>
      </w:r>
      <w:r w:rsidRPr="00433C1B">
        <w:rPr>
          <w:kern w:val="22"/>
          <w:szCs w:val="22"/>
        </w:rPr>
        <w:tab/>
      </w:r>
      <w:r w:rsidR="00A535F2" w:rsidRPr="009719BC">
        <w:rPr>
          <w:i/>
          <w:iCs/>
          <w:kern w:val="22"/>
          <w:szCs w:val="22"/>
        </w:rPr>
        <w:t>Western European and Others Group</w:t>
      </w:r>
      <w:r w:rsidR="00A535F2" w:rsidRPr="00433C1B">
        <w:rPr>
          <w:kern w:val="22"/>
          <w:szCs w:val="22"/>
        </w:rPr>
        <w:t>:</w:t>
      </w:r>
      <w:r w:rsidRPr="00433C1B">
        <w:rPr>
          <w:kern w:val="22"/>
          <w:szCs w:val="22"/>
        </w:rPr>
        <w:t xml:space="preserve"> </w:t>
      </w:r>
      <w:r w:rsidR="00A535F2" w:rsidRPr="00433C1B">
        <w:rPr>
          <w:kern w:val="22"/>
          <w:szCs w:val="22"/>
        </w:rPr>
        <w:t xml:space="preserve">Mr. </w:t>
      </w:r>
      <w:r w:rsidR="00A535F2" w:rsidRPr="00433C1B">
        <w:rPr>
          <w:noProof/>
          <w:kern w:val="22"/>
          <w:szCs w:val="22"/>
        </w:rPr>
        <w:t>Kaspar Sollberger</w:t>
      </w:r>
      <w:r w:rsidR="00A535F2" w:rsidRPr="00433C1B">
        <w:rPr>
          <w:kern w:val="22"/>
          <w:szCs w:val="22"/>
        </w:rPr>
        <w:t xml:space="preserve"> (Switzerland); Ms. </w:t>
      </w:r>
      <w:r w:rsidR="00A535F2" w:rsidRPr="00433C1B">
        <w:rPr>
          <w:noProof/>
          <w:kern w:val="22"/>
          <w:szCs w:val="22"/>
        </w:rPr>
        <w:t>Helge Elisabeth Zeitler</w:t>
      </w:r>
      <w:r w:rsidR="00A535F2" w:rsidRPr="00433C1B" w:rsidDel="00A535F2">
        <w:rPr>
          <w:kern w:val="22"/>
          <w:szCs w:val="22"/>
        </w:rPr>
        <w:t xml:space="preserve"> </w:t>
      </w:r>
      <w:r w:rsidR="00A535F2" w:rsidRPr="00433C1B">
        <w:rPr>
          <w:kern w:val="22"/>
          <w:szCs w:val="22"/>
        </w:rPr>
        <w:t>(European Union);</w:t>
      </w:r>
    </w:p>
    <w:p w14:paraId="38321247" w14:textId="48B2313E" w:rsidR="00B5513E" w:rsidRPr="00433C1B" w:rsidRDefault="00A535F2" w:rsidP="009719BC">
      <w:pPr>
        <w:pStyle w:val="Para2"/>
        <w:suppressLineNumbers/>
        <w:suppressAutoHyphens/>
        <w:kinsoku w:val="0"/>
        <w:overflowPunct w:val="0"/>
        <w:spacing w:after="0"/>
        <w:ind w:firstLine="720"/>
        <w:rPr>
          <w:kern w:val="22"/>
          <w:szCs w:val="22"/>
        </w:rPr>
      </w:pPr>
      <w:r w:rsidRPr="00433C1B">
        <w:rPr>
          <w:kern w:val="22"/>
          <w:szCs w:val="22"/>
        </w:rPr>
        <w:t>(f)</w:t>
      </w:r>
      <w:r w:rsidRPr="00433C1B">
        <w:rPr>
          <w:kern w:val="22"/>
          <w:szCs w:val="22"/>
        </w:rPr>
        <w:tab/>
      </w:r>
      <w:r w:rsidR="0047564E" w:rsidRPr="00433C1B">
        <w:rPr>
          <w:kern w:val="22"/>
          <w:szCs w:val="22"/>
        </w:rPr>
        <w:t>Observers from i</w:t>
      </w:r>
      <w:r w:rsidRPr="00433C1B">
        <w:rPr>
          <w:kern w:val="22"/>
          <w:szCs w:val="22"/>
        </w:rPr>
        <w:t xml:space="preserve">ndigenous peoples and local communities: Mr. </w:t>
      </w:r>
      <w:r w:rsidRPr="00433C1B">
        <w:rPr>
          <w:noProof/>
          <w:kern w:val="22"/>
          <w:szCs w:val="22"/>
        </w:rPr>
        <w:t>Preston D. Hardison</w:t>
      </w:r>
      <w:r w:rsidRPr="00433C1B">
        <w:rPr>
          <w:kern w:val="22"/>
          <w:szCs w:val="22"/>
        </w:rPr>
        <w:t xml:space="preserve"> (</w:t>
      </w:r>
      <w:r w:rsidRPr="00433C1B">
        <w:rPr>
          <w:noProof/>
          <w:kern w:val="22"/>
          <w:szCs w:val="22"/>
        </w:rPr>
        <w:t>Tulalip</w:t>
      </w:r>
      <w:r w:rsidRPr="00433C1B">
        <w:rPr>
          <w:kern w:val="22"/>
          <w:szCs w:val="22"/>
        </w:rPr>
        <w:t xml:space="preserve"> Tribes); Mr. </w:t>
      </w:r>
      <w:r w:rsidRPr="00433C1B">
        <w:rPr>
          <w:noProof/>
          <w:kern w:val="22"/>
          <w:szCs w:val="22"/>
        </w:rPr>
        <w:t>Onel Masardule Arias</w:t>
      </w:r>
      <w:r w:rsidRPr="00433C1B">
        <w:rPr>
          <w:kern w:val="22"/>
          <w:szCs w:val="22"/>
        </w:rPr>
        <w:t xml:space="preserve"> (</w:t>
      </w:r>
      <w:r w:rsidRPr="009719BC">
        <w:rPr>
          <w:kern w:val="22"/>
          <w:szCs w:val="22"/>
          <w:lang w:val="es-ES"/>
        </w:rPr>
        <w:t>Fundación para la Promoción del Conocimiento Indígena</w:t>
      </w:r>
      <w:r w:rsidRPr="00433C1B">
        <w:rPr>
          <w:kern w:val="22"/>
          <w:szCs w:val="22"/>
        </w:rPr>
        <w:t>)</w:t>
      </w:r>
      <w:r w:rsidR="00B5513E" w:rsidRPr="00433C1B">
        <w:rPr>
          <w:kern w:val="22"/>
          <w:szCs w:val="22"/>
        </w:rPr>
        <w:t>.</w:t>
      </w:r>
    </w:p>
    <w:p w14:paraId="190F2608" w14:textId="3D66650F" w:rsidR="00DD5FFE" w:rsidRPr="00433C1B" w:rsidRDefault="00DD5FFE" w:rsidP="009719BC">
      <w:pPr>
        <w:pStyle w:val="Para2"/>
        <w:suppressLineNumbers/>
        <w:suppressAutoHyphens/>
        <w:kinsoku w:val="0"/>
        <w:overflowPunct w:val="0"/>
        <w:spacing w:before="0" w:after="0"/>
        <w:jc w:val="left"/>
        <w:rPr>
          <w:kern w:val="22"/>
          <w:szCs w:val="22"/>
        </w:rPr>
      </w:pPr>
    </w:p>
    <w:p w14:paraId="71885E08" w14:textId="502F1CB9" w:rsidR="00B5513E" w:rsidRPr="00433C1B" w:rsidRDefault="00B5513E" w:rsidP="009719BC">
      <w:pPr>
        <w:pStyle w:val="Para1"/>
        <w:keepNext/>
        <w:numPr>
          <w:ilvl w:val="0"/>
          <w:numId w:val="14"/>
        </w:numPr>
        <w:suppressLineNumbers/>
        <w:tabs>
          <w:tab w:val="clear" w:pos="644"/>
        </w:tabs>
        <w:suppressAutoHyphens/>
        <w:kinsoku w:val="0"/>
        <w:overflowPunct w:val="0"/>
        <w:autoSpaceDE w:val="0"/>
        <w:autoSpaceDN w:val="0"/>
        <w:spacing w:before="0"/>
        <w:ind w:left="0"/>
        <w:rPr>
          <w:kern w:val="22"/>
          <w:szCs w:val="22"/>
        </w:rPr>
      </w:pPr>
      <w:r w:rsidRPr="00433C1B">
        <w:rPr>
          <w:kern w:val="22"/>
          <w:szCs w:val="22"/>
        </w:rPr>
        <w:lastRenderedPageBreak/>
        <w:t>Accordingly, the composition of the Committee is as follows:</w:t>
      </w:r>
    </w:p>
    <w:p w14:paraId="3A6DCF75" w14:textId="583BFF5A" w:rsidR="00E409E5" w:rsidRPr="00433C1B" w:rsidRDefault="00E409E5" w:rsidP="009719BC">
      <w:pPr>
        <w:pStyle w:val="Para1"/>
        <w:keepNext/>
        <w:numPr>
          <w:ilvl w:val="0"/>
          <w:numId w:val="0"/>
        </w:numPr>
        <w:suppressLineNumbers/>
        <w:suppressAutoHyphens/>
        <w:kinsoku w:val="0"/>
        <w:overflowPunct w:val="0"/>
        <w:autoSpaceDE w:val="0"/>
        <w:autoSpaceDN w:val="0"/>
        <w:spacing w:before="0"/>
        <w:ind w:firstLine="720"/>
        <w:jc w:val="left"/>
        <w:rPr>
          <w:iCs/>
          <w:kern w:val="22"/>
          <w:szCs w:val="22"/>
        </w:rPr>
      </w:pPr>
      <w:r w:rsidRPr="00433C1B">
        <w:rPr>
          <w:bCs/>
          <w:iCs/>
          <w:kern w:val="22"/>
          <w:szCs w:val="22"/>
        </w:rPr>
        <w:t>(a)</w:t>
      </w:r>
      <w:r w:rsidRPr="00433C1B">
        <w:rPr>
          <w:b/>
          <w:bCs/>
          <w:iCs/>
          <w:kern w:val="22"/>
          <w:szCs w:val="22"/>
        </w:rPr>
        <w:tab/>
      </w:r>
      <w:r w:rsidRPr="002E133D">
        <w:rPr>
          <w:i/>
          <w:kern w:val="22"/>
          <w:szCs w:val="22"/>
        </w:rPr>
        <w:t>Africa</w:t>
      </w:r>
      <w:r w:rsidRPr="009719BC">
        <w:rPr>
          <w:iCs/>
          <w:kern w:val="22"/>
          <w:szCs w:val="22"/>
        </w:rPr>
        <w:t>:</w:t>
      </w:r>
    </w:p>
    <w:p w14:paraId="7E549824" w14:textId="64CF6A3A" w:rsidR="00B5513E" w:rsidRPr="00433C1B" w:rsidRDefault="00B5513E" w:rsidP="00D21574">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Ms.</w:t>
      </w:r>
      <w:r w:rsidR="00E409E5" w:rsidRPr="009719BC">
        <w:rPr>
          <w:snapToGrid w:val="0"/>
          <w:kern w:val="22"/>
          <w:szCs w:val="22"/>
        </w:rPr>
        <w:t xml:space="preserve"> </w:t>
      </w:r>
      <w:r w:rsidR="00E409E5" w:rsidRPr="00433C1B">
        <w:rPr>
          <w:noProof/>
          <w:snapToGrid w:val="0"/>
          <w:kern w:val="22"/>
          <w:szCs w:val="22"/>
        </w:rPr>
        <w:t>El Khitma EL Awad Mohammed</w:t>
      </w:r>
      <w:r w:rsidR="00E409E5" w:rsidRPr="009719BC">
        <w:rPr>
          <w:snapToGrid w:val="0"/>
          <w:kern w:val="22"/>
          <w:szCs w:val="22"/>
        </w:rPr>
        <w:t>, Sudan</w:t>
      </w:r>
      <w:r w:rsidR="00E409E5" w:rsidRPr="009719BC" w:rsidDel="00E409E5">
        <w:rPr>
          <w:snapToGrid w:val="0"/>
          <w:kern w:val="22"/>
          <w:szCs w:val="22"/>
        </w:rPr>
        <w:t xml:space="preserve"> </w:t>
      </w:r>
      <w:r w:rsidRPr="00433C1B">
        <w:rPr>
          <w:snapToGrid w:val="0"/>
          <w:kern w:val="22"/>
          <w:szCs w:val="22"/>
        </w:rPr>
        <w:t xml:space="preserve">(31 December </w:t>
      </w:r>
      <w:r w:rsidR="00E409E5" w:rsidRPr="00433C1B">
        <w:rPr>
          <w:snapToGrid w:val="0"/>
          <w:kern w:val="22"/>
          <w:szCs w:val="22"/>
        </w:rPr>
        <w:t>2012</w:t>
      </w:r>
      <w:r w:rsidRPr="00433C1B">
        <w:rPr>
          <w:snapToGrid w:val="0"/>
          <w:kern w:val="22"/>
          <w:szCs w:val="22"/>
        </w:rPr>
        <w:t>)</w:t>
      </w:r>
    </w:p>
    <w:p w14:paraId="0E5D8B14" w14:textId="042B0E1D" w:rsidR="00B5513E" w:rsidRPr="00433C1B" w:rsidRDefault="00B5513E" w:rsidP="00D21574">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Ms. </w:t>
      </w:r>
      <w:r w:rsidRPr="00433C1B">
        <w:rPr>
          <w:noProof/>
          <w:snapToGrid w:val="0"/>
          <w:kern w:val="22"/>
          <w:szCs w:val="22"/>
        </w:rPr>
        <w:t>Kauna Schroeder</w:t>
      </w:r>
      <w:r w:rsidR="00E409E5" w:rsidRPr="009719BC">
        <w:rPr>
          <w:snapToGrid w:val="0"/>
          <w:kern w:val="22"/>
          <w:szCs w:val="22"/>
        </w:rPr>
        <w:t>, Namibia</w:t>
      </w:r>
      <w:r w:rsidRPr="00433C1B">
        <w:rPr>
          <w:snapToGrid w:val="0"/>
          <w:kern w:val="22"/>
          <w:szCs w:val="22"/>
        </w:rPr>
        <w:t xml:space="preserve"> (31 December 202</w:t>
      </w:r>
      <w:r w:rsidR="0028206C" w:rsidRPr="00433C1B">
        <w:rPr>
          <w:snapToGrid w:val="0"/>
          <w:kern w:val="22"/>
          <w:szCs w:val="22"/>
        </w:rPr>
        <w:t>2</w:t>
      </w:r>
      <w:r w:rsidRPr="00433C1B">
        <w:rPr>
          <w:snapToGrid w:val="0"/>
          <w:kern w:val="22"/>
          <w:szCs w:val="22"/>
        </w:rPr>
        <w:t>)</w:t>
      </w:r>
    </w:p>
    <w:p w14:paraId="1DA379C5" w14:textId="310147CC" w:rsidR="00E409E5" w:rsidRPr="00433C1B" w:rsidRDefault="00E409E5" w:rsidP="00D21574">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Mr. </w:t>
      </w:r>
      <w:r w:rsidRPr="009719BC">
        <w:rPr>
          <w:noProof/>
          <w:kern w:val="22"/>
          <w:szCs w:val="22"/>
        </w:rPr>
        <w:t>William Etim Okon</w:t>
      </w:r>
      <w:r w:rsidRPr="009719BC">
        <w:rPr>
          <w:kern w:val="22"/>
          <w:szCs w:val="22"/>
        </w:rPr>
        <w:t>, Nigeria (31 December 2020)</w:t>
      </w:r>
    </w:p>
    <w:p w14:paraId="50C21530" w14:textId="40B3BAF6" w:rsidR="00E409E5" w:rsidRPr="009719BC" w:rsidRDefault="00E409E5" w:rsidP="009719BC">
      <w:pPr>
        <w:pStyle w:val="Para10"/>
        <w:suppressLineNumbers/>
        <w:tabs>
          <w:tab w:val="clear" w:pos="644"/>
        </w:tabs>
        <w:suppressAutoHyphens/>
        <w:kinsoku w:val="0"/>
        <w:overflowPunct w:val="0"/>
        <w:autoSpaceDE w:val="0"/>
        <w:autoSpaceDN w:val="0"/>
        <w:ind w:left="0"/>
        <w:jc w:val="left"/>
        <w:rPr>
          <w:kern w:val="22"/>
          <w:szCs w:val="22"/>
        </w:rPr>
      </w:pPr>
    </w:p>
    <w:p w14:paraId="4A18581E" w14:textId="53B92886" w:rsidR="00E409E5" w:rsidRPr="00433C1B" w:rsidRDefault="00E409E5" w:rsidP="009719BC">
      <w:pPr>
        <w:pStyle w:val="Para1"/>
        <w:keepNext/>
        <w:numPr>
          <w:ilvl w:val="0"/>
          <w:numId w:val="0"/>
        </w:numPr>
        <w:suppressLineNumbers/>
        <w:suppressAutoHyphens/>
        <w:kinsoku w:val="0"/>
        <w:overflowPunct w:val="0"/>
        <w:autoSpaceDE w:val="0"/>
        <w:autoSpaceDN w:val="0"/>
        <w:spacing w:before="0"/>
        <w:ind w:firstLine="720"/>
        <w:jc w:val="left"/>
        <w:rPr>
          <w:bCs/>
          <w:iCs/>
          <w:kern w:val="22"/>
          <w:szCs w:val="22"/>
        </w:rPr>
      </w:pPr>
      <w:r w:rsidRPr="00433C1B">
        <w:rPr>
          <w:bCs/>
          <w:iCs/>
          <w:kern w:val="22"/>
          <w:szCs w:val="22"/>
        </w:rPr>
        <w:t>(b)</w:t>
      </w:r>
      <w:r w:rsidRPr="009719BC">
        <w:rPr>
          <w:bCs/>
          <w:iCs/>
          <w:kern w:val="22"/>
          <w:szCs w:val="22"/>
        </w:rPr>
        <w:tab/>
      </w:r>
      <w:r w:rsidRPr="002E133D">
        <w:rPr>
          <w:bCs/>
          <w:i/>
          <w:kern w:val="22"/>
          <w:szCs w:val="22"/>
        </w:rPr>
        <w:t>Asia and the Pacific</w:t>
      </w:r>
      <w:r w:rsidRPr="009719BC">
        <w:rPr>
          <w:bCs/>
          <w:iCs/>
          <w:kern w:val="22"/>
          <w:szCs w:val="22"/>
        </w:rPr>
        <w:t>:</w:t>
      </w:r>
    </w:p>
    <w:p w14:paraId="35AD2441" w14:textId="7717EC30" w:rsidR="00B5513E" w:rsidRPr="009818B5" w:rsidRDefault="00E409E5"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Mr. </w:t>
      </w:r>
      <w:r w:rsidRPr="009719BC">
        <w:rPr>
          <w:noProof/>
          <w:kern w:val="22"/>
          <w:szCs w:val="22"/>
        </w:rPr>
        <w:t>Belal Alhayek</w:t>
      </w:r>
      <w:r w:rsidRPr="009818B5">
        <w:rPr>
          <w:snapToGrid w:val="0"/>
          <w:kern w:val="22"/>
          <w:szCs w:val="22"/>
        </w:rPr>
        <w:t>, Syria</w:t>
      </w:r>
      <w:r w:rsidR="009818B5" w:rsidRPr="009818B5">
        <w:rPr>
          <w:snapToGrid w:val="0"/>
          <w:kern w:val="22"/>
          <w:szCs w:val="22"/>
        </w:rPr>
        <w:t>n Arab Republic</w:t>
      </w:r>
      <w:r w:rsidRPr="009818B5">
        <w:rPr>
          <w:snapToGrid w:val="0"/>
          <w:kern w:val="22"/>
          <w:szCs w:val="22"/>
        </w:rPr>
        <w:t xml:space="preserve"> </w:t>
      </w:r>
      <w:r w:rsidR="00B5513E" w:rsidRPr="009818B5">
        <w:rPr>
          <w:snapToGrid w:val="0"/>
          <w:kern w:val="22"/>
          <w:szCs w:val="22"/>
        </w:rPr>
        <w:t>(31 December 20</w:t>
      </w:r>
      <w:r w:rsidRPr="009818B5">
        <w:rPr>
          <w:snapToGrid w:val="0"/>
          <w:kern w:val="22"/>
          <w:szCs w:val="22"/>
        </w:rPr>
        <w:t>22</w:t>
      </w:r>
      <w:r w:rsidR="00B5513E" w:rsidRPr="009818B5">
        <w:rPr>
          <w:snapToGrid w:val="0"/>
          <w:kern w:val="22"/>
          <w:szCs w:val="22"/>
        </w:rPr>
        <w:t>)</w:t>
      </w:r>
    </w:p>
    <w:p w14:paraId="4E54AEF9" w14:textId="1354F561" w:rsidR="00B5513E" w:rsidRPr="00433C1B" w:rsidRDefault="00E409E5"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Mr. </w:t>
      </w:r>
      <w:r w:rsidRPr="009719BC">
        <w:rPr>
          <w:noProof/>
          <w:kern w:val="22"/>
          <w:szCs w:val="22"/>
        </w:rPr>
        <w:t>Won Seog Park</w:t>
      </w:r>
      <w:r w:rsidRPr="009719BC">
        <w:rPr>
          <w:kern w:val="22"/>
          <w:szCs w:val="22"/>
        </w:rPr>
        <w:t>, Republic of Korea</w:t>
      </w:r>
      <w:r w:rsidRPr="00433C1B" w:rsidDel="00E409E5">
        <w:rPr>
          <w:snapToGrid w:val="0"/>
          <w:kern w:val="22"/>
          <w:szCs w:val="22"/>
        </w:rPr>
        <w:t xml:space="preserve"> </w:t>
      </w:r>
      <w:r w:rsidR="00B5513E" w:rsidRPr="00433C1B">
        <w:rPr>
          <w:snapToGrid w:val="0"/>
          <w:kern w:val="22"/>
          <w:szCs w:val="22"/>
        </w:rPr>
        <w:t xml:space="preserve">(31 December </w:t>
      </w:r>
      <w:r w:rsidRPr="00433C1B">
        <w:rPr>
          <w:snapToGrid w:val="0"/>
          <w:kern w:val="22"/>
          <w:szCs w:val="22"/>
        </w:rPr>
        <w:t>2022</w:t>
      </w:r>
      <w:r w:rsidR="00B5513E" w:rsidRPr="00433C1B">
        <w:rPr>
          <w:snapToGrid w:val="0"/>
          <w:kern w:val="22"/>
          <w:szCs w:val="22"/>
        </w:rPr>
        <w:t>)</w:t>
      </w:r>
    </w:p>
    <w:p w14:paraId="21C96CBC" w14:textId="5F0DF74B" w:rsidR="00B5513E" w:rsidRPr="00433C1B"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Mr. </w:t>
      </w:r>
      <w:r w:rsidRPr="00433C1B">
        <w:rPr>
          <w:noProof/>
          <w:snapToGrid w:val="0"/>
          <w:kern w:val="22"/>
          <w:szCs w:val="22"/>
        </w:rPr>
        <w:t>Qin Tianbao</w:t>
      </w:r>
      <w:r w:rsidR="00E409E5" w:rsidRPr="009719BC">
        <w:rPr>
          <w:snapToGrid w:val="0"/>
          <w:kern w:val="22"/>
          <w:szCs w:val="22"/>
        </w:rPr>
        <w:t>, China</w:t>
      </w:r>
      <w:r w:rsidRPr="00433C1B">
        <w:rPr>
          <w:snapToGrid w:val="0"/>
          <w:kern w:val="22"/>
          <w:szCs w:val="22"/>
        </w:rPr>
        <w:t xml:space="preserve"> (31 December 2020)</w:t>
      </w:r>
    </w:p>
    <w:p w14:paraId="35D4E305" w14:textId="43160A70" w:rsidR="00E409E5" w:rsidRPr="00433C1B" w:rsidRDefault="00E409E5" w:rsidP="009719BC">
      <w:pPr>
        <w:pStyle w:val="Para10"/>
        <w:suppressLineNumbers/>
        <w:tabs>
          <w:tab w:val="clear" w:pos="644"/>
        </w:tabs>
        <w:suppressAutoHyphens/>
        <w:kinsoku w:val="0"/>
        <w:overflowPunct w:val="0"/>
        <w:autoSpaceDE w:val="0"/>
        <w:autoSpaceDN w:val="0"/>
        <w:ind w:left="0"/>
        <w:jc w:val="left"/>
        <w:rPr>
          <w:snapToGrid w:val="0"/>
          <w:kern w:val="22"/>
          <w:szCs w:val="22"/>
        </w:rPr>
      </w:pPr>
    </w:p>
    <w:p w14:paraId="3F9B3970" w14:textId="2E0D0F4D" w:rsidR="00E409E5" w:rsidRPr="00433C1B" w:rsidRDefault="00E409E5" w:rsidP="009719BC">
      <w:pPr>
        <w:pStyle w:val="Para1"/>
        <w:keepNext/>
        <w:numPr>
          <w:ilvl w:val="0"/>
          <w:numId w:val="0"/>
        </w:numPr>
        <w:suppressLineNumbers/>
        <w:suppressAutoHyphens/>
        <w:kinsoku w:val="0"/>
        <w:overflowPunct w:val="0"/>
        <w:autoSpaceDE w:val="0"/>
        <w:autoSpaceDN w:val="0"/>
        <w:spacing w:before="0"/>
        <w:ind w:firstLine="720"/>
        <w:jc w:val="left"/>
        <w:rPr>
          <w:bCs/>
          <w:iCs/>
          <w:kern w:val="22"/>
          <w:szCs w:val="22"/>
        </w:rPr>
      </w:pPr>
      <w:r w:rsidRPr="009719BC">
        <w:rPr>
          <w:bCs/>
          <w:iCs/>
          <w:kern w:val="22"/>
          <w:szCs w:val="22"/>
        </w:rPr>
        <w:t>(c)</w:t>
      </w:r>
      <w:r w:rsidRPr="009719BC">
        <w:rPr>
          <w:bCs/>
          <w:iCs/>
          <w:kern w:val="22"/>
          <w:szCs w:val="22"/>
        </w:rPr>
        <w:tab/>
      </w:r>
      <w:r w:rsidRPr="009719BC">
        <w:rPr>
          <w:bCs/>
          <w:i/>
          <w:kern w:val="22"/>
          <w:szCs w:val="22"/>
        </w:rPr>
        <w:t>Central and Eastern Europe</w:t>
      </w:r>
      <w:r w:rsidRPr="009719BC">
        <w:rPr>
          <w:bCs/>
          <w:iCs/>
          <w:kern w:val="22"/>
          <w:szCs w:val="22"/>
        </w:rPr>
        <w:t>:</w:t>
      </w:r>
    </w:p>
    <w:p w14:paraId="52D8FFF9" w14:textId="6DB15E2C" w:rsidR="00E409E5" w:rsidRPr="00433C1B" w:rsidRDefault="00E409E5"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Mr. </w:t>
      </w:r>
      <w:r w:rsidRPr="009719BC">
        <w:rPr>
          <w:noProof/>
          <w:kern w:val="22"/>
          <w:szCs w:val="22"/>
        </w:rPr>
        <w:t>Dilovarsho Dustov</w:t>
      </w:r>
      <w:r w:rsidR="00D21574" w:rsidRPr="009719BC">
        <w:rPr>
          <w:kern w:val="22"/>
          <w:szCs w:val="22"/>
        </w:rPr>
        <w:t>, Tajikistan</w:t>
      </w:r>
      <w:r w:rsidRPr="009719BC">
        <w:rPr>
          <w:kern w:val="22"/>
          <w:szCs w:val="22"/>
        </w:rPr>
        <w:t xml:space="preserve"> (</w:t>
      </w:r>
      <w:r w:rsidRPr="00433C1B">
        <w:rPr>
          <w:snapToGrid w:val="0"/>
          <w:kern w:val="22"/>
          <w:szCs w:val="22"/>
        </w:rPr>
        <w:t>31 December 2022)</w:t>
      </w:r>
    </w:p>
    <w:p w14:paraId="475D3FD0" w14:textId="3D56413C" w:rsidR="00B5513E" w:rsidRPr="009719BC"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snapToGrid w:val="0"/>
          <w:kern w:val="22"/>
          <w:szCs w:val="22"/>
        </w:rPr>
        <w:t xml:space="preserve">Ms. </w:t>
      </w:r>
      <w:r w:rsidRPr="009719BC">
        <w:rPr>
          <w:noProof/>
          <w:snapToGrid w:val="0"/>
          <w:kern w:val="22"/>
          <w:szCs w:val="22"/>
        </w:rPr>
        <w:t>Elena Makeyeva</w:t>
      </w:r>
      <w:r w:rsidR="00D21574" w:rsidRPr="009719BC">
        <w:rPr>
          <w:snapToGrid w:val="0"/>
          <w:kern w:val="22"/>
          <w:szCs w:val="22"/>
        </w:rPr>
        <w:t>, Belarus</w:t>
      </w:r>
      <w:r w:rsidRPr="009719BC">
        <w:rPr>
          <w:snapToGrid w:val="0"/>
          <w:kern w:val="22"/>
          <w:szCs w:val="22"/>
        </w:rPr>
        <w:t xml:space="preserve"> (31 December </w:t>
      </w:r>
      <w:r w:rsidR="00E409E5" w:rsidRPr="009719BC">
        <w:rPr>
          <w:snapToGrid w:val="0"/>
          <w:kern w:val="22"/>
          <w:szCs w:val="22"/>
        </w:rPr>
        <w:t>2022</w:t>
      </w:r>
      <w:r w:rsidRPr="009719BC">
        <w:rPr>
          <w:snapToGrid w:val="0"/>
          <w:kern w:val="22"/>
          <w:szCs w:val="22"/>
        </w:rPr>
        <w:t>)</w:t>
      </w:r>
    </w:p>
    <w:p w14:paraId="64777EBE" w14:textId="1F061079" w:rsidR="00B5513E" w:rsidRPr="00433C1B"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Ms. </w:t>
      </w:r>
      <w:r w:rsidRPr="00433C1B">
        <w:rPr>
          <w:noProof/>
          <w:snapToGrid w:val="0"/>
          <w:kern w:val="22"/>
          <w:szCs w:val="22"/>
        </w:rPr>
        <w:t>Elzbieta Martyniuk</w:t>
      </w:r>
      <w:r w:rsidR="00D21574" w:rsidRPr="009719BC">
        <w:rPr>
          <w:snapToGrid w:val="0"/>
          <w:kern w:val="22"/>
          <w:szCs w:val="22"/>
        </w:rPr>
        <w:t>, Poland</w:t>
      </w:r>
      <w:r w:rsidRPr="00433C1B">
        <w:rPr>
          <w:snapToGrid w:val="0"/>
          <w:kern w:val="22"/>
          <w:szCs w:val="22"/>
        </w:rPr>
        <w:t xml:space="preserve"> (31 December 2020)</w:t>
      </w:r>
    </w:p>
    <w:p w14:paraId="0FCE5293" w14:textId="0E80D8FC" w:rsidR="00E409E5" w:rsidRPr="00433C1B" w:rsidRDefault="00E409E5" w:rsidP="009719BC">
      <w:pPr>
        <w:pStyle w:val="Para10"/>
        <w:suppressLineNumbers/>
        <w:tabs>
          <w:tab w:val="clear" w:pos="644"/>
        </w:tabs>
        <w:suppressAutoHyphens/>
        <w:kinsoku w:val="0"/>
        <w:overflowPunct w:val="0"/>
        <w:autoSpaceDE w:val="0"/>
        <w:autoSpaceDN w:val="0"/>
        <w:ind w:left="0"/>
        <w:jc w:val="left"/>
        <w:rPr>
          <w:snapToGrid w:val="0"/>
          <w:kern w:val="22"/>
          <w:szCs w:val="22"/>
        </w:rPr>
      </w:pPr>
    </w:p>
    <w:p w14:paraId="0010F087" w14:textId="24E80844" w:rsidR="00D21574" w:rsidRPr="00433C1B" w:rsidRDefault="00D21574" w:rsidP="009719BC">
      <w:pPr>
        <w:pStyle w:val="Para1"/>
        <w:keepNext/>
        <w:numPr>
          <w:ilvl w:val="0"/>
          <w:numId w:val="0"/>
        </w:numPr>
        <w:suppressLineNumbers/>
        <w:suppressAutoHyphens/>
        <w:kinsoku w:val="0"/>
        <w:overflowPunct w:val="0"/>
        <w:autoSpaceDE w:val="0"/>
        <w:autoSpaceDN w:val="0"/>
        <w:spacing w:before="0"/>
        <w:ind w:firstLine="720"/>
        <w:jc w:val="left"/>
        <w:rPr>
          <w:bCs/>
          <w:iCs/>
          <w:kern w:val="22"/>
          <w:szCs w:val="22"/>
        </w:rPr>
      </w:pPr>
      <w:r w:rsidRPr="009719BC">
        <w:rPr>
          <w:bCs/>
          <w:iCs/>
          <w:kern w:val="22"/>
          <w:szCs w:val="22"/>
        </w:rPr>
        <w:t>(d)</w:t>
      </w:r>
      <w:r w:rsidRPr="009719BC">
        <w:rPr>
          <w:bCs/>
          <w:iCs/>
          <w:kern w:val="22"/>
          <w:szCs w:val="22"/>
        </w:rPr>
        <w:tab/>
      </w:r>
      <w:r w:rsidRPr="009719BC">
        <w:rPr>
          <w:bCs/>
          <w:i/>
          <w:kern w:val="22"/>
          <w:szCs w:val="22"/>
        </w:rPr>
        <w:t>Latin America and the Caribbean</w:t>
      </w:r>
      <w:r w:rsidRPr="009719BC">
        <w:rPr>
          <w:bCs/>
          <w:iCs/>
          <w:kern w:val="22"/>
          <w:szCs w:val="22"/>
        </w:rPr>
        <w:t>:</w:t>
      </w:r>
    </w:p>
    <w:p w14:paraId="44092D71" w14:textId="118A29D0" w:rsidR="00D21574" w:rsidRPr="009719BC" w:rsidRDefault="00D21574"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Ms. </w:t>
      </w:r>
      <w:r w:rsidRPr="009719BC">
        <w:rPr>
          <w:noProof/>
          <w:kern w:val="22"/>
          <w:szCs w:val="22"/>
        </w:rPr>
        <w:t>Micaela Anabel Bonafina</w:t>
      </w:r>
      <w:r w:rsidRPr="009719BC">
        <w:rPr>
          <w:kern w:val="22"/>
          <w:szCs w:val="22"/>
        </w:rPr>
        <w:t>, Argenti</w:t>
      </w:r>
      <w:r w:rsidR="00B72BB4" w:rsidRPr="00433C1B">
        <w:rPr>
          <w:kern w:val="22"/>
          <w:szCs w:val="22"/>
        </w:rPr>
        <w:t>n</w:t>
      </w:r>
      <w:r w:rsidRPr="009719BC">
        <w:rPr>
          <w:kern w:val="22"/>
          <w:szCs w:val="22"/>
        </w:rPr>
        <w:t>a (</w:t>
      </w:r>
      <w:r w:rsidRPr="009719BC">
        <w:rPr>
          <w:snapToGrid w:val="0"/>
          <w:kern w:val="22"/>
          <w:szCs w:val="22"/>
        </w:rPr>
        <w:t>31 December 2022)</w:t>
      </w:r>
    </w:p>
    <w:p w14:paraId="574627FF" w14:textId="6F98B6EC" w:rsidR="00B5513E" w:rsidRPr="00433C1B"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Ms. </w:t>
      </w:r>
      <w:r w:rsidRPr="00433C1B">
        <w:rPr>
          <w:noProof/>
          <w:snapToGrid w:val="0"/>
          <w:kern w:val="22"/>
          <w:szCs w:val="22"/>
        </w:rPr>
        <w:t>Teresa Cruz</w:t>
      </w:r>
      <w:r w:rsidR="00853B3F" w:rsidRPr="009719BC">
        <w:rPr>
          <w:snapToGrid w:val="0"/>
          <w:kern w:val="22"/>
          <w:szCs w:val="22"/>
        </w:rPr>
        <w:t>, Cuba</w:t>
      </w:r>
      <w:r w:rsidRPr="00433C1B">
        <w:rPr>
          <w:snapToGrid w:val="0"/>
          <w:kern w:val="22"/>
          <w:szCs w:val="22"/>
        </w:rPr>
        <w:t xml:space="preserve"> (31 December 2020)</w:t>
      </w:r>
    </w:p>
    <w:p w14:paraId="39794DD5" w14:textId="4DFC4996" w:rsidR="00B5513E" w:rsidRPr="009719BC" w:rsidRDefault="00D21574"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Ms. </w:t>
      </w:r>
      <w:r w:rsidRPr="009719BC">
        <w:rPr>
          <w:noProof/>
          <w:kern w:val="22"/>
          <w:szCs w:val="22"/>
        </w:rPr>
        <w:t>Yolanda Otavalo Cacoango</w:t>
      </w:r>
      <w:r w:rsidRPr="009719BC">
        <w:rPr>
          <w:kern w:val="22"/>
          <w:szCs w:val="22"/>
        </w:rPr>
        <w:t>, Ecuador</w:t>
      </w:r>
      <w:r w:rsidRPr="009719BC" w:rsidDel="00D21574">
        <w:rPr>
          <w:snapToGrid w:val="0"/>
          <w:kern w:val="22"/>
          <w:szCs w:val="22"/>
        </w:rPr>
        <w:t xml:space="preserve"> </w:t>
      </w:r>
      <w:r w:rsidR="00B5513E" w:rsidRPr="009719BC">
        <w:rPr>
          <w:snapToGrid w:val="0"/>
          <w:kern w:val="22"/>
          <w:szCs w:val="22"/>
        </w:rPr>
        <w:t xml:space="preserve">(31 December </w:t>
      </w:r>
      <w:r w:rsidRPr="009719BC">
        <w:rPr>
          <w:snapToGrid w:val="0"/>
          <w:kern w:val="22"/>
          <w:szCs w:val="22"/>
        </w:rPr>
        <w:t>2022</w:t>
      </w:r>
      <w:r w:rsidR="00B5513E" w:rsidRPr="009719BC">
        <w:rPr>
          <w:snapToGrid w:val="0"/>
          <w:kern w:val="22"/>
          <w:szCs w:val="22"/>
        </w:rPr>
        <w:t>)</w:t>
      </w:r>
    </w:p>
    <w:p w14:paraId="1D26E869" w14:textId="1A792D00" w:rsidR="00D21574" w:rsidRPr="009719BC" w:rsidRDefault="00D21574" w:rsidP="009719BC">
      <w:pPr>
        <w:pStyle w:val="Para10"/>
        <w:suppressLineNumbers/>
        <w:tabs>
          <w:tab w:val="clear" w:pos="644"/>
        </w:tabs>
        <w:suppressAutoHyphens/>
        <w:kinsoku w:val="0"/>
        <w:overflowPunct w:val="0"/>
        <w:autoSpaceDE w:val="0"/>
        <w:autoSpaceDN w:val="0"/>
        <w:ind w:left="0"/>
        <w:jc w:val="left"/>
        <w:rPr>
          <w:snapToGrid w:val="0"/>
          <w:kern w:val="22"/>
          <w:szCs w:val="22"/>
        </w:rPr>
      </w:pPr>
    </w:p>
    <w:p w14:paraId="66B7E787" w14:textId="3F8056CA" w:rsidR="00D21574" w:rsidRPr="00433C1B" w:rsidRDefault="00D21574" w:rsidP="009719BC">
      <w:pPr>
        <w:pStyle w:val="Para1"/>
        <w:keepNext/>
        <w:numPr>
          <w:ilvl w:val="0"/>
          <w:numId w:val="0"/>
        </w:numPr>
        <w:suppressLineNumbers/>
        <w:suppressAutoHyphens/>
        <w:kinsoku w:val="0"/>
        <w:overflowPunct w:val="0"/>
        <w:autoSpaceDE w:val="0"/>
        <w:autoSpaceDN w:val="0"/>
        <w:spacing w:before="0"/>
        <w:ind w:firstLine="720"/>
        <w:jc w:val="left"/>
        <w:rPr>
          <w:bCs/>
          <w:iCs/>
          <w:kern w:val="22"/>
          <w:szCs w:val="22"/>
        </w:rPr>
      </w:pPr>
      <w:r w:rsidRPr="00433C1B">
        <w:rPr>
          <w:bCs/>
          <w:iCs/>
          <w:kern w:val="22"/>
          <w:szCs w:val="22"/>
        </w:rPr>
        <w:t>(e)</w:t>
      </w:r>
      <w:r w:rsidRPr="009719BC">
        <w:rPr>
          <w:bCs/>
          <w:iCs/>
          <w:kern w:val="22"/>
          <w:szCs w:val="22"/>
        </w:rPr>
        <w:tab/>
      </w:r>
      <w:r w:rsidRPr="00EA655B">
        <w:rPr>
          <w:bCs/>
          <w:i/>
          <w:kern w:val="22"/>
          <w:szCs w:val="22"/>
        </w:rPr>
        <w:t>Western European and Others Group</w:t>
      </w:r>
      <w:r w:rsidRPr="009719BC">
        <w:rPr>
          <w:bCs/>
          <w:iCs/>
          <w:kern w:val="22"/>
          <w:szCs w:val="22"/>
        </w:rPr>
        <w:t>:</w:t>
      </w:r>
    </w:p>
    <w:p w14:paraId="4256A8E0" w14:textId="24802C6D" w:rsidR="00B5513E" w:rsidRPr="00433C1B"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Mr. </w:t>
      </w:r>
      <w:r w:rsidR="00D21574" w:rsidRPr="00433C1B">
        <w:rPr>
          <w:noProof/>
          <w:snapToGrid w:val="0"/>
          <w:kern w:val="22"/>
          <w:szCs w:val="22"/>
        </w:rPr>
        <w:t>Gaute Voigt-Hanssen</w:t>
      </w:r>
      <w:r w:rsidR="00D21574" w:rsidRPr="009719BC">
        <w:rPr>
          <w:snapToGrid w:val="0"/>
          <w:kern w:val="22"/>
          <w:szCs w:val="22"/>
        </w:rPr>
        <w:t>, Norway</w:t>
      </w:r>
      <w:r w:rsidRPr="00433C1B">
        <w:rPr>
          <w:snapToGrid w:val="0"/>
          <w:kern w:val="22"/>
          <w:szCs w:val="22"/>
        </w:rPr>
        <w:t xml:space="preserve"> (31 December </w:t>
      </w:r>
      <w:r w:rsidR="00D21574" w:rsidRPr="00433C1B">
        <w:rPr>
          <w:snapToGrid w:val="0"/>
          <w:kern w:val="22"/>
          <w:szCs w:val="22"/>
        </w:rPr>
        <w:t>2022</w:t>
      </w:r>
      <w:r w:rsidRPr="00433C1B">
        <w:rPr>
          <w:snapToGrid w:val="0"/>
          <w:kern w:val="22"/>
          <w:szCs w:val="22"/>
        </w:rPr>
        <w:t>)</w:t>
      </w:r>
    </w:p>
    <w:p w14:paraId="476FD072" w14:textId="74BFCCD1" w:rsidR="00B5513E" w:rsidRPr="00433C1B" w:rsidRDefault="00B5513E"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Mr. </w:t>
      </w:r>
      <w:r w:rsidRPr="00433C1B">
        <w:rPr>
          <w:noProof/>
          <w:snapToGrid w:val="0"/>
          <w:kern w:val="22"/>
          <w:szCs w:val="22"/>
        </w:rPr>
        <w:t>Markus Schröder</w:t>
      </w:r>
      <w:r w:rsidR="002024DB" w:rsidRPr="009719BC">
        <w:rPr>
          <w:snapToGrid w:val="0"/>
          <w:kern w:val="22"/>
          <w:szCs w:val="22"/>
        </w:rPr>
        <w:t>, Germany</w:t>
      </w:r>
      <w:r w:rsidRPr="00433C1B">
        <w:rPr>
          <w:snapToGrid w:val="0"/>
          <w:kern w:val="22"/>
          <w:szCs w:val="22"/>
        </w:rPr>
        <w:t xml:space="preserve"> (31 December 2020)</w:t>
      </w:r>
    </w:p>
    <w:p w14:paraId="36AA458C" w14:textId="042C3CCD" w:rsidR="00D21574" w:rsidRPr="00433C1B" w:rsidRDefault="00D21574"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433C1B">
        <w:rPr>
          <w:snapToGrid w:val="0"/>
          <w:kern w:val="22"/>
          <w:szCs w:val="22"/>
        </w:rPr>
        <w:t xml:space="preserve">Ms. </w:t>
      </w:r>
      <w:r w:rsidRPr="009719BC">
        <w:rPr>
          <w:noProof/>
          <w:kern w:val="22"/>
          <w:szCs w:val="22"/>
        </w:rPr>
        <w:t>Salomé Sidler</w:t>
      </w:r>
      <w:r w:rsidRPr="009719BC">
        <w:rPr>
          <w:kern w:val="22"/>
          <w:szCs w:val="22"/>
        </w:rPr>
        <w:t xml:space="preserve">, Switzerland </w:t>
      </w:r>
      <w:r w:rsidRPr="00433C1B">
        <w:rPr>
          <w:snapToGrid w:val="0"/>
          <w:kern w:val="22"/>
          <w:szCs w:val="22"/>
        </w:rPr>
        <w:t>(31 December 2022)</w:t>
      </w:r>
    </w:p>
    <w:p w14:paraId="3040880E" w14:textId="36B04665" w:rsidR="00D21574" w:rsidRPr="00433C1B" w:rsidRDefault="00D21574" w:rsidP="00D21574">
      <w:pPr>
        <w:pStyle w:val="Para10"/>
        <w:suppressLineNumbers/>
        <w:tabs>
          <w:tab w:val="clear" w:pos="644"/>
        </w:tabs>
        <w:suppressAutoHyphens/>
        <w:kinsoku w:val="0"/>
        <w:overflowPunct w:val="0"/>
        <w:autoSpaceDE w:val="0"/>
        <w:autoSpaceDN w:val="0"/>
        <w:ind w:left="0"/>
        <w:rPr>
          <w:snapToGrid w:val="0"/>
          <w:kern w:val="22"/>
          <w:szCs w:val="22"/>
        </w:rPr>
      </w:pPr>
    </w:p>
    <w:p w14:paraId="23896B35" w14:textId="29D7CF12" w:rsidR="00D21574" w:rsidRPr="00433C1B" w:rsidRDefault="00D21574" w:rsidP="009719BC">
      <w:pPr>
        <w:pStyle w:val="Para1"/>
        <w:numPr>
          <w:ilvl w:val="0"/>
          <w:numId w:val="0"/>
        </w:numPr>
        <w:suppressLineNumbers/>
        <w:suppressAutoHyphens/>
        <w:kinsoku w:val="0"/>
        <w:overflowPunct w:val="0"/>
        <w:autoSpaceDE w:val="0"/>
        <w:autoSpaceDN w:val="0"/>
        <w:spacing w:before="0"/>
        <w:ind w:firstLine="720"/>
        <w:jc w:val="left"/>
        <w:rPr>
          <w:bCs/>
          <w:iCs/>
          <w:kern w:val="22"/>
          <w:szCs w:val="22"/>
        </w:rPr>
      </w:pPr>
      <w:r w:rsidRPr="00433C1B">
        <w:rPr>
          <w:bCs/>
          <w:iCs/>
          <w:kern w:val="22"/>
          <w:szCs w:val="22"/>
        </w:rPr>
        <w:t>(f)</w:t>
      </w:r>
      <w:r w:rsidRPr="00433C1B">
        <w:rPr>
          <w:bCs/>
          <w:iCs/>
          <w:kern w:val="22"/>
          <w:szCs w:val="22"/>
        </w:rPr>
        <w:tab/>
      </w:r>
      <w:r w:rsidRPr="00EA655B">
        <w:rPr>
          <w:bCs/>
          <w:i/>
          <w:kern w:val="22"/>
          <w:szCs w:val="22"/>
        </w:rPr>
        <w:t>Indigenous peoples and local communities</w:t>
      </w:r>
      <w:r w:rsidRPr="009719BC">
        <w:rPr>
          <w:bCs/>
          <w:iCs/>
          <w:kern w:val="22"/>
          <w:szCs w:val="22"/>
        </w:rPr>
        <w:t>:</w:t>
      </w:r>
    </w:p>
    <w:p w14:paraId="279C78D0" w14:textId="2787FF1E" w:rsidR="00B5513E" w:rsidRPr="00433C1B" w:rsidRDefault="00D21574" w:rsidP="00064673">
      <w:pPr>
        <w:pStyle w:val="ListParagraph"/>
        <w:numPr>
          <w:ilvl w:val="6"/>
          <w:numId w:val="15"/>
        </w:numPr>
        <w:suppressLineNumbers/>
        <w:tabs>
          <w:tab w:val="clear" w:pos="1637"/>
        </w:tabs>
        <w:suppressAutoHyphens/>
        <w:kinsoku w:val="0"/>
        <w:overflowPunct w:val="0"/>
        <w:autoSpaceDE w:val="0"/>
        <w:autoSpaceDN w:val="0"/>
        <w:ind w:left="1440" w:hanging="720"/>
        <w:rPr>
          <w:rFonts w:cs="Times New Roman"/>
          <w:snapToGrid w:val="0"/>
          <w:kern w:val="22"/>
          <w:szCs w:val="22"/>
        </w:rPr>
      </w:pPr>
      <w:r w:rsidRPr="009719BC">
        <w:rPr>
          <w:rFonts w:cs="Times New Roman"/>
          <w:kern w:val="22"/>
          <w:szCs w:val="22"/>
        </w:rPr>
        <w:t xml:space="preserve">Ms. </w:t>
      </w:r>
      <w:r w:rsidRPr="009719BC">
        <w:rPr>
          <w:rFonts w:cs="Times New Roman"/>
          <w:noProof/>
          <w:kern w:val="22"/>
          <w:szCs w:val="22"/>
        </w:rPr>
        <w:t>Jennifer Tauli Corpuz</w:t>
      </w:r>
      <w:r w:rsidRPr="009719BC">
        <w:rPr>
          <w:rFonts w:cs="Times New Roman"/>
          <w:kern w:val="22"/>
          <w:szCs w:val="22"/>
        </w:rPr>
        <w:t xml:space="preserve">, IIFB/IWBN </w:t>
      </w:r>
      <w:r w:rsidR="00B5513E" w:rsidRPr="00433C1B">
        <w:rPr>
          <w:rFonts w:cs="Times New Roman"/>
          <w:snapToGrid w:val="0"/>
          <w:kern w:val="22"/>
          <w:szCs w:val="22"/>
        </w:rPr>
        <w:t xml:space="preserve">(31 December </w:t>
      </w:r>
      <w:r w:rsidRPr="00433C1B">
        <w:rPr>
          <w:rFonts w:cs="Times New Roman"/>
          <w:snapToGrid w:val="0"/>
          <w:kern w:val="22"/>
          <w:szCs w:val="22"/>
        </w:rPr>
        <w:t>2022</w:t>
      </w:r>
      <w:r w:rsidR="00B5513E" w:rsidRPr="00433C1B">
        <w:rPr>
          <w:rFonts w:cs="Times New Roman"/>
          <w:snapToGrid w:val="0"/>
          <w:kern w:val="22"/>
          <w:szCs w:val="22"/>
        </w:rPr>
        <w:t>)</w:t>
      </w:r>
    </w:p>
    <w:p w14:paraId="38D37D68" w14:textId="1B503BBD" w:rsidR="00B5513E" w:rsidRPr="00433C1B" w:rsidRDefault="00D21574" w:rsidP="0066015A">
      <w:pPr>
        <w:pStyle w:val="Para10"/>
        <w:numPr>
          <w:ilvl w:val="6"/>
          <w:numId w:val="15"/>
        </w:numPr>
        <w:suppressLineNumbers/>
        <w:tabs>
          <w:tab w:val="clear" w:pos="1637"/>
        </w:tabs>
        <w:suppressAutoHyphens/>
        <w:kinsoku w:val="0"/>
        <w:overflowPunct w:val="0"/>
        <w:autoSpaceDE w:val="0"/>
        <w:autoSpaceDN w:val="0"/>
        <w:ind w:left="1440" w:hanging="720"/>
        <w:rPr>
          <w:snapToGrid w:val="0"/>
          <w:kern w:val="22"/>
          <w:szCs w:val="22"/>
        </w:rPr>
      </w:pPr>
      <w:r w:rsidRPr="009719BC">
        <w:rPr>
          <w:kern w:val="22"/>
          <w:szCs w:val="22"/>
        </w:rPr>
        <w:t xml:space="preserve">Ms. </w:t>
      </w:r>
      <w:r w:rsidRPr="009719BC">
        <w:rPr>
          <w:noProof/>
          <w:kern w:val="22"/>
          <w:szCs w:val="22"/>
        </w:rPr>
        <w:t>Yeshing Juliana Upún Yos</w:t>
      </w:r>
      <w:r w:rsidR="00B72BB4" w:rsidRPr="00433C1B">
        <w:rPr>
          <w:noProof/>
          <w:kern w:val="22"/>
          <w:szCs w:val="22"/>
        </w:rPr>
        <w:t>,</w:t>
      </w:r>
      <w:r w:rsidRPr="009719BC">
        <w:rPr>
          <w:kern w:val="22"/>
          <w:szCs w:val="22"/>
        </w:rPr>
        <w:t xml:space="preserve"> IIFB/IWBN </w:t>
      </w:r>
      <w:r w:rsidRPr="00433C1B">
        <w:rPr>
          <w:snapToGrid w:val="0"/>
          <w:kern w:val="22"/>
          <w:szCs w:val="22"/>
        </w:rPr>
        <w:t>(31 December 2022)</w:t>
      </w:r>
      <w:r w:rsidR="00B5513E" w:rsidRPr="00433C1B">
        <w:rPr>
          <w:snapToGrid w:val="0"/>
          <w:kern w:val="22"/>
          <w:szCs w:val="22"/>
        </w:rPr>
        <w:t>.</w:t>
      </w:r>
    </w:p>
    <w:p w14:paraId="6D06118E" w14:textId="5170B298" w:rsidR="00A55D8C" w:rsidRPr="00433C1B" w:rsidRDefault="00A55D8C" w:rsidP="009719BC">
      <w:pPr>
        <w:pStyle w:val="Para10"/>
        <w:suppressLineNumbers/>
        <w:tabs>
          <w:tab w:val="clear" w:pos="644"/>
        </w:tabs>
        <w:suppressAutoHyphens/>
        <w:kinsoku w:val="0"/>
        <w:overflowPunct w:val="0"/>
        <w:autoSpaceDE w:val="0"/>
        <w:autoSpaceDN w:val="0"/>
        <w:ind w:left="0"/>
        <w:jc w:val="left"/>
        <w:rPr>
          <w:snapToGrid w:val="0"/>
          <w:kern w:val="22"/>
          <w:szCs w:val="22"/>
        </w:rPr>
      </w:pPr>
    </w:p>
    <w:p w14:paraId="6B806342" w14:textId="464DDC5F" w:rsidR="00E409E5" w:rsidRPr="00433C1B" w:rsidRDefault="00E409E5" w:rsidP="009719BC">
      <w:pPr>
        <w:pStyle w:val="Para1"/>
        <w:numPr>
          <w:ilvl w:val="0"/>
          <w:numId w:val="14"/>
        </w:numPr>
        <w:suppressLineNumbers/>
        <w:tabs>
          <w:tab w:val="clear" w:pos="644"/>
        </w:tabs>
        <w:suppressAutoHyphens/>
        <w:kinsoku w:val="0"/>
        <w:overflowPunct w:val="0"/>
        <w:autoSpaceDE w:val="0"/>
        <w:autoSpaceDN w:val="0"/>
        <w:spacing w:before="0"/>
        <w:ind w:left="0"/>
        <w:rPr>
          <w:kern w:val="22"/>
          <w:szCs w:val="22"/>
        </w:rPr>
      </w:pPr>
      <w:r w:rsidRPr="00433C1B">
        <w:rPr>
          <w:kern w:val="22"/>
          <w:szCs w:val="22"/>
        </w:rPr>
        <w:t xml:space="preserve">Ms. </w:t>
      </w:r>
      <w:r w:rsidRPr="00433C1B">
        <w:rPr>
          <w:noProof/>
          <w:kern w:val="22"/>
          <w:szCs w:val="22"/>
        </w:rPr>
        <w:t>Betty Kauna Schroder</w:t>
      </w:r>
      <w:r w:rsidRPr="00433C1B">
        <w:rPr>
          <w:kern w:val="22"/>
          <w:szCs w:val="22"/>
        </w:rPr>
        <w:t xml:space="preserve"> and Ms. </w:t>
      </w:r>
      <w:r w:rsidRPr="00433C1B">
        <w:rPr>
          <w:noProof/>
          <w:kern w:val="22"/>
          <w:szCs w:val="22"/>
        </w:rPr>
        <w:t>El Kitma El Awad Mohammed</w:t>
      </w:r>
      <w:r w:rsidRPr="00433C1B">
        <w:rPr>
          <w:kern w:val="22"/>
          <w:szCs w:val="22"/>
        </w:rPr>
        <w:t xml:space="preserve"> were nominated by the African region and subsequently elected by the </w:t>
      </w:r>
      <w:r w:rsidR="00D21574" w:rsidRPr="00433C1B">
        <w:rPr>
          <w:kern w:val="22"/>
          <w:szCs w:val="22"/>
        </w:rPr>
        <w:t xml:space="preserve">third meeting of the Parties </w:t>
      </w:r>
      <w:r w:rsidRPr="00433C1B">
        <w:rPr>
          <w:kern w:val="22"/>
          <w:szCs w:val="22"/>
        </w:rPr>
        <w:t xml:space="preserve">to serve as members of the </w:t>
      </w:r>
      <w:r w:rsidR="00D21574" w:rsidRPr="00433C1B">
        <w:rPr>
          <w:kern w:val="22"/>
          <w:szCs w:val="22"/>
        </w:rPr>
        <w:t xml:space="preserve">Compliance </w:t>
      </w:r>
      <w:r w:rsidRPr="00433C1B">
        <w:rPr>
          <w:kern w:val="22"/>
          <w:szCs w:val="22"/>
        </w:rPr>
        <w:t>Committee. Since there was a former member who resigned during the last biennium from the Committee due to personal reasons, there was a need to identify a third member from the Africa</w:t>
      </w:r>
      <w:r w:rsidR="00256D24" w:rsidRPr="00433C1B">
        <w:rPr>
          <w:kern w:val="22"/>
          <w:szCs w:val="22"/>
        </w:rPr>
        <w:t>n</w:t>
      </w:r>
      <w:r w:rsidRPr="00433C1B">
        <w:rPr>
          <w:kern w:val="22"/>
          <w:szCs w:val="22"/>
        </w:rPr>
        <w:t xml:space="preserve"> region. </w:t>
      </w:r>
      <w:proofErr w:type="gramStart"/>
      <w:r w:rsidRPr="00433C1B">
        <w:rPr>
          <w:kern w:val="22"/>
          <w:szCs w:val="22"/>
        </w:rPr>
        <w:t>Taking into account</w:t>
      </w:r>
      <w:proofErr w:type="gramEnd"/>
      <w:r w:rsidRPr="00433C1B">
        <w:rPr>
          <w:kern w:val="22"/>
          <w:szCs w:val="22"/>
        </w:rPr>
        <w:t xml:space="preserve"> the </w:t>
      </w:r>
      <w:proofErr w:type="spellStart"/>
      <w:r w:rsidRPr="00433C1B">
        <w:rPr>
          <w:kern w:val="22"/>
          <w:szCs w:val="22"/>
        </w:rPr>
        <w:t>subregional</w:t>
      </w:r>
      <w:proofErr w:type="spellEnd"/>
      <w:r w:rsidRPr="00433C1B">
        <w:rPr>
          <w:kern w:val="22"/>
          <w:szCs w:val="22"/>
        </w:rPr>
        <w:t xml:space="preserve"> distribution of the current membership, Mr. William </w:t>
      </w:r>
      <w:r w:rsidRPr="00433C1B">
        <w:rPr>
          <w:noProof/>
          <w:kern w:val="22"/>
          <w:szCs w:val="22"/>
        </w:rPr>
        <w:t>Etim Okon</w:t>
      </w:r>
      <w:r w:rsidRPr="00433C1B">
        <w:rPr>
          <w:kern w:val="22"/>
          <w:szCs w:val="22"/>
        </w:rPr>
        <w:t xml:space="preserve">, who </w:t>
      </w:r>
      <w:r w:rsidR="00190AC8">
        <w:rPr>
          <w:kern w:val="22"/>
          <w:szCs w:val="22"/>
        </w:rPr>
        <w:t>had been</w:t>
      </w:r>
      <w:r w:rsidR="00190AC8" w:rsidRPr="00433C1B">
        <w:rPr>
          <w:kern w:val="22"/>
          <w:szCs w:val="22"/>
        </w:rPr>
        <w:t xml:space="preserve"> </w:t>
      </w:r>
      <w:r w:rsidRPr="00433C1B">
        <w:rPr>
          <w:kern w:val="22"/>
          <w:szCs w:val="22"/>
        </w:rPr>
        <w:t xml:space="preserve">nominated as one of the alternate members, </w:t>
      </w:r>
      <w:r w:rsidR="00D21574" w:rsidRPr="00433C1B">
        <w:rPr>
          <w:kern w:val="22"/>
          <w:szCs w:val="22"/>
        </w:rPr>
        <w:t xml:space="preserve">was invited </w:t>
      </w:r>
      <w:r w:rsidRPr="00433C1B">
        <w:rPr>
          <w:kern w:val="22"/>
          <w:szCs w:val="22"/>
        </w:rPr>
        <w:t>to be that third member</w:t>
      </w:r>
      <w:r w:rsidR="00D21574" w:rsidRPr="00433C1B">
        <w:rPr>
          <w:kern w:val="22"/>
          <w:szCs w:val="22"/>
        </w:rPr>
        <w:t xml:space="preserve"> of </w:t>
      </w:r>
      <w:r w:rsidRPr="00433C1B">
        <w:rPr>
          <w:kern w:val="22"/>
          <w:szCs w:val="22"/>
        </w:rPr>
        <w:t>the Committee</w:t>
      </w:r>
      <w:r w:rsidR="00552C43" w:rsidRPr="00433C1B">
        <w:rPr>
          <w:kern w:val="22"/>
          <w:szCs w:val="22"/>
        </w:rPr>
        <w:t xml:space="preserve"> from the Africa</w:t>
      </w:r>
      <w:r w:rsidR="006A58EE">
        <w:rPr>
          <w:kern w:val="22"/>
          <w:szCs w:val="22"/>
        </w:rPr>
        <w:t>n</w:t>
      </w:r>
      <w:r w:rsidR="00552C43" w:rsidRPr="00433C1B">
        <w:rPr>
          <w:kern w:val="22"/>
          <w:szCs w:val="22"/>
        </w:rPr>
        <w:t xml:space="preserve"> region</w:t>
      </w:r>
      <w:r w:rsidRPr="00433C1B">
        <w:rPr>
          <w:kern w:val="22"/>
          <w:szCs w:val="22"/>
        </w:rPr>
        <w:t>.</w:t>
      </w:r>
    </w:p>
    <w:p w14:paraId="247EE150" w14:textId="020B83E4" w:rsidR="00B5513E" w:rsidRPr="009719BC" w:rsidRDefault="00B5513E" w:rsidP="009719BC">
      <w:pPr>
        <w:pStyle w:val="HEADING"/>
        <w:suppressLineNumbers/>
        <w:tabs>
          <w:tab w:val="left" w:pos="426"/>
        </w:tabs>
        <w:suppressAutoHyphens/>
        <w:kinsoku w:val="0"/>
        <w:overflowPunct w:val="0"/>
        <w:autoSpaceDE w:val="0"/>
        <w:autoSpaceDN w:val="0"/>
        <w:spacing w:before="120"/>
        <w:rPr>
          <w:snapToGrid w:val="0"/>
          <w:kern w:val="22"/>
          <w:szCs w:val="22"/>
        </w:rPr>
      </w:pPr>
      <w:r w:rsidRPr="009719BC">
        <w:rPr>
          <w:snapToGrid w:val="0"/>
          <w:kern w:val="22"/>
          <w:szCs w:val="22"/>
        </w:rPr>
        <w:t>V.</w:t>
      </w:r>
      <w:r w:rsidRPr="009719BC">
        <w:rPr>
          <w:snapToGrid w:val="0"/>
          <w:kern w:val="22"/>
          <w:szCs w:val="22"/>
        </w:rPr>
        <w:tab/>
      </w:r>
      <w:r w:rsidR="00BC69BE" w:rsidRPr="009719BC">
        <w:rPr>
          <w:snapToGrid w:val="0"/>
          <w:kern w:val="22"/>
          <w:szCs w:val="22"/>
        </w:rPr>
        <w:t>Conclusion</w:t>
      </w:r>
    </w:p>
    <w:p w14:paraId="32968E6F" w14:textId="340C03ED" w:rsidR="00B5513E" w:rsidRPr="006A58EE" w:rsidRDefault="00B5513E" w:rsidP="0066015A">
      <w:pPr>
        <w:pStyle w:val="Para1"/>
        <w:numPr>
          <w:ilvl w:val="0"/>
          <w:numId w:val="0"/>
        </w:numPr>
        <w:suppressLineNumbers/>
        <w:suppressAutoHyphens/>
        <w:kinsoku w:val="0"/>
        <w:overflowPunct w:val="0"/>
        <w:autoSpaceDE w:val="0"/>
        <w:autoSpaceDN w:val="0"/>
        <w:rPr>
          <w:kern w:val="22"/>
          <w:szCs w:val="22"/>
        </w:rPr>
      </w:pPr>
      <w:r w:rsidRPr="006A58EE">
        <w:rPr>
          <w:kern w:val="22"/>
          <w:szCs w:val="22"/>
        </w:rPr>
        <w:t>31.</w:t>
      </w:r>
      <w:r w:rsidRPr="006A58EE">
        <w:rPr>
          <w:kern w:val="22"/>
          <w:szCs w:val="22"/>
        </w:rPr>
        <w:tab/>
      </w:r>
      <w:r w:rsidR="007317E5" w:rsidRPr="006A58EE">
        <w:rPr>
          <w:kern w:val="22"/>
          <w:szCs w:val="22"/>
        </w:rPr>
        <w:t xml:space="preserve">At </w:t>
      </w:r>
      <w:r w:rsidR="00174783" w:rsidRPr="006A58EE">
        <w:rPr>
          <w:kern w:val="22"/>
          <w:szCs w:val="22"/>
        </w:rPr>
        <w:t xml:space="preserve">its </w:t>
      </w:r>
      <w:r w:rsidR="00B81378" w:rsidRPr="006A58EE">
        <w:rPr>
          <w:kern w:val="22"/>
          <w:szCs w:val="22"/>
        </w:rPr>
        <w:t xml:space="preserve">third </w:t>
      </w:r>
      <w:r w:rsidRPr="006A58EE">
        <w:rPr>
          <w:kern w:val="22"/>
          <w:szCs w:val="22"/>
        </w:rPr>
        <w:t>meeting</w:t>
      </w:r>
      <w:r w:rsidR="007317E5" w:rsidRPr="006A58EE">
        <w:rPr>
          <w:kern w:val="22"/>
          <w:szCs w:val="22"/>
        </w:rPr>
        <w:t>,</w:t>
      </w:r>
      <w:r w:rsidRPr="006A58EE">
        <w:rPr>
          <w:kern w:val="22"/>
          <w:szCs w:val="22"/>
        </w:rPr>
        <w:t xml:space="preserve"> </w:t>
      </w:r>
      <w:r w:rsidR="00174783" w:rsidRPr="006A58EE">
        <w:rPr>
          <w:kern w:val="22"/>
          <w:szCs w:val="22"/>
        </w:rPr>
        <w:t>the Conference of the Parties serving as the meeting</w:t>
      </w:r>
      <w:r w:rsidR="0034519C" w:rsidRPr="006A58EE">
        <w:rPr>
          <w:kern w:val="22"/>
          <w:szCs w:val="22"/>
        </w:rPr>
        <w:t xml:space="preserve"> of</w:t>
      </w:r>
      <w:r w:rsidR="00174783" w:rsidRPr="006A58EE">
        <w:rPr>
          <w:kern w:val="22"/>
          <w:szCs w:val="22"/>
        </w:rPr>
        <w:t xml:space="preserve"> </w:t>
      </w:r>
      <w:r w:rsidRPr="006A58EE">
        <w:rPr>
          <w:kern w:val="22"/>
          <w:szCs w:val="22"/>
        </w:rPr>
        <w:t xml:space="preserve">the Parties to the Protocol considered the recommendations of the Committee favourably. The table in the annex below shows how the recommendations were considered, accepted and included in decisions of </w:t>
      </w:r>
      <w:r w:rsidR="00E30700" w:rsidRPr="006A58EE">
        <w:rPr>
          <w:kern w:val="22"/>
          <w:szCs w:val="22"/>
        </w:rPr>
        <w:t>the Parties to the Protocol</w:t>
      </w:r>
      <w:r w:rsidRPr="006A58EE">
        <w:rPr>
          <w:kern w:val="22"/>
          <w:szCs w:val="22"/>
        </w:rPr>
        <w:t xml:space="preserve"> under the items to which they </w:t>
      </w:r>
      <w:proofErr w:type="gramStart"/>
      <w:r w:rsidRPr="006A58EE">
        <w:rPr>
          <w:kern w:val="22"/>
          <w:szCs w:val="22"/>
        </w:rPr>
        <w:t>were considered to be</w:t>
      </w:r>
      <w:proofErr w:type="gramEnd"/>
      <w:r w:rsidRPr="006A58EE">
        <w:rPr>
          <w:kern w:val="22"/>
          <w:szCs w:val="22"/>
        </w:rPr>
        <w:t xml:space="preserve"> relevant.</w:t>
      </w:r>
    </w:p>
    <w:p w14:paraId="54E30008" w14:textId="77777777" w:rsidR="000111F7" w:rsidRPr="00433C1B" w:rsidRDefault="000111F7" w:rsidP="0066015A">
      <w:pPr>
        <w:pStyle w:val="Para10"/>
        <w:suppressLineNumbers/>
        <w:tabs>
          <w:tab w:val="clear" w:pos="644"/>
        </w:tabs>
        <w:suppressAutoHyphens/>
        <w:kinsoku w:val="0"/>
        <w:overflowPunct w:val="0"/>
        <w:autoSpaceDE w:val="0"/>
        <w:autoSpaceDN w:val="0"/>
        <w:spacing w:before="120" w:after="120"/>
        <w:ind w:left="0"/>
        <w:jc w:val="center"/>
        <w:rPr>
          <w:i/>
          <w:iCs/>
          <w:snapToGrid w:val="0"/>
          <w:kern w:val="22"/>
          <w:szCs w:val="22"/>
        </w:rPr>
        <w:sectPr w:rsidR="000111F7" w:rsidRPr="00433C1B" w:rsidSect="0066015A">
          <w:headerReference w:type="even" r:id="rId18"/>
          <w:headerReference w:type="default" r:id="rId19"/>
          <w:footerReference w:type="even" r:id="rId20"/>
          <w:footerReference w:type="default" r:id="rId21"/>
          <w:pgSz w:w="12240" w:h="15840" w:code="1"/>
          <w:pgMar w:top="1021" w:right="1151" w:bottom="1140" w:left="1151" w:header="461" w:footer="720" w:gutter="0"/>
          <w:cols w:space="720"/>
          <w:titlePg/>
          <w:docGrid w:linePitch="299"/>
        </w:sectPr>
      </w:pPr>
    </w:p>
    <w:p w14:paraId="2385063B" w14:textId="77777777" w:rsidR="00B5513E" w:rsidRPr="00966A92" w:rsidRDefault="00B5513E" w:rsidP="0066015A">
      <w:pPr>
        <w:pStyle w:val="Para10"/>
        <w:suppressLineNumbers/>
        <w:tabs>
          <w:tab w:val="clear" w:pos="644"/>
        </w:tabs>
        <w:suppressAutoHyphens/>
        <w:kinsoku w:val="0"/>
        <w:overflowPunct w:val="0"/>
        <w:autoSpaceDE w:val="0"/>
        <w:autoSpaceDN w:val="0"/>
        <w:spacing w:after="120"/>
        <w:ind w:left="0"/>
        <w:jc w:val="center"/>
        <w:rPr>
          <w:i/>
          <w:iCs/>
          <w:snapToGrid w:val="0"/>
          <w:kern w:val="22"/>
          <w:szCs w:val="22"/>
        </w:rPr>
      </w:pPr>
      <w:r w:rsidRPr="00966A92">
        <w:rPr>
          <w:i/>
          <w:iCs/>
          <w:snapToGrid w:val="0"/>
          <w:kern w:val="22"/>
          <w:szCs w:val="22"/>
        </w:rPr>
        <w:lastRenderedPageBreak/>
        <w:t>Annex</w:t>
      </w:r>
    </w:p>
    <w:p w14:paraId="414CB84F" w14:textId="2036F642" w:rsidR="00B5513E" w:rsidRPr="009719BC" w:rsidRDefault="00050AB6" w:rsidP="009719BC">
      <w:pPr>
        <w:pStyle w:val="Para10"/>
        <w:suppressLineNumbers/>
        <w:tabs>
          <w:tab w:val="clear" w:pos="644"/>
        </w:tabs>
        <w:suppressAutoHyphens/>
        <w:kinsoku w:val="0"/>
        <w:overflowPunct w:val="0"/>
        <w:autoSpaceDE w:val="0"/>
        <w:autoSpaceDN w:val="0"/>
        <w:spacing w:before="120" w:after="240"/>
        <w:ind w:left="0"/>
        <w:jc w:val="center"/>
        <w:rPr>
          <w:b/>
          <w:bCs/>
          <w:caps/>
          <w:snapToGrid w:val="0"/>
          <w:kern w:val="22"/>
          <w:szCs w:val="22"/>
        </w:rPr>
      </w:pPr>
      <w:r w:rsidRPr="009719BC">
        <w:rPr>
          <w:b/>
          <w:bCs/>
          <w:caps/>
          <w:snapToGrid w:val="0"/>
          <w:kern w:val="22"/>
          <w:szCs w:val="22"/>
        </w:rPr>
        <w:t>Extent of integration of the recommendations of the Compliance Committee into the decisions of the Conference of the Parties serving as the meeting of the Partie</w:t>
      </w:r>
      <w:r w:rsidR="00035F21" w:rsidRPr="009719BC">
        <w:rPr>
          <w:b/>
          <w:bCs/>
          <w:caps/>
          <w:snapToGrid w:val="0"/>
          <w:kern w:val="22"/>
          <w:szCs w:val="22"/>
        </w:rPr>
        <w:t>s to the Nagoya Protocol at its </w:t>
      </w:r>
      <w:r w:rsidR="00FB71AE" w:rsidRPr="009719BC">
        <w:rPr>
          <w:b/>
          <w:bCs/>
          <w:caps/>
          <w:snapToGrid w:val="0"/>
          <w:kern w:val="22"/>
          <w:szCs w:val="22"/>
        </w:rPr>
        <w:t xml:space="preserve">third </w:t>
      </w:r>
      <w:r w:rsidRPr="009719BC">
        <w:rPr>
          <w:b/>
          <w:bCs/>
          <w:caps/>
          <w:snapToGrid w:val="0"/>
          <w:kern w:val="22"/>
          <w:szCs w:val="22"/>
        </w:rPr>
        <w:t>meeting</w:t>
      </w:r>
      <w:r w:rsidR="00B5513E" w:rsidRPr="009719BC">
        <w:rPr>
          <w:rStyle w:val="FootnoteReference"/>
          <w:b/>
          <w:bCs/>
          <w:caps/>
          <w:snapToGrid w:val="0"/>
          <w:kern w:val="22"/>
          <w:szCs w:val="22"/>
        </w:rPr>
        <w:footnoteReference w:id="3"/>
      </w: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0"/>
        <w:gridCol w:w="4849"/>
        <w:gridCol w:w="4593"/>
      </w:tblGrid>
      <w:tr w:rsidR="00B5513E" w:rsidRPr="009A2BF2" w14:paraId="3D5A2976" w14:textId="77777777" w:rsidTr="0066015A">
        <w:trPr>
          <w:cantSplit/>
          <w:tblHeader/>
          <w:jc w:val="center"/>
        </w:trPr>
        <w:tc>
          <w:tcPr>
            <w:tcW w:w="4720" w:type="dxa"/>
            <w:tcBorders>
              <w:bottom w:val="single" w:sz="4" w:space="0" w:color="auto"/>
            </w:tcBorders>
            <w:tcMar>
              <w:top w:w="115" w:type="dxa"/>
              <w:left w:w="115" w:type="dxa"/>
              <w:bottom w:w="115" w:type="dxa"/>
              <w:right w:w="115" w:type="dxa"/>
            </w:tcMar>
          </w:tcPr>
          <w:p w14:paraId="503971B0" w14:textId="4BFF65A7" w:rsidR="00B5513E" w:rsidRPr="00966A92" w:rsidRDefault="00B5513E" w:rsidP="00F90A89">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966A92">
              <w:rPr>
                <w:rFonts w:eastAsia="Calibri"/>
                <w:i/>
                <w:iCs/>
                <w:snapToGrid w:val="0"/>
                <w:kern w:val="22"/>
                <w:szCs w:val="22"/>
              </w:rPr>
              <w:t>Recommendations of the Committee</w:t>
            </w:r>
            <w:r w:rsidR="00F90A89">
              <w:rPr>
                <w:rFonts w:eastAsia="Calibri"/>
                <w:i/>
                <w:iCs/>
                <w:snapToGrid w:val="0"/>
                <w:kern w:val="22"/>
                <w:szCs w:val="22"/>
              </w:rPr>
              <w:br/>
            </w:r>
            <w:r w:rsidRPr="00966A92">
              <w:rPr>
                <w:rFonts w:eastAsia="Calibri"/>
                <w:i/>
                <w:iCs/>
                <w:snapToGrid w:val="0"/>
                <w:kern w:val="22"/>
                <w:szCs w:val="22"/>
              </w:rPr>
              <w:t>(</w:t>
            </w:r>
            <w:r w:rsidR="00FB71AE" w:rsidRPr="00966A92">
              <w:rPr>
                <w:rFonts w:eastAsia="Calibri"/>
                <w:i/>
                <w:iCs/>
                <w:snapToGrid w:val="0"/>
                <w:kern w:val="22"/>
                <w:szCs w:val="22"/>
              </w:rPr>
              <w:t xml:space="preserve">CBD/NP/MOP/3/2 annex </w:t>
            </w:r>
            <w:r w:rsidR="00050AB6" w:rsidRPr="00966A92">
              <w:rPr>
                <w:rFonts w:eastAsia="Calibri"/>
                <w:i/>
                <w:iCs/>
                <w:snapToGrid w:val="0"/>
                <w:kern w:val="22"/>
                <w:szCs w:val="22"/>
              </w:rPr>
              <w:t>II</w:t>
            </w:r>
            <w:r w:rsidRPr="00966A92">
              <w:rPr>
                <w:rFonts w:eastAsia="Calibri"/>
                <w:i/>
                <w:iCs/>
                <w:snapToGrid w:val="0"/>
                <w:kern w:val="22"/>
                <w:szCs w:val="22"/>
              </w:rPr>
              <w:t>)</w:t>
            </w:r>
          </w:p>
        </w:tc>
        <w:tc>
          <w:tcPr>
            <w:tcW w:w="4849" w:type="dxa"/>
            <w:tcBorders>
              <w:bottom w:val="single" w:sz="4" w:space="0" w:color="auto"/>
            </w:tcBorders>
            <w:tcMar>
              <w:top w:w="115" w:type="dxa"/>
              <w:left w:w="115" w:type="dxa"/>
              <w:bottom w:w="115" w:type="dxa"/>
              <w:right w:w="115" w:type="dxa"/>
            </w:tcMar>
          </w:tcPr>
          <w:p w14:paraId="46CB5E87" w14:textId="1FEB873E" w:rsidR="00B5513E" w:rsidRPr="00966A92" w:rsidRDefault="00053CAF" w:rsidP="0066015A">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966A92">
              <w:rPr>
                <w:rFonts w:eastAsia="Calibri"/>
                <w:i/>
                <w:iCs/>
                <w:snapToGrid w:val="0"/>
                <w:kern w:val="22"/>
                <w:szCs w:val="22"/>
              </w:rPr>
              <w:t xml:space="preserve">Decision of the </w:t>
            </w:r>
            <w:r w:rsidR="00E30700" w:rsidRPr="00966A92">
              <w:rPr>
                <w:rFonts w:eastAsia="Calibri"/>
                <w:i/>
                <w:iCs/>
                <w:snapToGrid w:val="0"/>
                <w:kern w:val="22"/>
                <w:szCs w:val="22"/>
              </w:rPr>
              <w:t>Parties to the Protocol</w:t>
            </w:r>
            <w:r w:rsidRPr="00966A92">
              <w:rPr>
                <w:rFonts w:eastAsia="Calibri"/>
                <w:i/>
                <w:iCs/>
                <w:snapToGrid w:val="0"/>
                <w:kern w:val="22"/>
                <w:szCs w:val="22"/>
              </w:rPr>
              <w:t xml:space="preserve"> at their </w:t>
            </w:r>
            <w:r w:rsidR="001852A4" w:rsidRPr="00966A92">
              <w:rPr>
                <w:rFonts w:eastAsia="Calibri"/>
                <w:i/>
                <w:iCs/>
                <w:snapToGrid w:val="0"/>
                <w:kern w:val="22"/>
                <w:szCs w:val="22"/>
              </w:rPr>
              <w:t>third</w:t>
            </w:r>
            <w:r w:rsidR="008726B7">
              <w:rPr>
                <w:rFonts w:eastAsia="Calibri"/>
                <w:i/>
                <w:iCs/>
                <w:snapToGrid w:val="0"/>
                <w:kern w:val="22"/>
                <w:szCs w:val="22"/>
              </w:rPr>
              <w:t> </w:t>
            </w:r>
            <w:r w:rsidRPr="00966A92">
              <w:rPr>
                <w:rFonts w:eastAsia="Calibri"/>
                <w:i/>
                <w:iCs/>
                <w:snapToGrid w:val="0"/>
                <w:kern w:val="22"/>
                <w:szCs w:val="22"/>
              </w:rPr>
              <w:t>meeting</w:t>
            </w:r>
          </w:p>
        </w:tc>
        <w:tc>
          <w:tcPr>
            <w:tcW w:w="4593" w:type="dxa"/>
            <w:tcBorders>
              <w:bottom w:val="single" w:sz="4" w:space="0" w:color="auto"/>
            </w:tcBorders>
            <w:tcMar>
              <w:top w:w="115" w:type="dxa"/>
              <w:left w:w="115" w:type="dxa"/>
              <w:bottom w:w="115" w:type="dxa"/>
              <w:right w:w="115" w:type="dxa"/>
            </w:tcMar>
          </w:tcPr>
          <w:p w14:paraId="02F648F9" w14:textId="77777777" w:rsidR="00B5513E" w:rsidRPr="00966A92" w:rsidRDefault="00B5513E" w:rsidP="0066015A">
            <w:pPr>
              <w:pStyle w:val="Para10"/>
              <w:suppressLineNumbers/>
              <w:tabs>
                <w:tab w:val="clear" w:pos="644"/>
              </w:tabs>
              <w:suppressAutoHyphens/>
              <w:kinsoku w:val="0"/>
              <w:overflowPunct w:val="0"/>
              <w:autoSpaceDE w:val="0"/>
              <w:autoSpaceDN w:val="0"/>
              <w:ind w:left="0"/>
              <w:jc w:val="center"/>
              <w:rPr>
                <w:rFonts w:eastAsia="Calibri"/>
                <w:i/>
                <w:iCs/>
                <w:snapToGrid w:val="0"/>
                <w:kern w:val="22"/>
                <w:szCs w:val="22"/>
              </w:rPr>
            </w:pPr>
            <w:r w:rsidRPr="00966A92">
              <w:rPr>
                <w:rFonts w:eastAsia="Calibri"/>
                <w:i/>
                <w:iCs/>
                <w:snapToGrid w:val="0"/>
                <w:kern w:val="22"/>
                <w:szCs w:val="22"/>
              </w:rPr>
              <w:t>Remarks/clarifications</w:t>
            </w:r>
          </w:p>
        </w:tc>
      </w:tr>
      <w:tr w:rsidR="003727A0" w:rsidRPr="009A2BF2" w14:paraId="49B6E3A4" w14:textId="77777777" w:rsidTr="0066015A">
        <w:trPr>
          <w:cantSplit/>
          <w:jc w:val="center"/>
        </w:trPr>
        <w:tc>
          <w:tcPr>
            <w:tcW w:w="4720" w:type="dxa"/>
            <w:tcBorders>
              <w:bottom w:val="nil"/>
              <w:right w:val="single" w:sz="4" w:space="0" w:color="auto"/>
            </w:tcBorders>
            <w:tcMar>
              <w:top w:w="115" w:type="dxa"/>
              <w:left w:w="115" w:type="dxa"/>
              <w:bottom w:w="115" w:type="dxa"/>
              <w:right w:w="115" w:type="dxa"/>
            </w:tcMar>
          </w:tcPr>
          <w:p w14:paraId="46F565C4" w14:textId="77777777" w:rsidR="003727A0" w:rsidRPr="00966A92" w:rsidRDefault="00FB71AE" w:rsidP="003727A0">
            <w:pPr>
              <w:suppressLineNumbers/>
              <w:suppressAutoHyphens/>
              <w:kinsoku w:val="0"/>
              <w:overflowPunct w:val="0"/>
              <w:autoSpaceDE w:val="0"/>
              <w:autoSpaceDN w:val="0"/>
              <w:adjustRightInd w:val="0"/>
              <w:jc w:val="left"/>
              <w:rPr>
                <w:snapToGrid w:val="0"/>
                <w:kern w:val="22"/>
                <w:szCs w:val="22"/>
              </w:rPr>
            </w:pPr>
            <w:r w:rsidRPr="00966A92">
              <w:rPr>
                <w:snapToGrid w:val="0"/>
                <w:kern w:val="22"/>
                <w:szCs w:val="22"/>
              </w:rPr>
              <w:t>The Compliance Committee recommends that the Conference of the Parties serving as the meeting of the Parties to the Nagoya Protocol decide, at its third meeting, to do the following:</w:t>
            </w:r>
          </w:p>
        </w:tc>
        <w:tc>
          <w:tcPr>
            <w:tcW w:w="4849" w:type="dxa"/>
            <w:tcBorders>
              <w:left w:val="single" w:sz="4" w:space="0" w:color="auto"/>
              <w:bottom w:val="nil"/>
              <w:right w:val="single" w:sz="4" w:space="0" w:color="auto"/>
            </w:tcBorders>
            <w:tcMar>
              <w:top w:w="115" w:type="dxa"/>
              <w:left w:w="115" w:type="dxa"/>
              <w:bottom w:w="115" w:type="dxa"/>
              <w:right w:w="115" w:type="dxa"/>
            </w:tcMar>
          </w:tcPr>
          <w:p w14:paraId="4F4DEF23" w14:textId="5C4D6560" w:rsidR="003727A0" w:rsidRPr="00966A92" w:rsidRDefault="003727A0" w:rsidP="003727A0">
            <w:pPr>
              <w:pStyle w:val="Para10"/>
              <w:suppressLineNumbers/>
              <w:tabs>
                <w:tab w:val="clear" w:pos="644"/>
              </w:tabs>
              <w:suppressAutoHyphens/>
              <w:kinsoku w:val="0"/>
              <w:overflowPunct w:val="0"/>
              <w:autoSpaceDE w:val="0"/>
              <w:autoSpaceDN w:val="0"/>
              <w:ind w:left="0"/>
              <w:jc w:val="left"/>
              <w:rPr>
                <w:rFonts w:eastAsia="Calibri"/>
                <w:b/>
                <w:snapToGrid w:val="0"/>
                <w:kern w:val="22"/>
                <w:szCs w:val="22"/>
              </w:rPr>
            </w:pPr>
            <w:r w:rsidRPr="00966A92">
              <w:rPr>
                <w:rFonts w:eastAsia="Calibri"/>
                <w:b/>
                <w:snapToGrid w:val="0"/>
                <w:kern w:val="22"/>
                <w:szCs w:val="22"/>
              </w:rPr>
              <w:t>NP-</w:t>
            </w:r>
            <w:r w:rsidR="001852A4" w:rsidRPr="00966A92">
              <w:rPr>
                <w:rFonts w:eastAsia="Calibri"/>
                <w:b/>
                <w:snapToGrid w:val="0"/>
                <w:kern w:val="22"/>
                <w:szCs w:val="22"/>
              </w:rPr>
              <w:t>3</w:t>
            </w:r>
            <w:r w:rsidRPr="00966A92">
              <w:rPr>
                <w:rFonts w:eastAsia="Calibri"/>
                <w:b/>
                <w:snapToGrid w:val="0"/>
                <w:kern w:val="22"/>
                <w:szCs w:val="22"/>
              </w:rPr>
              <w:t>/</w:t>
            </w:r>
            <w:r w:rsidR="001852A4" w:rsidRPr="00966A92">
              <w:rPr>
                <w:rFonts w:eastAsia="Calibri"/>
                <w:b/>
                <w:snapToGrid w:val="0"/>
                <w:kern w:val="22"/>
                <w:szCs w:val="22"/>
              </w:rPr>
              <w:t>2</w:t>
            </w:r>
            <w:r w:rsidRPr="00966A92">
              <w:rPr>
                <w:rFonts w:eastAsia="Calibri"/>
                <w:b/>
                <w:snapToGrid w:val="0"/>
                <w:kern w:val="22"/>
                <w:szCs w:val="22"/>
              </w:rPr>
              <w:t xml:space="preserve">. </w:t>
            </w:r>
            <w:r w:rsidR="001852A4" w:rsidRPr="00966A92">
              <w:rPr>
                <w:rFonts w:eastAsia="Calibri"/>
                <w:b/>
                <w:snapToGrid w:val="0"/>
                <w:kern w:val="22"/>
                <w:szCs w:val="22"/>
              </w:rPr>
              <w:t>Compliance with the Protocol</w:t>
            </w:r>
          </w:p>
          <w:p w14:paraId="7BDBF0DF" w14:textId="77777777" w:rsidR="003727A0" w:rsidRPr="00966A92" w:rsidRDefault="003727A0" w:rsidP="003727A0">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p w14:paraId="3FB48F13" w14:textId="77777777" w:rsidR="003727A0" w:rsidRPr="00966A92" w:rsidRDefault="003727A0" w:rsidP="003727A0">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966A92">
              <w:rPr>
                <w:i/>
                <w:snapToGrid w:val="0"/>
                <w:kern w:val="22"/>
                <w:szCs w:val="22"/>
              </w:rPr>
              <w:t>The Conference of the Parties serving as the meeting of the Parties to the Nagoya Protocol,</w:t>
            </w:r>
          </w:p>
        </w:tc>
        <w:tc>
          <w:tcPr>
            <w:tcW w:w="4593" w:type="dxa"/>
            <w:tcBorders>
              <w:left w:val="single" w:sz="4" w:space="0" w:color="auto"/>
              <w:bottom w:val="nil"/>
            </w:tcBorders>
            <w:tcMar>
              <w:top w:w="115" w:type="dxa"/>
              <w:left w:w="115" w:type="dxa"/>
              <w:bottom w:w="115" w:type="dxa"/>
              <w:right w:w="115" w:type="dxa"/>
            </w:tcMar>
          </w:tcPr>
          <w:p w14:paraId="0CE1B3AE" w14:textId="77777777" w:rsidR="003727A0" w:rsidRPr="00966A92" w:rsidRDefault="003727A0"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tc>
      </w:tr>
      <w:tr w:rsidR="003727A0" w:rsidRPr="009A2BF2" w14:paraId="0EEE9B1D" w14:textId="77777777" w:rsidTr="0066015A">
        <w:trPr>
          <w:cantSplit/>
          <w:jc w:val="center"/>
        </w:trPr>
        <w:tc>
          <w:tcPr>
            <w:tcW w:w="4720" w:type="dxa"/>
            <w:tcBorders>
              <w:top w:val="nil"/>
              <w:bottom w:val="nil"/>
              <w:right w:val="single" w:sz="4" w:space="0" w:color="auto"/>
            </w:tcBorders>
            <w:tcMar>
              <w:top w:w="115" w:type="dxa"/>
              <w:left w:w="115" w:type="dxa"/>
              <w:bottom w:w="115" w:type="dxa"/>
              <w:right w:w="115" w:type="dxa"/>
            </w:tcMar>
          </w:tcPr>
          <w:p w14:paraId="0847E4B8" w14:textId="77777777" w:rsidR="00FB71AE" w:rsidRPr="00966A92" w:rsidRDefault="00FB71AE" w:rsidP="00FB71AE">
            <w:pPr>
              <w:pStyle w:val="Para10"/>
              <w:suppressLineNumbers/>
              <w:tabs>
                <w:tab w:val="clear" w:pos="644"/>
              </w:tabs>
              <w:suppressAutoHyphens/>
              <w:kinsoku w:val="0"/>
              <w:overflowPunct w:val="0"/>
              <w:autoSpaceDE w:val="0"/>
              <w:autoSpaceDN w:val="0"/>
              <w:ind w:left="0"/>
              <w:jc w:val="left"/>
              <w:rPr>
                <w:rFonts w:eastAsia="Calibri"/>
                <w:b/>
                <w:snapToGrid w:val="0"/>
                <w:kern w:val="22"/>
                <w:szCs w:val="22"/>
              </w:rPr>
            </w:pPr>
            <w:r w:rsidRPr="00966A92">
              <w:rPr>
                <w:rFonts w:eastAsia="Calibri"/>
                <w:b/>
                <w:snapToGrid w:val="0"/>
                <w:kern w:val="22"/>
                <w:szCs w:val="22"/>
              </w:rPr>
              <w:t>A.</w:t>
            </w:r>
            <w:r w:rsidRPr="00966A92">
              <w:rPr>
                <w:rFonts w:eastAsia="Calibri"/>
                <w:b/>
                <w:snapToGrid w:val="0"/>
                <w:kern w:val="22"/>
                <w:szCs w:val="22"/>
              </w:rPr>
              <w:tab/>
              <w:t>Compliance</w:t>
            </w:r>
          </w:p>
          <w:p w14:paraId="491E2E07" w14:textId="29B02B9E" w:rsidR="00FB71AE" w:rsidRPr="00966A92" w:rsidRDefault="00FB71AE" w:rsidP="009719BC">
            <w:pPr>
              <w:pStyle w:val="Para10"/>
              <w:suppressLineNumbers/>
              <w:tabs>
                <w:tab w:val="clear" w:pos="644"/>
              </w:tab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1.</w:t>
            </w:r>
            <w:r w:rsidR="004D6828" w:rsidRPr="00966A92">
              <w:rPr>
                <w:rFonts w:eastAsia="Calibri"/>
                <w:snapToGrid w:val="0"/>
                <w:kern w:val="22"/>
                <w:szCs w:val="22"/>
              </w:rPr>
              <w:tab/>
            </w:r>
            <w:r w:rsidRPr="00966A92">
              <w:rPr>
                <w:rFonts w:eastAsia="Calibri"/>
                <w:snapToGrid w:val="0"/>
                <w:kern w:val="22"/>
                <w:szCs w:val="22"/>
              </w:rPr>
              <w:t>Welcome the progress made by Parties in the implementation of the Protocol and urge Parties that have not yet done so to establish access and benefit-sharing legislative, administrative and policy measures, and institutional arrangements;</w:t>
            </w:r>
          </w:p>
          <w:p w14:paraId="25D88B73" w14:textId="66861AEC" w:rsidR="003727A0" w:rsidRPr="00966A92" w:rsidRDefault="00FB71AE" w:rsidP="00FB71AE">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966A92">
              <w:rPr>
                <w:rFonts w:eastAsia="Calibri"/>
                <w:snapToGrid w:val="0"/>
                <w:kern w:val="22"/>
                <w:szCs w:val="22"/>
              </w:rPr>
              <w:t>2.</w:t>
            </w:r>
            <w:r w:rsidR="004D6828" w:rsidRPr="00966A92">
              <w:rPr>
                <w:rFonts w:eastAsia="Calibri"/>
                <w:snapToGrid w:val="0"/>
                <w:kern w:val="22"/>
                <w:szCs w:val="22"/>
              </w:rPr>
              <w:tab/>
            </w:r>
            <w:r w:rsidRPr="00966A92">
              <w:rPr>
                <w:rFonts w:eastAsia="Calibri"/>
                <w:snapToGrid w:val="0"/>
                <w:kern w:val="22"/>
                <w:szCs w:val="22"/>
              </w:rPr>
              <w:t>Welcome the contribution of the Compliance Committee to the first assessment and review of the Protocol in the form of information and findings on general issues of compliance and recommendations to assist in addressing challenges to the implementation of the Protocol;</w:t>
            </w:r>
          </w:p>
        </w:tc>
        <w:tc>
          <w:tcPr>
            <w:tcW w:w="4849" w:type="dxa"/>
            <w:tcBorders>
              <w:top w:val="nil"/>
              <w:left w:val="single" w:sz="4" w:space="0" w:color="auto"/>
              <w:bottom w:val="nil"/>
              <w:right w:val="single" w:sz="4" w:space="0" w:color="auto"/>
            </w:tcBorders>
            <w:tcMar>
              <w:top w:w="115" w:type="dxa"/>
              <w:left w:w="115" w:type="dxa"/>
              <w:bottom w:w="115" w:type="dxa"/>
              <w:right w:w="115" w:type="dxa"/>
            </w:tcMar>
          </w:tcPr>
          <w:p w14:paraId="35503488" w14:textId="77777777" w:rsidR="00954828" w:rsidRPr="00966A92" w:rsidRDefault="00954828" w:rsidP="00954828">
            <w:pPr>
              <w:pStyle w:val="Para10"/>
              <w:suppressLineNumbers/>
              <w:suppressAutoHyphens/>
              <w:kinsoku w:val="0"/>
              <w:overflowPunct w:val="0"/>
              <w:autoSpaceDE w:val="0"/>
              <w:autoSpaceDN w:val="0"/>
              <w:ind w:left="0"/>
              <w:jc w:val="left"/>
              <w:rPr>
                <w:rFonts w:eastAsia="Calibri"/>
                <w:snapToGrid w:val="0"/>
                <w:kern w:val="22"/>
                <w:szCs w:val="22"/>
              </w:rPr>
            </w:pPr>
            <w:r w:rsidRPr="00966A92">
              <w:rPr>
                <w:rFonts w:eastAsia="Calibri"/>
                <w:snapToGrid w:val="0"/>
                <w:kern w:val="22"/>
                <w:szCs w:val="22"/>
              </w:rPr>
              <w:t>1.</w:t>
            </w:r>
            <w:r w:rsidRPr="00966A92">
              <w:rPr>
                <w:rFonts w:eastAsia="Calibri"/>
                <w:snapToGrid w:val="0"/>
                <w:kern w:val="22"/>
                <w:szCs w:val="22"/>
              </w:rPr>
              <w:tab/>
            </w:r>
            <w:r w:rsidRPr="00966A92">
              <w:rPr>
                <w:rFonts w:eastAsia="Calibri"/>
                <w:i/>
                <w:snapToGrid w:val="0"/>
                <w:kern w:val="22"/>
                <w:szCs w:val="22"/>
              </w:rPr>
              <w:t>Welcomes</w:t>
            </w:r>
            <w:r w:rsidRPr="00966A92">
              <w:rPr>
                <w:rFonts w:eastAsia="Calibri"/>
                <w:snapToGrid w:val="0"/>
                <w:kern w:val="22"/>
                <w:szCs w:val="22"/>
              </w:rPr>
              <w:t xml:space="preserve"> the progress made by Parties in the implementation of the Protocol, and urges Parties that have not yet done so to establish access and benefit-sharing legislative, administrative and policy measures and institutional arrangements;</w:t>
            </w:r>
          </w:p>
          <w:p w14:paraId="405C272F" w14:textId="41C3B75C" w:rsidR="00954828" w:rsidRPr="00966A92" w:rsidRDefault="00954828" w:rsidP="009719BC">
            <w:pPr>
              <w:pStyle w:val="Para10"/>
              <w:suppressLineNumbers/>
              <w:tabs>
                <w:tab w:val="clear" w:pos="644"/>
              </w:tab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2.</w:t>
            </w:r>
            <w:r w:rsidRPr="00966A92">
              <w:rPr>
                <w:rFonts w:eastAsia="Calibri"/>
                <w:snapToGrid w:val="0"/>
                <w:kern w:val="22"/>
                <w:szCs w:val="22"/>
              </w:rPr>
              <w:tab/>
            </w:r>
            <w:r w:rsidRPr="00966A92">
              <w:rPr>
                <w:rFonts w:eastAsia="Calibri"/>
                <w:i/>
                <w:snapToGrid w:val="0"/>
                <w:kern w:val="22"/>
                <w:szCs w:val="22"/>
              </w:rPr>
              <w:t>Also welcomes</w:t>
            </w:r>
            <w:r w:rsidRPr="00966A92">
              <w:rPr>
                <w:rFonts w:eastAsia="Calibri"/>
                <w:snapToGrid w:val="0"/>
                <w:kern w:val="22"/>
                <w:szCs w:val="22"/>
              </w:rPr>
              <w:t xml:space="preserve"> the contribution of the Compliance Committee to the first assessment and review of the Protocol in the form of information and findings on general issues of compliance and recommendations to assist in addressing challenges to the implementation of the Protocol.</w:t>
            </w:r>
          </w:p>
        </w:tc>
        <w:tc>
          <w:tcPr>
            <w:tcW w:w="4593" w:type="dxa"/>
            <w:tcBorders>
              <w:top w:val="nil"/>
              <w:left w:val="single" w:sz="4" w:space="0" w:color="auto"/>
              <w:bottom w:val="nil"/>
            </w:tcBorders>
            <w:tcMar>
              <w:top w:w="115" w:type="dxa"/>
              <w:left w:w="115" w:type="dxa"/>
              <w:bottom w:w="115" w:type="dxa"/>
              <w:right w:w="115" w:type="dxa"/>
            </w:tcMar>
          </w:tcPr>
          <w:p w14:paraId="2A580CC5" w14:textId="2547CA6D" w:rsidR="003727A0" w:rsidRPr="00966A92" w:rsidRDefault="00954828"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966A92">
              <w:rPr>
                <w:rFonts w:eastAsia="Calibri"/>
                <w:snapToGrid w:val="0"/>
                <w:kern w:val="22"/>
                <w:szCs w:val="22"/>
              </w:rPr>
              <w:t>Recommendation adopted with no changes</w:t>
            </w:r>
            <w:r w:rsidR="00404A57" w:rsidRPr="00966A92">
              <w:rPr>
                <w:rFonts w:eastAsia="Calibri"/>
                <w:snapToGrid w:val="0"/>
                <w:kern w:val="22"/>
                <w:szCs w:val="22"/>
              </w:rPr>
              <w:t>.</w:t>
            </w:r>
          </w:p>
        </w:tc>
      </w:tr>
      <w:tr w:rsidR="0046500B" w:rsidRPr="009A2BF2" w14:paraId="16DD4E50" w14:textId="77777777" w:rsidTr="009719BC">
        <w:trPr>
          <w:cantSplit/>
          <w:jc w:val="center"/>
        </w:trPr>
        <w:tc>
          <w:tcPr>
            <w:tcW w:w="4720" w:type="dxa"/>
            <w:tcBorders>
              <w:top w:val="nil"/>
              <w:bottom w:val="single" w:sz="4" w:space="0" w:color="auto"/>
              <w:right w:val="single" w:sz="4" w:space="0" w:color="auto"/>
            </w:tcBorders>
            <w:tcMar>
              <w:top w:w="115" w:type="dxa"/>
              <w:left w:w="115" w:type="dxa"/>
              <w:bottom w:w="115" w:type="dxa"/>
              <w:right w:w="115" w:type="dxa"/>
            </w:tcMar>
          </w:tcPr>
          <w:p w14:paraId="72C16E31" w14:textId="77777777" w:rsidR="0046500B" w:rsidRPr="00966A92" w:rsidRDefault="0046500B" w:rsidP="00356FC1">
            <w:pPr>
              <w:suppressLineNumbers/>
              <w:suppressAutoHyphens/>
              <w:kinsoku w:val="0"/>
              <w:overflowPunct w:val="0"/>
              <w:autoSpaceDE w:val="0"/>
              <w:autoSpaceDN w:val="0"/>
              <w:adjustRightInd w:val="0"/>
              <w:jc w:val="left"/>
              <w:rPr>
                <w:snapToGrid w:val="0"/>
                <w:kern w:val="22"/>
                <w:szCs w:val="22"/>
              </w:rPr>
            </w:pPr>
          </w:p>
        </w:tc>
        <w:tc>
          <w:tcPr>
            <w:tcW w:w="4849" w:type="dxa"/>
            <w:tcBorders>
              <w:top w:val="nil"/>
              <w:left w:val="single" w:sz="4" w:space="0" w:color="auto"/>
              <w:bottom w:val="single" w:sz="4" w:space="0" w:color="auto"/>
              <w:right w:val="single" w:sz="4" w:space="0" w:color="auto"/>
            </w:tcBorders>
            <w:tcMar>
              <w:top w:w="115" w:type="dxa"/>
              <w:left w:w="115" w:type="dxa"/>
              <w:bottom w:w="115" w:type="dxa"/>
              <w:right w:w="115" w:type="dxa"/>
            </w:tcMar>
          </w:tcPr>
          <w:p w14:paraId="01AD32A9" w14:textId="6C64CF97" w:rsidR="0046500B" w:rsidRPr="00966A92" w:rsidRDefault="0046500B"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tc>
        <w:tc>
          <w:tcPr>
            <w:tcW w:w="4593" w:type="dxa"/>
            <w:tcBorders>
              <w:top w:val="nil"/>
              <w:left w:val="single" w:sz="4" w:space="0" w:color="auto"/>
              <w:bottom w:val="single" w:sz="4" w:space="0" w:color="auto"/>
            </w:tcBorders>
            <w:tcMar>
              <w:top w:w="115" w:type="dxa"/>
              <w:left w:w="115" w:type="dxa"/>
              <w:bottom w:w="115" w:type="dxa"/>
              <w:right w:w="115" w:type="dxa"/>
            </w:tcMar>
          </w:tcPr>
          <w:p w14:paraId="6C7D1D63" w14:textId="727CCFA2" w:rsidR="0046500B" w:rsidRPr="00966A92" w:rsidRDefault="0046500B">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p>
        </w:tc>
      </w:tr>
      <w:tr w:rsidR="001B25B2" w:rsidRPr="009A2BF2" w14:paraId="5E6A7254" w14:textId="77777777" w:rsidTr="009719BC">
        <w:trPr>
          <w:cantSplit/>
          <w:jc w:val="center"/>
        </w:trPr>
        <w:tc>
          <w:tcPr>
            <w:tcW w:w="4720" w:type="dxa"/>
            <w:tcBorders>
              <w:bottom w:val="single" w:sz="4" w:space="0" w:color="auto"/>
            </w:tcBorders>
            <w:tcMar>
              <w:top w:w="115" w:type="dxa"/>
              <w:left w:w="115" w:type="dxa"/>
              <w:bottom w:w="115" w:type="dxa"/>
              <w:right w:w="115" w:type="dxa"/>
            </w:tcMar>
          </w:tcPr>
          <w:p w14:paraId="43121A78" w14:textId="77777777" w:rsidR="00FB71AE" w:rsidRPr="00966A92" w:rsidRDefault="00FB71AE" w:rsidP="0097427A">
            <w:pPr>
              <w:keepNext/>
              <w:suppressLineNumbers/>
              <w:tabs>
                <w:tab w:val="left" w:pos="360"/>
              </w:tabs>
              <w:suppressAutoHyphens/>
              <w:kinsoku w:val="0"/>
              <w:overflowPunct w:val="0"/>
              <w:autoSpaceDE w:val="0"/>
              <w:autoSpaceDN w:val="0"/>
              <w:adjustRightInd w:val="0"/>
              <w:snapToGrid w:val="0"/>
              <w:spacing w:before="120" w:after="120" w:line="228" w:lineRule="auto"/>
              <w:rPr>
                <w:b/>
                <w:bCs/>
                <w:snapToGrid w:val="0"/>
                <w:kern w:val="22"/>
                <w:szCs w:val="22"/>
              </w:rPr>
            </w:pPr>
            <w:r w:rsidRPr="00966A92">
              <w:rPr>
                <w:b/>
                <w:bCs/>
                <w:snapToGrid w:val="0"/>
                <w:kern w:val="22"/>
                <w:szCs w:val="22"/>
              </w:rPr>
              <w:lastRenderedPageBreak/>
              <w:t>B.</w:t>
            </w:r>
            <w:r w:rsidRPr="00966A92">
              <w:rPr>
                <w:b/>
                <w:bCs/>
                <w:snapToGrid w:val="0"/>
                <w:kern w:val="22"/>
                <w:szCs w:val="22"/>
              </w:rPr>
              <w:tab/>
              <w:t>Monitoring and reporting</w:t>
            </w:r>
          </w:p>
          <w:p w14:paraId="288E4B68" w14:textId="77777777" w:rsidR="00FB71AE" w:rsidRPr="00966A92" w:rsidRDefault="00FB71AE" w:rsidP="00FB71AE">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3.</w:t>
            </w:r>
            <w:r w:rsidRPr="00966A92">
              <w:rPr>
                <w:snapToGrid w:val="0"/>
                <w:kern w:val="22"/>
                <w:szCs w:val="22"/>
              </w:rPr>
              <w:tab/>
              <w:t xml:space="preserve">Welcome the fact that 70 of the 100 Parties that had the obligation to report have submitted their interim national report; </w:t>
            </w:r>
          </w:p>
          <w:p w14:paraId="75EF9824" w14:textId="77777777" w:rsidR="00FB71AE" w:rsidRPr="00966A92" w:rsidRDefault="00FB71AE" w:rsidP="00FB71AE">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4.</w:t>
            </w:r>
            <w:r w:rsidRPr="00966A92">
              <w:rPr>
                <w:snapToGrid w:val="0"/>
                <w:kern w:val="22"/>
                <w:szCs w:val="22"/>
              </w:rPr>
              <w:tab/>
              <w:t>Also welcome the interim national reports submitted by non-Parties;</w:t>
            </w:r>
          </w:p>
          <w:p w14:paraId="03AC823C" w14:textId="77777777" w:rsidR="00FB71AE" w:rsidRPr="00966A92" w:rsidRDefault="00FB71AE" w:rsidP="00FB71AE">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5.</w:t>
            </w:r>
            <w:r w:rsidRPr="00966A92">
              <w:rPr>
                <w:snapToGrid w:val="0"/>
                <w:kern w:val="22"/>
                <w:szCs w:val="22"/>
              </w:rPr>
              <w:tab/>
              <w:t>Urge Parties that have not yet submitted their interim national report to do so as soon as possible;</w:t>
            </w:r>
          </w:p>
          <w:p w14:paraId="0C0CF3AB" w14:textId="77777777" w:rsidR="00FB71AE" w:rsidRPr="00966A92" w:rsidRDefault="00FB71AE" w:rsidP="00FB71AE">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6.</w:t>
            </w:r>
            <w:r w:rsidRPr="00966A92">
              <w:rPr>
                <w:snapToGrid w:val="0"/>
                <w:kern w:val="22"/>
                <w:szCs w:val="22"/>
              </w:rPr>
              <w:tab/>
              <w:t xml:space="preserve">Express its appreciation for the financial support provided by the Global Environment Facility for </w:t>
            </w:r>
            <w:proofErr w:type="gramStart"/>
            <w:r w:rsidRPr="00966A92">
              <w:rPr>
                <w:snapToGrid w:val="0"/>
                <w:kern w:val="22"/>
                <w:szCs w:val="22"/>
              </w:rPr>
              <w:t>a number of</w:t>
            </w:r>
            <w:proofErr w:type="gramEnd"/>
            <w:r w:rsidRPr="00966A92">
              <w:rPr>
                <w:snapToGrid w:val="0"/>
                <w:kern w:val="22"/>
                <w:szCs w:val="22"/>
              </w:rPr>
              <w:t xml:space="preserve"> eligible Parties to support the preparation of their interim national reports, and note the importance of timely availability of financial resources to support the preparation and submission of national reports by the reporting deadline;</w:t>
            </w:r>
          </w:p>
          <w:p w14:paraId="67EC9F9D" w14:textId="77777777" w:rsidR="00FB71AE" w:rsidRPr="00966A92" w:rsidRDefault="00FB71AE" w:rsidP="00FB71AE">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7.</w:t>
            </w:r>
            <w:r w:rsidRPr="00966A92">
              <w:rPr>
                <w:snapToGrid w:val="0"/>
                <w:kern w:val="22"/>
                <w:szCs w:val="22"/>
              </w:rPr>
              <w:tab/>
              <w:t>Welcome the efforts made by the Secretariat to assist Parties in submitting interim national reports;</w:t>
            </w:r>
          </w:p>
          <w:p w14:paraId="7BB44896" w14:textId="77777777" w:rsidR="001B25B2" w:rsidRPr="00966A92" w:rsidRDefault="00FB71AE" w:rsidP="00FB71AE">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8.</w:t>
            </w:r>
            <w:r w:rsidRPr="00966A92">
              <w:rPr>
                <w:snapToGrid w:val="0"/>
                <w:kern w:val="22"/>
                <w:szCs w:val="22"/>
              </w:rPr>
              <w:tab/>
              <w:t>Request the Compliance Committee to provide an input to the review of the reporting format for the next reporting cycle;</w:t>
            </w:r>
          </w:p>
        </w:tc>
        <w:tc>
          <w:tcPr>
            <w:tcW w:w="4849" w:type="dxa"/>
            <w:tcBorders>
              <w:bottom w:val="single" w:sz="4" w:space="0" w:color="auto"/>
            </w:tcBorders>
            <w:tcMar>
              <w:top w:w="115" w:type="dxa"/>
              <w:left w:w="115" w:type="dxa"/>
              <w:bottom w:w="115" w:type="dxa"/>
              <w:right w:w="115" w:type="dxa"/>
            </w:tcMar>
          </w:tcPr>
          <w:p w14:paraId="747FBCC4" w14:textId="1B58C361" w:rsidR="0097427A" w:rsidRPr="00966A92" w:rsidRDefault="00404A57" w:rsidP="005E32B7">
            <w:pPr>
              <w:pStyle w:val="Para10"/>
              <w:suppressLineNumbers/>
              <w:suppressAutoHyphens/>
              <w:kinsoku w:val="0"/>
              <w:overflowPunct w:val="0"/>
              <w:autoSpaceDE w:val="0"/>
              <w:autoSpaceDN w:val="0"/>
              <w:ind w:left="0"/>
              <w:jc w:val="left"/>
              <w:rPr>
                <w:rFonts w:eastAsia="Calibri"/>
                <w:b/>
                <w:snapToGrid w:val="0"/>
                <w:kern w:val="22"/>
                <w:szCs w:val="22"/>
              </w:rPr>
            </w:pPr>
            <w:r w:rsidRPr="00966A92">
              <w:rPr>
                <w:rFonts w:eastAsia="Calibri"/>
                <w:b/>
                <w:snapToGrid w:val="0"/>
                <w:kern w:val="22"/>
                <w:szCs w:val="22"/>
              </w:rPr>
              <w:t>NP-</w:t>
            </w:r>
            <w:r w:rsidR="0097427A" w:rsidRPr="00966A92">
              <w:rPr>
                <w:rFonts w:eastAsia="Calibri"/>
                <w:b/>
                <w:snapToGrid w:val="0"/>
                <w:kern w:val="22"/>
                <w:szCs w:val="22"/>
              </w:rPr>
              <w:t>3/4.</w:t>
            </w:r>
            <w:r w:rsidR="0097427A" w:rsidRPr="00966A92">
              <w:rPr>
                <w:rFonts w:eastAsia="Calibri"/>
                <w:b/>
                <w:snapToGrid w:val="0"/>
                <w:kern w:val="22"/>
                <w:szCs w:val="22"/>
              </w:rPr>
              <w:tab/>
              <w:t>Monitoring and reporting (Article 29)</w:t>
            </w:r>
          </w:p>
          <w:p w14:paraId="4E276CB0" w14:textId="77777777" w:rsidR="0097427A" w:rsidRPr="00966A92" w:rsidRDefault="0097427A" w:rsidP="005E32B7">
            <w:pPr>
              <w:pStyle w:val="Para10"/>
              <w:suppressLineNumbers/>
              <w:suppressAutoHyphens/>
              <w:kinsoku w:val="0"/>
              <w:overflowPunct w:val="0"/>
              <w:autoSpaceDE w:val="0"/>
              <w:autoSpaceDN w:val="0"/>
              <w:ind w:left="0"/>
              <w:jc w:val="left"/>
              <w:rPr>
                <w:rFonts w:eastAsia="Calibri"/>
                <w:snapToGrid w:val="0"/>
                <w:kern w:val="22"/>
                <w:szCs w:val="22"/>
              </w:rPr>
            </w:pPr>
          </w:p>
          <w:p w14:paraId="11DB15B6" w14:textId="027D08C9" w:rsidR="005E32B7" w:rsidRPr="00966A92" w:rsidRDefault="0097427A"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2.</w:t>
            </w:r>
            <w:r w:rsidR="00AB0D83" w:rsidRPr="00966A92">
              <w:rPr>
                <w:rFonts w:eastAsia="Calibri"/>
                <w:i/>
                <w:snapToGrid w:val="0"/>
                <w:kern w:val="22"/>
                <w:szCs w:val="22"/>
              </w:rPr>
              <w:tab/>
            </w:r>
            <w:r w:rsidR="005E32B7" w:rsidRPr="00966A92">
              <w:rPr>
                <w:rFonts w:eastAsia="Calibri"/>
                <w:i/>
                <w:snapToGrid w:val="0"/>
                <w:kern w:val="22"/>
                <w:szCs w:val="22"/>
              </w:rPr>
              <w:t xml:space="preserve">Welcomes </w:t>
            </w:r>
            <w:r w:rsidR="005E32B7" w:rsidRPr="00966A92">
              <w:rPr>
                <w:rFonts w:eastAsia="Calibri"/>
                <w:snapToGrid w:val="0"/>
                <w:kern w:val="22"/>
                <w:szCs w:val="22"/>
              </w:rPr>
              <w:t xml:space="preserve">the fact that </w:t>
            </w:r>
            <w:r w:rsidR="005E32B7" w:rsidRPr="00966A92">
              <w:rPr>
                <w:rFonts w:eastAsia="Calibri"/>
                <w:b/>
                <w:snapToGrid w:val="0"/>
                <w:kern w:val="22"/>
                <w:szCs w:val="22"/>
              </w:rPr>
              <w:t>82</w:t>
            </w:r>
            <w:r w:rsidR="005E32B7" w:rsidRPr="00966A92">
              <w:rPr>
                <w:rFonts w:eastAsia="Calibri"/>
                <w:snapToGrid w:val="0"/>
                <w:kern w:val="22"/>
                <w:szCs w:val="22"/>
              </w:rPr>
              <w:t xml:space="preserve"> of the 100 Parties that had the obligation to report have submitted their interim national report;</w:t>
            </w:r>
          </w:p>
          <w:p w14:paraId="1CDC8FA8" w14:textId="77777777" w:rsidR="005E32B7" w:rsidRPr="00966A92" w:rsidRDefault="005E32B7"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3.</w:t>
            </w:r>
            <w:r w:rsidRPr="00966A92">
              <w:rPr>
                <w:rFonts w:eastAsia="Calibri"/>
                <w:snapToGrid w:val="0"/>
                <w:kern w:val="22"/>
                <w:szCs w:val="22"/>
              </w:rPr>
              <w:tab/>
            </w:r>
            <w:r w:rsidRPr="00966A92">
              <w:rPr>
                <w:rFonts w:eastAsia="Calibri"/>
                <w:i/>
                <w:snapToGrid w:val="0"/>
                <w:kern w:val="22"/>
                <w:szCs w:val="22"/>
              </w:rPr>
              <w:t>Also welcomes</w:t>
            </w:r>
            <w:r w:rsidRPr="00966A92">
              <w:rPr>
                <w:rFonts w:eastAsia="Calibri"/>
                <w:snapToGrid w:val="0"/>
                <w:kern w:val="22"/>
                <w:szCs w:val="22"/>
              </w:rPr>
              <w:t xml:space="preserve"> the interim national reports submitted by non-Parties;</w:t>
            </w:r>
          </w:p>
          <w:p w14:paraId="547FDDC5" w14:textId="77777777" w:rsidR="005E32B7" w:rsidRPr="00966A92" w:rsidRDefault="005E32B7"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4.</w:t>
            </w:r>
            <w:r w:rsidRPr="00966A92">
              <w:rPr>
                <w:rFonts w:eastAsia="Calibri"/>
                <w:snapToGrid w:val="0"/>
                <w:kern w:val="22"/>
                <w:szCs w:val="22"/>
              </w:rPr>
              <w:tab/>
            </w:r>
            <w:r w:rsidRPr="00966A92">
              <w:rPr>
                <w:rFonts w:eastAsia="Calibri"/>
                <w:i/>
                <w:snapToGrid w:val="0"/>
                <w:kern w:val="22"/>
                <w:szCs w:val="22"/>
              </w:rPr>
              <w:t>Urges</w:t>
            </w:r>
            <w:r w:rsidRPr="00966A92">
              <w:rPr>
                <w:rFonts w:eastAsia="Calibri"/>
                <w:snapToGrid w:val="0"/>
                <w:kern w:val="22"/>
                <w:szCs w:val="22"/>
              </w:rPr>
              <w:t xml:space="preserve"> Parties that have not yet submitted their interim national report to do so as soon as possible;</w:t>
            </w:r>
          </w:p>
          <w:p w14:paraId="486BC22E" w14:textId="77777777" w:rsidR="005E32B7" w:rsidRPr="00966A92" w:rsidRDefault="005E32B7"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5.</w:t>
            </w:r>
            <w:r w:rsidRPr="00966A92">
              <w:rPr>
                <w:rFonts w:eastAsia="Calibri"/>
                <w:snapToGrid w:val="0"/>
                <w:kern w:val="22"/>
                <w:szCs w:val="22"/>
              </w:rPr>
              <w:tab/>
            </w:r>
            <w:r w:rsidRPr="00966A92">
              <w:rPr>
                <w:rFonts w:eastAsia="Calibri"/>
                <w:i/>
                <w:snapToGrid w:val="0"/>
                <w:kern w:val="22"/>
                <w:szCs w:val="22"/>
              </w:rPr>
              <w:t>Expresses its appreciation</w:t>
            </w:r>
            <w:r w:rsidRPr="00966A92">
              <w:rPr>
                <w:rFonts w:eastAsia="Calibri"/>
                <w:snapToGrid w:val="0"/>
                <w:kern w:val="22"/>
                <w:szCs w:val="22"/>
              </w:rPr>
              <w:t xml:space="preserve"> for the financial support provided by the Global Environment Facility for </w:t>
            </w:r>
            <w:proofErr w:type="gramStart"/>
            <w:r w:rsidRPr="00966A92">
              <w:rPr>
                <w:rFonts w:eastAsia="Calibri"/>
                <w:snapToGrid w:val="0"/>
                <w:kern w:val="22"/>
                <w:szCs w:val="22"/>
              </w:rPr>
              <w:t>a number of</w:t>
            </w:r>
            <w:proofErr w:type="gramEnd"/>
            <w:r w:rsidRPr="00966A92">
              <w:rPr>
                <w:rFonts w:eastAsia="Calibri"/>
                <w:snapToGrid w:val="0"/>
                <w:kern w:val="22"/>
                <w:szCs w:val="22"/>
              </w:rPr>
              <w:t xml:space="preserve"> eligible Parties to support the preparation of their interim national reports, and notes the importance of timely availability of financial resources to support the preparation and submission of national reports by the reporting deadline;</w:t>
            </w:r>
          </w:p>
          <w:p w14:paraId="690542F6" w14:textId="77777777" w:rsidR="005E32B7" w:rsidRPr="00966A92" w:rsidRDefault="005E32B7"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6.</w:t>
            </w:r>
            <w:r w:rsidRPr="00966A92">
              <w:rPr>
                <w:rFonts w:eastAsia="Calibri"/>
                <w:snapToGrid w:val="0"/>
                <w:kern w:val="22"/>
                <w:szCs w:val="22"/>
              </w:rPr>
              <w:tab/>
            </w:r>
            <w:r w:rsidRPr="00966A92">
              <w:rPr>
                <w:rFonts w:eastAsia="Calibri"/>
                <w:i/>
                <w:snapToGrid w:val="0"/>
                <w:kern w:val="22"/>
                <w:szCs w:val="22"/>
              </w:rPr>
              <w:t xml:space="preserve">Welcomes </w:t>
            </w:r>
            <w:r w:rsidRPr="00966A92">
              <w:rPr>
                <w:rFonts w:eastAsia="Calibri"/>
                <w:snapToGrid w:val="0"/>
                <w:kern w:val="22"/>
                <w:szCs w:val="22"/>
              </w:rPr>
              <w:t>the efforts made by the Secretariat to assist Parties in submitting interim national reports;</w:t>
            </w:r>
          </w:p>
          <w:p w14:paraId="4E519AAD" w14:textId="09E6D8EC" w:rsidR="001B25B2" w:rsidRPr="00966A92" w:rsidRDefault="005E32B7" w:rsidP="009719BC">
            <w:pPr>
              <w:pStyle w:val="Para10"/>
              <w:suppressLineNumbers/>
              <w:tabs>
                <w:tab w:val="clear" w:pos="644"/>
              </w:tab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7.</w:t>
            </w:r>
            <w:r w:rsidRPr="00966A92">
              <w:rPr>
                <w:rFonts w:eastAsia="Calibri"/>
                <w:snapToGrid w:val="0"/>
                <w:kern w:val="22"/>
                <w:szCs w:val="22"/>
              </w:rPr>
              <w:tab/>
            </w:r>
            <w:r w:rsidRPr="00966A92">
              <w:rPr>
                <w:rFonts w:eastAsia="Calibri"/>
                <w:i/>
                <w:snapToGrid w:val="0"/>
                <w:kern w:val="22"/>
                <w:szCs w:val="22"/>
              </w:rPr>
              <w:t>Requests</w:t>
            </w:r>
            <w:r w:rsidRPr="00966A92">
              <w:rPr>
                <w:rFonts w:eastAsia="Calibri"/>
                <w:snapToGrid w:val="0"/>
                <w:kern w:val="22"/>
                <w:szCs w:val="22"/>
              </w:rPr>
              <w:t xml:space="preserve"> the Compliance Committee to provide an input to the review of the reporting format for the next reporting cycle;</w:t>
            </w:r>
          </w:p>
        </w:tc>
        <w:tc>
          <w:tcPr>
            <w:tcW w:w="4593" w:type="dxa"/>
            <w:tcBorders>
              <w:bottom w:val="single" w:sz="4" w:space="0" w:color="auto"/>
            </w:tcBorders>
            <w:tcMar>
              <w:top w:w="115" w:type="dxa"/>
              <w:left w:w="115" w:type="dxa"/>
              <w:bottom w:w="115" w:type="dxa"/>
              <w:right w:w="115" w:type="dxa"/>
            </w:tcMar>
          </w:tcPr>
          <w:p w14:paraId="2BA7C62D" w14:textId="4E2D8BBE" w:rsidR="001B25B2" w:rsidRPr="00966A92" w:rsidRDefault="005B26E3" w:rsidP="00356FC1">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966A92">
              <w:rPr>
                <w:rFonts w:eastAsia="Calibri"/>
                <w:snapToGrid w:val="0"/>
                <w:kern w:val="22"/>
                <w:szCs w:val="22"/>
              </w:rPr>
              <w:t xml:space="preserve">Recommendation adopted with the </w:t>
            </w:r>
            <w:r w:rsidR="006E5D15" w:rsidRPr="00966A92">
              <w:rPr>
                <w:rFonts w:eastAsia="Calibri"/>
                <w:snapToGrid w:val="0"/>
                <w:kern w:val="22"/>
                <w:szCs w:val="22"/>
              </w:rPr>
              <w:t>update on the number of Parties that had submitted their interim national report at the time the decision was adopted</w:t>
            </w:r>
            <w:r w:rsidR="00404A57" w:rsidRPr="00966A92">
              <w:rPr>
                <w:rFonts w:eastAsia="Calibri"/>
                <w:snapToGrid w:val="0"/>
                <w:kern w:val="22"/>
                <w:szCs w:val="22"/>
              </w:rPr>
              <w:t>.</w:t>
            </w:r>
          </w:p>
        </w:tc>
      </w:tr>
      <w:tr w:rsidR="00982D6C" w:rsidRPr="009A2BF2" w14:paraId="7FB63A00" w14:textId="77777777" w:rsidTr="009719BC">
        <w:trPr>
          <w:cantSplit/>
          <w:jc w:val="center"/>
        </w:trPr>
        <w:tc>
          <w:tcPr>
            <w:tcW w:w="4720" w:type="dxa"/>
            <w:tcBorders>
              <w:top w:val="single" w:sz="4" w:space="0" w:color="auto"/>
              <w:bottom w:val="single" w:sz="4" w:space="0" w:color="auto"/>
            </w:tcBorders>
            <w:tcMar>
              <w:top w:w="115" w:type="dxa"/>
              <w:left w:w="115" w:type="dxa"/>
              <w:bottom w:w="115" w:type="dxa"/>
              <w:right w:w="115" w:type="dxa"/>
            </w:tcMar>
          </w:tcPr>
          <w:p w14:paraId="34B0F362" w14:textId="11C6B09C" w:rsidR="00FB71AE" w:rsidRPr="00966A92" w:rsidRDefault="00FB71AE" w:rsidP="0008547F">
            <w:pPr>
              <w:keepNext/>
              <w:suppressLineNumbers/>
              <w:tabs>
                <w:tab w:val="left" w:pos="360"/>
              </w:tabs>
              <w:suppressAutoHyphens/>
              <w:kinsoku w:val="0"/>
              <w:overflowPunct w:val="0"/>
              <w:autoSpaceDE w:val="0"/>
              <w:autoSpaceDN w:val="0"/>
              <w:adjustRightInd w:val="0"/>
              <w:snapToGrid w:val="0"/>
              <w:spacing w:before="120" w:after="120" w:line="228" w:lineRule="auto"/>
              <w:rPr>
                <w:b/>
                <w:bCs/>
                <w:snapToGrid w:val="0"/>
                <w:kern w:val="22"/>
                <w:szCs w:val="22"/>
              </w:rPr>
            </w:pPr>
            <w:r w:rsidRPr="00966A92">
              <w:rPr>
                <w:b/>
                <w:bCs/>
                <w:snapToGrid w:val="0"/>
                <w:kern w:val="22"/>
                <w:szCs w:val="22"/>
              </w:rPr>
              <w:lastRenderedPageBreak/>
              <w:t>C.</w:t>
            </w:r>
            <w:r w:rsidRPr="00966A92">
              <w:rPr>
                <w:b/>
                <w:bCs/>
                <w:snapToGrid w:val="0"/>
                <w:kern w:val="22"/>
                <w:szCs w:val="22"/>
              </w:rPr>
              <w:tab/>
              <w:t>Access and Benefit-sharing Clearing</w:t>
            </w:r>
            <w:r w:rsidR="00F41946" w:rsidRPr="00966A92">
              <w:rPr>
                <w:b/>
                <w:bCs/>
                <w:snapToGrid w:val="0"/>
                <w:kern w:val="22"/>
                <w:szCs w:val="22"/>
              </w:rPr>
              <w:t>-</w:t>
            </w:r>
            <w:r w:rsidRPr="00966A92">
              <w:rPr>
                <w:b/>
                <w:bCs/>
                <w:snapToGrid w:val="0"/>
                <w:kern w:val="22"/>
                <w:szCs w:val="22"/>
              </w:rPr>
              <w:t>House</w:t>
            </w:r>
          </w:p>
          <w:p w14:paraId="0375BB8A" w14:textId="77777777" w:rsidR="00542117" w:rsidRPr="00966A92" w:rsidRDefault="00542117" w:rsidP="00542117">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9.</w:t>
            </w:r>
            <w:r w:rsidRPr="00966A92">
              <w:rPr>
                <w:snapToGrid w:val="0"/>
                <w:kern w:val="22"/>
                <w:szCs w:val="22"/>
              </w:rPr>
              <w:tab/>
              <w:t>Urge Parties that have not yet done so to publish all mandatory information available at the national level on the Access and Benefit-sharing Clearing-House in accordance with the obligations in Article 14, paragraph 2, of the Protocol, as soon as possible, considering that the publication of mandatory information in the Access and Benefit-sharing Clearing-House is essential for the implementation of the Nagoya Protocol;</w:t>
            </w:r>
          </w:p>
          <w:p w14:paraId="56A854CE" w14:textId="77777777" w:rsidR="00982D6C" w:rsidRPr="00966A92" w:rsidRDefault="00542117" w:rsidP="00542117">
            <w:pPr>
              <w:suppressLineNumbers/>
              <w:suppressAutoHyphens/>
              <w:kinsoku w:val="0"/>
              <w:overflowPunct w:val="0"/>
              <w:autoSpaceDE w:val="0"/>
              <w:autoSpaceDN w:val="0"/>
              <w:adjustRightInd w:val="0"/>
              <w:snapToGrid w:val="0"/>
              <w:spacing w:before="120" w:after="120" w:line="228" w:lineRule="auto"/>
              <w:rPr>
                <w:snapToGrid w:val="0"/>
                <w:kern w:val="22"/>
                <w:szCs w:val="22"/>
              </w:rPr>
            </w:pPr>
            <w:r w:rsidRPr="00966A92">
              <w:rPr>
                <w:snapToGrid w:val="0"/>
                <w:kern w:val="22"/>
                <w:szCs w:val="22"/>
              </w:rPr>
              <w:t>10.</w:t>
            </w:r>
            <w:r w:rsidRPr="00966A92">
              <w:rPr>
                <w:snapToGrid w:val="0"/>
                <w:kern w:val="22"/>
                <w:szCs w:val="22"/>
              </w:rPr>
              <w:tab/>
              <w:t>Urge Parties to provide information on their access and benefit-sharing procedures through the common format on procedures, as available in the Access and Benefit-sharing Clearing House;</w:t>
            </w:r>
          </w:p>
        </w:tc>
        <w:tc>
          <w:tcPr>
            <w:tcW w:w="4849" w:type="dxa"/>
            <w:tcBorders>
              <w:top w:val="single" w:sz="4" w:space="0" w:color="auto"/>
              <w:bottom w:val="single" w:sz="4" w:space="0" w:color="auto"/>
            </w:tcBorders>
            <w:tcMar>
              <w:top w:w="115" w:type="dxa"/>
              <w:left w:w="115" w:type="dxa"/>
              <w:bottom w:w="115" w:type="dxa"/>
              <w:right w:w="115" w:type="dxa"/>
            </w:tcMar>
          </w:tcPr>
          <w:p w14:paraId="3A992C60" w14:textId="45FF3B06" w:rsidR="00921D90" w:rsidRPr="00966A92" w:rsidRDefault="00404A57" w:rsidP="009719BC">
            <w:pPr>
              <w:pStyle w:val="Para10"/>
              <w:suppressLineNumbers/>
              <w:suppressAutoHyphens/>
              <w:kinsoku w:val="0"/>
              <w:overflowPunct w:val="0"/>
              <w:autoSpaceDE w:val="0"/>
              <w:autoSpaceDN w:val="0"/>
              <w:spacing w:after="60"/>
              <w:ind w:left="0"/>
              <w:jc w:val="left"/>
              <w:rPr>
                <w:rFonts w:eastAsia="Calibri"/>
                <w:b/>
                <w:snapToGrid w:val="0"/>
                <w:kern w:val="22"/>
                <w:szCs w:val="22"/>
              </w:rPr>
            </w:pPr>
            <w:r w:rsidRPr="00966A92">
              <w:rPr>
                <w:rFonts w:eastAsia="Calibri"/>
                <w:b/>
                <w:snapToGrid w:val="0"/>
                <w:kern w:val="22"/>
                <w:szCs w:val="22"/>
              </w:rPr>
              <w:t>NP-</w:t>
            </w:r>
            <w:r w:rsidR="00921D90" w:rsidRPr="00966A92">
              <w:rPr>
                <w:rFonts w:eastAsia="Calibri"/>
                <w:b/>
                <w:snapToGrid w:val="0"/>
                <w:kern w:val="22"/>
                <w:szCs w:val="22"/>
              </w:rPr>
              <w:t>3/3.</w:t>
            </w:r>
            <w:r w:rsidR="00921D90" w:rsidRPr="00966A92">
              <w:rPr>
                <w:rFonts w:eastAsia="Calibri"/>
                <w:b/>
                <w:snapToGrid w:val="0"/>
                <w:kern w:val="22"/>
                <w:szCs w:val="22"/>
              </w:rPr>
              <w:tab/>
              <w:t>The Access and Benefit-sharing Clearing</w:t>
            </w:r>
            <w:r w:rsidR="00F41946" w:rsidRPr="00966A92">
              <w:rPr>
                <w:rFonts w:eastAsia="Calibri"/>
                <w:b/>
                <w:snapToGrid w:val="0"/>
                <w:kern w:val="22"/>
                <w:szCs w:val="22"/>
              </w:rPr>
              <w:noBreakHyphen/>
            </w:r>
            <w:r w:rsidR="00921D90" w:rsidRPr="00966A92">
              <w:rPr>
                <w:rFonts w:eastAsia="Calibri"/>
                <w:b/>
                <w:snapToGrid w:val="0"/>
                <w:kern w:val="22"/>
                <w:szCs w:val="22"/>
              </w:rPr>
              <w:t>House and information sharing (Article</w:t>
            </w:r>
            <w:r w:rsidR="00472FE0">
              <w:rPr>
                <w:rFonts w:eastAsia="Calibri"/>
                <w:b/>
                <w:snapToGrid w:val="0"/>
                <w:kern w:val="22"/>
                <w:szCs w:val="22"/>
              </w:rPr>
              <w:t> </w:t>
            </w:r>
            <w:r w:rsidR="00921D90" w:rsidRPr="00966A92">
              <w:rPr>
                <w:rFonts w:eastAsia="Calibri"/>
                <w:b/>
                <w:snapToGrid w:val="0"/>
                <w:kern w:val="22"/>
                <w:szCs w:val="22"/>
              </w:rPr>
              <w:t>14)</w:t>
            </w:r>
          </w:p>
          <w:p w14:paraId="10CA40C9" w14:textId="6B88359C" w:rsidR="00921D90" w:rsidRPr="00966A92" w:rsidRDefault="00921D90"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3.</w:t>
            </w:r>
            <w:r w:rsidR="00610500" w:rsidRPr="00966A92">
              <w:rPr>
                <w:rFonts w:eastAsia="Calibri"/>
                <w:snapToGrid w:val="0"/>
                <w:kern w:val="22"/>
                <w:szCs w:val="22"/>
              </w:rPr>
              <w:tab/>
            </w:r>
            <w:r w:rsidRPr="009719BC">
              <w:rPr>
                <w:rFonts w:eastAsia="Calibri"/>
                <w:i/>
                <w:iCs/>
                <w:snapToGrid w:val="0"/>
                <w:kern w:val="22"/>
                <w:szCs w:val="22"/>
              </w:rPr>
              <w:t>Urges</w:t>
            </w:r>
            <w:r w:rsidRPr="00966A92">
              <w:rPr>
                <w:rFonts w:eastAsia="Calibri"/>
                <w:snapToGrid w:val="0"/>
                <w:kern w:val="22"/>
                <w:szCs w:val="22"/>
              </w:rPr>
              <w:t xml:space="preserve"> Parties that have not yet done so to publish all mandatory information available at the national level on the Access and Benefit-sharing Clearing-House in accordance with the obligations in Article 14, paragraph 2, of the Protocol, as soon as possible, considering that the publication of mandatory information in the Access and Benefit-sharing Clearing-House is essential for the implementation of the Nagoya Protocol;</w:t>
            </w:r>
          </w:p>
          <w:p w14:paraId="12CA3B1B" w14:textId="3A24070D" w:rsidR="00982D6C" w:rsidRPr="00966A92" w:rsidRDefault="00921D90" w:rsidP="009719BC">
            <w:pPr>
              <w:pStyle w:val="Para10"/>
              <w:suppressLineNumbers/>
              <w:tabs>
                <w:tab w:val="clear" w:pos="644"/>
              </w:tab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4.</w:t>
            </w:r>
            <w:r w:rsidRPr="00966A92">
              <w:rPr>
                <w:rFonts w:eastAsia="Calibri"/>
                <w:snapToGrid w:val="0"/>
                <w:kern w:val="22"/>
                <w:szCs w:val="22"/>
              </w:rPr>
              <w:tab/>
            </w:r>
            <w:r w:rsidRPr="009719BC">
              <w:rPr>
                <w:rFonts w:eastAsia="Calibri"/>
                <w:i/>
                <w:iCs/>
                <w:snapToGrid w:val="0"/>
                <w:kern w:val="22"/>
                <w:szCs w:val="22"/>
              </w:rPr>
              <w:t>Urges</w:t>
            </w:r>
            <w:r w:rsidRPr="00966A92">
              <w:rPr>
                <w:rFonts w:eastAsia="Calibri"/>
                <w:snapToGrid w:val="0"/>
                <w:kern w:val="22"/>
                <w:szCs w:val="22"/>
              </w:rPr>
              <w:t xml:space="preserve"> Parties to provide information on their </w:t>
            </w:r>
            <w:r w:rsidRPr="00966A92">
              <w:rPr>
                <w:rFonts w:eastAsia="Calibri"/>
                <w:b/>
                <w:snapToGrid w:val="0"/>
                <w:kern w:val="22"/>
                <w:szCs w:val="22"/>
              </w:rPr>
              <w:t>national</w:t>
            </w:r>
            <w:r w:rsidRPr="00966A92">
              <w:rPr>
                <w:rFonts w:eastAsia="Calibri"/>
                <w:snapToGrid w:val="0"/>
                <w:kern w:val="22"/>
                <w:szCs w:val="22"/>
              </w:rPr>
              <w:t xml:space="preserve"> access and benefit-sharing procedures through the voluntary common format on procedures, as available in the Access and Benefit-sharing Clearing-House;</w:t>
            </w:r>
          </w:p>
        </w:tc>
        <w:tc>
          <w:tcPr>
            <w:tcW w:w="4593" w:type="dxa"/>
            <w:tcBorders>
              <w:top w:val="single" w:sz="4" w:space="0" w:color="auto"/>
              <w:bottom w:val="single" w:sz="4" w:space="0" w:color="auto"/>
            </w:tcBorders>
            <w:tcMar>
              <w:top w:w="115" w:type="dxa"/>
              <w:left w:w="115" w:type="dxa"/>
              <w:bottom w:w="115" w:type="dxa"/>
              <w:right w:w="115" w:type="dxa"/>
            </w:tcMar>
          </w:tcPr>
          <w:p w14:paraId="734A2D3C" w14:textId="743A1919" w:rsidR="00982D6C" w:rsidRPr="00966A92" w:rsidRDefault="0008547F">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966A92">
              <w:rPr>
                <w:snapToGrid w:val="0"/>
                <w:kern w:val="22"/>
                <w:szCs w:val="22"/>
              </w:rPr>
              <w:t>Recommendation adopted with the clarification that the access and benefit-sharing procedures to be submitted are national procedures.</w:t>
            </w:r>
          </w:p>
        </w:tc>
      </w:tr>
      <w:tr w:rsidR="0055221A" w:rsidRPr="009A2BF2" w14:paraId="148DD4EE" w14:textId="77777777" w:rsidTr="00E958CB">
        <w:trPr>
          <w:cantSplit/>
          <w:jc w:val="center"/>
        </w:trPr>
        <w:tc>
          <w:tcPr>
            <w:tcW w:w="4720" w:type="dxa"/>
            <w:tcBorders>
              <w:top w:val="single" w:sz="4" w:space="0" w:color="auto"/>
              <w:bottom w:val="single" w:sz="4" w:space="0" w:color="auto"/>
            </w:tcBorders>
            <w:tcMar>
              <w:top w:w="115" w:type="dxa"/>
              <w:left w:w="115" w:type="dxa"/>
              <w:bottom w:w="115" w:type="dxa"/>
              <w:right w:w="115" w:type="dxa"/>
            </w:tcMar>
          </w:tcPr>
          <w:p w14:paraId="6EC7C842" w14:textId="637D991B" w:rsidR="00542117" w:rsidRPr="00966A92" w:rsidRDefault="00542117" w:rsidP="00542117">
            <w:pPr>
              <w:suppressLineNumbers/>
              <w:suppressAutoHyphens/>
              <w:kinsoku w:val="0"/>
              <w:overflowPunct w:val="0"/>
              <w:autoSpaceDE w:val="0"/>
              <w:autoSpaceDN w:val="0"/>
              <w:adjustRightInd w:val="0"/>
              <w:jc w:val="left"/>
              <w:rPr>
                <w:b/>
                <w:snapToGrid w:val="0"/>
                <w:kern w:val="22"/>
                <w:szCs w:val="22"/>
              </w:rPr>
            </w:pPr>
            <w:r w:rsidRPr="00966A92">
              <w:rPr>
                <w:b/>
                <w:snapToGrid w:val="0"/>
                <w:kern w:val="22"/>
                <w:szCs w:val="22"/>
              </w:rPr>
              <w:t>D.</w:t>
            </w:r>
            <w:r w:rsidRPr="00966A92">
              <w:rPr>
                <w:b/>
                <w:snapToGrid w:val="0"/>
                <w:kern w:val="22"/>
                <w:szCs w:val="22"/>
              </w:rPr>
              <w:tab/>
              <w:t>Preparation for the follow-up to the Strategic Plan for Biodiversity 2011-2020</w:t>
            </w:r>
          </w:p>
          <w:p w14:paraId="015A9001" w14:textId="77777777" w:rsidR="00542117" w:rsidRPr="00966A92" w:rsidRDefault="00542117" w:rsidP="009719BC">
            <w:pPr>
              <w:suppressLineNumbers/>
              <w:suppressAutoHyphens/>
              <w:kinsoku w:val="0"/>
              <w:overflowPunct w:val="0"/>
              <w:autoSpaceDE w:val="0"/>
              <w:autoSpaceDN w:val="0"/>
              <w:adjustRightInd w:val="0"/>
              <w:spacing w:before="60" w:after="60"/>
              <w:jc w:val="left"/>
              <w:rPr>
                <w:snapToGrid w:val="0"/>
                <w:kern w:val="22"/>
                <w:szCs w:val="22"/>
              </w:rPr>
            </w:pPr>
            <w:r w:rsidRPr="00966A92">
              <w:rPr>
                <w:snapToGrid w:val="0"/>
                <w:kern w:val="22"/>
                <w:szCs w:val="22"/>
              </w:rPr>
              <w:t>11.</w:t>
            </w:r>
            <w:r w:rsidRPr="00966A92">
              <w:rPr>
                <w:snapToGrid w:val="0"/>
                <w:kern w:val="22"/>
                <w:szCs w:val="22"/>
              </w:rPr>
              <w:tab/>
              <w:t>Recommend that the findings on general issues of compliance be considered in the development of the post-2020 global biodiversity framework;</w:t>
            </w:r>
          </w:p>
          <w:p w14:paraId="0A532BF1" w14:textId="77777777" w:rsidR="0055221A" w:rsidRPr="00966A92" w:rsidRDefault="00542117" w:rsidP="009719BC">
            <w:pPr>
              <w:suppressLineNumbers/>
              <w:suppressAutoHyphens/>
              <w:kinsoku w:val="0"/>
              <w:overflowPunct w:val="0"/>
              <w:autoSpaceDE w:val="0"/>
              <w:autoSpaceDN w:val="0"/>
              <w:adjustRightInd w:val="0"/>
              <w:spacing w:before="60" w:after="60"/>
              <w:jc w:val="left"/>
              <w:rPr>
                <w:snapToGrid w:val="0"/>
                <w:kern w:val="22"/>
                <w:szCs w:val="22"/>
              </w:rPr>
            </w:pPr>
            <w:r w:rsidRPr="00966A92">
              <w:rPr>
                <w:snapToGrid w:val="0"/>
                <w:kern w:val="22"/>
                <w:szCs w:val="22"/>
              </w:rPr>
              <w:t>12.</w:t>
            </w:r>
            <w:r w:rsidRPr="00966A92">
              <w:rPr>
                <w:snapToGrid w:val="0"/>
                <w:kern w:val="22"/>
                <w:szCs w:val="22"/>
              </w:rPr>
              <w:tab/>
              <w:t>Request that the Compliance Committee at its next meeting consider how to support and promote compliance with the Nagoya Protocol within the post-2020 global biodiversity framework.</w:t>
            </w:r>
          </w:p>
        </w:tc>
        <w:tc>
          <w:tcPr>
            <w:tcW w:w="4849" w:type="dxa"/>
            <w:tcBorders>
              <w:top w:val="single" w:sz="4" w:space="0" w:color="auto"/>
              <w:bottom w:val="single" w:sz="4" w:space="0" w:color="auto"/>
            </w:tcBorders>
            <w:tcMar>
              <w:top w:w="115" w:type="dxa"/>
              <w:left w:w="115" w:type="dxa"/>
              <w:bottom w:w="115" w:type="dxa"/>
              <w:right w:w="115" w:type="dxa"/>
            </w:tcMar>
          </w:tcPr>
          <w:p w14:paraId="5120C21F" w14:textId="76DB91A6" w:rsidR="0055221A" w:rsidRPr="00966A92" w:rsidRDefault="00404A57" w:rsidP="0055221A">
            <w:pPr>
              <w:pStyle w:val="Para10"/>
              <w:suppressLineNumbers/>
              <w:tabs>
                <w:tab w:val="clear" w:pos="644"/>
              </w:tabs>
              <w:suppressAutoHyphens/>
              <w:kinsoku w:val="0"/>
              <w:overflowPunct w:val="0"/>
              <w:autoSpaceDE w:val="0"/>
              <w:autoSpaceDN w:val="0"/>
              <w:ind w:left="0"/>
              <w:jc w:val="left"/>
              <w:rPr>
                <w:rFonts w:eastAsia="Calibri"/>
                <w:b/>
                <w:snapToGrid w:val="0"/>
                <w:kern w:val="22"/>
                <w:szCs w:val="22"/>
              </w:rPr>
            </w:pPr>
            <w:r w:rsidRPr="00966A92">
              <w:rPr>
                <w:rFonts w:eastAsia="Calibri"/>
                <w:b/>
                <w:snapToGrid w:val="0"/>
                <w:kern w:val="22"/>
                <w:szCs w:val="22"/>
              </w:rPr>
              <w:t>NP-</w:t>
            </w:r>
            <w:r w:rsidR="0008547F" w:rsidRPr="00966A92">
              <w:rPr>
                <w:rFonts w:eastAsia="Calibri"/>
                <w:b/>
                <w:snapToGrid w:val="0"/>
                <w:kern w:val="22"/>
                <w:szCs w:val="22"/>
              </w:rPr>
              <w:t>3/15.</w:t>
            </w:r>
            <w:r w:rsidR="0008547F" w:rsidRPr="00966A92">
              <w:rPr>
                <w:rFonts w:eastAsia="Calibri"/>
                <w:b/>
                <w:snapToGrid w:val="0"/>
                <w:kern w:val="22"/>
                <w:szCs w:val="22"/>
              </w:rPr>
              <w:tab/>
              <w:t>Preparation for the follow-up to the Strategic Plan for Biodiversity 2011-2020</w:t>
            </w:r>
          </w:p>
          <w:p w14:paraId="557DE5EF" w14:textId="64678F53" w:rsidR="0008547F" w:rsidRPr="00966A92" w:rsidRDefault="0008547F" w:rsidP="009719BC">
            <w:pPr>
              <w:pStyle w:val="Para10"/>
              <w:suppressLineNumber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4.</w:t>
            </w:r>
            <w:r w:rsidR="00EC6654" w:rsidRPr="00966A92">
              <w:rPr>
                <w:rFonts w:eastAsia="Calibri"/>
                <w:snapToGrid w:val="0"/>
                <w:kern w:val="22"/>
                <w:szCs w:val="22"/>
              </w:rPr>
              <w:tab/>
            </w:r>
            <w:r w:rsidRPr="009719BC">
              <w:rPr>
                <w:rFonts w:eastAsia="Calibri"/>
                <w:i/>
                <w:iCs/>
                <w:snapToGrid w:val="0"/>
                <w:kern w:val="22"/>
                <w:szCs w:val="22"/>
              </w:rPr>
              <w:t>Recommends</w:t>
            </w:r>
            <w:r w:rsidRPr="00966A92">
              <w:rPr>
                <w:rFonts w:eastAsia="Calibri"/>
                <w:snapToGrid w:val="0"/>
                <w:kern w:val="22"/>
                <w:szCs w:val="22"/>
              </w:rPr>
              <w:t xml:space="preserve"> that the findings on general issues of compliance </w:t>
            </w:r>
            <w:r w:rsidRPr="00966A92">
              <w:rPr>
                <w:rFonts w:eastAsia="Calibri"/>
                <w:b/>
                <w:snapToGrid w:val="0"/>
                <w:kern w:val="22"/>
                <w:szCs w:val="22"/>
              </w:rPr>
              <w:t>as well as the outcomes of the first assessment and review of the effectiveness of the Protocol, as contained in decision NP-3/1,</w:t>
            </w:r>
            <w:r w:rsidRPr="00966A92">
              <w:rPr>
                <w:rFonts w:eastAsia="Calibri"/>
                <w:snapToGrid w:val="0"/>
                <w:kern w:val="22"/>
                <w:szCs w:val="22"/>
              </w:rPr>
              <w:t xml:space="preserve"> be considered in the development of the post-2020 global biodiversity framework;</w:t>
            </w:r>
          </w:p>
          <w:p w14:paraId="2BA58D9E" w14:textId="59EAED92" w:rsidR="0055221A" w:rsidRPr="00966A92" w:rsidRDefault="0008547F" w:rsidP="009719BC">
            <w:pPr>
              <w:pStyle w:val="Para10"/>
              <w:suppressLineNumbers/>
              <w:tabs>
                <w:tab w:val="clear" w:pos="644"/>
              </w:tabs>
              <w:suppressAutoHyphens/>
              <w:kinsoku w:val="0"/>
              <w:overflowPunct w:val="0"/>
              <w:autoSpaceDE w:val="0"/>
              <w:autoSpaceDN w:val="0"/>
              <w:spacing w:before="60" w:after="60"/>
              <w:ind w:left="0"/>
              <w:jc w:val="left"/>
              <w:rPr>
                <w:rFonts w:eastAsia="Calibri"/>
                <w:snapToGrid w:val="0"/>
                <w:kern w:val="22"/>
                <w:szCs w:val="22"/>
              </w:rPr>
            </w:pPr>
            <w:r w:rsidRPr="00966A92">
              <w:rPr>
                <w:rFonts w:eastAsia="Calibri"/>
                <w:snapToGrid w:val="0"/>
                <w:kern w:val="22"/>
                <w:szCs w:val="22"/>
              </w:rPr>
              <w:t>5.</w:t>
            </w:r>
            <w:r w:rsidRPr="00966A92">
              <w:rPr>
                <w:rFonts w:eastAsia="Calibri"/>
                <w:snapToGrid w:val="0"/>
                <w:kern w:val="22"/>
                <w:szCs w:val="22"/>
              </w:rPr>
              <w:tab/>
            </w:r>
            <w:r w:rsidRPr="009719BC">
              <w:rPr>
                <w:rFonts w:eastAsia="Calibri"/>
                <w:i/>
                <w:iCs/>
                <w:snapToGrid w:val="0"/>
                <w:kern w:val="22"/>
                <w:szCs w:val="22"/>
              </w:rPr>
              <w:t>Requests</w:t>
            </w:r>
            <w:r w:rsidRPr="00966A92">
              <w:rPr>
                <w:rFonts w:eastAsia="Calibri"/>
                <w:snapToGrid w:val="0"/>
                <w:kern w:val="22"/>
                <w:szCs w:val="22"/>
              </w:rPr>
              <w:t xml:space="preserve"> that the Compliance Committee at its next meeting consider how to support and promote compliance with the Nagoya Protocol within the post-2020 global biodiversity framework.</w:t>
            </w:r>
          </w:p>
        </w:tc>
        <w:tc>
          <w:tcPr>
            <w:tcW w:w="4593" w:type="dxa"/>
            <w:tcBorders>
              <w:top w:val="single" w:sz="4" w:space="0" w:color="auto"/>
              <w:bottom w:val="single" w:sz="4" w:space="0" w:color="auto"/>
            </w:tcBorders>
            <w:tcMar>
              <w:top w:w="115" w:type="dxa"/>
              <w:left w:w="115" w:type="dxa"/>
              <w:bottom w:w="115" w:type="dxa"/>
              <w:right w:w="115" w:type="dxa"/>
            </w:tcMar>
          </w:tcPr>
          <w:p w14:paraId="0936C0C4" w14:textId="73F26048" w:rsidR="0055221A" w:rsidRPr="00966A92" w:rsidRDefault="0008547F">
            <w:pPr>
              <w:pStyle w:val="Para10"/>
              <w:suppressLineNumbers/>
              <w:tabs>
                <w:tab w:val="clear" w:pos="644"/>
              </w:tabs>
              <w:suppressAutoHyphens/>
              <w:kinsoku w:val="0"/>
              <w:overflowPunct w:val="0"/>
              <w:autoSpaceDE w:val="0"/>
              <w:autoSpaceDN w:val="0"/>
              <w:ind w:left="0"/>
              <w:jc w:val="left"/>
              <w:rPr>
                <w:rFonts w:eastAsia="Calibri"/>
                <w:snapToGrid w:val="0"/>
                <w:kern w:val="22"/>
                <w:szCs w:val="22"/>
              </w:rPr>
            </w:pPr>
            <w:r w:rsidRPr="00966A92">
              <w:rPr>
                <w:snapToGrid w:val="0"/>
                <w:kern w:val="22"/>
                <w:szCs w:val="22"/>
              </w:rPr>
              <w:t xml:space="preserve">Recommendation adopted with the addition of the outcomes of the first assessment and review of the Protocol to be considered </w:t>
            </w:r>
            <w:r w:rsidR="00297C69" w:rsidRPr="00966A92">
              <w:rPr>
                <w:snapToGrid w:val="0"/>
                <w:kern w:val="22"/>
                <w:szCs w:val="22"/>
              </w:rPr>
              <w:t xml:space="preserve">also </w:t>
            </w:r>
            <w:r w:rsidRPr="00966A92">
              <w:rPr>
                <w:snapToGrid w:val="0"/>
                <w:kern w:val="22"/>
                <w:szCs w:val="22"/>
              </w:rPr>
              <w:t>in the development of the post-2020 global biodiversity framework.</w:t>
            </w:r>
          </w:p>
        </w:tc>
      </w:tr>
    </w:tbl>
    <w:p w14:paraId="630B29D4" w14:textId="77777777" w:rsidR="001B7629" w:rsidRDefault="001B7629" w:rsidP="0066015A">
      <w:pPr>
        <w:suppressLineNumbers/>
        <w:tabs>
          <w:tab w:val="left" w:pos="7320"/>
        </w:tabs>
        <w:suppressAutoHyphens/>
        <w:kinsoku w:val="0"/>
        <w:overflowPunct w:val="0"/>
        <w:autoSpaceDE w:val="0"/>
        <w:autoSpaceDN w:val="0"/>
        <w:jc w:val="center"/>
        <w:rPr>
          <w:snapToGrid w:val="0"/>
          <w:kern w:val="22"/>
          <w:szCs w:val="22"/>
        </w:rPr>
      </w:pPr>
    </w:p>
    <w:p w14:paraId="58801454" w14:textId="7222C1C9" w:rsidR="00B3369F" w:rsidRPr="00966A92" w:rsidRDefault="00B5513E" w:rsidP="00CF086B">
      <w:pPr>
        <w:suppressLineNumbers/>
        <w:tabs>
          <w:tab w:val="left" w:pos="7320"/>
        </w:tabs>
        <w:suppressAutoHyphens/>
        <w:kinsoku w:val="0"/>
        <w:overflowPunct w:val="0"/>
        <w:autoSpaceDE w:val="0"/>
        <w:autoSpaceDN w:val="0"/>
        <w:jc w:val="center"/>
        <w:rPr>
          <w:snapToGrid w:val="0"/>
          <w:kern w:val="22"/>
          <w:szCs w:val="22"/>
        </w:rPr>
      </w:pPr>
      <w:r w:rsidRPr="00966A92">
        <w:rPr>
          <w:snapToGrid w:val="0"/>
          <w:kern w:val="22"/>
          <w:szCs w:val="22"/>
        </w:rPr>
        <w:t>__________</w:t>
      </w:r>
      <w:bookmarkStart w:id="1" w:name="_GoBack"/>
      <w:bookmarkEnd w:id="1"/>
    </w:p>
    <w:sectPr w:rsidR="00B3369F" w:rsidRPr="00966A92" w:rsidSect="0066015A">
      <w:headerReference w:type="even" r:id="rId22"/>
      <w:headerReference w:type="default" r:id="rId23"/>
      <w:pgSz w:w="15840" w:h="12240" w:orient="landscape"/>
      <w:pgMar w:top="1389" w:right="567" w:bottom="1389" w:left="1134"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8B97D" w14:textId="77777777" w:rsidR="00DC609E" w:rsidRDefault="00DC609E" w:rsidP="00CF1848">
      <w:r>
        <w:separator/>
      </w:r>
    </w:p>
  </w:endnote>
  <w:endnote w:type="continuationSeparator" w:id="0">
    <w:p w14:paraId="5556C9C6" w14:textId="77777777" w:rsidR="00DC609E" w:rsidRDefault="00DC609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1FDB" w14:textId="77777777" w:rsidR="00DD70FA" w:rsidRDefault="00DD70FA" w:rsidP="009719BC">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2E1E" w14:textId="77777777" w:rsidR="00DD70FA" w:rsidRDefault="00DD70FA" w:rsidP="009719BC">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E76E" w14:textId="77777777" w:rsidR="00DC609E" w:rsidRDefault="00DC609E" w:rsidP="00CF1848">
      <w:r>
        <w:separator/>
      </w:r>
    </w:p>
  </w:footnote>
  <w:footnote w:type="continuationSeparator" w:id="0">
    <w:p w14:paraId="3DB3EA55" w14:textId="77777777" w:rsidR="00DC609E" w:rsidRDefault="00DC609E" w:rsidP="00CF1848">
      <w:r>
        <w:continuationSeparator/>
      </w:r>
    </w:p>
  </w:footnote>
  <w:footnote w:id="1">
    <w:p w14:paraId="65ECFD8D" w14:textId="4FDA1E7A" w:rsidR="00B5513E" w:rsidRPr="007579DC" w:rsidRDefault="00B5513E" w:rsidP="009719BC">
      <w:pPr>
        <w:pStyle w:val="FootnoteText"/>
        <w:suppressLineNumbers/>
        <w:suppressAutoHyphens/>
        <w:kinsoku w:val="0"/>
        <w:overflowPunct w:val="0"/>
        <w:autoSpaceDE w:val="0"/>
        <w:autoSpaceDN w:val="0"/>
        <w:adjustRightInd w:val="0"/>
        <w:snapToGrid w:val="0"/>
        <w:ind w:firstLine="0"/>
        <w:jc w:val="left"/>
        <w:rPr>
          <w:kern w:val="18"/>
          <w:szCs w:val="18"/>
        </w:rPr>
      </w:pPr>
      <w:r w:rsidRPr="007579DC">
        <w:rPr>
          <w:rStyle w:val="FootnoteReference"/>
          <w:kern w:val="18"/>
          <w:sz w:val="18"/>
          <w:szCs w:val="18"/>
        </w:rPr>
        <w:footnoteRef/>
      </w:r>
      <w:r w:rsidRPr="007579DC">
        <w:rPr>
          <w:kern w:val="18"/>
          <w:szCs w:val="18"/>
        </w:rPr>
        <w:t xml:space="preserve"> </w:t>
      </w:r>
      <w:r w:rsidR="00C86F44" w:rsidRPr="007579DC">
        <w:rPr>
          <w:kern w:val="18"/>
          <w:szCs w:val="18"/>
        </w:rPr>
        <w:t xml:space="preserve">See </w:t>
      </w:r>
      <w:hyperlink r:id="rId1" w:history="1">
        <w:r w:rsidRPr="009719BC">
          <w:rPr>
            <w:rStyle w:val="Hyperlink"/>
            <w:kern w:val="18"/>
            <w:szCs w:val="18"/>
          </w:rPr>
          <w:t>UNEP/CBD/NP/COP-MOP/2/4</w:t>
        </w:r>
      </w:hyperlink>
      <w:r w:rsidRPr="007579DC">
        <w:rPr>
          <w:kern w:val="18"/>
          <w:szCs w:val="18"/>
        </w:rPr>
        <w:t>.</w:t>
      </w:r>
    </w:p>
  </w:footnote>
  <w:footnote w:id="2">
    <w:p w14:paraId="00924E39" w14:textId="0126FB1A" w:rsidR="00386703" w:rsidRPr="009719BC" w:rsidRDefault="00386703" w:rsidP="009719BC">
      <w:pPr>
        <w:pStyle w:val="FootnoteText"/>
        <w:suppressLineNumbers/>
        <w:suppressAutoHyphens/>
        <w:ind w:firstLine="0"/>
        <w:jc w:val="left"/>
        <w:rPr>
          <w:kern w:val="18"/>
          <w:szCs w:val="18"/>
        </w:rPr>
      </w:pPr>
      <w:r w:rsidRPr="009719BC">
        <w:rPr>
          <w:rStyle w:val="FootnoteReference"/>
          <w:kern w:val="18"/>
          <w:sz w:val="18"/>
          <w:szCs w:val="18"/>
        </w:rPr>
        <w:footnoteRef/>
      </w:r>
      <w:r w:rsidRPr="009719BC">
        <w:rPr>
          <w:kern w:val="18"/>
          <w:szCs w:val="18"/>
        </w:rPr>
        <w:t xml:space="preserve"> See </w:t>
      </w:r>
      <w:hyperlink r:id="rId2" w:history="1">
        <w:r w:rsidR="00B14CC3" w:rsidRPr="007579DC">
          <w:rPr>
            <w:rStyle w:val="Hyperlink"/>
            <w:kern w:val="18"/>
            <w:szCs w:val="18"/>
          </w:rPr>
          <w:t>CBD/</w:t>
        </w:r>
        <w:r w:rsidRPr="009719BC">
          <w:rPr>
            <w:rStyle w:val="Hyperlink"/>
            <w:kern w:val="18"/>
          </w:rPr>
          <w:t>SBI/2/3</w:t>
        </w:r>
      </w:hyperlink>
      <w:r w:rsidR="00B14CC3" w:rsidRPr="007579DC">
        <w:rPr>
          <w:kern w:val="18"/>
          <w:szCs w:val="18"/>
        </w:rPr>
        <w:t>,</w:t>
      </w:r>
      <w:r w:rsidRPr="009719BC">
        <w:rPr>
          <w:kern w:val="18"/>
          <w:szCs w:val="18"/>
        </w:rPr>
        <w:t xml:space="preserve"> sect</w:t>
      </w:r>
      <w:r w:rsidR="00B14CC3" w:rsidRPr="007579DC">
        <w:rPr>
          <w:kern w:val="18"/>
          <w:szCs w:val="18"/>
        </w:rPr>
        <w:t>. </w:t>
      </w:r>
      <w:r w:rsidRPr="009719BC">
        <w:rPr>
          <w:kern w:val="18"/>
          <w:szCs w:val="18"/>
        </w:rPr>
        <w:t>III, A, 2 (a)</w:t>
      </w:r>
      <w:r w:rsidR="00EB5858" w:rsidRPr="009719BC">
        <w:rPr>
          <w:kern w:val="18"/>
          <w:szCs w:val="18"/>
        </w:rPr>
        <w:t>.</w:t>
      </w:r>
    </w:p>
  </w:footnote>
  <w:footnote w:id="3">
    <w:p w14:paraId="3BBEE937" w14:textId="77777777" w:rsidR="00B5513E" w:rsidRPr="009719BC" w:rsidRDefault="00B5513E" w:rsidP="009719BC">
      <w:pPr>
        <w:pStyle w:val="FootnoteText"/>
        <w:suppressLineNumbers/>
        <w:suppressAutoHyphens/>
        <w:kinsoku w:val="0"/>
        <w:overflowPunct w:val="0"/>
        <w:autoSpaceDE w:val="0"/>
        <w:autoSpaceDN w:val="0"/>
        <w:adjustRightInd w:val="0"/>
        <w:snapToGrid w:val="0"/>
        <w:ind w:firstLine="0"/>
        <w:jc w:val="left"/>
        <w:rPr>
          <w:kern w:val="18"/>
          <w:szCs w:val="18"/>
        </w:rPr>
      </w:pPr>
      <w:r w:rsidRPr="007579DC">
        <w:rPr>
          <w:rStyle w:val="FootnoteReference"/>
          <w:kern w:val="18"/>
          <w:sz w:val="18"/>
          <w:szCs w:val="18"/>
        </w:rPr>
        <w:footnoteRef/>
      </w:r>
      <w:r w:rsidRPr="007579DC">
        <w:rPr>
          <w:kern w:val="18"/>
          <w:szCs w:val="18"/>
        </w:rPr>
        <w:t xml:space="preserve"> </w:t>
      </w:r>
      <w:r w:rsidRPr="009719BC">
        <w:rPr>
          <w:kern w:val="18"/>
          <w:szCs w:val="18"/>
        </w:rPr>
        <w:t xml:space="preserve">Changes introduced by </w:t>
      </w:r>
      <w:r w:rsidR="00B704C6" w:rsidRPr="009719BC">
        <w:rPr>
          <w:kern w:val="18"/>
          <w:szCs w:val="18"/>
        </w:rPr>
        <w:t>the Parties to the Protocol</w:t>
      </w:r>
      <w:r w:rsidRPr="009719BC">
        <w:rPr>
          <w:kern w:val="18"/>
          <w:szCs w:val="18"/>
        </w:rPr>
        <w:t xml:space="preserve"> to the wording of the recommendations of the Committee appear in bold in the second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47B" w14:textId="34649109" w:rsidR="00B5513E" w:rsidRPr="0011129E" w:rsidRDefault="00B5513E" w:rsidP="00AC26FA">
    <w:pPr>
      <w:rPr>
        <w:noProof/>
      </w:rPr>
    </w:pPr>
    <w:r w:rsidRPr="0011129E">
      <w:rPr>
        <w:noProof/>
      </w:rPr>
      <w:t>CBD/</w:t>
    </w:r>
    <w:r w:rsidR="00345921">
      <w:rPr>
        <w:noProof/>
      </w:rPr>
      <w:t>NP</w:t>
    </w:r>
    <w:r w:rsidRPr="0011129E">
      <w:rPr>
        <w:noProof/>
      </w:rPr>
      <w:t>/CC/</w:t>
    </w:r>
    <w:r w:rsidR="00380613">
      <w:rPr>
        <w:noProof/>
      </w:rPr>
      <w:t>3</w:t>
    </w:r>
    <w:r w:rsidRPr="0011129E">
      <w:rPr>
        <w:noProof/>
      </w:rPr>
      <w:t>/</w:t>
    </w:r>
    <w:r w:rsidRPr="004F0DAA">
      <w:rPr>
        <w:noProof/>
      </w:rPr>
      <w:t>2</w:t>
    </w:r>
  </w:p>
  <w:p w14:paraId="195BC494" w14:textId="77777777" w:rsidR="00B5513E" w:rsidRPr="0011129E" w:rsidRDefault="00B5513E" w:rsidP="0011129E">
    <w:pPr>
      <w:tabs>
        <w:tab w:val="left" w:pos="6379"/>
      </w:tabs>
      <w:rPr>
        <w:noProof/>
      </w:rPr>
    </w:pPr>
    <w:r w:rsidRPr="0011129E">
      <w:rPr>
        <w:noProof/>
      </w:rPr>
      <w:t xml:space="preserve">Page </w:t>
    </w:r>
    <w:r w:rsidRPr="0011129E">
      <w:rPr>
        <w:noProof/>
      </w:rPr>
      <w:fldChar w:fldCharType="begin"/>
    </w:r>
    <w:r w:rsidRPr="0011129E">
      <w:rPr>
        <w:noProof/>
      </w:rPr>
      <w:instrText xml:space="preserve">PAGE  </w:instrText>
    </w:r>
    <w:r w:rsidRPr="0011129E">
      <w:rPr>
        <w:noProof/>
      </w:rPr>
      <w:fldChar w:fldCharType="separate"/>
    </w:r>
    <w:r w:rsidR="0066015A">
      <w:rPr>
        <w:noProof/>
      </w:rPr>
      <w:t>4</w:t>
    </w:r>
    <w:r w:rsidRPr="0011129E">
      <w:rPr>
        <w:noProof/>
      </w:rPr>
      <w:fldChar w:fldCharType="end"/>
    </w:r>
  </w:p>
  <w:p w14:paraId="709118D6" w14:textId="77777777" w:rsidR="00B5513E" w:rsidRPr="0011129E" w:rsidRDefault="00B5513E" w:rsidP="0011129E">
    <w:pPr>
      <w:tabs>
        <w:tab w:val="left" w:pos="6379"/>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DB75" w14:textId="1435BB10" w:rsidR="00B5513E" w:rsidRPr="006642E1" w:rsidRDefault="00B5513E" w:rsidP="0011129E">
    <w:pPr>
      <w:jc w:val="right"/>
      <w:rPr>
        <w:noProof/>
        <w:lang w:val="fr-CA"/>
      </w:rPr>
    </w:pPr>
    <w:r w:rsidRPr="006642E1">
      <w:rPr>
        <w:noProof/>
        <w:lang w:val="fr-CA"/>
      </w:rPr>
      <w:t>CBD/</w:t>
    </w:r>
    <w:r w:rsidR="00345921">
      <w:rPr>
        <w:noProof/>
        <w:lang w:val="fr-CA"/>
      </w:rPr>
      <w:t>NP/</w:t>
    </w:r>
    <w:r w:rsidRPr="006642E1">
      <w:rPr>
        <w:noProof/>
        <w:lang w:val="fr-CA"/>
      </w:rPr>
      <w:t>CC/</w:t>
    </w:r>
    <w:r w:rsidR="00BE1DED">
      <w:rPr>
        <w:noProof/>
        <w:lang w:val="fr-CA"/>
      </w:rPr>
      <w:t>3</w:t>
    </w:r>
    <w:r w:rsidRPr="006642E1">
      <w:rPr>
        <w:noProof/>
        <w:lang w:val="fr-CA"/>
      </w:rPr>
      <w:t>/</w:t>
    </w:r>
    <w:r w:rsidRPr="004F0DAA">
      <w:rPr>
        <w:noProof/>
        <w:lang w:val="fr-CA"/>
      </w:rPr>
      <w:t>2</w:t>
    </w:r>
  </w:p>
  <w:p w14:paraId="6A09DF48" w14:textId="77777777" w:rsidR="00B5513E" w:rsidRPr="006642E1" w:rsidRDefault="00B5513E" w:rsidP="0011129E">
    <w:pPr>
      <w:jc w:val="right"/>
      <w:rPr>
        <w:noProof/>
        <w:lang w:val="fr-CA"/>
      </w:rPr>
    </w:pPr>
    <w:r w:rsidRPr="006642E1">
      <w:rPr>
        <w:noProof/>
        <w:lang w:val="fr-CA"/>
      </w:rPr>
      <w:t xml:space="preserve">Page </w:t>
    </w:r>
    <w:r w:rsidRPr="0011129E">
      <w:rPr>
        <w:noProof/>
      </w:rPr>
      <w:fldChar w:fldCharType="begin"/>
    </w:r>
    <w:r w:rsidRPr="006642E1">
      <w:rPr>
        <w:noProof/>
        <w:lang w:val="fr-CA"/>
      </w:rPr>
      <w:instrText xml:space="preserve">PAGE  </w:instrText>
    </w:r>
    <w:r w:rsidRPr="0011129E">
      <w:rPr>
        <w:noProof/>
      </w:rPr>
      <w:fldChar w:fldCharType="separate"/>
    </w:r>
    <w:r w:rsidR="0066015A">
      <w:rPr>
        <w:noProof/>
      </w:rPr>
      <w:t>5</w:t>
    </w:r>
    <w:r w:rsidRPr="0011129E">
      <w:rPr>
        <w:noProof/>
      </w:rPr>
      <w:fldChar w:fldCharType="end"/>
    </w:r>
  </w:p>
  <w:p w14:paraId="17C7CDD0" w14:textId="77777777" w:rsidR="00B5513E" w:rsidRPr="006642E1" w:rsidRDefault="00B5513E" w:rsidP="0011129E">
    <w:pPr>
      <w:jc w:val="right"/>
      <w:rPr>
        <w:noProof/>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D9C3174" w14:textId="18534BF0" w:rsidR="00534681" w:rsidRPr="009719BC" w:rsidRDefault="00345921" w:rsidP="0066015A">
        <w:pPr>
          <w:pStyle w:val="Header"/>
          <w:tabs>
            <w:tab w:val="clear" w:pos="4320"/>
            <w:tab w:val="clear" w:pos="8640"/>
          </w:tabs>
          <w:kinsoku w:val="0"/>
          <w:overflowPunct w:val="0"/>
          <w:autoSpaceDE w:val="0"/>
          <w:autoSpaceDN w:val="0"/>
          <w:jc w:val="left"/>
          <w:rPr>
            <w:noProof/>
            <w:kern w:val="22"/>
          </w:rPr>
        </w:pPr>
        <w:r w:rsidRPr="009719BC">
          <w:rPr>
            <w:noProof/>
            <w:kern w:val="22"/>
          </w:rPr>
          <w:t>CBD/NP/CC/3/2</w:t>
        </w:r>
      </w:p>
    </w:sdtContent>
  </w:sdt>
  <w:p w14:paraId="0C21FF9E" w14:textId="77777777" w:rsidR="00534681" w:rsidRPr="009719BC" w:rsidRDefault="00534681" w:rsidP="0066015A">
    <w:pPr>
      <w:pStyle w:val="Header"/>
      <w:tabs>
        <w:tab w:val="clear" w:pos="4320"/>
        <w:tab w:val="clear" w:pos="8640"/>
      </w:tabs>
      <w:kinsoku w:val="0"/>
      <w:overflowPunct w:val="0"/>
      <w:autoSpaceDE w:val="0"/>
      <w:autoSpaceDN w:val="0"/>
      <w:jc w:val="left"/>
      <w:rPr>
        <w:noProof/>
        <w:kern w:val="22"/>
      </w:rPr>
    </w:pPr>
    <w:r w:rsidRPr="009719BC">
      <w:rPr>
        <w:noProof/>
        <w:kern w:val="22"/>
      </w:rPr>
      <w:t xml:space="preserve">Page </w:t>
    </w:r>
    <w:r w:rsidRPr="009719BC">
      <w:rPr>
        <w:noProof/>
        <w:kern w:val="22"/>
      </w:rPr>
      <w:fldChar w:fldCharType="begin"/>
    </w:r>
    <w:r w:rsidRPr="009719BC">
      <w:rPr>
        <w:noProof/>
        <w:kern w:val="22"/>
      </w:rPr>
      <w:instrText xml:space="preserve"> PAGE   \* MERGEFORMAT </w:instrText>
    </w:r>
    <w:r w:rsidRPr="009719BC">
      <w:rPr>
        <w:noProof/>
        <w:kern w:val="22"/>
      </w:rPr>
      <w:fldChar w:fldCharType="separate"/>
    </w:r>
    <w:r w:rsidR="0066015A" w:rsidRPr="009719BC">
      <w:rPr>
        <w:noProof/>
        <w:kern w:val="22"/>
      </w:rPr>
      <w:t>10</w:t>
    </w:r>
    <w:r w:rsidRPr="009719BC">
      <w:rPr>
        <w:noProof/>
        <w:kern w:val="22"/>
      </w:rPr>
      <w:fldChar w:fldCharType="end"/>
    </w:r>
  </w:p>
  <w:p w14:paraId="0F580706" w14:textId="77777777" w:rsidR="00534681" w:rsidRPr="009719BC" w:rsidRDefault="00534681" w:rsidP="0066015A">
    <w:pPr>
      <w:pStyle w:val="Header"/>
      <w:tabs>
        <w:tab w:val="clear" w:pos="4320"/>
        <w:tab w:val="clear" w:pos="8640"/>
      </w:tabs>
      <w:kinsoku w:val="0"/>
      <w:overflowPunct w:val="0"/>
      <w:autoSpaceDE w:val="0"/>
      <w:autoSpaceDN w:val="0"/>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8795728" w14:textId="4E94F4C1" w:rsidR="009505C9" w:rsidRDefault="00345921" w:rsidP="0066015A">
        <w:pPr>
          <w:pStyle w:val="Header"/>
          <w:tabs>
            <w:tab w:val="clear" w:pos="4320"/>
            <w:tab w:val="clear" w:pos="8640"/>
          </w:tabs>
          <w:kinsoku w:val="0"/>
          <w:overflowPunct w:val="0"/>
          <w:autoSpaceDE w:val="0"/>
          <w:autoSpaceDN w:val="0"/>
          <w:jc w:val="right"/>
          <w:rPr>
            <w:noProof/>
          </w:rPr>
        </w:pPr>
        <w:r>
          <w:rPr>
            <w:noProof/>
          </w:rPr>
          <w:t>CBD/NP/CC/3/2</w:t>
        </w:r>
      </w:p>
    </w:sdtContent>
  </w:sdt>
  <w:p w14:paraId="2211777E" w14:textId="77777777" w:rsidR="009505C9" w:rsidRDefault="009505C9" w:rsidP="0066015A">
    <w:pPr>
      <w:pStyle w:val="Header"/>
      <w:tabs>
        <w:tab w:val="clear" w:pos="4320"/>
        <w:tab w:val="clear" w:pos="8640"/>
      </w:tabs>
      <w:kinsoku w:val="0"/>
      <w:overflowPunct w:val="0"/>
      <w:autoSpaceDE w:val="0"/>
      <w:autoSpaceDN w:val="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66015A">
      <w:rPr>
        <w:noProof/>
      </w:rPr>
      <w:t>9</w:t>
    </w:r>
    <w:r>
      <w:rPr>
        <w:noProof/>
      </w:rPr>
      <w:fldChar w:fldCharType="end"/>
    </w:r>
  </w:p>
  <w:p w14:paraId="1321EE13" w14:textId="77777777" w:rsidR="009505C9" w:rsidRDefault="009505C9" w:rsidP="0066015A">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2003A9"/>
    <w:multiLevelType w:val="hybridMultilevel"/>
    <w:tmpl w:val="1EF28CAA"/>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03327A8"/>
    <w:multiLevelType w:val="hybridMultilevel"/>
    <w:tmpl w:val="FF1C70DC"/>
    <w:lvl w:ilvl="0" w:tplc="2F52C61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23244"/>
    <w:multiLevelType w:val="multilevel"/>
    <w:tmpl w:val="FD6A64C8"/>
    <w:lvl w:ilvl="0">
      <w:start w:val="1"/>
      <w:numFmt w:val="decimal"/>
      <w:lvlText w:val="%1."/>
      <w:lvlJc w:val="left"/>
      <w:pPr>
        <w:tabs>
          <w:tab w:val="num" w:pos="644"/>
        </w:tabs>
        <w:ind w:left="284"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9156A90"/>
    <w:multiLevelType w:val="hybridMultilevel"/>
    <w:tmpl w:val="FF1C70DC"/>
    <w:lvl w:ilvl="0" w:tplc="2F52C61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9"/>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8"/>
  </w:num>
  <w:num w:numId="20">
    <w:abstractNumId w:val="8"/>
  </w:num>
  <w:num w:numId="21">
    <w:abstractNumId w:val="8"/>
  </w:num>
  <w:num w:numId="22">
    <w:abstractNumId w:val="8"/>
  </w:num>
  <w:num w:numId="23">
    <w:abstractNumId w:val="8"/>
  </w:num>
  <w:num w:numId="24">
    <w:abstractNumId w:val="1"/>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10B1"/>
    <w:rsid w:val="000111F7"/>
    <w:rsid w:val="00035F21"/>
    <w:rsid w:val="0004410C"/>
    <w:rsid w:val="00050AB6"/>
    <w:rsid w:val="00053CAF"/>
    <w:rsid w:val="00055843"/>
    <w:rsid w:val="00055AEE"/>
    <w:rsid w:val="000602BA"/>
    <w:rsid w:val="00064673"/>
    <w:rsid w:val="00077A4A"/>
    <w:rsid w:val="000830E5"/>
    <w:rsid w:val="0008547F"/>
    <w:rsid w:val="000A0A4C"/>
    <w:rsid w:val="000A0AC1"/>
    <w:rsid w:val="000A7E89"/>
    <w:rsid w:val="000B4F55"/>
    <w:rsid w:val="000B52CC"/>
    <w:rsid w:val="000C40D6"/>
    <w:rsid w:val="000D4003"/>
    <w:rsid w:val="000E5002"/>
    <w:rsid w:val="000E673A"/>
    <w:rsid w:val="000F0CA9"/>
    <w:rsid w:val="000F1ADB"/>
    <w:rsid w:val="000F6A05"/>
    <w:rsid w:val="000F74F5"/>
    <w:rsid w:val="00100167"/>
    <w:rsid w:val="00105372"/>
    <w:rsid w:val="001073A5"/>
    <w:rsid w:val="0011451F"/>
    <w:rsid w:val="0012421A"/>
    <w:rsid w:val="00131E7A"/>
    <w:rsid w:val="0015702C"/>
    <w:rsid w:val="00160609"/>
    <w:rsid w:val="001609F8"/>
    <w:rsid w:val="00164545"/>
    <w:rsid w:val="00167131"/>
    <w:rsid w:val="00172AF6"/>
    <w:rsid w:val="00174783"/>
    <w:rsid w:val="00176CEE"/>
    <w:rsid w:val="00180416"/>
    <w:rsid w:val="00181463"/>
    <w:rsid w:val="001852A4"/>
    <w:rsid w:val="0018759F"/>
    <w:rsid w:val="00190AC8"/>
    <w:rsid w:val="001B25B2"/>
    <w:rsid w:val="001B51F8"/>
    <w:rsid w:val="001B7629"/>
    <w:rsid w:val="001C083C"/>
    <w:rsid w:val="001D1111"/>
    <w:rsid w:val="001D1877"/>
    <w:rsid w:val="001D4057"/>
    <w:rsid w:val="001D5DD2"/>
    <w:rsid w:val="001F364D"/>
    <w:rsid w:val="002024DB"/>
    <w:rsid w:val="00207ACE"/>
    <w:rsid w:val="00231364"/>
    <w:rsid w:val="00232498"/>
    <w:rsid w:val="00256D24"/>
    <w:rsid w:val="00260B80"/>
    <w:rsid w:val="00264758"/>
    <w:rsid w:val="00273006"/>
    <w:rsid w:val="0028206C"/>
    <w:rsid w:val="00285BF8"/>
    <w:rsid w:val="002900FA"/>
    <w:rsid w:val="00297C69"/>
    <w:rsid w:val="002B78F7"/>
    <w:rsid w:val="002D2EC1"/>
    <w:rsid w:val="002E133D"/>
    <w:rsid w:val="002E34CB"/>
    <w:rsid w:val="002E5734"/>
    <w:rsid w:val="00301BCF"/>
    <w:rsid w:val="003046B6"/>
    <w:rsid w:val="00306016"/>
    <w:rsid w:val="00325C34"/>
    <w:rsid w:val="003342AD"/>
    <w:rsid w:val="0034519C"/>
    <w:rsid w:val="00345921"/>
    <w:rsid w:val="00356FC1"/>
    <w:rsid w:val="00366FBF"/>
    <w:rsid w:val="00372507"/>
    <w:rsid w:val="003727A0"/>
    <w:rsid w:val="00372A33"/>
    <w:rsid w:val="00372F74"/>
    <w:rsid w:val="00380613"/>
    <w:rsid w:val="00386703"/>
    <w:rsid w:val="003A3116"/>
    <w:rsid w:val="003B108A"/>
    <w:rsid w:val="003D171A"/>
    <w:rsid w:val="003D585D"/>
    <w:rsid w:val="003E0A83"/>
    <w:rsid w:val="003E1367"/>
    <w:rsid w:val="003E5488"/>
    <w:rsid w:val="00404A57"/>
    <w:rsid w:val="004110D0"/>
    <w:rsid w:val="0041305B"/>
    <w:rsid w:val="00415390"/>
    <w:rsid w:val="0041662F"/>
    <w:rsid w:val="0041738D"/>
    <w:rsid w:val="00433C1B"/>
    <w:rsid w:val="00456635"/>
    <w:rsid w:val="004644C2"/>
    <w:rsid w:val="0046500B"/>
    <w:rsid w:val="00471153"/>
    <w:rsid w:val="00472FE0"/>
    <w:rsid w:val="0047564E"/>
    <w:rsid w:val="00483AA2"/>
    <w:rsid w:val="0048732A"/>
    <w:rsid w:val="004C5AE1"/>
    <w:rsid w:val="004C6E80"/>
    <w:rsid w:val="004D6828"/>
    <w:rsid w:val="004F39A5"/>
    <w:rsid w:val="00502AAA"/>
    <w:rsid w:val="0050335E"/>
    <w:rsid w:val="0051706A"/>
    <w:rsid w:val="00522721"/>
    <w:rsid w:val="00523F42"/>
    <w:rsid w:val="005276F5"/>
    <w:rsid w:val="00532259"/>
    <w:rsid w:val="00534681"/>
    <w:rsid w:val="00542117"/>
    <w:rsid w:val="0055221A"/>
    <w:rsid w:val="00552C43"/>
    <w:rsid w:val="00565151"/>
    <w:rsid w:val="0056731C"/>
    <w:rsid w:val="005736CF"/>
    <w:rsid w:val="00584A41"/>
    <w:rsid w:val="005852D9"/>
    <w:rsid w:val="005901DC"/>
    <w:rsid w:val="00596CBB"/>
    <w:rsid w:val="005A2419"/>
    <w:rsid w:val="005A666F"/>
    <w:rsid w:val="005B26E3"/>
    <w:rsid w:val="005B3C45"/>
    <w:rsid w:val="005C12A2"/>
    <w:rsid w:val="005C1F46"/>
    <w:rsid w:val="005C4209"/>
    <w:rsid w:val="005E32B7"/>
    <w:rsid w:val="0061041A"/>
    <w:rsid w:val="00610500"/>
    <w:rsid w:val="00610F72"/>
    <w:rsid w:val="00633F89"/>
    <w:rsid w:val="006345DF"/>
    <w:rsid w:val="006410A4"/>
    <w:rsid w:val="00645742"/>
    <w:rsid w:val="0066015A"/>
    <w:rsid w:val="00660370"/>
    <w:rsid w:val="00662764"/>
    <w:rsid w:val="0067118A"/>
    <w:rsid w:val="00673DF3"/>
    <w:rsid w:val="0067709D"/>
    <w:rsid w:val="00682BD7"/>
    <w:rsid w:val="006A58EE"/>
    <w:rsid w:val="006C5FCE"/>
    <w:rsid w:val="006D35E3"/>
    <w:rsid w:val="006E5D15"/>
    <w:rsid w:val="00701C68"/>
    <w:rsid w:val="00706F6E"/>
    <w:rsid w:val="00710F2C"/>
    <w:rsid w:val="007139CE"/>
    <w:rsid w:val="00717D88"/>
    <w:rsid w:val="007317E5"/>
    <w:rsid w:val="00733D05"/>
    <w:rsid w:val="00734EEF"/>
    <w:rsid w:val="007379FE"/>
    <w:rsid w:val="007407C0"/>
    <w:rsid w:val="00742848"/>
    <w:rsid w:val="0074401B"/>
    <w:rsid w:val="00746292"/>
    <w:rsid w:val="00757432"/>
    <w:rsid w:val="007579DC"/>
    <w:rsid w:val="00764BCD"/>
    <w:rsid w:val="00773294"/>
    <w:rsid w:val="007810D8"/>
    <w:rsid w:val="00782D60"/>
    <w:rsid w:val="0078553B"/>
    <w:rsid w:val="007942D3"/>
    <w:rsid w:val="007A6E81"/>
    <w:rsid w:val="007B0A2E"/>
    <w:rsid w:val="007B6C09"/>
    <w:rsid w:val="007C6583"/>
    <w:rsid w:val="007D226D"/>
    <w:rsid w:val="007D6A21"/>
    <w:rsid w:val="007E09DA"/>
    <w:rsid w:val="007E2E61"/>
    <w:rsid w:val="007F670A"/>
    <w:rsid w:val="008005AD"/>
    <w:rsid w:val="00804626"/>
    <w:rsid w:val="008103DF"/>
    <w:rsid w:val="00812A2D"/>
    <w:rsid w:val="0081405B"/>
    <w:rsid w:val="008160D8"/>
    <w:rsid w:val="008178B6"/>
    <w:rsid w:val="00821589"/>
    <w:rsid w:val="00823848"/>
    <w:rsid w:val="00825980"/>
    <w:rsid w:val="008415B5"/>
    <w:rsid w:val="00844B70"/>
    <w:rsid w:val="00853B3F"/>
    <w:rsid w:val="008656BE"/>
    <w:rsid w:val="008726B7"/>
    <w:rsid w:val="00877B8B"/>
    <w:rsid w:val="008819FB"/>
    <w:rsid w:val="00892B96"/>
    <w:rsid w:val="00893D73"/>
    <w:rsid w:val="008A0B52"/>
    <w:rsid w:val="008A31B4"/>
    <w:rsid w:val="008A744A"/>
    <w:rsid w:val="008C1678"/>
    <w:rsid w:val="008D004D"/>
    <w:rsid w:val="008D14F7"/>
    <w:rsid w:val="008E0C6B"/>
    <w:rsid w:val="008E7185"/>
    <w:rsid w:val="008F7E61"/>
    <w:rsid w:val="0090168B"/>
    <w:rsid w:val="00921D90"/>
    <w:rsid w:val="00926398"/>
    <w:rsid w:val="00934EB4"/>
    <w:rsid w:val="0094047D"/>
    <w:rsid w:val="00945E93"/>
    <w:rsid w:val="009505C9"/>
    <w:rsid w:val="00954828"/>
    <w:rsid w:val="00957565"/>
    <w:rsid w:val="00966A92"/>
    <w:rsid w:val="009719BC"/>
    <w:rsid w:val="0097427A"/>
    <w:rsid w:val="009800B9"/>
    <w:rsid w:val="009818B5"/>
    <w:rsid w:val="00982D6C"/>
    <w:rsid w:val="009904F2"/>
    <w:rsid w:val="00994ED2"/>
    <w:rsid w:val="009A245C"/>
    <w:rsid w:val="009A2BF2"/>
    <w:rsid w:val="009A413C"/>
    <w:rsid w:val="009A69BC"/>
    <w:rsid w:val="009B57C7"/>
    <w:rsid w:val="009B7083"/>
    <w:rsid w:val="009C22CB"/>
    <w:rsid w:val="009E243A"/>
    <w:rsid w:val="00A0375E"/>
    <w:rsid w:val="00A10BD9"/>
    <w:rsid w:val="00A13DBE"/>
    <w:rsid w:val="00A26267"/>
    <w:rsid w:val="00A34BE9"/>
    <w:rsid w:val="00A50007"/>
    <w:rsid w:val="00A506A1"/>
    <w:rsid w:val="00A5256D"/>
    <w:rsid w:val="00A535F2"/>
    <w:rsid w:val="00A55D8C"/>
    <w:rsid w:val="00A7238B"/>
    <w:rsid w:val="00A728A8"/>
    <w:rsid w:val="00A913D2"/>
    <w:rsid w:val="00AB0D83"/>
    <w:rsid w:val="00AD1BE0"/>
    <w:rsid w:val="00B0730F"/>
    <w:rsid w:val="00B100C9"/>
    <w:rsid w:val="00B14748"/>
    <w:rsid w:val="00B1489E"/>
    <w:rsid w:val="00B14CC3"/>
    <w:rsid w:val="00B17F65"/>
    <w:rsid w:val="00B20488"/>
    <w:rsid w:val="00B3369F"/>
    <w:rsid w:val="00B35FD7"/>
    <w:rsid w:val="00B363DD"/>
    <w:rsid w:val="00B41243"/>
    <w:rsid w:val="00B46CBE"/>
    <w:rsid w:val="00B5513E"/>
    <w:rsid w:val="00B60F33"/>
    <w:rsid w:val="00B61B52"/>
    <w:rsid w:val="00B704C6"/>
    <w:rsid w:val="00B7104B"/>
    <w:rsid w:val="00B71D3E"/>
    <w:rsid w:val="00B72BB4"/>
    <w:rsid w:val="00B81378"/>
    <w:rsid w:val="00B85082"/>
    <w:rsid w:val="00B87727"/>
    <w:rsid w:val="00BA243E"/>
    <w:rsid w:val="00BB2812"/>
    <w:rsid w:val="00BB75BD"/>
    <w:rsid w:val="00BC5E1B"/>
    <w:rsid w:val="00BC69BE"/>
    <w:rsid w:val="00BD0DF8"/>
    <w:rsid w:val="00BD2D4D"/>
    <w:rsid w:val="00BE1DED"/>
    <w:rsid w:val="00BE5D65"/>
    <w:rsid w:val="00BF1642"/>
    <w:rsid w:val="00C05126"/>
    <w:rsid w:val="00C075CC"/>
    <w:rsid w:val="00C20C27"/>
    <w:rsid w:val="00C22E2B"/>
    <w:rsid w:val="00C301B2"/>
    <w:rsid w:val="00C501C8"/>
    <w:rsid w:val="00C53760"/>
    <w:rsid w:val="00C60D38"/>
    <w:rsid w:val="00C633B3"/>
    <w:rsid w:val="00C719E3"/>
    <w:rsid w:val="00C86F44"/>
    <w:rsid w:val="00C9161D"/>
    <w:rsid w:val="00CA19FE"/>
    <w:rsid w:val="00CA38C1"/>
    <w:rsid w:val="00CA69C8"/>
    <w:rsid w:val="00CC41B4"/>
    <w:rsid w:val="00CD6FE0"/>
    <w:rsid w:val="00CD732A"/>
    <w:rsid w:val="00CE0864"/>
    <w:rsid w:val="00CE2805"/>
    <w:rsid w:val="00CF086B"/>
    <w:rsid w:val="00CF1115"/>
    <w:rsid w:val="00CF1848"/>
    <w:rsid w:val="00D020F3"/>
    <w:rsid w:val="00D06FAC"/>
    <w:rsid w:val="00D21574"/>
    <w:rsid w:val="00D23192"/>
    <w:rsid w:val="00D30614"/>
    <w:rsid w:val="00D30F99"/>
    <w:rsid w:val="00D36D9F"/>
    <w:rsid w:val="00D43B8D"/>
    <w:rsid w:val="00D46E8A"/>
    <w:rsid w:val="00D51BB2"/>
    <w:rsid w:val="00D63BFB"/>
    <w:rsid w:val="00D76A18"/>
    <w:rsid w:val="00D80866"/>
    <w:rsid w:val="00D90BA1"/>
    <w:rsid w:val="00D92244"/>
    <w:rsid w:val="00D924AB"/>
    <w:rsid w:val="00DA3CEC"/>
    <w:rsid w:val="00DA644C"/>
    <w:rsid w:val="00DB4C56"/>
    <w:rsid w:val="00DC0A98"/>
    <w:rsid w:val="00DC609E"/>
    <w:rsid w:val="00DD118C"/>
    <w:rsid w:val="00DD27E6"/>
    <w:rsid w:val="00DD4488"/>
    <w:rsid w:val="00DD5887"/>
    <w:rsid w:val="00DD5FFE"/>
    <w:rsid w:val="00DD70FA"/>
    <w:rsid w:val="00DE3583"/>
    <w:rsid w:val="00DF55C2"/>
    <w:rsid w:val="00E14D7B"/>
    <w:rsid w:val="00E215AA"/>
    <w:rsid w:val="00E30700"/>
    <w:rsid w:val="00E33480"/>
    <w:rsid w:val="00E409E5"/>
    <w:rsid w:val="00E42902"/>
    <w:rsid w:val="00E65D26"/>
    <w:rsid w:val="00E66235"/>
    <w:rsid w:val="00E7063C"/>
    <w:rsid w:val="00E7747A"/>
    <w:rsid w:val="00E83C24"/>
    <w:rsid w:val="00E958CB"/>
    <w:rsid w:val="00E97821"/>
    <w:rsid w:val="00EA0C18"/>
    <w:rsid w:val="00EA655B"/>
    <w:rsid w:val="00EB5858"/>
    <w:rsid w:val="00EC6654"/>
    <w:rsid w:val="00ED18EA"/>
    <w:rsid w:val="00EE1719"/>
    <w:rsid w:val="00EE7EE9"/>
    <w:rsid w:val="00EF7194"/>
    <w:rsid w:val="00EF7480"/>
    <w:rsid w:val="00F10836"/>
    <w:rsid w:val="00F16D18"/>
    <w:rsid w:val="00F23049"/>
    <w:rsid w:val="00F41946"/>
    <w:rsid w:val="00F46FD6"/>
    <w:rsid w:val="00F73C7C"/>
    <w:rsid w:val="00F7743D"/>
    <w:rsid w:val="00F90A89"/>
    <w:rsid w:val="00F90EFC"/>
    <w:rsid w:val="00F94774"/>
    <w:rsid w:val="00FA48E0"/>
    <w:rsid w:val="00FB71AE"/>
    <w:rsid w:val="00FC53DB"/>
    <w:rsid w:val="00FF6E8E"/>
    <w:rsid w:val="00FF71A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B4F75"/>
  <w15:docId w15:val="{19AA1E0F-748A-4047-A600-1090BA95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B17F65"/>
    <w:rPr>
      <w:sz w:val="22"/>
      <w:u w:val="none"/>
      <w:vertAlign w:val="superscript"/>
    </w:rPr>
  </w:style>
  <w:style w:type="paragraph" w:styleId="FootnoteText">
    <w:name w:val="footnote text"/>
    <w:aliases w:val="fn,Geneva 9,Font: Geneva 9,Boston 10,f"/>
    <w:basedOn w:val="Normal"/>
    <w:link w:val="FootnoteTextChar"/>
    <w:uiPriority w:val="99"/>
    <w:semiHidden/>
    <w:rsid w:val="007E09DA"/>
    <w:pPr>
      <w:keepLines/>
      <w:spacing w:after="60"/>
      <w:ind w:firstLine="720"/>
    </w:pPr>
    <w:rPr>
      <w:sz w:val="18"/>
    </w:rPr>
  </w:style>
  <w:style w:type="character" w:customStyle="1" w:styleId="FootnoteTextChar">
    <w:name w:val="Footnote Text Char"/>
    <w:aliases w:val="fn Char,Geneva 9 Char,Font: Geneva 9 Char,Boston 10 Char,f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Default">
    <w:name w:val="Default"/>
    <w:rsid w:val="00B5513E"/>
    <w:pPr>
      <w:autoSpaceDE w:val="0"/>
      <w:autoSpaceDN w:val="0"/>
      <w:adjustRightInd w:val="0"/>
    </w:pPr>
    <w:rPr>
      <w:rFonts w:ascii="Times New Roman" w:eastAsia="Times New Roman" w:hAnsi="Times New Roman" w:cs="Times New Roman"/>
      <w:color w:val="000000"/>
      <w:lang w:val="en-CA" w:eastAsia="ko-KR"/>
    </w:rPr>
  </w:style>
  <w:style w:type="paragraph" w:customStyle="1" w:styleId="Para10">
    <w:name w:val="Para 1"/>
    <w:basedOn w:val="Normal"/>
    <w:rsid w:val="00B5513E"/>
    <w:pPr>
      <w:tabs>
        <w:tab w:val="num" w:pos="644"/>
      </w:tabs>
      <w:ind w:left="284"/>
    </w:pPr>
  </w:style>
  <w:style w:type="character" w:customStyle="1" w:styleId="UnresolvedMention1">
    <w:name w:val="Unresolved Mention1"/>
    <w:basedOn w:val="DefaultParagraphFont"/>
    <w:uiPriority w:val="99"/>
    <w:semiHidden/>
    <w:unhideWhenUsed/>
    <w:rsid w:val="00C53760"/>
    <w:rPr>
      <w:color w:val="808080"/>
      <w:shd w:val="clear" w:color="auto" w:fill="E6E6E6"/>
    </w:rPr>
  </w:style>
  <w:style w:type="paragraph" w:styleId="ListParagraph">
    <w:name w:val="List Paragraph"/>
    <w:basedOn w:val="Normal"/>
    <w:uiPriority w:val="34"/>
    <w:qFormat/>
    <w:rsid w:val="00FB71AE"/>
    <w:pPr>
      <w:ind w:left="720"/>
      <w:contextualSpacing/>
    </w:pPr>
    <w:rPr>
      <w:rFonts w:cs="Angsana New"/>
    </w:rPr>
  </w:style>
  <w:style w:type="paragraph" w:styleId="CommentSubject">
    <w:name w:val="annotation subject"/>
    <w:basedOn w:val="CommentText"/>
    <w:next w:val="CommentText"/>
    <w:link w:val="CommentSubjectChar"/>
    <w:uiPriority w:val="99"/>
    <w:semiHidden/>
    <w:unhideWhenUsed/>
    <w:rsid w:val="0095482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4828"/>
    <w:rPr>
      <w:rFonts w:ascii="Times New Roman" w:eastAsia="Times New Roman" w:hAnsi="Times New Roman" w:cs="Times New Roman"/>
      <w:b/>
      <w:bCs/>
      <w:sz w:val="20"/>
      <w:szCs w:val="20"/>
      <w:lang w:val="en-GB"/>
    </w:rPr>
  </w:style>
  <w:style w:type="paragraph" w:styleId="Revision">
    <w:name w:val="Revision"/>
    <w:hidden/>
    <w:uiPriority w:val="99"/>
    <w:semiHidden/>
    <w:rsid w:val="00954828"/>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E6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59652">
      <w:bodyDiv w:val="1"/>
      <w:marLeft w:val="0"/>
      <w:marRight w:val="0"/>
      <w:marTop w:val="0"/>
      <w:marBottom w:val="0"/>
      <w:divBdr>
        <w:top w:val="none" w:sz="0" w:space="0" w:color="auto"/>
        <w:left w:val="none" w:sz="0" w:space="0" w:color="auto"/>
        <w:bottom w:val="none" w:sz="0" w:space="0" w:color="auto"/>
        <w:right w:val="none" w:sz="0" w:space="0" w:color="auto"/>
      </w:divBdr>
    </w:div>
    <w:div w:id="1316759543">
      <w:bodyDiv w:val="1"/>
      <w:marLeft w:val="0"/>
      <w:marRight w:val="0"/>
      <w:marTop w:val="0"/>
      <w:marBottom w:val="0"/>
      <w:divBdr>
        <w:top w:val="none" w:sz="0" w:space="0" w:color="auto"/>
        <w:left w:val="none" w:sz="0" w:space="0" w:color="auto"/>
        <w:bottom w:val="none" w:sz="0" w:space="0" w:color="auto"/>
        <w:right w:val="none" w:sz="0" w:space="0" w:color="auto"/>
      </w:divBdr>
    </w:div>
    <w:div w:id="1497765961">
      <w:bodyDiv w:val="1"/>
      <w:marLeft w:val="0"/>
      <w:marRight w:val="0"/>
      <w:marTop w:val="0"/>
      <w:marBottom w:val="0"/>
      <w:divBdr>
        <w:top w:val="none" w:sz="0" w:space="0" w:color="auto"/>
        <w:left w:val="none" w:sz="0" w:space="0" w:color="auto"/>
        <w:bottom w:val="none" w:sz="0" w:space="0" w:color="auto"/>
        <w:right w:val="none" w:sz="0" w:space="0" w:color="auto"/>
      </w:divBdr>
    </w:div>
    <w:div w:id="1903564217">
      <w:bodyDiv w:val="1"/>
      <w:marLeft w:val="0"/>
      <w:marRight w:val="0"/>
      <w:marTop w:val="0"/>
      <w:marBottom w:val="0"/>
      <w:divBdr>
        <w:top w:val="none" w:sz="0" w:space="0" w:color="auto"/>
        <w:left w:val="none" w:sz="0" w:space="0" w:color="auto"/>
        <w:bottom w:val="none" w:sz="0" w:space="0" w:color="auto"/>
        <w:right w:val="none" w:sz="0" w:space="0" w:color="auto"/>
      </w:divBdr>
    </w:div>
    <w:div w:id="2029913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01-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recommendations/sbi-02/sbi-02-rec-02-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meetings/abs/np-mop-02/official/np-mop-02-04-en.pdf"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15ec/ada6/2e4895fca3076383e4b74164/sbi-02-03-en.pdf" TargetMode="External"/><Relationship Id="rId1" Type="http://schemas.openxmlformats.org/officeDocument/2006/relationships/hyperlink" Target="https://www.cbd.int/doc/meetings/abs/np-mop-02/official/np-mop-02-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6C2F"/>
    <w:rsid w:val="0004563A"/>
    <w:rsid w:val="0012563C"/>
    <w:rsid w:val="001E44FA"/>
    <w:rsid w:val="00204ED8"/>
    <w:rsid w:val="00381C7E"/>
    <w:rsid w:val="00500A2B"/>
    <w:rsid w:val="0058288D"/>
    <w:rsid w:val="005828A6"/>
    <w:rsid w:val="005E1DAB"/>
    <w:rsid w:val="0061507A"/>
    <w:rsid w:val="006801B3"/>
    <w:rsid w:val="0075258D"/>
    <w:rsid w:val="00810A55"/>
    <w:rsid w:val="008C6619"/>
    <w:rsid w:val="008D420E"/>
    <w:rsid w:val="0098642F"/>
    <w:rsid w:val="00A1421E"/>
    <w:rsid w:val="00AA24FE"/>
    <w:rsid w:val="00DC77B2"/>
    <w:rsid w:val="00F100EB"/>
    <w:rsid w:val="00F769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4 February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193DB-3520-43B1-8CB1-F6722EA60635}">
  <ds:schemaRefs>
    <ds:schemaRef ds:uri="http://schemas.microsoft.com/sharepoint/v3/contenttype/forms"/>
  </ds:schemaRefs>
</ds:datastoreItem>
</file>

<file path=customXml/itemProps3.xml><?xml version="1.0" encoding="utf-8"?>
<ds:datastoreItem xmlns:ds="http://schemas.openxmlformats.org/officeDocument/2006/customXml" ds:itemID="{8351D9F7-93D5-4021-B8C3-19E3C433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B0522-1130-4FBE-887B-AEEFDD8EB4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B6AA75-33A2-4617-BC58-1B8A3642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Review of the outcomes of the third meeting of the Conference of the Parties serving as the meeting of the Parties to the Nagoya Protocol regarding items relevant to compliance</vt:lpstr>
    </vt:vector>
  </TitlesOfParts>
  <Company>SCBD</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outcomes of the third meeting of the Conference of the Parties serving as the meeting of the Parties to the Nagoya Protocol regarding items relevant to compliance</dc:title>
  <dc:subject>CBD/NP/CC/3/2</dc:subject>
  <dc:creator>SCBD</dc:creator>
  <cp:keywords>Compliance Committee under the Nagoya Protocol, Online, 21-23 April 2020, Convention on Biological Diversity</cp:keywords>
  <cp:lastModifiedBy>Veronique Lefebvre</cp:lastModifiedBy>
  <cp:revision>116</cp:revision>
  <cp:lastPrinted>2018-04-04T14:36:00Z</cp:lastPrinted>
  <dcterms:created xsi:type="dcterms:W3CDTF">2020-02-24T18:17:00Z</dcterms:created>
  <dcterms:modified xsi:type="dcterms:W3CDTF">2020-03-23T15:34:00Z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