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345E78">
        <w:trPr>
          <w:trHeight w:val="844"/>
        </w:trPr>
        <w:tc>
          <w:tcPr>
            <w:tcW w:w="976" w:type="dxa"/>
            <w:tcBorders>
              <w:bottom w:val="single" w:sz="12" w:space="0" w:color="auto"/>
            </w:tcBorders>
          </w:tcPr>
          <w:p w:rsidR="00345E78" w:rsidRDefault="004158D6">
            <w:pPr>
              <w:suppressLineNumbers/>
              <w:suppressAutoHyphens/>
              <w:rPr>
                <w:kern w:val="22"/>
              </w:rPr>
            </w:pPr>
            <w:r>
              <w:rPr>
                <w:noProof/>
                <w:snapToGrid/>
                <w:lang w:val="en-US"/>
              </w:rPr>
              <w:drawing>
                <wp:anchor distT="0" distB="0" distL="114300" distR="114300" simplePos="0" relativeHeight="251657216" behindDoc="0" locked="0" layoutInCell="1" allowOverlap="1">
                  <wp:simplePos x="0" y="0"/>
                  <wp:positionH relativeFrom="column">
                    <wp:posOffset>635</wp:posOffset>
                  </wp:positionH>
                  <wp:positionV relativeFrom="page">
                    <wp:posOffset>0</wp:posOffset>
                  </wp:positionV>
                  <wp:extent cx="476250" cy="402590"/>
                  <wp:effectExtent l="19050" t="0" r="0"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76250" cy="402590"/>
                          </a:xfrm>
                          <a:prstGeom prst="rect">
                            <a:avLst/>
                          </a:prstGeom>
                          <a:noFill/>
                          <a:ln w="9525">
                            <a:noFill/>
                            <a:miter lim="800000"/>
                            <a:headEnd/>
                            <a:tailEnd/>
                          </a:ln>
                        </pic:spPr>
                      </pic:pic>
                    </a:graphicData>
                  </a:graphic>
                </wp:anchor>
              </w:drawing>
            </w:r>
          </w:p>
        </w:tc>
        <w:tc>
          <w:tcPr>
            <w:tcW w:w="5141" w:type="dxa"/>
            <w:tcBorders>
              <w:bottom w:val="single" w:sz="12" w:space="0" w:color="auto"/>
            </w:tcBorders>
            <w:tcFitText/>
          </w:tcPr>
          <w:p w:rsidR="00345E78" w:rsidRDefault="004158D6">
            <w:pPr>
              <w:suppressLineNumbers/>
              <w:suppressAutoHyphens/>
              <w:rPr>
                <w:kern w:val="22"/>
              </w:rPr>
            </w:pPr>
            <w:r>
              <w:rPr>
                <w:noProof/>
                <w:snapToGrid/>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41910</wp:posOffset>
                  </wp:positionV>
                  <wp:extent cx="682625" cy="389255"/>
                  <wp:effectExtent l="19050" t="0" r="3175" b="0"/>
                  <wp:wrapTight wrapText="bothSides">
                    <wp:wrapPolygon edited="0">
                      <wp:start x="-603" y="0"/>
                      <wp:lineTo x="-603" y="20085"/>
                      <wp:lineTo x="21700" y="20085"/>
                      <wp:lineTo x="21098" y="16914"/>
                      <wp:lineTo x="21700" y="12685"/>
                      <wp:lineTo x="21700" y="0"/>
                      <wp:lineTo x="-603"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682625" cy="389255"/>
                          </a:xfrm>
                          <a:prstGeom prst="rect">
                            <a:avLst/>
                          </a:prstGeom>
                          <a:noFill/>
                          <a:ln w="9525">
                            <a:noFill/>
                            <a:miter lim="800000"/>
                            <a:headEnd/>
                            <a:tailEnd/>
                          </a:ln>
                        </pic:spPr>
                      </pic:pic>
                    </a:graphicData>
                  </a:graphic>
                </wp:anchor>
              </w:drawing>
            </w:r>
          </w:p>
        </w:tc>
        <w:tc>
          <w:tcPr>
            <w:tcW w:w="4090" w:type="dxa"/>
            <w:tcBorders>
              <w:bottom w:val="single" w:sz="12" w:space="0" w:color="auto"/>
            </w:tcBorders>
          </w:tcPr>
          <w:p w:rsidR="00345E78" w:rsidRDefault="00345E78">
            <w:pPr>
              <w:suppressLineNumbers/>
              <w:suppressAutoHyphens/>
              <w:jc w:val="right"/>
              <w:rPr>
                <w:rFonts w:ascii="Arial" w:hAnsi="Arial" w:cs="Arial"/>
                <w:b/>
                <w:bCs/>
                <w:kern w:val="22"/>
                <w:sz w:val="32"/>
                <w:szCs w:val="32"/>
              </w:rPr>
            </w:pPr>
            <w:r>
              <w:rPr>
                <w:rFonts w:ascii="Arial" w:hAnsi="Arial" w:cs="Arial"/>
                <w:b/>
                <w:bCs/>
                <w:noProof/>
                <w:kern w:val="22"/>
                <w:sz w:val="32"/>
                <w:szCs w:val="32"/>
              </w:rPr>
              <w:t>CBD</w:t>
            </w:r>
          </w:p>
        </w:tc>
      </w:tr>
      <w:tr w:rsidR="00345E78">
        <w:tc>
          <w:tcPr>
            <w:tcW w:w="6117" w:type="dxa"/>
            <w:gridSpan w:val="2"/>
            <w:tcBorders>
              <w:top w:val="single" w:sz="12" w:space="0" w:color="auto"/>
              <w:bottom w:val="single" w:sz="36" w:space="0" w:color="auto"/>
            </w:tcBorders>
            <w:vAlign w:val="center"/>
          </w:tcPr>
          <w:p w:rsidR="00345E78" w:rsidRDefault="004158D6">
            <w:pPr>
              <w:suppressLineNumbers/>
              <w:suppressAutoHyphens/>
              <w:rPr>
                <w:kern w:val="22"/>
              </w:rPr>
            </w:pPr>
            <w:r>
              <w:rPr>
                <w:noProof/>
                <w:snapToGrid/>
                <w:kern w:val="22"/>
                <w:lang w:val="en-US"/>
              </w:rPr>
              <w:drawing>
                <wp:inline distT="0" distB="0" distL="0" distR="0">
                  <wp:extent cx="2874010" cy="1034415"/>
                  <wp:effectExtent l="1905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874010" cy="103441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345E78" w:rsidRDefault="00345E78">
            <w:pPr>
              <w:suppressLineNumbers/>
              <w:suppressAutoHyphens/>
              <w:ind w:left="1215"/>
              <w:jc w:val="left"/>
              <w:rPr>
                <w:kern w:val="22"/>
              </w:rPr>
            </w:pPr>
            <w:r>
              <w:rPr>
                <w:noProof/>
                <w:kern w:val="22"/>
              </w:rPr>
              <w:t>Distr.</w:t>
            </w:r>
          </w:p>
          <w:p w:rsidR="00345E78" w:rsidRDefault="00345E78">
            <w:pPr>
              <w:suppressLineNumbers/>
              <w:suppressAutoHyphens/>
              <w:ind w:left="1215"/>
              <w:jc w:val="left"/>
              <w:rPr>
                <w:kern w:val="22"/>
              </w:rPr>
            </w:pPr>
            <w:r>
              <w:rPr>
                <w:noProof/>
                <w:kern w:val="22"/>
              </w:rPr>
              <w:t>GENERAL</w:t>
            </w:r>
          </w:p>
          <w:p w:rsidR="00345E78" w:rsidRDefault="00345E78">
            <w:pPr>
              <w:suppressLineNumbers/>
              <w:suppressAutoHyphens/>
              <w:ind w:left="1215"/>
              <w:jc w:val="left"/>
              <w:rPr>
                <w:kern w:val="22"/>
              </w:rPr>
            </w:pPr>
          </w:p>
          <w:p w:rsidR="00345E78" w:rsidRDefault="00345E78">
            <w:pPr>
              <w:suppressLineNumbers/>
              <w:suppressAutoHyphens/>
              <w:ind w:left="1215"/>
              <w:jc w:val="left"/>
              <w:rPr>
                <w:kern w:val="22"/>
              </w:rPr>
            </w:pPr>
            <w:r>
              <w:rPr>
                <w:noProof/>
                <w:kern w:val="22"/>
              </w:rPr>
              <w:t>CBD/WG2020/3/3/Add.3</w:t>
            </w:r>
          </w:p>
          <w:p w:rsidR="00345E78" w:rsidRDefault="00345E78">
            <w:pPr>
              <w:suppressLineNumbers/>
              <w:suppressAutoHyphens/>
              <w:ind w:left="1215"/>
              <w:jc w:val="left"/>
              <w:rPr>
                <w:kern w:val="22"/>
              </w:rPr>
            </w:pPr>
            <w:r>
              <w:rPr>
                <w:noProof/>
                <w:kern w:val="22"/>
              </w:rPr>
              <w:t>21 de noviembre de 2021</w:t>
            </w:r>
            <w:r w:rsidR="000B20C6">
              <w:rPr>
                <w:rStyle w:val="FootnoteReference"/>
                <w:kern w:val="22"/>
              </w:rPr>
              <w:footnoteReference w:customMarkFollows="1" w:id="3"/>
              <w:t>*</w:t>
            </w:r>
          </w:p>
          <w:p w:rsidR="00345E78" w:rsidRDefault="00345E78">
            <w:pPr>
              <w:suppressLineNumbers/>
              <w:suppressAutoHyphens/>
              <w:ind w:left="1215"/>
              <w:jc w:val="left"/>
              <w:rPr>
                <w:kern w:val="22"/>
              </w:rPr>
            </w:pPr>
          </w:p>
          <w:p w:rsidR="00345E78" w:rsidRDefault="00345E78">
            <w:pPr>
              <w:suppressLineNumbers/>
              <w:suppressAutoHyphens/>
              <w:ind w:left="1215"/>
              <w:jc w:val="left"/>
              <w:rPr>
                <w:kern w:val="22"/>
              </w:rPr>
            </w:pPr>
            <w:r>
              <w:rPr>
                <w:noProof/>
                <w:kern w:val="22"/>
              </w:rPr>
              <w:t>ESPAÑOL</w:t>
            </w:r>
          </w:p>
          <w:p w:rsidR="00345E78" w:rsidRDefault="00345E78">
            <w:pPr>
              <w:suppressLineNumbers/>
              <w:suppressAutoHyphens/>
              <w:ind w:left="1215"/>
              <w:jc w:val="left"/>
              <w:rPr>
                <w:kern w:val="22"/>
              </w:rPr>
            </w:pPr>
            <w:r>
              <w:rPr>
                <w:noProof/>
                <w:kern w:val="22"/>
              </w:rPr>
              <w:t>ORIGINAL:</w:t>
            </w:r>
            <w:r>
              <w:rPr>
                <w:kern w:val="22"/>
              </w:rPr>
              <w:t xml:space="preserve"> </w:t>
            </w:r>
            <w:r>
              <w:rPr>
                <w:noProof/>
                <w:kern w:val="22"/>
              </w:rPr>
              <w:t>INGLÉS</w:t>
            </w:r>
          </w:p>
          <w:p w:rsidR="00345E78" w:rsidRDefault="00345E78">
            <w:pPr>
              <w:suppressLineNumbers/>
              <w:suppressAutoHyphens/>
              <w:jc w:val="left"/>
              <w:rPr>
                <w:kern w:val="22"/>
              </w:rPr>
            </w:pPr>
          </w:p>
        </w:tc>
      </w:tr>
    </w:tbl>
    <w:p w:rsidR="00345E78" w:rsidRDefault="00345E78">
      <w:pPr>
        <w:pStyle w:val="meetingname"/>
        <w:suppressLineNumbers/>
        <w:suppressAutoHyphens/>
        <w:ind w:right="5156"/>
        <w:jc w:val="left"/>
        <w:rPr>
          <w:caps w:val="0"/>
          <w:kern w:val="22"/>
        </w:rPr>
      </w:pPr>
      <w:bookmarkStart w:id="0" w:name="Meeting"/>
      <w:r>
        <w:rPr>
          <w:noProof/>
          <w:kern w:val="22"/>
        </w:rPr>
        <w:t>GRUPO DE TRABAJO DE COMPOSICIÓN ABIERTA SOBRE EL MARCO MUNDIAL DE LA DIVERSIDAD BIOLÓGICA POSTERIOR A 2020</w:t>
      </w:r>
      <w:bookmarkEnd w:id="0"/>
    </w:p>
    <w:p w:rsidR="00345E78" w:rsidRDefault="00345E78">
      <w:pPr>
        <w:suppressLineNumbers/>
        <w:suppressAutoHyphens/>
        <w:ind w:left="142" w:right="4824" w:hanging="142"/>
        <w:jc w:val="left"/>
        <w:rPr>
          <w:kern w:val="22"/>
        </w:rPr>
      </w:pPr>
      <w:r>
        <w:rPr>
          <w:noProof/>
          <w:kern w:val="22"/>
        </w:rPr>
        <w:t>Tercera reunión (continuación)</w:t>
      </w:r>
    </w:p>
    <w:p w:rsidR="00345E78" w:rsidRDefault="00345E78">
      <w:pPr>
        <w:suppressLineNumbers/>
        <w:suppressAutoHyphens/>
        <w:ind w:left="142" w:right="4824" w:hanging="142"/>
        <w:jc w:val="left"/>
        <w:rPr>
          <w:kern w:val="22"/>
        </w:rPr>
      </w:pPr>
      <w:r>
        <w:rPr>
          <w:noProof/>
          <w:kern w:val="22"/>
        </w:rPr>
        <w:t>Ginebra (Suiza), 12 a 28 de enero de 2022</w:t>
      </w:r>
    </w:p>
    <w:p w:rsidR="00345E78" w:rsidRDefault="00345E78">
      <w:pPr>
        <w:pStyle w:val="Heading1"/>
        <w:tabs>
          <w:tab w:val="clear" w:pos="720"/>
        </w:tabs>
        <w:rPr>
          <w:kern w:val="22"/>
        </w:rPr>
      </w:pPr>
      <w:r>
        <w:rPr>
          <w:kern w:val="22"/>
          <w:lang w:val="es-ES"/>
        </w:rPr>
        <w:t>PROYECTO DE ELEMENTOS DE UNA POSIBLE DECISIÓN QUE PONGA EN MARCHA EL marco mundial de la diversidad biológica posterior a 2020</w:t>
      </w:r>
    </w:p>
    <w:p w:rsidR="00345E78" w:rsidRDefault="00345E78">
      <w:pPr>
        <w:pStyle w:val="Para1"/>
        <w:numPr>
          <w:ilvl w:val="0"/>
          <w:numId w:val="0"/>
        </w:numPr>
        <w:snapToGrid w:val="0"/>
        <w:jc w:val="center"/>
        <w:rPr>
          <w:i/>
          <w:iCs/>
          <w:kern w:val="22"/>
        </w:rPr>
      </w:pPr>
      <w:r>
        <w:rPr>
          <w:i/>
          <w:iCs/>
          <w:kern w:val="22"/>
          <w:lang w:val="es-ES"/>
        </w:rPr>
        <w:t>Nota de la Secretaria Ejecutiva</w:t>
      </w:r>
    </w:p>
    <w:p w:rsidR="00345E78" w:rsidRDefault="00345E78">
      <w:pPr>
        <w:pStyle w:val="Heading1"/>
        <w:numPr>
          <w:ilvl w:val="0"/>
          <w:numId w:val="36"/>
        </w:numPr>
        <w:tabs>
          <w:tab w:val="clear" w:pos="720"/>
          <w:tab w:val="left" w:pos="360"/>
        </w:tabs>
        <w:snapToGrid w:val="0"/>
        <w:spacing w:before="120"/>
        <w:ind w:left="0" w:firstLine="0"/>
        <w:rPr>
          <w:caps w:val="0"/>
          <w:kern w:val="22"/>
        </w:rPr>
      </w:pPr>
      <w:r>
        <w:rPr>
          <w:caps w:val="0"/>
          <w:kern w:val="22"/>
          <w:lang w:val="es-ES"/>
        </w:rPr>
        <w:t>INTRODUCCIÓN</w:t>
      </w:r>
    </w:p>
    <w:p w:rsidR="00345E78" w:rsidRDefault="00345E78">
      <w:pPr>
        <w:pStyle w:val="Para1"/>
        <w:numPr>
          <w:ilvl w:val="0"/>
          <w:numId w:val="23"/>
        </w:numPr>
        <w:tabs>
          <w:tab w:val="clear" w:pos="360"/>
          <w:tab w:val="num" w:pos="709"/>
        </w:tabs>
        <w:snapToGrid w:val="0"/>
      </w:pPr>
      <w:r>
        <w:rPr>
          <w:kern w:val="22"/>
          <w:lang w:val="es-ES"/>
        </w:rPr>
        <w:t xml:space="preserve">El marco mundial de la diversidad biológica posterior a 2020 </w:t>
      </w:r>
      <w:r w:rsidR="00B94B1B">
        <w:rPr>
          <w:kern w:val="22"/>
          <w:lang w:val="es-ES"/>
        </w:rPr>
        <w:t>f</w:t>
      </w:r>
      <w:r>
        <w:rPr>
          <w:kern w:val="22"/>
          <w:lang w:val="es-ES"/>
        </w:rPr>
        <w:t>i</w:t>
      </w:r>
      <w:r w:rsidR="00B94B1B">
        <w:rPr>
          <w:kern w:val="22"/>
          <w:lang w:val="es-ES"/>
        </w:rPr>
        <w:t>g</w:t>
      </w:r>
      <w:r>
        <w:rPr>
          <w:kern w:val="22"/>
          <w:lang w:val="es-ES"/>
        </w:rPr>
        <w:t>ur</w:t>
      </w:r>
      <w:r w:rsidR="00B94B1B">
        <w:rPr>
          <w:kern w:val="22"/>
          <w:lang w:val="es-ES"/>
        </w:rPr>
        <w:t>ar</w:t>
      </w:r>
      <w:r>
        <w:rPr>
          <w:kern w:val="22"/>
          <w:lang w:val="es-ES"/>
        </w:rPr>
        <w:t>á en un anexo de una decisión de la Conferencia de las Partes.</w:t>
      </w:r>
      <w:r>
        <w:rPr>
          <w:kern w:val="22"/>
        </w:rPr>
        <w:t xml:space="preserve"> </w:t>
      </w:r>
      <w:r>
        <w:rPr>
          <w:kern w:val="22"/>
          <w:lang w:val="es-ES"/>
        </w:rPr>
        <w:t>En el presente documento, que fue preparado por los Copresidentes del Grupo de Trabajo de Composición Abierta sobre el Marco Mundial de la Diversidad Biológica posterior a 2020 en colaboración con la Secretaria Ejecutiva, se plantean posibles elementos para dicha decisión, con el fin de informar al Grupo de Trabajo en su tercera reunión.</w:t>
      </w:r>
      <w:r>
        <w:rPr>
          <w:kern w:val="22"/>
        </w:rPr>
        <w:t xml:space="preserve"> </w:t>
      </w:r>
      <w:r>
        <w:rPr>
          <w:kern w:val="22"/>
          <w:lang w:val="es-ES"/>
        </w:rPr>
        <w:t>Estos elementos, que ya habían sido publicados para la primera parte de la 3ª reunión del Grupo de Trabajo en un apéndice del documento CBD/WG2020/3/3, han sido revisados a la luz de las deliberaciones del Grupo de Trabajo y las sesiones reanudadas de la 24ª reunión del Órgano Subsidiario de Asesoramiento Científico, Técnico y Tecnológico y la 3ª reunión del Órgano Subsidiario sobre la Aplicación.</w:t>
      </w:r>
    </w:p>
    <w:p w:rsidR="00345E78" w:rsidRDefault="00345E78">
      <w:pPr>
        <w:pStyle w:val="Para1"/>
        <w:numPr>
          <w:ilvl w:val="0"/>
          <w:numId w:val="23"/>
        </w:numPr>
        <w:tabs>
          <w:tab w:val="clear" w:pos="360"/>
          <w:tab w:val="num" w:pos="709"/>
        </w:tabs>
        <w:snapToGrid w:val="0"/>
      </w:pPr>
      <w:r>
        <w:rPr>
          <w:kern w:val="22"/>
          <w:lang w:val="es-ES"/>
        </w:rPr>
        <w:t>Se prevé que la Conferencia de las Partes que actúa, respectivamente, como reunión de las Partes en el Protocolo de Cartagena sobre Seguridad de la Biotecnología y como reunión de las Partes en el Protocolo de Nagoya sobre Acceso a los Recursos Genéticos y Participación Justa y Equitativa en los Beneficios que se Deriven de su Utilización también</w:t>
      </w:r>
      <w:r w:rsidR="00B94B1B">
        <w:rPr>
          <w:kern w:val="22"/>
          <w:lang w:val="es-ES"/>
        </w:rPr>
        <w:t xml:space="preserve"> </w:t>
      </w:r>
      <w:r>
        <w:rPr>
          <w:kern w:val="22"/>
          <w:lang w:val="es-ES"/>
        </w:rPr>
        <w:t xml:space="preserve">adopten decisiones </w:t>
      </w:r>
      <w:r w:rsidR="007939E8">
        <w:rPr>
          <w:kern w:val="22"/>
          <w:lang w:val="es-ES"/>
        </w:rPr>
        <w:t xml:space="preserve">en las </w:t>
      </w:r>
      <w:r>
        <w:rPr>
          <w:kern w:val="22"/>
          <w:lang w:val="es-ES"/>
        </w:rPr>
        <w:t xml:space="preserve">que </w:t>
      </w:r>
      <w:r w:rsidR="007939E8">
        <w:rPr>
          <w:kern w:val="22"/>
          <w:lang w:val="es-ES"/>
        </w:rPr>
        <w:t>h</w:t>
      </w:r>
      <w:r>
        <w:rPr>
          <w:kern w:val="22"/>
          <w:lang w:val="es-ES"/>
        </w:rPr>
        <w:t>a</w:t>
      </w:r>
      <w:r w:rsidR="007939E8">
        <w:rPr>
          <w:kern w:val="22"/>
          <w:lang w:val="es-ES"/>
        </w:rPr>
        <w:t>ga</w:t>
      </w:r>
      <w:r>
        <w:rPr>
          <w:kern w:val="22"/>
          <w:lang w:val="es-ES"/>
        </w:rPr>
        <w:t xml:space="preserve">n </w:t>
      </w:r>
      <w:r w:rsidR="007939E8">
        <w:rPr>
          <w:kern w:val="22"/>
          <w:lang w:val="es-ES"/>
        </w:rPr>
        <w:t xml:space="preserve">suyo </w:t>
      </w:r>
      <w:r>
        <w:rPr>
          <w:kern w:val="22"/>
          <w:lang w:val="es-ES"/>
        </w:rPr>
        <w:t>el marco mundial de la diversidad biológica posterior a 2020 y que incluyan disposiciones adicionales para poner en marcha el marco en sus respectivos contextos.</w:t>
      </w:r>
      <w:r>
        <w:rPr>
          <w:kern w:val="22"/>
        </w:rPr>
        <w:t xml:space="preserve"> </w:t>
      </w:r>
    </w:p>
    <w:p w:rsidR="00345E78" w:rsidRDefault="00345E78">
      <w:pPr>
        <w:pStyle w:val="Heading1"/>
        <w:numPr>
          <w:ilvl w:val="0"/>
          <w:numId w:val="36"/>
        </w:numPr>
        <w:tabs>
          <w:tab w:val="clear" w:pos="720"/>
          <w:tab w:val="left" w:pos="360"/>
        </w:tabs>
        <w:spacing w:before="120"/>
        <w:ind w:left="0" w:firstLine="0"/>
        <w:rPr>
          <w:kern w:val="22"/>
        </w:rPr>
      </w:pPr>
      <w:r>
        <w:rPr>
          <w:kern w:val="22"/>
          <w:lang w:val="es-ES"/>
        </w:rPr>
        <w:t>El marco mundial de la diversidad biológica posterior a 2020</w:t>
      </w:r>
    </w:p>
    <w:p w:rsidR="00345E78" w:rsidRDefault="00345E78">
      <w:pPr>
        <w:pStyle w:val="Para1"/>
        <w:numPr>
          <w:ilvl w:val="0"/>
          <w:numId w:val="23"/>
        </w:numPr>
        <w:tabs>
          <w:tab w:val="clear" w:pos="360"/>
          <w:tab w:val="num" w:pos="709"/>
        </w:tabs>
        <w:snapToGrid w:val="0"/>
        <w:rPr>
          <w:kern w:val="22"/>
        </w:rPr>
      </w:pPr>
      <w:r>
        <w:rPr>
          <w:kern w:val="22"/>
          <w:lang w:val="es-ES"/>
        </w:rPr>
        <w:t>El Grupo de Trabajo de Composición Abierta sobre el Marco Mundial de la Diversidad Biológica posterior a 2020 podría estimar oportuno adoptar una recomendación del siguiente tenor:</w:t>
      </w:r>
    </w:p>
    <w:p w:rsidR="00345E78" w:rsidRDefault="00345E78">
      <w:pPr>
        <w:pStyle w:val="Para1"/>
        <w:numPr>
          <w:ilvl w:val="0"/>
          <w:numId w:val="0"/>
        </w:numPr>
        <w:snapToGrid w:val="0"/>
        <w:ind w:firstLine="709"/>
        <w:rPr>
          <w:i/>
          <w:iCs/>
          <w:kern w:val="22"/>
        </w:rPr>
      </w:pPr>
      <w:r>
        <w:rPr>
          <w:i/>
          <w:iCs/>
          <w:kern w:val="22"/>
          <w:lang w:val="es-ES"/>
        </w:rPr>
        <w:t>El Grupo de Trabajo de Composición Abierta sobre el Marco Mundial de la Diversidad Biológica posterior a 2020</w:t>
      </w:r>
    </w:p>
    <w:p w:rsidR="00345E78" w:rsidRDefault="00345E78">
      <w:pPr>
        <w:pStyle w:val="Para1"/>
        <w:numPr>
          <w:ilvl w:val="0"/>
          <w:numId w:val="0"/>
        </w:numPr>
        <w:snapToGrid w:val="0"/>
        <w:ind w:firstLine="709"/>
        <w:rPr>
          <w:kern w:val="22"/>
        </w:rPr>
      </w:pPr>
      <w:r>
        <w:rPr>
          <w:i/>
          <w:iCs/>
          <w:kern w:val="22"/>
          <w:lang w:val="es-ES"/>
        </w:rPr>
        <w:t>Recomienda</w:t>
      </w:r>
      <w:r>
        <w:rPr>
          <w:kern w:val="22"/>
          <w:lang w:val="es-ES"/>
        </w:rPr>
        <w:t xml:space="preserve"> que la Conferencia de las Partes en su 15ª reunión adopte una decisión que incluya los siguientes elementos y también tome en cuenta las conclusiones de la 24ª reunión del Órgano Subsidiario de Asistencia Científica, Técnica y Tecnológica y la 3ª reunión del Órgano Subsidiario sobre la Aplicación:</w:t>
      </w:r>
    </w:p>
    <w:p w:rsidR="00345E78" w:rsidRDefault="00345E78" w:rsidP="000D7DB0">
      <w:pPr>
        <w:pStyle w:val="NoSpacing"/>
        <w:keepNext/>
        <w:keepLines/>
        <w:shd w:val="clear" w:color="auto" w:fill="FFFFFF"/>
        <w:adjustRightInd w:val="0"/>
        <w:snapToGrid w:val="0"/>
        <w:spacing w:before="120" w:after="120"/>
        <w:ind w:left="720" w:firstLine="720"/>
        <w:jc w:val="both"/>
        <w:rPr>
          <w:rFonts w:ascii="Times New Roman" w:hAnsi="Times New Roman" w:cs="Times New Roman"/>
          <w:kern w:val="22"/>
        </w:rPr>
      </w:pPr>
      <w:r>
        <w:rPr>
          <w:rFonts w:ascii="Times New Roman" w:hAnsi="Times New Roman" w:cs="Times New Roman"/>
          <w:i/>
          <w:iCs/>
          <w:kern w:val="22"/>
          <w:lang w:val="es-ES"/>
        </w:rPr>
        <w:lastRenderedPageBreak/>
        <w:t>La Conferencia de las Partes</w:t>
      </w:r>
      <w:r>
        <w:rPr>
          <w:rFonts w:ascii="Times New Roman" w:hAnsi="Times New Roman" w:cs="Times New Roman"/>
          <w:kern w:val="22"/>
          <w:lang w:val="es-ES"/>
        </w:rPr>
        <w:t>,</w:t>
      </w:r>
    </w:p>
    <w:p w:rsidR="00345E78" w:rsidRDefault="00345E78" w:rsidP="000D7DB0">
      <w:pPr>
        <w:pStyle w:val="para10"/>
        <w:keepNext/>
        <w:keepLines/>
        <w:numPr>
          <w:ilvl w:val="0"/>
          <w:numId w:val="0"/>
        </w:numPr>
        <w:adjustRightInd w:val="0"/>
        <w:ind w:left="720" w:firstLine="720"/>
        <w:rPr>
          <w:kern w:val="22"/>
        </w:rPr>
      </w:pPr>
      <w:r>
        <w:rPr>
          <w:i/>
          <w:iCs/>
          <w:kern w:val="22"/>
          <w:lang w:val="es-ES"/>
        </w:rPr>
        <w:t xml:space="preserve">Recordando </w:t>
      </w:r>
      <w:r>
        <w:rPr>
          <w:kern w:val="22"/>
          <w:lang w:val="es-ES"/>
        </w:rPr>
        <w:t xml:space="preserve">su decisión </w:t>
      </w:r>
      <w:hyperlink r:id="rId10" w:history="1">
        <w:r>
          <w:rPr>
            <w:rStyle w:val="Hyperlink"/>
            <w:kern w:val="22"/>
            <w:sz w:val="22"/>
            <w:szCs w:val="22"/>
            <w:lang w:val="es-ES"/>
          </w:rPr>
          <w:t>14/34</w:t>
        </w:r>
      </w:hyperlink>
      <w:r>
        <w:rPr>
          <w:kern w:val="22"/>
          <w:lang w:val="es-ES"/>
        </w:rPr>
        <w:t>, por la que adoptó el proceso preparatorio para la elaboración del marco mundial de la diversidad biológica posterior a 2020 y decidió establecer un grupo de trabajo de composición abierta entre períodos de sesiones para apoyar su preparación,</w:t>
      </w:r>
    </w:p>
    <w:p w:rsidR="00345E78" w:rsidRDefault="00345E78">
      <w:pPr>
        <w:pStyle w:val="para10"/>
        <w:numPr>
          <w:ilvl w:val="0"/>
          <w:numId w:val="0"/>
        </w:numPr>
        <w:adjustRightInd w:val="0"/>
        <w:ind w:left="720" w:firstLine="720"/>
        <w:rPr>
          <w:kern w:val="22"/>
        </w:rPr>
      </w:pPr>
      <w:r>
        <w:rPr>
          <w:i/>
          <w:iCs/>
          <w:kern w:val="22"/>
          <w:lang w:val="es-ES"/>
        </w:rPr>
        <w:t xml:space="preserve">Tomando nota </w:t>
      </w:r>
      <w:r>
        <w:rPr>
          <w:kern w:val="22"/>
          <w:lang w:val="es-ES"/>
        </w:rPr>
        <w:t>de</w:t>
      </w:r>
      <w:r>
        <w:rPr>
          <w:i/>
          <w:iCs/>
          <w:kern w:val="22"/>
          <w:lang w:val="es-ES"/>
        </w:rPr>
        <w:t xml:space="preserve"> </w:t>
      </w:r>
      <w:r>
        <w:rPr>
          <w:kern w:val="22"/>
          <w:lang w:val="es-ES"/>
        </w:rPr>
        <w:t>los resultados de las reuniones primera</w:t>
      </w:r>
      <w:r>
        <w:rPr>
          <w:rStyle w:val="FootnoteReference"/>
          <w:kern w:val="22"/>
          <w:lang w:val="es-ES"/>
        </w:rPr>
        <w:footnoteReference w:id="4"/>
      </w:r>
      <w:r>
        <w:rPr>
          <w:kern w:val="22"/>
          <w:lang w:val="es-ES"/>
        </w:rPr>
        <w:t>, segunda</w:t>
      </w:r>
      <w:r>
        <w:rPr>
          <w:rStyle w:val="FootnoteReference"/>
          <w:kern w:val="22"/>
          <w:lang w:val="es-ES"/>
        </w:rPr>
        <w:footnoteReference w:id="5"/>
      </w:r>
      <w:r>
        <w:rPr>
          <w:kern w:val="22"/>
          <w:lang w:val="es-ES"/>
        </w:rPr>
        <w:t xml:space="preserve"> y tercera</w:t>
      </w:r>
      <w:r>
        <w:rPr>
          <w:rStyle w:val="FootnoteReference"/>
          <w:kern w:val="22"/>
          <w:lang w:val="es-ES"/>
        </w:rPr>
        <w:footnoteReference w:id="6"/>
      </w:r>
      <w:r>
        <w:rPr>
          <w:kern w:val="22"/>
          <w:lang w:val="es-ES"/>
        </w:rPr>
        <w:t xml:space="preserve"> del Grupo de Trabajo de Composición Abierta sobre el Marco Mundial de la Diversidad Biológica posterior a 2020,</w:t>
      </w:r>
    </w:p>
    <w:p w:rsidR="00345E78" w:rsidRDefault="00345E78">
      <w:pPr>
        <w:pStyle w:val="para10"/>
        <w:numPr>
          <w:ilvl w:val="0"/>
          <w:numId w:val="0"/>
        </w:numPr>
        <w:adjustRightInd w:val="0"/>
        <w:ind w:left="720" w:firstLine="720"/>
        <w:rPr>
          <w:kern w:val="22"/>
        </w:rPr>
      </w:pPr>
      <w:r>
        <w:rPr>
          <w:i/>
          <w:iCs/>
          <w:kern w:val="22"/>
          <w:lang w:val="es-ES"/>
        </w:rPr>
        <w:t xml:space="preserve">Tomando nota también </w:t>
      </w:r>
      <w:r>
        <w:rPr>
          <w:kern w:val="22"/>
          <w:lang w:val="es-ES"/>
        </w:rPr>
        <w:t xml:space="preserve">de la 11ª reunión del </w:t>
      </w:r>
      <w:r>
        <w:rPr>
          <w:color w:val="000000"/>
          <w:kern w:val="22"/>
          <w:lang w:val="es-ES"/>
        </w:rPr>
        <w:t>Grupo de Trabajo Especial de Composición Abierta sobre el Artículo 8 j) y Disposiciones Conexas</w:t>
      </w:r>
      <w:r>
        <w:rPr>
          <w:kern w:val="22"/>
          <w:lang w:val="es-ES"/>
        </w:rPr>
        <w:t xml:space="preserve">, las reuniones 23ª y 24ª del </w:t>
      </w:r>
      <w:r>
        <w:rPr>
          <w:color w:val="000000"/>
          <w:kern w:val="22"/>
          <w:lang w:val="es-ES"/>
        </w:rPr>
        <w:t xml:space="preserve">Órgano Subsidiario de Asesoramiento Científico, Técnico y Tecnológico y la 3ª reunión del </w:t>
      </w:r>
      <w:r>
        <w:rPr>
          <w:kern w:val="22"/>
          <w:lang w:val="es-ES"/>
        </w:rPr>
        <w:t>Órgano Subsidiario sobre la Aplicación,</w:t>
      </w:r>
    </w:p>
    <w:p w:rsidR="00345E78" w:rsidRDefault="00345E78">
      <w:pPr>
        <w:pStyle w:val="para10"/>
        <w:numPr>
          <w:ilvl w:val="0"/>
          <w:numId w:val="0"/>
        </w:numPr>
        <w:adjustRightInd w:val="0"/>
        <w:ind w:left="720" w:firstLine="720"/>
        <w:rPr>
          <w:kern w:val="22"/>
        </w:rPr>
      </w:pPr>
      <w:r>
        <w:rPr>
          <w:i/>
          <w:iCs/>
          <w:kern w:val="22"/>
          <w:lang w:val="es-ES"/>
        </w:rPr>
        <w:t>Expresando su agradecimiento</w:t>
      </w:r>
      <w:r>
        <w:rPr>
          <w:kern w:val="22"/>
          <w:lang w:val="es-ES"/>
        </w:rPr>
        <w:t xml:space="preserve"> a los Copresidentes del Grupo de Trabajo de Composición Abierta sobre el Marco Mundial de la Diversidad Biológica posterior a 2020, Sres. Francis Ogwal (Uganda) y Basile van Havre (Canadá), por el apoyo brindado en la elaboración del marco mundial de la diversidad biológica posterior a 2020,</w:t>
      </w:r>
    </w:p>
    <w:p w:rsidR="00345E78" w:rsidRDefault="00345E78">
      <w:pPr>
        <w:pStyle w:val="para10"/>
        <w:numPr>
          <w:ilvl w:val="0"/>
          <w:numId w:val="0"/>
        </w:numPr>
        <w:adjustRightInd w:val="0"/>
        <w:ind w:left="720" w:firstLine="720"/>
        <w:rPr>
          <w:kern w:val="22"/>
        </w:rPr>
      </w:pPr>
      <w:r>
        <w:rPr>
          <w:i/>
          <w:iCs/>
          <w:kern w:val="22"/>
          <w:lang w:val="es-ES"/>
        </w:rPr>
        <w:t>Acogiendo con satisfacción</w:t>
      </w:r>
      <w:r>
        <w:rPr>
          <w:kern w:val="22"/>
          <w:lang w:val="es-ES"/>
        </w:rPr>
        <w:t xml:space="preserve"> las comunicaciones de las Partes y los observadores en las que aportaron opiniones sobre la elaboración del marco mundial de la diversidad biológica posterior a 2020,</w:t>
      </w:r>
    </w:p>
    <w:p w:rsidR="00345E78" w:rsidRDefault="00345E78">
      <w:pPr>
        <w:adjustRightInd w:val="0"/>
        <w:snapToGrid w:val="0"/>
        <w:spacing w:before="120" w:after="120"/>
        <w:ind w:left="720" w:firstLine="720"/>
        <w:rPr>
          <w:kern w:val="22"/>
        </w:rPr>
      </w:pPr>
      <w:r>
        <w:rPr>
          <w:i/>
          <w:iCs/>
          <w:kern w:val="22"/>
          <w:lang w:val="es-ES"/>
        </w:rPr>
        <w:t xml:space="preserve">Recordando </w:t>
      </w:r>
      <w:r>
        <w:rPr>
          <w:kern w:val="22"/>
          <w:lang w:val="es-ES"/>
        </w:rPr>
        <w:t>los principios de la Declaración de Río sobre el Medio Ambiente y el Desarrollo</w:t>
      </w:r>
      <w:r>
        <w:rPr>
          <w:rStyle w:val="FootnoteReference"/>
          <w:kern w:val="22"/>
          <w:lang w:val="es-ES"/>
        </w:rPr>
        <w:footnoteReference w:id="7"/>
      </w:r>
      <w:r>
        <w:rPr>
          <w:kern w:val="22"/>
          <w:lang w:val="es-ES"/>
        </w:rPr>
        <w:t>,</w:t>
      </w:r>
    </w:p>
    <w:p w:rsidR="00345E78" w:rsidRDefault="00345E78">
      <w:pPr>
        <w:pStyle w:val="para10"/>
        <w:numPr>
          <w:ilvl w:val="0"/>
          <w:numId w:val="0"/>
        </w:numPr>
        <w:adjustRightInd w:val="0"/>
        <w:ind w:left="720" w:firstLine="720"/>
        <w:rPr>
          <w:kern w:val="22"/>
        </w:rPr>
      </w:pPr>
      <w:r>
        <w:rPr>
          <w:i/>
          <w:iCs/>
          <w:kern w:val="22"/>
          <w:lang w:val="es-ES"/>
        </w:rPr>
        <w:t>Poniendo de relieve</w:t>
      </w:r>
      <w:r>
        <w:rPr>
          <w:kern w:val="22"/>
          <w:lang w:val="es-ES"/>
        </w:rPr>
        <w:t xml:space="preserve"> la necesidad de una consecución equilibrada y reforzada de los tres objetivos del Convenio,</w:t>
      </w:r>
    </w:p>
    <w:p w:rsidR="00345E78" w:rsidRDefault="00345E78">
      <w:pPr>
        <w:pStyle w:val="para10"/>
        <w:numPr>
          <w:ilvl w:val="0"/>
          <w:numId w:val="0"/>
        </w:numPr>
        <w:adjustRightInd w:val="0"/>
        <w:ind w:left="720" w:firstLine="720"/>
        <w:rPr>
          <w:kern w:val="22"/>
        </w:rPr>
      </w:pPr>
      <w:r>
        <w:rPr>
          <w:i/>
          <w:iCs/>
          <w:kern w:val="22"/>
          <w:lang w:val="es-ES"/>
        </w:rPr>
        <w:t>Reconociendo</w:t>
      </w:r>
      <w:r>
        <w:rPr>
          <w:kern w:val="22"/>
          <w:lang w:val="es-ES"/>
        </w:rPr>
        <w:t xml:space="preserve"> que el cumplimiento de las metas y las obligaciones en materia de diversidad biológica por los países en desarrollo depende, en parte, de llamamientos a </w:t>
      </w:r>
      <w:r w:rsidR="00B94B1B">
        <w:rPr>
          <w:kern w:val="22"/>
          <w:lang w:val="es-ES"/>
        </w:rPr>
        <w:t>que los países desarrollados aplique</w:t>
      </w:r>
      <w:r>
        <w:rPr>
          <w:kern w:val="22"/>
          <w:lang w:val="es-ES"/>
        </w:rPr>
        <w:t>n efectiva</w:t>
      </w:r>
      <w:r w:rsidR="00B94B1B">
        <w:rPr>
          <w:kern w:val="22"/>
          <w:lang w:val="es-ES"/>
        </w:rPr>
        <w:t>m</w:t>
      </w:r>
      <w:r>
        <w:rPr>
          <w:kern w:val="22"/>
          <w:lang w:val="es-ES"/>
        </w:rPr>
        <w:t>e</w:t>
      </w:r>
      <w:r w:rsidR="00B94B1B">
        <w:rPr>
          <w:kern w:val="22"/>
          <w:lang w:val="es-ES"/>
        </w:rPr>
        <w:t>nte</w:t>
      </w:r>
      <w:r>
        <w:rPr>
          <w:kern w:val="22"/>
          <w:lang w:val="es-ES"/>
        </w:rPr>
        <w:t xml:space="preserve"> las disposiciones de los artículos 16, 20 y 21 del Convenio,</w:t>
      </w:r>
    </w:p>
    <w:p w:rsidR="00345E78" w:rsidRDefault="00345E78">
      <w:pPr>
        <w:pStyle w:val="para10"/>
        <w:numPr>
          <w:ilvl w:val="0"/>
          <w:numId w:val="0"/>
        </w:numPr>
        <w:adjustRightInd w:val="0"/>
        <w:ind w:left="720" w:firstLine="720"/>
        <w:rPr>
          <w:kern w:val="22"/>
        </w:rPr>
      </w:pPr>
      <w:r>
        <w:rPr>
          <w:i/>
          <w:iCs/>
          <w:kern w:val="22"/>
          <w:lang w:val="es-ES"/>
        </w:rPr>
        <w:t>Reconociendo</w:t>
      </w:r>
      <w:r>
        <w:rPr>
          <w:kern w:val="22"/>
          <w:lang w:val="es-ES"/>
        </w:rPr>
        <w:t xml:space="preserve"> que el marco mundial de la diversidad biológica posterior a 2020 representa un marco flexible que está diseñado de manera tal que resulte útil y pertinente para todos los convenios, acuerdos y procesos relacionados con la diversidad biológica,</w:t>
      </w:r>
    </w:p>
    <w:p w:rsidR="00345E78" w:rsidRDefault="00345E78">
      <w:pPr>
        <w:pStyle w:val="para10"/>
        <w:numPr>
          <w:ilvl w:val="0"/>
          <w:numId w:val="0"/>
        </w:numPr>
        <w:adjustRightInd w:val="0"/>
        <w:ind w:left="720" w:firstLine="720"/>
        <w:rPr>
          <w:kern w:val="22"/>
        </w:rPr>
      </w:pPr>
      <w:r>
        <w:rPr>
          <w:i/>
          <w:iCs/>
          <w:kern w:val="22"/>
          <w:lang w:val="es-ES"/>
        </w:rPr>
        <w:t>Reconociendo también</w:t>
      </w:r>
      <w:r>
        <w:rPr>
          <w:kern w:val="22"/>
          <w:lang w:val="es-ES"/>
        </w:rPr>
        <w:t xml:space="preserve"> que el marco mundial de la diversidad biológica posterior a 2020 apoyará la implementación de la Agenda 2030 para el Desarrollo Sostenible</w:t>
      </w:r>
      <w:r w:rsidR="00C50E82">
        <w:rPr>
          <w:rStyle w:val="FootnoteReference"/>
          <w:kern w:val="22"/>
          <w:lang w:val="en-GB"/>
        </w:rPr>
        <w:footnoteReference w:id="8"/>
      </w:r>
      <w:r>
        <w:rPr>
          <w:kern w:val="22"/>
          <w:lang w:val="es-ES"/>
        </w:rPr>
        <w:t>, incluido el logro de los Objetivos de Desarrollo Sostenible,</w:t>
      </w:r>
    </w:p>
    <w:p w:rsidR="00345E78" w:rsidRDefault="00345E78">
      <w:pPr>
        <w:pStyle w:val="para10"/>
        <w:numPr>
          <w:ilvl w:val="0"/>
          <w:numId w:val="0"/>
        </w:numPr>
        <w:adjustRightInd w:val="0"/>
        <w:ind w:left="720" w:firstLine="720"/>
        <w:rPr>
          <w:kern w:val="22"/>
        </w:rPr>
      </w:pPr>
      <w:r>
        <w:rPr>
          <w:i/>
          <w:iCs/>
          <w:kern w:val="22"/>
          <w:lang w:val="es-ES"/>
        </w:rPr>
        <w:t>Recordando</w:t>
      </w:r>
      <w:r>
        <w:rPr>
          <w:kern w:val="22"/>
          <w:lang w:val="es-ES"/>
        </w:rPr>
        <w:t xml:space="preserve"> las conclusiones de la quinta edición de la </w:t>
      </w:r>
      <w:r>
        <w:rPr>
          <w:i/>
          <w:iCs/>
          <w:kern w:val="22"/>
          <w:lang w:val="es-ES"/>
        </w:rPr>
        <w:t>Perspectiva Mundial de la Diversidad Biológica</w:t>
      </w:r>
      <w:r>
        <w:rPr>
          <w:rStyle w:val="FootnoteReference"/>
          <w:kern w:val="22"/>
          <w:lang w:val="es-ES"/>
        </w:rPr>
        <w:footnoteReference w:id="9"/>
      </w:r>
      <w:r>
        <w:rPr>
          <w:kern w:val="22"/>
          <w:lang w:val="es-ES"/>
        </w:rPr>
        <w:t xml:space="preserve">, la segunda edición de las </w:t>
      </w:r>
      <w:r>
        <w:rPr>
          <w:i/>
          <w:iCs/>
          <w:kern w:val="22"/>
          <w:lang w:val="es-ES"/>
        </w:rPr>
        <w:t>Perspectivas</w:t>
      </w:r>
      <w:r>
        <w:rPr>
          <w:kern w:val="22"/>
          <w:lang w:val="es-ES"/>
        </w:rPr>
        <w:t xml:space="preserve"> </w:t>
      </w:r>
      <w:r>
        <w:rPr>
          <w:i/>
          <w:iCs/>
          <w:kern w:val="22"/>
          <w:lang w:val="es-ES"/>
        </w:rPr>
        <w:t>Locales de la Diversidad Biológica</w:t>
      </w:r>
      <w:r>
        <w:rPr>
          <w:rStyle w:val="FootnoteReference"/>
          <w:kern w:val="22"/>
          <w:lang w:val="es-ES"/>
        </w:rPr>
        <w:footnoteReference w:id="10"/>
      </w:r>
      <w:r>
        <w:rPr>
          <w:rStyle w:val="tw4winMark"/>
          <w:rFonts w:ascii="Times New Roman" w:hAnsi="Times New Roman" w:cs="Times New Roman"/>
          <w:i/>
          <w:iCs/>
          <w:vanish w:val="0"/>
          <w:kern w:val="22"/>
          <w:sz w:val="22"/>
          <w:szCs w:val="22"/>
          <w:lang w:val="es-ES"/>
        </w:rPr>
        <w:t xml:space="preserve"> </w:t>
      </w:r>
      <w:r>
        <w:rPr>
          <w:kern w:val="22"/>
          <w:lang w:val="es-ES"/>
        </w:rPr>
        <w:lastRenderedPageBreak/>
        <w:t xml:space="preserve">y el </w:t>
      </w:r>
      <w:r>
        <w:rPr>
          <w:i/>
          <w:iCs/>
          <w:kern w:val="22"/>
          <w:lang w:val="es-ES"/>
        </w:rPr>
        <w:t>Informe de la evaluación mundial de la diversidad biológica y los servicios de los ecosistemas</w:t>
      </w:r>
      <w:r>
        <w:rPr>
          <w:kern w:val="22"/>
          <w:lang w:val="es-ES"/>
        </w:rPr>
        <w:t xml:space="preserve"> de la Plataforma Intergubernamental Científico-Normativa sobre Diversidad Biológica y Servicios de los Ecosistemas</w:t>
      </w:r>
      <w:r>
        <w:rPr>
          <w:rStyle w:val="FootnoteReference"/>
          <w:kern w:val="22"/>
          <w:lang w:val="es-ES"/>
        </w:rPr>
        <w:footnoteReference w:id="11"/>
      </w:r>
      <w:r>
        <w:rPr>
          <w:kern w:val="22"/>
          <w:lang w:val="es-ES"/>
        </w:rPr>
        <w:t xml:space="preserve"> que indican que, a pesar de que se han logrado ciertos progresos, ninguna de las Metas de Aichi para la Diversidad Biológica</w:t>
      </w:r>
      <w:r>
        <w:rPr>
          <w:rStyle w:val="FootnoteReference"/>
          <w:kern w:val="22"/>
          <w:lang w:val="es-ES"/>
        </w:rPr>
        <w:footnoteReference w:id="12"/>
      </w:r>
      <w:r>
        <w:rPr>
          <w:kern w:val="22"/>
          <w:lang w:val="es-ES"/>
        </w:rPr>
        <w:t xml:space="preserve"> se ha alcanzado plenamente y que ello socava el logro de la Visión de la Diversidad Biológica para 2050 y otros objetivos y metas internacionales,</w:t>
      </w:r>
    </w:p>
    <w:p w:rsidR="00345E78" w:rsidRDefault="00345E78" w:rsidP="00674ABE">
      <w:pPr>
        <w:adjustRightInd w:val="0"/>
        <w:snapToGrid w:val="0"/>
        <w:spacing w:before="120" w:after="120"/>
        <w:ind w:left="720" w:firstLine="720"/>
        <w:rPr>
          <w:kern w:val="22"/>
        </w:rPr>
      </w:pPr>
      <w:r>
        <w:rPr>
          <w:i/>
          <w:iCs/>
          <w:kern w:val="22"/>
          <w:lang w:val="es-ES"/>
        </w:rPr>
        <w:t>Alarmada</w:t>
      </w:r>
      <w:r>
        <w:rPr>
          <w:kern w:val="22"/>
          <w:lang w:val="es-ES"/>
        </w:rPr>
        <w:t xml:space="preserve"> por la pérdida continua de diversidad biológica y el riesgo que ello supone para el bienestar humano y las perspectivas de </w:t>
      </w:r>
      <w:r w:rsidR="00AE0793">
        <w:rPr>
          <w:kern w:val="22"/>
          <w:lang w:val="es-ES"/>
        </w:rPr>
        <w:t>a</w:t>
      </w:r>
      <w:r>
        <w:rPr>
          <w:kern w:val="22"/>
          <w:lang w:val="es-ES"/>
        </w:rPr>
        <w:t>l</w:t>
      </w:r>
      <w:r w:rsidR="00AE0793">
        <w:rPr>
          <w:kern w:val="22"/>
          <w:lang w:val="es-ES"/>
        </w:rPr>
        <w:t>canz</w:t>
      </w:r>
      <w:r>
        <w:rPr>
          <w:kern w:val="22"/>
          <w:lang w:val="es-ES"/>
        </w:rPr>
        <w:t>ar los tres objetivos del Convenio</w:t>
      </w:r>
      <w:r w:rsidR="00CC6DDB">
        <w:rPr>
          <w:kern w:val="22"/>
          <w:lang w:val="es-ES"/>
        </w:rPr>
        <w:t>,</w:t>
      </w:r>
    </w:p>
    <w:p w:rsidR="00345E78" w:rsidRDefault="00345E78">
      <w:pPr>
        <w:numPr>
          <w:ilvl w:val="0"/>
          <w:numId w:val="39"/>
        </w:numPr>
        <w:adjustRightInd w:val="0"/>
        <w:snapToGrid w:val="0"/>
        <w:spacing w:before="120" w:after="120"/>
        <w:ind w:firstLine="720"/>
        <w:rPr>
          <w:kern w:val="22"/>
        </w:rPr>
      </w:pPr>
      <w:r>
        <w:rPr>
          <w:i/>
          <w:iCs/>
          <w:kern w:val="22"/>
          <w:lang w:val="es-ES"/>
        </w:rPr>
        <w:t>Adopta</w:t>
      </w:r>
      <w:r>
        <w:rPr>
          <w:kern w:val="22"/>
          <w:lang w:val="es-ES"/>
        </w:rPr>
        <w:t xml:space="preserve"> el marco mundial de la diversidad biológica posterior a 2020 y su marco de seguimiento, que figuran en los anexos I y II de la presente decisión, como un marco mundial </w:t>
      </w:r>
      <w:r w:rsidR="00AE0793">
        <w:rPr>
          <w:kern w:val="22"/>
          <w:lang w:val="es-ES"/>
        </w:rPr>
        <w:t>de</w:t>
      </w:r>
      <w:r>
        <w:rPr>
          <w:kern w:val="22"/>
          <w:lang w:val="es-ES"/>
        </w:rPr>
        <w:t xml:space="preserve"> acción </w:t>
      </w:r>
      <w:r w:rsidR="00AE0793">
        <w:rPr>
          <w:kern w:val="22"/>
          <w:lang w:val="es-ES"/>
        </w:rPr>
        <w:t>flexible para</w:t>
      </w:r>
      <w:r>
        <w:rPr>
          <w:kern w:val="22"/>
          <w:lang w:val="es-ES"/>
        </w:rPr>
        <w:t xml:space="preserve"> todas las Partes y los interesados </w:t>
      </w:r>
      <w:r w:rsidR="00AE0793">
        <w:rPr>
          <w:kern w:val="22"/>
          <w:lang w:val="es-ES"/>
        </w:rPr>
        <w:t>que permita</w:t>
      </w:r>
      <w:r>
        <w:rPr>
          <w:kern w:val="22"/>
          <w:lang w:val="es-ES"/>
        </w:rPr>
        <w:t xml:space="preserve"> alcanzar la Visión de la Diversidad Biológica para 2050 y lograr los objetivos del Convenio;</w:t>
      </w:r>
    </w:p>
    <w:p w:rsidR="00345E78" w:rsidRDefault="00345E78">
      <w:pPr>
        <w:numPr>
          <w:ilvl w:val="0"/>
          <w:numId w:val="39"/>
        </w:numPr>
        <w:adjustRightInd w:val="0"/>
        <w:snapToGrid w:val="0"/>
        <w:spacing w:before="120" w:after="120"/>
        <w:ind w:firstLine="720"/>
        <w:rPr>
          <w:kern w:val="22"/>
        </w:rPr>
      </w:pPr>
      <w:r>
        <w:rPr>
          <w:i/>
          <w:iCs/>
          <w:kern w:val="22"/>
          <w:lang w:val="es-ES"/>
        </w:rPr>
        <w:t>Observa</w:t>
      </w:r>
      <w:r>
        <w:rPr>
          <w:kern w:val="22"/>
          <w:lang w:val="es-ES"/>
        </w:rPr>
        <w:t xml:space="preserve"> que el marco mundial de la diversidad biológica posterior a 2020 debería implementarse de acuerdo con las prioridades y capacidades nacionales;</w:t>
      </w:r>
    </w:p>
    <w:p w:rsidR="00345E78" w:rsidRDefault="00345E78">
      <w:pPr>
        <w:numPr>
          <w:ilvl w:val="0"/>
          <w:numId w:val="39"/>
        </w:numPr>
        <w:adjustRightInd w:val="0"/>
        <w:snapToGrid w:val="0"/>
        <w:spacing w:before="120" w:after="120"/>
        <w:ind w:firstLine="720"/>
        <w:rPr>
          <w:kern w:val="22"/>
        </w:rPr>
      </w:pPr>
      <w:r>
        <w:rPr>
          <w:i/>
          <w:iCs/>
          <w:kern w:val="22"/>
          <w:lang w:val="es-ES"/>
        </w:rPr>
        <w:t>Observa también</w:t>
      </w:r>
      <w:r>
        <w:rPr>
          <w:kern w:val="22"/>
          <w:lang w:val="es-ES"/>
        </w:rPr>
        <w:t xml:space="preserve"> que para la implementación efectiva del marco se requieren recursos financieros suficientes, </w:t>
      </w:r>
      <w:r w:rsidR="003E64F1">
        <w:rPr>
          <w:kern w:val="22"/>
          <w:lang w:val="es-ES"/>
        </w:rPr>
        <w:t xml:space="preserve">oportunos, </w:t>
      </w:r>
      <w:r>
        <w:rPr>
          <w:kern w:val="22"/>
          <w:lang w:val="es-ES"/>
        </w:rPr>
        <w:t>previsibles y accesibles;</w:t>
      </w:r>
    </w:p>
    <w:p w:rsidR="00345E78" w:rsidRDefault="00345E78">
      <w:pPr>
        <w:pStyle w:val="BodyText"/>
        <w:numPr>
          <w:ilvl w:val="0"/>
          <w:numId w:val="39"/>
        </w:numPr>
        <w:adjustRightInd w:val="0"/>
        <w:snapToGrid w:val="0"/>
        <w:ind w:firstLine="720"/>
        <w:rPr>
          <w:kern w:val="22"/>
        </w:rPr>
      </w:pPr>
      <w:r>
        <w:rPr>
          <w:i/>
          <w:iCs/>
          <w:kern w:val="22"/>
          <w:lang w:val="es-ES"/>
        </w:rPr>
        <w:t>Observa además</w:t>
      </w:r>
      <w:r>
        <w:rPr>
          <w:kern w:val="22"/>
          <w:lang w:val="es-ES"/>
        </w:rPr>
        <w:t xml:space="preserve"> que se hará un seguimiento y una evaluación de la implementación del marco mundial de la diversidad biológica posterior a 2020 a través de su marco de seguimiento;</w:t>
      </w:r>
    </w:p>
    <w:p w:rsidR="00345E78" w:rsidRDefault="00345E78">
      <w:pPr>
        <w:pStyle w:val="BodyText"/>
        <w:numPr>
          <w:ilvl w:val="0"/>
          <w:numId w:val="39"/>
        </w:numPr>
        <w:adjustRightInd w:val="0"/>
        <w:snapToGrid w:val="0"/>
        <w:ind w:firstLine="720"/>
        <w:rPr>
          <w:kern w:val="22"/>
        </w:rPr>
      </w:pPr>
      <w:r>
        <w:rPr>
          <w:i/>
          <w:iCs/>
          <w:kern w:val="22"/>
          <w:lang w:val="es-ES"/>
        </w:rPr>
        <w:t>Observa</w:t>
      </w:r>
      <w:r>
        <w:rPr>
          <w:kern w:val="22"/>
          <w:lang w:val="es-ES"/>
        </w:rPr>
        <w:t xml:space="preserve"> que la implementación del marco mundial de la diversidad biológica posterior a 2020 estará apoyada por otras decisiones pertinentes adoptadas por la Conferencia de las Partes en su 15ª reunión y, en particular, decisiones referidas a lo siguiente:</w:t>
      </w:r>
    </w:p>
    <w:p w:rsidR="00345E78" w:rsidRDefault="00345E78">
      <w:pPr>
        <w:pStyle w:val="BodyText"/>
        <w:numPr>
          <w:ilvl w:val="1"/>
          <w:numId w:val="40"/>
        </w:numPr>
        <w:adjustRightInd w:val="0"/>
        <w:snapToGrid w:val="0"/>
        <w:ind w:left="720" w:firstLine="720"/>
        <w:rPr>
          <w:kern w:val="22"/>
        </w:rPr>
      </w:pPr>
      <w:r>
        <w:rPr>
          <w:kern w:val="22"/>
          <w:lang w:val="es-ES"/>
        </w:rPr>
        <w:t>El enfoque multidimensional mejorado para la planificación, el seguimiento, la presentación de informes y la revisión</w:t>
      </w:r>
      <w:r>
        <w:rPr>
          <w:rStyle w:val="FootnoteReference"/>
          <w:kern w:val="22"/>
          <w:lang w:val="es-ES"/>
        </w:rPr>
        <w:footnoteReference w:id="13"/>
      </w:r>
      <w:r>
        <w:rPr>
          <w:kern w:val="22"/>
          <w:lang w:val="es-ES"/>
        </w:rPr>
        <w:t>;</w:t>
      </w:r>
    </w:p>
    <w:p w:rsidR="00345E78" w:rsidRDefault="00345E78">
      <w:pPr>
        <w:pStyle w:val="BodyText"/>
        <w:numPr>
          <w:ilvl w:val="1"/>
          <w:numId w:val="40"/>
        </w:numPr>
        <w:adjustRightInd w:val="0"/>
        <w:snapToGrid w:val="0"/>
        <w:ind w:left="720" w:firstLine="720"/>
        <w:rPr>
          <w:kern w:val="22"/>
        </w:rPr>
      </w:pPr>
      <w:r>
        <w:rPr>
          <w:kern w:val="22"/>
          <w:lang w:val="es-ES"/>
        </w:rPr>
        <w:t>El plan de acción actualizado sobre gobiernos subnacionales, ciudades y otras autoridades locales para la diversidad biológica</w:t>
      </w:r>
      <w:r>
        <w:rPr>
          <w:rStyle w:val="FootnoteReference"/>
          <w:kern w:val="22"/>
          <w:lang w:val="es-ES"/>
        </w:rPr>
        <w:footnoteReference w:id="14"/>
      </w:r>
      <w:r>
        <w:rPr>
          <w:kern w:val="22"/>
          <w:lang w:val="es-ES"/>
        </w:rPr>
        <w:t>;</w:t>
      </w:r>
    </w:p>
    <w:p w:rsidR="00345E78" w:rsidRDefault="00345E78">
      <w:pPr>
        <w:pStyle w:val="BodyText"/>
        <w:numPr>
          <w:ilvl w:val="1"/>
          <w:numId w:val="40"/>
        </w:numPr>
        <w:adjustRightInd w:val="0"/>
        <w:snapToGrid w:val="0"/>
        <w:ind w:left="720" w:firstLine="720"/>
        <w:rPr>
          <w:kern w:val="22"/>
        </w:rPr>
      </w:pPr>
      <w:r>
        <w:rPr>
          <w:kern w:val="22"/>
          <w:lang w:val="es-ES"/>
        </w:rPr>
        <w:t>La estrategia para la movilización de recursos</w:t>
      </w:r>
      <w:r>
        <w:rPr>
          <w:rStyle w:val="FootnoteReference"/>
          <w:kern w:val="22"/>
          <w:lang w:val="es-ES"/>
        </w:rPr>
        <w:footnoteReference w:id="15"/>
      </w:r>
      <w:r>
        <w:rPr>
          <w:kern w:val="22"/>
          <w:lang w:val="es-ES"/>
        </w:rPr>
        <w:t>;</w:t>
      </w:r>
    </w:p>
    <w:p w:rsidR="00345E78" w:rsidRDefault="00345E78">
      <w:pPr>
        <w:pStyle w:val="BodyText"/>
        <w:numPr>
          <w:ilvl w:val="1"/>
          <w:numId w:val="40"/>
        </w:numPr>
        <w:adjustRightInd w:val="0"/>
        <w:snapToGrid w:val="0"/>
        <w:ind w:left="720" w:firstLine="720"/>
        <w:rPr>
          <w:kern w:val="22"/>
        </w:rPr>
      </w:pPr>
      <w:r>
        <w:rPr>
          <w:kern w:val="22"/>
          <w:lang w:val="es-ES"/>
        </w:rPr>
        <w:t>El marco estratégico a largo plazo para la creación y el desarrollo de capacidad en apoyo a prioridades determinadas a nivel nacional para la implementación del marco mundial de la diversidad biológica posterior a 2020</w:t>
      </w:r>
      <w:r>
        <w:rPr>
          <w:rStyle w:val="FootnoteReference"/>
          <w:kern w:val="22"/>
          <w:lang w:val="es-ES"/>
        </w:rPr>
        <w:footnoteReference w:id="16"/>
      </w:r>
      <w:r>
        <w:rPr>
          <w:kern w:val="22"/>
          <w:lang w:val="es-ES"/>
        </w:rPr>
        <w:t>;</w:t>
      </w:r>
    </w:p>
    <w:p w:rsidR="00345E78" w:rsidRDefault="00345E78">
      <w:pPr>
        <w:pStyle w:val="BodyText"/>
        <w:numPr>
          <w:ilvl w:val="1"/>
          <w:numId w:val="40"/>
        </w:numPr>
        <w:adjustRightInd w:val="0"/>
        <w:snapToGrid w:val="0"/>
        <w:ind w:left="720" w:firstLine="720"/>
        <w:rPr>
          <w:kern w:val="22"/>
        </w:rPr>
      </w:pPr>
      <w:r>
        <w:rPr>
          <w:kern w:val="22"/>
          <w:lang w:val="es-ES"/>
        </w:rPr>
        <w:t>El plan de acción sobre género para el período posterior a 2020</w:t>
      </w:r>
      <w:r>
        <w:rPr>
          <w:rStyle w:val="FootnoteReference"/>
          <w:kern w:val="22"/>
          <w:lang w:val="es-ES"/>
        </w:rPr>
        <w:footnoteReference w:id="17"/>
      </w:r>
      <w:r>
        <w:rPr>
          <w:kern w:val="22"/>
          <w:lang w:val="es-ES"/>
        </w:rPr>
        <w:t>;</w:t>
      </w:r>
    </w:p>
    <w:p w:rsidR="00345E78" w:rsidRDefault="00345E78">
      <w:pPr>
        <w:pStyle w:val="BodyText"/>
        <w:numPr>
          <w:ilvl w:val="1"/>
          <w:numId w:val="40"/>
        </w:numPr>
        <w:adjustRightInd w:val="0"/>
        <w:snapToGrid w:val="0"/>
        <w:ind w:left="720" w:firstLine="720"/>
        <w:rPr>
          <w:kern w:val="22"/>
        </w:rPr>
      </w:pPr>
      <w:r>
        <w:rPr>
          <w:kern w:val="22"/>
          <w:lang w:val="es-ES"/>
        </w:rPr>
        <w:lastRenderedPageBreak/>
        <w:t>La estrategia de comunicaciones para el marco mundial de la diversidad biológica posterior a 2020</w:t>
      </w:r>
      <w:r>
        <w:rPr>
          <w:rStyle w:val="FootnoteReference"/>
          <w:kern w:val="22"/>
          <w:lang w:val="es-ES"/>
        </w:rPr>
        <w:footnoteReference w:id="18"/>
      </w:r>
      <w:r>
        <w:rPr>
          <w:kern w:val="22"/>
          <w:lang w:val="es-ES"/>
        </w:rPr>
        <w:t>, que apoyará y contribuirá a la implementación del marco mundial de la diversidad biológica posterior a 2020;</w:t>
      </w:r>
    </w:p>
    <w:p w:rsidR="00345E78" w:rsidRDefault="00345E78">
      <w:pPr>
        <w:pStyle w:val="BodyText"/>
        <w:numPr>
          <w:ilvl w:val="1"/>
          <w:numId w:val="40"/>
        </w:numPr>
        <w:adjustRightInd w:val="0"/>
        <w:snapToGrid w:val="0"/>
        <w:ind w:left="720" w:firstLine="720"/>
        <w:rPr>
          <w:kern w:val="22"/>
        </w:rPr>
      </w:pPr>
      <w:r>
        <w:rPr>
          <w:kern w:val="22"/>
          <w:lang w:val="es-ES"/>
        </w:rPr>
        <w:t>El enfoque a largo plazo para la integración y su plan de acción</w:t>
      </w:r>
      <w:r>
        <w:rPr>
          <w:rStyle w:val="FootnoteReference"/>
          <w:kern w:val="22"/>
          <w:lang w:val="es-ES"/>
        </w:rPr>
        <w:footnoteReference w:id="19"/>
      </w:r>
      <w:r>
        <w:rPr>
          <w:kern w:val="22"/>
          <w:lang w:val="es-ES"/>
        </w:rPr>
        <w:t>;</w:t>
      </w:r>
    </w:p>
    <w:p w:rsidR="00345E78" w:rsidRDefault="00345E78">
      <w:pPr>
        <w:pStyle w:val="BodyText"/>
        <w:numPr>
          <w:ilvl w:val="1"/>
          <w:numId w:val="40"/>
        </w:numPr>
        <w:adjustRightInd w:val="0"/>
        <w:snapToGrid w:val="0"/>
        <w:ind w:left="720" w:firstLine="720"/>
        <w:rPr>
          <w:kern w:val="22"/>
        </w:rPr>
      </w:pPr>
      <w:r>
        <w:rPr>
          <w:kern w:val="22"/>
          <w:lang w:val="es-ES"/>
        </w:rPr>
        <w:t>Cooperación con otros convenios y organizaciones internacionales</w:t>
      </w:r>
      <w:r>
        <w:rPr>
          <w:rStyle w:val="FootnoteReference"/>
          <w:kern w:val="22"/>
          <w:lang w:val="es-ES"/>
        </w:rPr>
        <w:footnoteReference w:id="20"/>
      </w:r>
      <w:r w:rsidR="00674ABE">
        <w:rPr>
          <w:kern w:val="22"/>
          <w:lang w:val="es-ES"/>
        </w:rPr>
        <w:t>;</w:t>
      </w:r>
    </w:p>
    <w:p w:rsidR="00345E78" w:rsidRDefault="00345E78">
      <w:pPr>
        <w:pStyle w:val="BodyText"/>
        <w:numPr>
          <w:ilvl w:val="0"/>
          <w:numId w:val="39"/>
        </w:numPr>
        <w:adjustRightInd w:val="0"/>
        <w:snapToGrid w:val="0"/>
        <w:ind w:firstLine="720"/>
        <w:rPr>
          <w:kern w:val="22"/>
        </w:rPr>
      </w:pPr>
      <w:r>
        <w:rPr>
          <w:i/>
          <w:iCs/>
          <w:kern w:val="22"/>
          <w:lang w:val="es-ES"/>
        </w:rPr>
        <w:t>Recuerda</w:t>
      </w:r>
      <w:r>
        <w:rPr>
          <w:kern w:val="22"/>
          <w:lang w:val="es-ES"/>
        </w:rPr>
        <w:t xml:space="preserve"> el art</w:t>
      </w:r>
      <w:r w:rsidR="00B407FB">
        <w:rPr>
          <w:kern w:val="22"/>
          <w:lang w:val="es-ES"/>
        </w:rPr>
        <w:t>ículo 23 del texto del Convenio</w:t>
      </w:r>
      <w:r>
        <w:rPr>
          <w:kern w:val="22"/>
          <w:lang w:val="es-ES"/>
        </w:rPr>
        <w:t xml:space="preserve"> y </w:t>
      </w:r>
      <w:r>
        <w:rPr>
          <w:i/>
          <w:iCs/>
          <w:kern w:val="22"/>
          <w:lang w:val="es-ES"/>
        </w:rPr>
        <w:t>reitera</w:t>
      </w:r>
      <w:r>
        <w:rPr>
          <w:kern w:val="22"/>
          <w:lang w:val="es-ES"/>
        </w:rPr>
        <w:t xml:space="preserve"> que la función de la Conferencia de las Partes es mantener bajo examen la aplicación del Convenio;</w:t>
      </w:r>
    </w:p>
    <w:p w:rsidR="00345E78" w:rsidRDefault="00345E78">
      <w:pPr>
        <w:pStyle w:val="BodyText"/>
        <w:numPr>
          <w:ilvl w:val="0"/>
          <w:numId w:val="39"/>
        </w:numPr>
        <w:adjustRightInd w:val="0"/>
        <w:snapToGrid w:val="0"/>
        <w:ind w:firstLine="720"/>
        <w:rPr>
          <w:kern w:val="22"/>
        </w:rPr>
      </w:pPr>
      <w:r>
        <w:rPr>
          <w:i/>
          <w:iCs/>
          <w:kern w:val="22"/>
          <w:lang w:val="es-ES"/>
        </w:rPr>
        <w:t>Decide</w:t>
      </w:r>
      <w:r>
        <w:rPr>
          <w:kern w:val="22"/>
          <w:lang w:val="es-ES"/>
        </w:rPr>
        <w:t xml:space="preserve"> que, en cada una de sus futuras reuniones, la Conferencia de las Partes examinará los progresos en la implementación del marco mundial de</w:t>
      </w:r>
      <w:r w:rsidR="00B407FB">
        <w:rPr>
          <w:kern w:val="22"/>
          <w:lang w:val="es-ES"/>
        </w:rPr>
        <w:t xml:space="preserve"> la</w:t>
      </w:r>
      <w:r>
        <w:rPr>
          <w:kern w:val="22"/>
          <w:lang w:val="es-ES"/>
        </w:rPr>
        <w:t xml:space="preserve"> diversidad biológica posterior a 2020, compartirá experiencias que sean pertinentes para la implementación y brindará orientación sobre formas de sortear los obstáculos encontrados;</w:t>
      </w:r>
    </w:p>
    <w:p w:rsidR="00345E78" w:rsidRDefault="00345E78">
      <w:pPr>
        <w:pStyle w:val="BodyText"/>
        <w:numPr>
          <w:ilvl w:val="0"/>
          <w:numId w:val="39"/>
        </w:numPr>
        <w:adjustRightInd w:val="0"/>
        <w:snapToGrid w:val="0"/>
        <w:ind w:firstLine="720"/>
        <w:rPr>
          <w:kern w:val="22"/>
        </w:rPr>
      </w:pPr>
      <w:r>
        <w:rPr>
          <w:i/>
          <w:iCs/>
          <w:kern w:val="22"/>
          <w:lang w:val="es-ES"/>
        </w:rPr>
        <w:t>Insta</w:t>
      </w:r>
      <w:r>
        <w:rPr>
          <w:kern w:val="22"/>
          <w:lang w:val="es-ES"/>
        </w:rPr>
        <w:t xml:space="preserve"> a las Partes, en particular a las Partes que son países desarrollados, e </w:t>
      </w:r>
      <w:r>
        <w:rPr>
          <w:i/>
          <w:iCs/>
          <w:kern w:val="22"/>
          <w:lang w:val="es-ES"/>
        </w:rPr>
        <w:t>invita</w:t>
      </w:r>
      <w:r>
        <w:rPr>
          <w:kern w:val="22"/>
          <w:lang w:val="es-ES"/>
        </w:rPr>
        <w:t xml:space="preserve"> a otros Gobiernos y a instituciones financieras internacionales, bancos regionales de desarrollo y otras instituciones financieras multilaterales a que brinden apoyo financiero suficiente, previsible y oportuno a las Partes que son países en desarrollo, en particular los países menos adelantados, los pequeños Estados insulares en desarrollo y los países con economías en transición, para posibilitar la implementación plena del marco mundial de la diversidad biológica posterior a 2020 y </w:t>
      </w:r>
      <w:r>
        <w:rPr>
          <w:i/>
          <w:iCs/>
          <w:kern w:val="22"/>
          <w:lang w:val="es-ES"/>
        </w:rPr>
        <w:t>reitera</w:t>
      </w:r>
      <w:r>
        <w:rPr>
          <w:kern w:val="22"/>
          <w:lang w:val="es-ES"/>
        </w:rPr>
        <w:t xml:space="preserve"> que </w:t>
      </w:r>
      <w:r w:rsidR="00B407FB">
        <w:rPr>
          <w:kern w:val="22"/>
          <w:lang w:val="es-ES"/>
        </w:rPr>
        <w:t>e</w:t>
      </w:r>
      <w:r>
        <w:rPr>
          <w:kern w:val="22"/>
          <w:lang w:val="es-ES"/>
        </w:rPr>
        <w:t>l</w:t>
      </w:r>
      <w:r w:rsidR="00B407FB">
        <w:rPr>
          <w:kern w:val="22"/>
          <w:lang w:val="es-ES"/>
        </w:rPr>
        <w:t xml:space="preserve"> gr</w:t>
      </w:r>
      <w:r>
        <w:rPr>
          <w:kern w:val="22"/>
          <w:lang w:val="es-ES"/>
        </w:rPr>
        <w:t>ad</w:t>
      </w:r>
      <w:r w:rsidR="00B407FB">
        <w:rPr>
          <w:kern w:val="22"/>
          <w:lang w:val="es-ES"/>
        </w:rPr>
        <w:t>o</w:t>
      </w:r>
      <w:r>
        <w:rPr>
          <w:kern w:val="22"/>
          <w:lang w:val="es-ES"/>
        </w:rPr>
        <w:t xml:space="preserve"> en que las Partes que son países en desarrollo cumpl</w:t>
      </w:r>
      <w:r w:rsidR="00674ABE">
        <w:rPr>
          <w:kern w:val="22"/>
          <w:lang w:val="es-ES"/>
        </w:rPr>
        <w:t>an</w:t>
      </w:r>
      <w:r>
        <w:rPr>
          <w:kern w:val="22"/>
          <w:lang w:val="es-ES"/>
        </w:rPr>
        <w:t xml:space="preserve"> efectivamente sus compromisos en virtud del Convenio dependerá del cumplimiento efectivo por las Partes que son países desarrollados de sus compromisos asumidos en virtud del Convenio en materia de recursos financieros y transferencia de tecnología;</w:t>
      </w:r>
    </w:p>
    <w:p w:rsidR="00345E78" w:rsidRDefault="00345E78">
      <w:pPr>
        <w:pStyle w:val="BodyText"/>
        <w:numPr>
          <w:ilvl w:val="0"/>
          <w:numId w:val="39"/>
        </w:numPr>
        <w:adjustRightInd w:val="0"/>
        <w:snapToGrid w:val="0"/>
        <w:ind w:firstLine="720"/>
        <w:rPr>
          <w:kern w:val="22"/>
        </w:rPr>
      </w:pPr>
      <w:r>
        <w:rPr>
          <w:i/>
          <w:iCs/>
          <w:kern w:val="22"/>
          <w:lang w:val="es-ES"/>
        </w:rPr>
        <w:t>Pide</w:t>
      </w:r>
      <w:r>
        <w:rPr>
          <w:kern w:val="22"/>
          <w:lang w:val="es-ES"/>
        </w:rPr>
        <w:t xml:space="preserve"> al Fondo para el Medio Ambiente Mundial, que suministre apoyo financiero suficiente, oportuno y previsible a los países que cumplan las condiciones para recibir dicho apoyo, a fin de permitirles </w:t>
      </w:r>
      <w:r w:rsidR="00B407FB">
        <w:rPr>
          <w:kern w:val="22"/>
          <w:lang w:val="es-ES"/>
        </w:rPr>
        <w:t xml:space="preserve">a esos países </w:t>
      </w:r>
      <w:r>
        <w:rPr>
          <w:kern w:val="22"/>
          <w:lang w:val="es-ES"/>
        </w:rPr>
        <w:t>planificar</w:t>
      </w:r>
      <w:r w:rsidR="00B407FB">
        <w:rPr>
          <w:kern w:val="22"/>
          <w:lang w:val="es-ES"/>
        </w:rPr>
        <w:t xml:space="preserve"> para</w:t>
      </w:r>
      <w:r>
        <w:rPr>
          <w:kern w:val="22"/>
          <w:lang w:val="es-ES"/>
        </w:rPr>
        <w:t xml:space="preserve"> el marco mundial de la diversidad biológica posterior a 2020</w:t>
      </w:r>
      <w:r w:rsidR="00B407FB">
        <w:rPr>
          <w:kern w:val="22"/>
          <w:lang w:val="es-ES"/>
        </w:rPr>
        <w:t xml:space="preserve"> e implementarlo</w:t>
      </w:r>
      <w:r>
        <w:rPr>
          <w:kern w:val="22"/>
          <w:lang w:val="es-ES"/>
        </w:rPr>
        <w:t>, a</w:t>
      </w:r>
      <w:r w:rsidR="00B407FB">
        <w:rPr>
          <w:kern w:val="22"/>
          <w:lang w:val="es-ES"/>
        </w:rPr>
        <w:t xml:space="preserve">sí como hacer un seguimiento y </w:t>
      </w:r>
      <w:r>
        <w:rPr>
          <w:kern w:val="22"/>
          <w:lang w:val="es-ES"/>
        </w:rPr>
        <w:t>e</w:t>
      </w:r>
      <w:r w:rsidR="00B407FB">
        <w:rPr>
          <w:kern w:val="22"/>
          <w:lang w:val="es-ES"/>
        </w:rPr>
        <w:t>xamin</w:t>
      </w:r>
      <w:r>
        <w:rPr>
          <w:kern w:val="22"/>
          <w:lang w:val="es-ES"/>
        </w:rPr>
        <w:t xml:space="preserve">ar </w:t>
      </w:r>
      <w:r w:rsidR="00B407FB">
        <w:rPr>
          <w:kern w:val="22"/>
          <w:lang w:val="es-ES"/>
        </w:rPr>
        <w:t>la</w:t>
      </w:r>
      <w:r>
        <w:rPr>
          <w:kern w:val="22"/>
          <w:lang w:val="es-ES"/>
        </w:rPr>
        <w:t xml:space="preserve"> implementación;</w:t>
      </w:r>
    </w:p>
    <w:p w:rsidR="00345E78" w:rsidRDefault="00345E78">
      <w:pPr>
        <w:pStyle w:val="BodyText"/>
        <w:numPr>
          <w:ilvl w:val="0"/>
          <w:numId w:val="39"/>
        </w:numPr>
        <w:adjustRightInd w:val="0"/>
        <w:snapToGrid w:val="0"/>
        <w:ind w:firstLine="720"/>
        <w:rPr>
          <w:kern w:val="22"/>
        </w:rPr>
      </w:pPr>
      <w:r>
        <w:rPr>
          <w:i/>
          <w:iCs/>
          <w:kern w:val="22"/>
          <w:lang w:val="es-ES"/>
        </w:rPr>
        <w:t>Pone de relieve</w:t>
      </w:r>
      <w:r>
        <w:rPr>
          <w:kern w:val="22"/>
          <w:lang w:val="es-ES"/>
        </w:rPr>
        <w:t xml:space="preserve"> la necesidad de actividades de creación de capacidad y un intercambio eficaz de conocimientos, a fin de apoyar a todos los países, en especial los países en desarrollo, en particular los países menos adelantados, los pequeños Estados insulares en desarrollo y los países con economías en transición, así como los pueblos indígenas y las comunidades locales, en la implementación del marco mundial de la diversidad biológica posterior a 2020;</w:t>
      </w:r>
    </w:p>
    <w:p w:rsidR="00345E78" w:rsidRDefault="00345E78">
      <w:pPr>
        <w:pStyle w:val="BodyText"/>
        <w:numPr>
          <w:ilvl w:val="0"/>
          <w:numId w:val="39"/>
        </w:numPr>
        <w:adjustRightInd w:val="0"/>
        <w:snapToGrid w:val="0"/>
        <w:ind w:firstLine="720"/>
        <w:rPr>
          <w:i/>
          <w:iCs/>
          <w:kern w:val="22"/>
        </w:rPr>
      </w:pPr>
      <w:r>
        <w:rPr>
          <w:i/>
          <w:iCs/>
          <w:kern w:val="22"/>
          <w:lang w:val="es-ES"/>
        </w:rPr>
        <w:t>Insta</w:t>
      </w:r>
      <w:r>
        <w:rPr>
          <w:kern w:val="22"/>
          <w:lang w:val="es-ES"/>
        </w:rPr>
        <w:t xml:space="preserve"> a las Partes y a otros Gobiernos a que, con el apoyo de organizaciones intergubernamentales y otras organizaciones, según proceda, implementen el marco mundial de la diversidad biológica posterior a 2020, de forma coherente y en consonancia con el Convenio y otras obligaciones internacionales pertinentes, y, en particular, que habiliten la participación en todos los niveles, con miras a fomentar la contribución plena y efectiva de las mujeres, la juventud, los pueblos indígenas y las comunidades locales, las organizaciones de la sociedad civil, los sectores privado y financiero e interesados de todos los demás sectores, en toda la implementación de los objetivos y las metas del marco mundial de la diversidad biológica posterior a 2020 y la consecución de los objetivos del Convenio;</w:t>
      </w:r>
    </w:p>
    <w:p w:rsidR="00345E78" w:rsidRDefault="00345E78">
      <w:pPr>
        <w:pStyle w:val="BodyText"/>
        <w:numPr>
          <w:ilvl w:val="0"/>
          <w:numId w:val="39"/>
        </w:numPr>
        <w:adjustRightInd w:val="0"/>
        <w:snapToGrid w:val="0"/>
        <w:ind w:firstLine="720"/>
        <w:rPr>
          <w:i/>
          <w:iCs/>
          <w:kern w:val="22"/>
        </w:rPr>
      </w:pPr>
      <w:r>
        <w:rPr>
          <w:i/>
          <w:iCs/>
          <w:kern w:val="22"/>
          <w:lang w:val="es-ES"/>
        </w:rPr>
        <w:t>Insta</w:t>
      </w:r>
      <w:r>
        <w:rPr>
          <w:kern w:val="22"/>
          <w:lang w:val="es-ES"/>
        </w:rPr>
        <w:t xml:space="preserve"> a acuerdos, procesos y organizaciones pertinentes a que consideren elaborar o actualizar estrategias y marcos pertinentes, según proceda, como forma de complementar y </w:t>
      </w:r>
      <w:r>
        <w:rPr>
          <w:kern w:val="22"/>
          <w:lang w:val="es-ES"/>
        </w:rPr>
        <w:lastRenderedPageBreak/>
        <w:t>apoyar medidas nacionales y de contribuir a la implementación del marco mundial de la diversidad biológica posterior a 2020 y, según proceda, para complementar y apoyar los esfuerzos nacionales dirigidos a implementar el marco mundial de la diversidad biológica posterior a 2020;</w:t>
      </w:r>
    </w:p>
    <w:p w:rsidR="00345E78" w:rsidRDefault="00345E78">
      <w:pPr>
        <w:pStyle w:val="BodyText"/>
        <w:numPr>
          <w:ilvl w:val="0"/>
          <w:numId w:val="39"/>
        </w:numPr>
        <w:adjustRightInd w:val="0"/>
        <w:snapToGrid w:val="0"/>
        <w:ind w:firstLine="720"/>
        <w:rPr>
          <w:kern w:val="22"/>
        </w:rPr>
      </w:pPr>
      <w:r>
        <w:rPr>
          <w:i/>
          <w:iCs/>
          <w:kern w:val="22"/>
          <w:lang w:val="es-ES"/>
        </w:rPr>
        <w:t>Invita</w:t>
      </w:r>
      <w:r>
        <w:rPr>
          <w:kern w:val="22"/>
          <w:lang w:val="es-ES"/>
        </w:rPr>
        <w:t xml:space="preserve"> a la Asamblea General de las Naciones Unidas a que en su seguimiento de los progresos logrados en los Objetivos de Desarrollo Sostenible tenga en cuenta el marco mundial de la diversidad biológica posterior a 2020 y los progresos logrados en su implementación;</w:t>
      </w:r>
    </w:p>
    <w:p w:rsidR="00345E78" w:rsidRDefault="00345E78">
      <w:pPr>
        <w:pStyle w:val="BodyText"/>
        <w:numPr>
          <w:ilvl w:val="0"/>
          <w:numId w:val="39"/>
        </w:numPr>
        <w:adjustRightInd w:val="0"/>
        <w:snapToGrid w:val="0"/>
        <w:ind w:firstLine="720"/>
        <w:rPr>
          <w:i/>
          <w:iCs/>
          <w:kern w:val="22"/>
        </w:rPr>
      </w:pPr>
      <w:r>
        <w:rPr>
          <w:i/>
          <w:iCs/>
          <w:kern w:val="22"/>
          <w:lang w:val="es-ES"/>
        </w:rPr>
        <w:t>Invita</w:t>
      </w:r>
      <w:r>
        <w:rPr>
          <w:kern w:val="22"/>
          <w:lang w:val="es-ES"/>
        </w:rPr>
        <w:t xml:space="preserve"> a las Partes y </w:t>
      </w:r>
      <w:r w:rsidR="007939E8">
        <w:rPr>
          <w:kern w:val="22"/>
          <w:lang w:val="es-ES"/>
        </w:rPr>
        <w:t xml:space="preserve">a </w:t>
      </w:r>
      <w:r>
        <w:rPr>
          <w:kern w:val="22"/>
          <w:lang w:val="es-ES"/>
        </w:rPr>
        <w:t xml:space="preserve">otros Gobiernos de los demás convenios relacionados con la diversidad biológica y otros acuerdos pertinentes a que, </w:t>
      </w:r>
      <w:r>
        <w:rPr>
          <w:lang w:val="es-ES"/>
        </w:rPr>
        <w:t>en las próximas reuniones de sus órganos rectores,</w:t>
      </w:r>
      <w:r>
        <w:rPr>
          <w:kern w:val="22"/>
          <w:lang w:val="es-ES"/>
        </w:rPr>
        <w:t xml:space="preserve"> consideren, según proceda, </w:t>
      </w:r>
      <w:r w:rsidR="007939E8">
        <w:rPr>
          <w:kern w:val="22"/>
          <w:lang w:val="es-ES"/>
        </w:rPr>
        <w:t>hacer suyo</w:t>
      </w:r>
      <w:r>
        <w:rPr>
          <w:kern w:val="22"/>
          <w:lang w:val="es-ES"/>
        </w:rPr>
        <w:t xml:space="preserve"> el marco mundial de la diversidad biológica posterior a 2020 a través de procesos de gobernanza pertinentes y contribuir a la implementación colaborativa, efectiva y eficiente del marco mundial de la diversidad biológica posterior a 2020;</w:t>
      </w:r>
    </w:p>
    <w:p w:rsidR="00345E78" w:rsidRDefault="00345E78">
      <w:pPr>
        <w:pStyle w:val="BodyText"/>
        <w:numPr>
          <w:ilvl w:val="0"/>
          <w:numId w:val="39"/>
        </w:numPr>
        <w:adjustRightInd w:val="0"/>
        <w:snapToGrid w:val="0"/>
        <w:ind w:firstLine="720"/>
        <w:rPr>
          <w:i/>
          <w:iCs/>
          <w:kern w:val="22"/>
        </w:rPr>
      </w:pPr>
      <w:r>
        <w:rPr>
          <w:i/>
          <w:iCs/>
          <w:kern w:val="22"/>
          <w:lang w:val="es-ES"/>
        </w:rPr>
        <w:t>Invita</w:t>
      </w:r>
      <w:r>
        <w:rPr>
          <w:kern w:val="22"/>
          <w:lang w:val="es-ES"/>
        </w:rPr>
        <w:t xml:space="preserve"> a las Partes y </w:t>
      </w:r>
      <w:r w:rsidR="007939E8">
        <w:rPr>
          <w:kern w:val="22"/>
          <w:lang w:val="es-ES"/>
        </w:rPr>
        <w:t xml:space="preserve">a </w:t>
      </w:r>
      <w:r>
        <w:rPr>
          <w:kern w:val="22"/>
          <w:lang w:val="es-ES"/>
        </w:rPr>
        <w:t>otros Gobiernos de los demás convenios relacionados con la diversidad biológica y otros acuerdos pertinentes a que, en las próximas reuniones de sus órganos rectores, cooperen mediante la aplicación de medidas para apoyar la implementación efectiva y eficiente del marco mundial de la diversidad biológica posterior a 2020 en todo el sistema de las Naciones Unidas;</w:t>
      </w:r>
    </w:p>
    <w:p w:rsidR="00345E78" w:rsidRDefault="00345E78">
      <w:pPr>
        <w:pStyle w:val="BodyText"/>
        <w:numPr>
          <w:ilvl w:val="0"/>
          <w:numId w:val="39"/>
        </w:numPr>
        <w:adjustRightInd w:val="0"/>
        <w:snapToGrid w:val="0"/>
        <w:ind w:firstLine="720"/>
        <w:rPr>
          <w:i/>
          <w:iCs/>
          <w:kern w:val="22"/>
        </w:rPr>
      </w:pPr>
      <w:r>
        <w:rPr>
          <w:i/>
          <w:iCs/>
          <w:kern w:val="22"/>
          <w:lang w:val="es-ES"/>
        </w:rPr>
        <w:t>Invita</w:t>
      </w:r>
      <w:r>
        <w:rPr>
          <w:kern w:val="22"/>
          <w:lang w:val="es-ES"/>
        </w:rPr>
        <w:t xml:space="preserve"> al Programa de las Naciones Unidas para el Medio Ambiente, en particular a sus oficinas regionales, así como al Programa de las Naciones Unidas para el Desarrollo y a la Organización de las Naciones Unidas para la Alimentación y la Agricultura, a facilitar actividades dirigidas a apoyar </w:t>
      </w:r>
      <w:r w:rsidR="007939E8">
        <w:rPr>
          <w:kern w:val="22"/>
          <w:lang w:val="es-ES"/>
        </w:rPr>
        <w:t xml:space="preserve">a nivel </w:t>
      </w:r>
      <w:r>
        <w:rPr>
          <w:kern w:val="22"/>
          <w:lang w:val="es-ES"/>
        </w:rPr>
        <w:t xml:space="preserve">nacional y regional </w:t>
      </w:r>
      <w:r w:rsidR="007939E8">
        <w:rPr>
          <w:kern w:val="22"/>
          <w:lang w:val="es-ES"/>
        </w:rPr>
        <w:t xml:space="preserve">la aplicación </w:t>
      </w:r>
      <w:r>
        <w:rPr>
          <w:kern w:val="22"/>
          <w:lang w:val="es-ES"/>
        </w:rPr>
        <w:t>del Convenio y la implementación del marco mundial de la diversidad biológica posterior a 2020, en cooperación con otros organismos ejecutores pertinentes;</w:t>
      </w:r>
    </w:p>
    <w:p w:rsidR="00345E78" w:rsidRDefault="00345E78">
      <w:pPr>
        <w:pStyle w:val="BodyText"/>
        <w:numPr>
          <w:ilvl w:val="0"/>
          <w:numId w:val="39"/>
        </w:numPr>
        <w:adjustRightInd w:val="0"/>
        <w:snapToGrid w:val="0"/>
        <w:ind w:firstLine="720"/>
        <w:rPr>
          <w:kern w:val="22"/>
        </w:rPr>
      </w:pPr>
      <w:r>
        <w:rPr>
          <w:i/>
          <w:iCs/>
          <w:kern w:val="22"/>
          <w:lang w:val="es-ES"/>
        </w:rPr>
        <w:t>Invita</w:t>
      </w:r>
      <w:r>
        <w:rPr>
          <w:kern w:val="22"/>
          <w:lang w:val="es-ES"/>
        </w:rPr>
        <w:t xml:space="preserve"> al Grupo de Gestión Ambiental y al Grupo de Enlace sobre la Biodiversidad a definir medidas para apoyar la implementación eficaz y eficiente del marco mundial de la diversidad biológica posterior a 2020 en todo el sistema de las Naciones Unidas y </w:t>
      </w:r>
      <w:r w:rsidR="000D7DB0">
        <w:rPr>
          <w:kern w:val="22"/>
          <w:lang w:val="es-ES"/>
        </w:rPr>
        <w:t>a</w:t>
      </w:r>
      <w:r>
        <w:rPr>
          <w:kern w:val="22"/>
          <w:lang w:val="es-ES"/>
        </w:rPr>
        <w:t xml:space="preserve"> present</w:t>
      </w:r>
      <w:r w:rsidR="000D7DB0">
        <w:rPr>
          <w:kern w:val="22"/>
          <w:lang w:val="es-ES"/>
        </w:rPr>
        <w:t>ar</w:t>
      </w:r>
      <w:r>
        <w:rPr>
          <w:kern w:val="22"/>
          <w:lang w:val="es-ES"/>
        </w:rPr>
        <w:t xml:space="preserve"> un informe sobre su labor a la Conferencia de las Partes en su 16ª reunión;</w:t>
      </w:r>
    </w:p>
    <w:p w:rsidR="00345E78" w:rsidRDefault="00345E78">
      <w:pPr>
        <w:pStyle w:val="BodyText"/>
        <w:numPr>
          <w:ilvl w:val="0"/>
          <w:numId w:val="39"/>
        </w:numPr>
        <w:adjustRightInd w:val="0"/>
        <w:snapToGrid w:val="0"/>
        <w:ind w:firstLine="720"/>
        <w:rPr>
          <w:kern w:val="22"/>
        </w:rPr>
      </w:pPr>
      <w:r>
        <w:rPr>
          <w:i/>
          <w:iCs/>
          <w:color w:val="000000"/>
          <w:kern w:val="22"/>
          <w:lang w:val="es-ES"/>
        </w:rPr>
        <w:t>Pide</w:t>
      </w:r>
      <w:r>
        <w:rPr>
          <w:kern w:val="22"/>
          <w:lang w:val="es-ES"/>
        </w:rPr>
        <w:t xml:space="preserve"> a la Secretaria Ejecutiva que:</w:t>
      </w:r>
    </w:p>
    <w:p w:rsidR="00345E78" w:rsidRDefault="00345E78">
      <w:pPr>
        <w:pStyle w:val="BodyText"/>
        <w:numPr>
          <w:ilvl w:val="0"/>
          <w:numId w:val="49"/>
        </w:numPr>
        <w:adjustRightInd w:val="0"/>
        <w:snapToGrid w:val="0"/>
        <w:ind w:left="720" w:firstLine="720"/>
        <w:rPr>
          <w:kern w:val="22"/>
        </w:rPr>
      </w:pPr>
      <w:r>
        <w:rPr>
          <w:kern w:val="22"/>
          <w:lang w:val="es-ES"/>
        </w:rPr>
        <w:t>Promueva y facilite, en asociación con las Partes y otros Gobiernos y organizaciones internacionales pertinentes, incluidas organizaciones de pueblos indígenas y comunidades locales, según proceda, actividades tendientes a fortalecer la capacidad para implementar el marco mundial de la diversidad biológica posterior 2020;</w:t>
      </w:r>
    </w:p>
    <w:p w:rsidR="00345E78" w:rsidRDefault="00345E78">
      <w:pPr>
        <w:pStyle w:val="BodyText"/>
        <w:numPr>
          <w:ilvl w:val="0"/>
          <w:numId w:val="49"/>
        </w:numPr>
        <w:adjustRightInd w:val="0"/>
        <w:snapToGrid w:val="0"/>
        <w:ind w:left="720" w:firstLine="720"/>
        <w:rPr>
          <w:kern w:val="22"/>
        </w:rPr>
      </w:pPr>
      <w:r>
        <w:rPr>
          <w:kern w:val="22"/>
          <w:lang w:val="es-ES"/>
        </w:rPr>
        <w:t xml:space="preserve">Desarrolle opciones para continuar mejorando la aplicación del Convenio, para que sean consideradas por el Órgano Subsidiario sobre la Aplicación en una reunión </w:t>
      </w:r>
      <w:r w:rsidR="000D7DB0">
        <w:rPr>
          <w:kern w:val="22"/>
          <w:lang w:val="es-ES"/>
        </w:rPr>
        <w:t xml:space="preserve">que se </w:t>
      </w:r>
      <w:r>
        <w:rPr>
          <w:kern w:val="22"/>
          <w:lang w:val="es-ES"/>
        </w:rPr>
        <w:t>celebr</w:t>
      </w:r>
      <w:r w:rsidR="000D7DB0">
        <w:rPr>
          <w:kern w:val="22"/>
          <w:lang w:val="es-ES"/>
        </w:rPr>
        <w:t>e</w:t>
      </w:r>
      <w:r>
        <w:rPr>
          <w:kern w:val="22"/>
          <w:lang w:val="es-ES"/>
        </w:rPr>
        <w:t xml:space="preserve"> con anterioridad a la 16ª reunión de la Conferencia de las Partes;</w:t>
      </w:r>
    </w:p>
    <w:p w:rsidR="00345E78" w:rsidRDefault="00345E78">
      <w:pPr>
        <w:pStyle w:val="BodyText"/>
        <w:numPr>
          <w:ilvl w:val="0"/>
          <w:numId w:val="49"/>
        </w:numPr>
        <w:adjustRightInd w:val="0"/>
        <w:snapToGrid w:val="0"/>
        <w:ind w:left="720" w:firstLine="720"/>
        <w:rPr>
          <w:kern w:val="22"/>
        </w:rPr>
      </w:pPr>
      <w:r>
        <w:rPr>
          <w:kern w:val="22"/>
          <w:lang w:val="es-ES"/>
        </w:rPr>
        <w:t>Elabore, teniendo en cuenta las decisiones adoptadas por la Conferencia de las Partes en su 15ª reunión y programas de trabajo previamente adoptados, materiales de orientación para las Partes, incluida la determinación de posibles medidas y mejores prácticas para lograr los objetivos, metas y otros elementos del marco mundial de la diversidad biológica posterior a 2020.</w:t>
      </w:r>
    </w:p>
    <w:p w:rsidR="00345E78" w:rsidRDefault="00345E78">
      <w:pPr>
        <w:suppressLineNumbers/>
        <w:suppressAutoHyphens/>
        <w:jc w:val="center"/>
        <w:rPr>
          <w:kern w:val="22"/>
        </w:rPr>
      </w:pPr>
      <w:r>
        <w:rPr>
          <w:kern w:val="22"/>
        </w:rPr>
        <w:t>__________</w:t>
      </w:r>
    </w:p>
    <w:sectPr w:rsidR="00345E78" w:rsidSect="00941820">
      <w:headerReference w:type="even" r:id="rId11"/>
      <w:headerReference w:type="default" r:id="rId12"/>
      <w:footerReference w:type="even" r:id="rId13"/>
      <w:footerReference w:type="default" r:id="rId14"/>
      <w:headerReference w:type="first" r:id="rId15"/>
      <w:footerReference w:type="first" r:id="rId16"/>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89C" w:rsidRDefault="001F389C">
      <w:r>
        <w:separator/>
      </w:r>
    </w:p>
  </w:endnote>
  <w:endnote w:type="continuationSeparator" w:id="1">
    <w:p w:rsidR="001F389C" w:rsidRDefault="001F389C">
      <w:r>
        <w:continuationSeparator/>
      </w:r>
    </w:p>
  </w:endnote>
  <w:endnote w:type="continuationNotice" w:id="2">
    <w:p w:rsidR="001F389C" w:rsidRDefault="001F38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78" w:rsidRDefault="00345E78">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B0" w:rsidRDefault="000D7D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78" w:rsidRDefault="00345E78">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89C" w:rsidRDefault="001F389C">
      <w:r>
        <w:separator/>
      </w:r>
    </w:p>
  </w:footnote>
  <w:footnote w:type="continuationSeparator" w:id="1">
    <w:p w:rsidR="001F389C" w:rsidRDefault="001F389C">
      <w:r>
        <w:continuationSeparator/>
      </w:r>
    </w:p>
  </w:footnote>
  <w:footnote w:type="continuationNotice" w:id="2">
    <w:p w:rsidR="001F389C" w:rsidRDefault="001F389C"/>
  </w:footnote>
  <w:footnote w:id="3">
    <w:p w:rsidR="000B20C6" w:rsidRPr="000B20C6" w:rsidRDefault="000B20C6" w:rsidP="000B20C6">
      <w:pPr>
        <w:pStyle w:val="FootnoteText"/>
        <w:ind w:firstLine="0"/>
        <w:rPr>
          <w:lang w:val="es-ES"/>
        </w:rPr>
      </w:pPr>
      <w:r w:rsidRPr="000B20C6">
        <w:rPr>
          <w:rStyle w:val="FootnoteReference"/>
          <w:lang w:val="es-ES"/>
        </w:rPr>
        <w:t>*</w:t>
      </w:r>
      <w:r w:rsidRPr="000B20C6">
        <w:rPr>
          <w:lang w:val="es-ES"/>
        </w:rPr>
        <w:t xml:space="preserve"> </w:t>
      </w:r>
      <w:r>
        <w:rPr>
          <w:lang w:val="es-ES"/>
        </w:rPr>
        <w:t>P</w:t>
      </w:r>
      <w:r w:rsidRPr="000B20C6">
        <w:rPr>
          <w:lang w:val="es-ES"/>
        </w:rPr>
        <w:t xml:space="preserve">ublicado </w:t>
      </w:r>
      <w:r>
        <w:rPr>
          <w:lang w:val="es-ES"/>
        </w:rPr>
        <w:t>nuevamente</w:t>
      </w:r>
      <w:r w:rsidR="00D10475">
        <w:rPr>
          <w:lang w:val="es-ES"/>
        </w:rPr>
        <w:t xml:space="preserve"> (por segunda vez)</w:t>
      </w:r>
      <w:r>
        <w:rPr>
          <w:lang w:val="es-ES"/>
        </w:rPr>
        <w:t xml:space="preserve"> </w:t>
      </w:r>
      <w:r w:rsidRPr="000B20C6">
        <w:rPr>
          <w:lang w:val="es-ES"/>
        </w:rPr>
        <w:t>por r</w:t>
      </w:r>
      <w:r>
        <w:rPr>
          <w:lang w:val="es-ES"/>
        </w:rPr>
        <w:t>a</w:t>
      </w:r>
      <w:r w:rsidRPr="000B20C6">
        <w:rPr>
          <w:lang w:val="es-ES"/>
        </w:rPr>
        <w:t>zones técnicas</w:t>
      </w:r>
      <w:r w:rsidR="00D10475">
        <w:rPr>
          <w:lang w:val="es-ES"/>
        </w:rPr>
        <w:t xml:space="preserve"> (</w:t>
      </w:r>
      <w:r w:rsidRPr="000B20C6">
        <w:rPr>
          <w:lang w:val="es-ES"/>
        </w:rPr>
        <w:t>1</w:t>
      </w:r>
      <w:r w:rsidR="00D10475">
        <w:rPr>
          <w:lang w:val="es-ES"/>
        </w:rPr>
        <w:t>3</w:t>
      </w:r>
      <w:r w:rsidRPr="000B20C6">
        <w:rPr>
          <w:lang w:val="es-ES"/>
        </w:rPr>
        <w:t xml:space="preserve"> de diciembre de 2021</w:t>
      </w:r>
      <w:r w:rsidR="00D10475">
        <w:rPr>
          <w:lang w:val="es-ES"/>
        </w:rPr>
        <w:t>)</w:t>
      </w:r>
      <w:r w:rsidRPr="000B20C6">
        <w:rPr>
          <w:lang w:val="es-ES"/>
        </w:rPr>
        <w:t>.</w:t>
      </w:r>
    </w:p>
  </w:footnote>
  <w:footnote w:id="4">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CBD/WG2020/1/5</w:t>
      </w:r>
    </w:p>
  </w:footnote>
  <w:footnote w:id="5">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CBD/WG2020/2/4</w:t>
      </w:r>
    </w:p>
  </w:footnote>
  <w:footnote w:id="6">
    <w:p w:rsidR="00345E78" w:rsidRDefault="00345E78">
      <w:pPr>
        <w:pStyle w:val="FootnoteText"/>
        <w:suppressLineNumbers/>
        <w:suppressAutoHyphens/>
        <w:ind w:firstLine="0"/>
        <w:jc w:val="left"/>
      </w:pPr>
      <w:r>
        <w:rPr>
          <w:kern w:val="18"/>
        </w:rPr>
        <w:footnoteRef/>
      </w:r>
      <w:r>
        <w:rPr>
          <w:kern w:val="18"/>
        </w:rPr>
        <w:t xml:space="preserve"> </w:t>
      </w:r>
      <w:r>
        <w:rPr>
          <w:kern w:val="18"/>
          <w:lang w:val="es-ES"/>
        </w:rPr>
        <w:t>CBD/WG2020/3/5</w:t>
      </w:r>
    </w:p>
  </w:footnote>
  <w:footnote w:id="7">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Declaración de Río sobre el Medio Ambiente y el Desarrollo (A/CONF.151/26/Rev.l (Vol. I)), publicación de las Naciones Unidas, núm. de venta: S.93.1.8.</w:t>
      </w:r>
    </w:p>
  </w:footnote>
  <w:footnote w:id="8">
    <w:p w:rsidR="00C50E82" w:rsidRDefault="00C50E82" w:rsidP="00C50E82">
      <w:pPr>
        <w:pStyle w:val="FootnoteText"/>
        <w:ind w:firstLine="0"/>
        <w:jc w:val="left"/>
      </w:pPr>
      <w:r w:rsidRPr="00C50E82">
        <w:rPr>
          <w:rStyle w:val="FootnoteReference"/>
          <w:sz w:val="18"/>
          <w:szCs w:val="18"/>
          <w:lang w:val="es-ES"/>
        </w:rPr>
        <w:footnoteRef/>
      </w:r>
      <w:r w:rsidRPr="00C50E82">
        <w:rPr>
          <w:lang w:val="es-ES"/>
        </w:rPr>
        <w:t xml:space="preserve"> </w:t>
      </w:r>
      <w:r w:rsidRPr="00C50E82">
        <w:rPr>
          <w:lang w:val="es-ES"/>
        </w:rPr>
        <w:t>R</w:t>
      </w:r>
      <w:r w:rsidRPr="00C50E82">
        <w:rPr>
          <w:lang w:val="es-ES"/>
        </w:rPr>
        <w:t>esolu</w:t>
      </w:r>
      <w:r w:rsidRPr="00C50E82">
        <w:rPr>
          <w:lang w:val="es-ES"/>
        </w:rPr>
        <w:t>c</w:t>
      </w:r>
      <w:r w:rsidRPr="00C50E82">
        <w:rPr>
          <w:lang w:val="es-ES"/>
        </w:rPr>
        <w:t>i</w:t>
      </w:r>
      <w:r w:rsidRPr="00C50E82">
        <w:rPr>
          <w:lang w:val="es-ES"/>
        </w:rPr>
        <w:t>ó</w:t>
      </w:r>
      <w:r w:rsidRPr="00C50E82">
        <w:rPr>
          <w:lang w:val="es-ES"/>
        </w:rPr>
        <w:t>n 70/1</w:t>
      </w:r>
      <w:r w:rsidRPr="00C50E82">
        <w:rPr>
          <w:lang w:val="es-ES"/>
        </w:rPr>
        <w:t xml:space="preserve"> de la </w:t>
      </w:r>
      <w:r w:rsidRPr="00C50E82">
        <w:rPr>
          <w:lang w:val="es-ES"/>
        </w:rPr>
        <w:t>As</w:t>
      </w:r>
      <w:r w:rsidRPr="00C50E82">
        <w:rPr>
          <w:lang w:val="es-ES"/>
        </w:rPr>
        <w:t>a</w:t>
      </w:r>
      <w:r w:rsidRPr="00C50E82">
        <w:rPr>
          <w:lang w:val="es-ES"/>
        </w:rPr>
        <w:t>mbl</w:t>
      </w:r>
      <w:r w:rsidRPr="00C50E82">
        <w:rPr>
          <w:lang w:val="es-ES"/>
        </w:rPr>
        <w:t xml:space="preserve">ea </w:t>
      </w:r>
      <w:r w:rsidRPr="00C50E82">
        <w:rPr>
          <w:lang w:val="es-ES"/>
        </w:rPr>
        <w:t>General</w:t>
      </w:r>
      <w:r w:rsidRPr="004E6DB2">
        <w:t>.</w:t>
      </w:r>
    </w:p>
  </w:footnote>
  <w:footnote w:id="9">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Secretaría del Convenio sobre la Diversidad Biológica (2020).</w:t>
      </w:r>
      <w:r>
        <w:rPr>
          <w:kern w:val="18"/>
        </w:rPr>
        <w:t xml:space="preserve"> </w:t>
      </w:r>
      <w:r>
        <w:rPr>
          <w:i/>
          <w:iCs/>
          <w:kern w:val="18"/>
          <w:lang w:val="es-ES"/>
        </w:rPr>
        <w:t>Perspectiva Mundial sobre la Diversidad Biológica 5</w:t>
      </w:r>
      <w:r>
        <w:rPr>
          <w:kern w:val="18"/>
          <w:lang w:val="es-ES"/>
        </w:rPr>
        <w:t>. Montreal, Canadá.</w:t>
      </w:r>
    </w:p>
  </w:footnote>
  <w:footnote w:id="10">
    <w:p w:rsidR="00345E78" w:rsidRDefault="00345E78">
      <w:pPr>
        <w:pStyle w:val="FootnoteText"/>
        <w:suppressLineNumbers/>
        <w:suppressAutoHyphens/>
        <w:ind w:firstLine="0"/>
        <w:jc w:val="left"/>
      </w:pPr>
      <w:r>
        <w:rPr>
          <w:rStyle w:val="FootnoteReference"/>
          <w:kern w:val="18"/>
        </w:rPr>
        <w:footnoteRef/>
      </w:r>
      <w:r>
        <w:rPr>
          <w:kern w:val="18"/>
        </w:rPr>
        <w:t xml:space="preserve"> </w:t>
      </w:r>
      <w:r w:rsidRPr="00AE0793">
        <w:rPr>
          <w:kern w:val="18"/>
          <w:lang w:val="en-CA"/>
        </w:rPr>
        <w:t>Forest Peoples Programme</w:t>
      </w:r>
      <w:r>
        <w:rPr>
          <w:kern w:val="18"/>
          <w:lang w:val="es-ES"/>
        </w:rPr>
        <w:t>, Foro Internacional Indígena sobre Biodiversidad, Red de Mujeres Indígenas sobre Biodiversidad, Centros de Distinción sobre Conocimientos Indígenas y Locales y Secretaría del Convenio sobre la Diversidad Biológica (2020).</w:t>
      </w:r>
      <w:r>
        <w:rPr>
          <w:kern w:val="18"/>
        </w:rPr>
        <w:t xml:space="preserve"> </w:t>
      </w:r>
      <w:r>
        <w:rPr>
          <w:i/>
          <w:iCs/>
          <w:kern w:val="18"/>
          <w:lang w:val="es-ES"/>
        </w:rPr>
        <w:t>Perspectivas Locales sobre la Diversidad Biológica 2: Las contribuciones de los pueblos indígenas y las comunidades locales a la implementación del Plan Estratégico para la Diversidad Biológica 2011–2020 y a la renovación de la naturaleza y las culturas.</w:t>
      </w:r>
      <w:r>
        <w:rPr>
          <w:i/>
          <w:iCs/>
          <w:kern w:val="18"/>
        </w:rPr>
        <w:t xml:space="preserve"> </w:t>
      </w:r>
      <w:r>
        <w:rPr>
          <w:i/>
          <w:iCs/>
          <w:kern w:val="18"/>
          <w:lang w:val="es-ES"/>
        </w:rPr>
        <w:t>Un complemento de la quinta edición de la</w:t>
      </w:r>
      <w:r>
        <w:rPr>
          <w:kern w:val="18"/>
          <w:lang w:val="es-ES"/>
        </w:rPr>
        <w:t xml:space="preserve"> </w:t>
      </w:r>
      <w:r>
        <w:rPr>
          <w:i/>
          <w:iCs/>
          <w:kern w:val="18"/>
          <w:lang w:val="es-ES"/>
        </w:rPr>
        <w:t>Perspectiva Mundial sobre la Diversidad Biológica</w:t>
      </w:r>
      <w:r>
        <w:rPr>
          <w:kern w:val="18"/>
          <w:lang w:val="es-ES"/>
        </w:rPr>
        <w:t>.</w:t>
      </w:r>
      <w:r>
        <w:rPr>
          <w:kern w:val="18"/>
        </w:rPr>
        <w:t xml:space="preserve"> </w:t>
      </w:r>
      <w:r>
        <w:rPr>
          <w:kern w:val="18"/>
          <w:lang w:val="es-ES"/>
        </w:rPr>
        <w:t>Moreton-in-Marsh, Inglaterra.</w:t>
      </w:r>
      <w:r>
        <w:rPr>
          <w:kern w:val="18"/>
        </w:rPr>
        <w:t xml:space="preserve"> </w:t>
      </w:r>
      <w:r w:rsidRPr="00AE0793">
        <w:rPr>
          <w:kern w:val="18"/>
          <w:lang w:val="en-CA"/>
        </w:rPr>
        <w:t>Forest Peoples Programme</w:t>
      </w:r>
      <w:r>
        <w:rPr>
          <w:kern w:val="18"/>
          <w:lang w:val="es-ES"/>
        </w:rPr>
        <w:t>.</w:t>
      </w:r>
      <w:r>
        <w:rPr>
          <w:kern w:val="18"/>
        </w:rPr>
        <w:t xml:space="preserve"> </w:t>
      </w:r>
      <w:r>
        <w:rPr>
          <w:kern w:val="18"/>
          <w:lang w:val="es-ES"/>
        </w:rPr>
        <w:t>Disponible en:</w:t>
      </w:r>
      <w:r>
        <w:rPr>
          <w:kern w:val="18"/>
        </w:rPr>
        <w:t xml:space="preserve"> </w:t>
      </w:r>
      <w:hyperlink r:id="rId1" w:history="1">
        <w:r>
          <w:rPr>
            <w:rStyle w:val="Hyperlink"/>
          </w:rPr>
          <w:t>https://localbiodiversityoutlooks.net/wp-content/uploads/2021/01/Local-Biodiversity-Outlooks-2-Spanish.pdf</w:t>
        </w:r>
      </w:hyperlink>
      <w:r>
        <w:rPr>
          <w:kern w:val="18"/>
          <w:lang w:val="es-ES"/>
        </w:rPr>
        <w:t>.</w:t>
      </w:r>
    </w:p>
  </w:footnote>
  <w:footnote w:id="11">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IPBES (2019):</w:t>
      </w:r>
      <w:r>
        <w:rPr>
          <w:kern w:val="18"/>
        </w:rPr>
        <w:t xml:space="preserve"> </w:t>
      </w:r>
      <w:r w:rsidRPr="00B407FB">
        <w:rPr>
          <w:i/>
          <w:iCs/>
          <w:kern w:val="18"/>
          <w:lang w:val="en-CA"/>
        </w:rPr>
        <w:t>Global Assessment Report on Biodiversity and Ecosystem Services</w:t>
      </w:r>
      <w:r>
        <w:rPr>
          <w:kern w:val="18"/>
          <w:lang w:val="es-ES"/>
        </w:rPr>
        <w:t>.</w:t>
      </w:r>
      <w:r>
        <w:rPr>
          <w:kern w:val="18"/>
        </w:rPr>
        <w:t xml:space="preserve"> </w:t>
      </w:r>
      <w:r>
        <w:rPr>
          <w:kern w:val="18"/>
          <w:lang w:val="es-ES"/>
        </w:rPr>
        <w:t>E. S. Brondizio, J. Settele, S. Díaz y H. T. Ngo (editores).</w:t>
      </w:r>
      <w:r>
        <w:rPr>
          <w:kern w:val="18"/>
        </w:rPr>
        <w:t xml:space="preserve"> </w:t>
      </w:r>
      <w:r>
        <w:rPr>
          <w:kern w:val="18"/>
          <w:lang w:val="es-ES"/>
        </w:rPr>
        <w:t>Secretaría de la IPBES, Bonn.</w:t>
      </w:r>
      <w:r>
        <w:rPr>
          <w:kern w:val="18"/>
        </w:rPr>
        <w:t xml:space="preserve"> </w:t>
      </w:r>
      <w:r>
        <w:rPr>
          <w:kern w:val="18"/>
          <w:lang w:val="es-ES"/>
        </w:rPr>
        <w:t>1.148 páginas.</w:t>
      </w:r>
      <w:r>
        <w:rPr>
          <w:kern w:val="18"/>
        </w:rPr>
        <w:t xml:space="preserve"> </w:t>
      </w:r>
      <w:hyperlink r:id="rId2" w:history="1">
        <w:r>
          <w:rPr>
            <w:rStyle w:val="Hyperlink"/>
          </w:rPr>
          <w:t>https://doi.org/10.5281/zenodo.3831673</w:t>
        </w:r>
      </w:hyperlink>
      <w:r>
        <w:rPr>
          <w:kern w:val="18"/>
          <w:lang w:val="es-ES"/>
        </w:rPr>
        <w:t>.</w:t>
      </w:r>
    </w:p>
  </w:footnote>
  <w:footnote w:id="12">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Véase la decisión X/2, anexo.</w:t>
      </w:r>
    </w:p>
  </w:footnote>
  <w:footnote w:id="13">
    <w:p w:rsidR="00345E78" w:rsidRDefault="00345E78">
      <w:pPr>
        <w:pStyle w:val="FootnoteText"/>
        <w:suppressLineNumbers/>
        <w:suppressAutoHyphens/>
        <w:ind w:firstLine="0"/>
        <w:jc w:val="left"/>
      </w:pPr>
      <w:r>
        <w:rPr>
          <w:rStyle w:val="FootnoteReference"/>
          <w:kern w:val="18"/>
        </w:rPr>
        <w:footnoteRef/>
      </w:r>
      <w:r>
        <w:rPr>
          <w:kern w:val="18"/>
          <w:vertAlign w:val="superscript"/>
        </w:rPr>
        <w:t xml:space="preserve"> </w:t>
      </w:r>
      <w:r>
        <w:rPr>
          <w:kern w:val="18"/>
          <w:lang w:val="es-ES"/>
        </w:rPr>
        <w:t>Decisión 15/--</w:t>
      </w:r>
    </w:p>
  </w:footnote>
  <w:footnote w:id="14">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Decisión 15/--</w:t>
      </w:r>
    </w:p>
  </w:footnote>
  <w:footnote w:id="15">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Decisión 15/--</w:t>
      </w:r>
    </w:p>
  </w:footnote>
  <w:footnote w:id="16">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Decisión 15/--</w:t>
      </w:r>
    </w:p>
  </w:footnote>
  <w:footnote w:id="17">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Decisión 15/--</w:t>
      </w:r>
    </w:p>
  </w:footnote>
  <w:footnote w:id="18">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Decisión 15/--</w:t>
      </w:r>
    </w:p>
  </w:footnote>
  <w:footnote w:id="19">
    <w:p w:rsidR="00345E78" w:rsidRDefault="00345E78">
      <w:pPr>
        <w:pStyle w:val="FootnoteText"/>
        <w:suppressLineNumbers/>
        <w:tabs>
          <w:tab w:val="left" w:pos="2425"/>
        </w:tabs>
        <w:suppressAutoHyphens/>
        <w:ind w:firstLine="0"/>
        <w:jc w:val="left"/>
      </w:pPr>
      <w:r>
        <w:rPr>
          <w:rStyle w:val="FootnoteReference"/>
          <w:kern w:val="18"/>
        </w:rPr>
        <w:footnoteRef/>
      </w:r>
      <w:r>
        <w:rPr>
          <w:kern w:val="18"/>
        </w:rPr>
        <w:t xml:space="preserve"> </w:t>
      </w:r>
      <w:r>
        <w:rPr>
          <w:kern w:val="18"/>
          <w:lang w:val="es-ES"/>
        </w:rPr>
        <w:t>Decisión 15/--</w:t>
      </w:r>
    </w:p>
  </w:footnote>
  <w:footnote w:id="20">
    <w:p w:rsidR="00345E78" w:rsidRDefault="00345E78">
      <w:pPr>
        <w:pStyle w:val="FootnoteText"/>
        <w:suppressLineNumbers/>
        <w:suppressAutoHyphens/>
        <w:ind w:firstLine="0"/>
        <w:jc w:val="left"/>
      </w:pPr>
      <w:r>
        <w:rPr>
          <w:rStyle w:val="FootnoteReference"/>
          <w:kern w:val="18"/>
        </w:rPr>
        <w:footnoteRef/>
      </w:r>
      <w:r>
        <w:rPr>
          <w:kern w:val="18"/>
        </w:rPr>
        <w:t xml:space="preserve"> </w:t>
      </w:r>
      <w:r>
        <w:rPr>
          <w:kern w:val="18"/>
          <w:lang w:val="es-ES"/>
        </w:rPr>
        <w:t>Decisión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78" w:rsidRPr="000D7DB0" w:rsidRDefault="00345E78">
    <w:pPr>
      <w:pStyle w:val="Header"/>
      <w:suppressLineNumbers/>
      <w:tabs>
        <w:tab w:val="clear" w:pos="4320"/>
        <w:tab w:val="clear" w:pos="8640"/>
      </w:tabs>
      <w:suppressAutoHyphens/>
      <w:jc w:val="left"/>
      <w:rPr>
        <w:kern w:val="22"/>
        <w:lang w:val="es-ES"/>
      </w:rPr>
    </w:pPr>
    <w:r w:rsidRPr="000D7DB0">
      <w:rPr>
        <w:noProof/>
        <w:kern w:val="22"/>
        <w:lang w:val="es-ES"/>
      </w:rPr>
      <w:t>CBD/WG2020/3/3/Add.3</w:t>
    </w:r>
  </w:p>
  <w:p w:rsidR="00345E78" w:rsidRPr="000D7DB0" w:rsidRDefault="00345E78">
    <w:pPr>
      <w:pStyle w:val="Header"/>
      <w:suppressLineNumbers/>
      <w:tabs>
        <w:tab w:val="clear" w:pos="4320"/>
        <w:tab w:val="clear" w:pos="8640"/>
      </w:tabs>
      <w:suppressAutoHyphens/>
      <w:jc w:val="left"/>
      <w:rPr>
        <w:kern w:val="22"/>
        <w:lang w:val="es-ES"/>
      </w:rPr>
    </w:pPr>
    <w:r w:rsidRPr="000D7DB0">
      <w:rPr>
        <w:kern w:val="22"/>
        <w:lang w:val="es-ES"/>
      </w:rPr>
      <w:t xml:space="preserve">Página </w:t>
    </w:r>
    <w:r w:rsidR="00F0253E" w:rsidRPr="000D7DB0">
      <w:rPr>
        <w:kern w:val="22"/>
        <w:lang w:val="es-ES"/>
      </w:rPr>
      <w:fldChar w:fldCharType="begin"/>
    </w:r>
    <w:r w:rsidRPr="000D7DB0">
      <w:rPr>
        <w:kern w:val="22"/>
        <w:lang w:val="es-ES"/>
      </w:rPr>
      <w:instrText xml:space="preserve"> PAGE   \* MERGEFORMAT </w:instrText>
    </w:r>
    <w:r w:rsidR="00F0253E" w:rsidRPr="000D7DB0">
      <w:rPr>
        <w:kern w:val="22"/>
        <w:lang w:val="es-ES"/>
      </w:rPr>
      <w:fldChar w:fldCharType="separate"/>
    </w:r>
    <w:r w:rsidR="00CC6DDB">
      <w:rPr>
        <w:noProof/>
        <w:kern w:val="22"/>
        <w:lang w:val="es-ES"/>
      </w:rPr>
      <w:t>2</w:t>
    </w:r>
    <w:r w:rsidR="00F0253E" w:rsidRPr="000D7DB0">
      <w:rPr>
        <w:kern w:val="22"/>
        <w:lang w:val="es-ES"/>
      </w:rPr>
      <w:fldChar w:fldCharType="end"/>
    </w:r>
  </w:p>
  <w:p w:rsidR="00345E78" w:rsidRPr="000D7DB0" w:rsidRDefault="00345E78">
    <w:pPr>
      <w:pStyle w:val="Header"/>
      <w:suppressLineNumbers/>
      <w:tabs>
        <w:tab w:val="clear" w:pos="4320"/>
        <w:tab w:val="clear" w:pos="8640"/>
      </w:tabs>
      <w:suppressAutoHyphens/>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78" w:rsidRPr="000D7DB0" w:rsidRDefault="00345E78">
    <w:pPr>
      <w:pStyle w:val="Header"/>
      <w:suppressLineNumbers/>
      <w:tabs>
        <w:tab w:val="clear" w:pos="4320"/>
        <w:tab w:val="clear" w:pos="8640"/>
      </w:tabs>
      <w:suppressAutoHyphens/>
      <w:jc w:val="right"/>
      <w:rPr>
        <w:kern w:val="22"/>
        <w:lang w:val="es-ES"/>
      </w:rPr>
    </w:pPr>
    <w:r w:rsidRPr="000D7DB0">
      <w:rPr>
        <w:noProof/>
        <w:kern w:val="22"/>
        <w:lang w:val="es-ES"/>
      </w:rPr>
      <w:t>CBD/WG2020/3/3/Add.3</w:t>
    </w:r>
  </w:p>
  <w:p w:rsidR="00345E78" w:rsidRPr="000D7DB0" w:rsidRDefault="00345E78">
    <w:pPr>
      <w:pStyle w:val="Header"/>
      <w:suppressLineNumbers/>
      <w:tabs>
        <w:tab w:val="clear" w:pos="4320"/>
        <w:tab w:val="clear" w:pos="8640"/>
      </w:tabs>
      <w:suppressAutoHyphens/>
      <w:jc w:val="right"/>
      <w:rPr>
        <w:kern w:val="22"/>
        <w:lang w:val="es-ES"/>
      </w:rPr>
    </w:pPr>
    <w:r w:rsidRPr="000D7DB0">
      <w:rPr>
        <w:kern w:val="22"/>
        <w:lang w:val="es-ES"/>
      </w:rPr>
      <w:t xml:space="preserve">Página </w:t>
    </w:r>
    <w:r w:rsidR="00F0253E" w:rsidRPr="000D7DB0">
      <w:rPr>
        <w:kern w:val="22"/>
        <w:lang w:val="es-ES"/>
      </w:rPr>
      <w:fldChar w:fldCharType="begin"/>
    </w:r>
    <w:r w:rsidRPr="000D7DB0">
      <w:rPr>
        <w:kern w:val="22"/>
        <w:lang w:val="es-ES"/>
      </w:rPr>
      <w:instrText xml:space="preserve"> PAGE   \* MERGEFORMAT </w:instrText>
    </w:r>
    <w:r w:rsidR="00F0253E" w:rsidRPr="000D7DB0">
      <w:rPr>
        <w:kern w:val="22"/>
        <w:lang w:val="es-ES"/>
      </w:rPr>
      <w:fldChar w:fldCharType="separate"/>
    </w:r>
    <w:r w:rsidR="00CC6DDB">
      <w:rPr>
        <w:noProof/>
        <w:kern w:val="22"/>
        <w:lang w:val="es-ES"/>
      </w:rPr>
      <w:t>3</w:t>
    </w:r>
    <w:r w:rsidR="00F0253E" w:rsidRPr="000D7DB0">
      <w:rPr>
        <w:kern w:val="22"/>
        <w:lang w:val="es-ES"/>
      </w:rPr>
      <w:fldChar w:fldCharType="end"/>
    </w:r>
  </w:p>
  <w:p w:rsidR="00345E78" w:rsidRPr="000D7DB0" w:rsidRDefault="00345E78">
    <w:pPr>
      <w:pStyle w:val="Header"/>
      <w:suppressLineNumbers/>
      <w:tabs>
        <w:tab w:val="clear" w:pos="4320"/>
        <w:tab w:val="clear" w:pos="8640"/>
      </w:tabs>
      <w:suppressAutoHyphens/>
      <w:jc w:val="right"/>
      <w:rPr>
        <w:kern w:val="22"/>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B0" w:rsidRDefault="000D7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6C3172A"/>
    <w:multiLevelType w:val="hybridMultilevel"/>
    <w:tmpl w:val="48E0132C"/>
    <w:lvl w:ilvl="0" w:tplc="589A9D78">
      <w:start w:val="1"/>
      <w:numFmt w:val="decimal"/>
      <w:lvlText w:val="%1."/>
      <w:lvlJc w:val="left"/>
      <w:pPr>
        <w:ind w:left="720" w:hanging="360"/>
      </w:pPr>
      <w:rPr>
        <w:i w:val="0"/>
        <w:iCs w:val="0"/>
      </w:rPr>
    </w:lvl>
    <w:lvl w:ilvl="1" w:tplc="04090017">
      <w:start w:val="1"/>
      <w:numFmt w:val="lowerLetter"/>
      <w:lvlText w:val="%2)"/>
      <w:lvlJc w:val="left"/>
      <w:pPr>
        <w:tabs>
          <w:tab w:val="num" w:pos="1440"/>
        </w:tabs>
        <w:ind w:left="1440" w:hanging="360"/>
      </w:pPr>
      <w:rPr>
        <w:i w:val="0"/>
        <w:i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142A51C1"/>
    <w:multiLevelType w:val="multilevel"/>
    <w:tmpl w:val="B3983D22"/>
    <w:lvl w:ilvl="0">
      <w:start w:val="1"/>
      <w:numFmt w:val="decimal"/>
      <w:lvlText w:val="%1."/>
      <w:lvlJc w:val="left"/>
      <w:pPr>
        <w:ind w:left="720" w:hanging="360"/>
      </w:pPr>
      <w:rPr>
        <w:i w:val="0"/>
        <w:iCs w:val="0"/>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E7D45E2"/>
    <w:multiLevelType w:val="multilevel"/>
    <w:tmpl w:val="C5CA635E"/>
    <w:lvl w:ilvl="0">
      <w:start w:val="1"/>
      <w:numFmt w:val="upperRoman"/>
      <w:lvlText w:val="%1."/>
      <w:lvlJc w:val="left"/>
      <w:pPr>
        <w:ind w:left="360" w:hanging="72"/>
      </w:pPr>
      <w:rPr>
        <w:rFonts w:hint="default"/>
        <w:b/>
        <w:bCs/>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0">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266D5508"/>
    <w:multiLevelType w:val="multilevel"/>
    <w:tmpl w:val="9F168BFA"/>
    <w:lvl w:ilvl="0">
      <w:start w:val="1"/>
      <w:numFmt w:val="decimal"/>
      <w:lvlText w:val="%1."/>
      <w:lvlJc w:val="left"/>
      <w:pPr>
        <w:ind w:left="720" w:hanging="360"/>
      </w:pPr>
      <w:rPr>
        <w:i w:val="0"/>
        <w:iCs w:val="0"/>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3">
    <w:nsid w:val="31C871DF"/>
    <w:multiLevelType w:val="hybridMultilevel"/>
    <w:tmpl w:val="5734D5AE"/>
    <w:lvl w:ilvl="0" w:tplc="7D081C20">
      <w:start w:val="1"/>
      <w:numFmt w:val="upperRoman"/>
      <w:lvlText w:val="%1."/>
      <w:lvlJc w:val="left"/>
      <w:pPr>
        <w:ind w:left="143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3CA410CD"/>
    <w:multiLevelType w:val="hybridMultilevel"/>
    <w:tmpl w:val="FA427772"/>
    <w:lvl w:ilvl="0" w:tplc="6E482212">
      <w:start w:val="1"/>
      <w:numFmt w:val="decimal"/>
      <w:pStyle w:val="CBD-Para"/>
      <w:lvlText w:val="%1."/>
      <w:lvlJc w:val="left"/>
      <w:pPr>
        <w:tabs>
          <w:tab w:val="num" w:pos="720"/>
        </w:tabs>
      </w:pPr>
      <w:rPr>
        <w:b w:val="0"/>
        <w:bCs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45B61A11"/>
    <w:multiLevelType w:val="hybridMultilevel"/>
    <w:tmpl w:val="7A72D4DA"/>
    <w:lvl w:ilvl="0" w:tplc="442EEA8C">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F4080D"/>
    <w:multiLevelType w:val="hybridMultilevel"/>
    <w:tmpl w:val="25B86EB8"/>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54871773"/>
    <w:multiLevelType w:val="multilevel"/>
    <w:tmpl w:val="9F6E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603078A"/>
    <w:multiLevelType w:val="hybridMultilevel"/>
    <w:tmpl w:val="9B5CB722"/>
    <w:lvl w:ilvl="0" w:tplc="37A4127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25">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0265376"/>
    <w:multiLevelType w:val="hybridMultilevel"/>
    <w:tmpl w:val="8766BC96"/>
    <w:lvl w:ilvl="0" w:tplc="56B2537C">
      <w:start w:val="1"/>
      <w:numFmt w:val="decimal"/>
      <w:lvlText w:val="%1."/>
      <w:lvlJc w:val="left"/>
      <w:pPr>
        <w:ind w:left="360" w:hanging="360"/>
      </w:pPr>
      <w:rPr>
        <w:b w:val="0"/>
        <w:bCs w:val="0"/>
        <w:i w:val="0"/>
        <w:iCs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2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8">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9"/>
  </w:num>
  <w:num w:numId="3">
    <w:abstractNumId w:val="15"/>
  </w:num>
  <w:num w:numId="4">
    <w:abstractNumId w:val="19"/>
  </w:num>
  <w:num w:numId="5">
    <w:abstractNumId w:val="17"/>
  </w:num>
  <w:num w:numId="6">
    <w:abstractNumId w:val="2"/>
  </w:num>
  <w:num w:numId="7">
    <w:abstractNumId w:val="7"/>
  </w:num>
  <w:num w:numId="8">
    <w:abstractNumId w:val="15"/>
    <w:lvlOverride w:ilvl="0">
      <w:startOverride w:val="1"/>
    </w:lvlOverride>
  </w:num>
  <w:num w:numId="9">
    <w:abstractNumId w:val="27"/>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5"/>
  </w:num>
  <w:num w:numId="15">
    <w:abstractNumId w:val="23"/>
  </w:num>
  <w:num w:numId="16">
    <w:abstractNumId w:val="3"/>
  </w:num>
  <w:num w:numId="17">
    <w:abstractNumId w:val="28"/>
  </w:num>
  <w:num w:numId="18">
    <w:abstractNumId w:val="29"/>
  </w:num>
  <w:num w:numId="19">
    <w:abstractNumId w:val="26"/>
  </w:num>
  <w:num w:numId="20">
    <w:abstractNumId w:val="16"/>
  </w:num>
  <w:num w:numId="21">
    <w:abstractNumId w:val="14"/>
  </w:num>
  <w:num w:numId="22">
    <w:abstractNumId w:val="22"/>
  </w:num>
  <w:num w:numId="2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4"/>
  </w:num>
  <w:num w:numId="26">
    <w:abstractNumId w:val="24"/>
  </w:num>
  <w:num w:numId="27">
    <w:abstractNumId w:val="19"/>
  </w:num>
  <w:num w:numId="28">
    <w:abstractNumId w:val="9"/>
  </w:num>
  <w:num w:numId="29">
    <w:abstractNumId w:val="19"/>
  </w:num>
  <w:num w:numId="30">
    <w:abstractNumId w:val="19"/>
  </w:num>
  <w:num w:numId="31">
    <w:abstractNumId w:val="19"/>
  </w:num>
  <w:num w:numId="32">
    <w:abstractNumId w:val="19"/>
  </w:num>
  <w:num w:numId="33">
    <w:abstractNumId w:val="0"/>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9"/>
  </w:num>
  <w:num w:numId="38">
    <w:abstractNumId w:val="6"/>
  </w:num>
  <w:num w:numId="39">
    <w:abstractNumId w:val="20"/>
  </w:num>
  <w:num w:numId="40">
    <w:abstractNumId w:val="1"/>
  </w:num>
  <w:num w:numId="41">
    <w:abstractNumId w:val="4"/>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9"/>
  </w:num>
  <w:num w:numId="46">
    <w:abstractNumId w:val="19"/>
  </w:num>
  <w:num w:numId="47">
    <w:abstractNumId w:val="5"/>
  </w:num>
  <w:num w:numId="48">
    <w:abstractNumId w:val="1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yMzE3ABKm5ubmhkbGFko6SsGpxcWZ+XkgBRa1AAGgrqksAAAA"/>
  </w:docVars>
  <w:rsids>
    <w:rsidRoot w:val="00C9161D"/>
    <w:rsid w:val="00000174"/>
    <w:rsid w:val="0000152A"/>
    <w:rsid w:val="00002545"/>
    <w:rsid w:val="000054D6"/>
    <w:rsid w:val="000065F7"/>
    <w:rsid w:val="00007982"/>
    <w:rsid w:val="00012E2B"/>
    <w:rsid w:val="00022999"/>
    <w:rsid w:val="00026FAA"/>
    <w:rsid w:val="00027A4B"/>
    <w:rsid w:val="00027E4D"/>
    <w:rsid w:val="00031A46"/>
    <w:rsid w:val="00032200"/>
    <w:rsid w:val="00033044"/>
    <w:rsid w:val="000363D4"/>
    <w:rsid w:val="0003663B"/>
    <w:rsid w:val="00037E8C"/>
    <w:rsid w:val="00040ACD"/>
    <w:rsid w:val="00042572"/>
    <w:rsid w:val="00046017"/>
    <w:rsid w:val="0004745D"/>
    <w:rsid w:val="00052FDA"/>
    <w:rsid w:val="0005410E"/>
    <w:rsid w:val="00054A50"/>
    <w:rsid w:val="00055433"/>
    <w:rsid w:val="000573CA"/>
    <w:rsid w:val="00070DA8"/>
    <w:rsid w:val="000715B3"/>
    <w:rsid w:val="0007171B"/>
    <w:rsid w:val="0007395D"/>
    <w:rsid w:val="0007541D"/>
    <w:rsid w:val="00087521"/>
    <w:rsid w:val="00092D21"/>
    <w:rsid w:val="00092E93"/>
    <w:rsid w:val="00094828"/>
    <w:rsid w:val="000949B7"/>
    <w:rsid w:val="000974DF"/>
    <w:rsid w:val="0009766D"/>
    <w:rsid w:val="000A2FF2"/>
    <w:rsid w:val="000A4391"/>
    <w:rsid w:val="000A6A84"/>
    <w:rsid w:val="000A72BA"/>
    <w:rsid w:val="000B010C"/>
    <w:rsid w:val="000B20C6"/>
    <w:rsid w:val="000B23E6"/>
    <w:rsid w:val="000B61C9"/>
    <w:rsid w:val="000B6E78"/>
    <w:rsid w:val="000C2701"/>
    <w:rsid w:val="000C6D7F"/>
    <w:rsid w:val="000D052E"/>
    <w:rsid w:val="000D24C3"/>
    <w:rsid w:val="000D2B6E"/>
    <w:rsid w:val="000D369F"/>
    <w:rsid w:val="000D67EF"/>
    <w:rsid w:val="000D6804"/>
    <w:rsid w:val="000D7DB0"/>
    <w:rsid w:val="000E02A5"/>
    <w:rsid w:val="000E673A"/>
    <w:rsid w:val="000E7787"/>
    <w:rsid w:val="000F1C9D"/>
    <w:rsid w:val="000F7437"/>
    <w:rsid w:val="000F74F5"/>
    <w:rsid w:val="000F7580"/>
    <w:rsid w:val="00101441"/>
    <w:rsid w:val="00102793"/>
    <w:rsid w:val="00104147"/>
    <w:rsid w:val="00105372"/>
    <w:rsid w:val="001065A4"/>
    <w:rsid w:val="00106F7F"/>
    <w:rsid w:val="00110858"/>
    <w:rsid w:val="001135FB"/>
    <w:rsid w:val="00115DC3"/>
    <w:rsid w:val="001178E6"/>
    <w:rsid w:val="00117B22"/>
    <w:rsid w:val="00120457"/>
    <w:rsid w:val="00123C9F"/>
    <w:rsid w:val="00126A74"/>
    <w:rsid w:val="001275B7"/>
    <w:rsid w:val="001312AD"/>
    <w:rsid w:val="00131E7A"/>
    <w:rsid w:val="00134846"/>
    <w:rsid w:val="001355AB"/>
    <w:rsid w:val="001407A2"/>
    <w:rsid w:val="001442A8"/>
    <w:rsid w:val="001443BB"/>
    <w:rsid w:val="001462D9"/>
    <w:rsid w:val="00147F4A"/>
    <w:rsid w:val="0015103A"/>
    <w:rsid w:val="00154D99"/>
    <w:rsid w:val="001610EF"/>
    <w:rsid w:val="00162CCB"/>
    <w:rsid w:val="00165834"/>
    <w:rsid w:val="00166D79"/>
    <w:rsid w:val="00167A47"/>
    <w:rsid w:val="001707A3"/>
    <w:rsid w:val="00172AF6"/>
    <w:rsid w:val="0017318F"/>
    <w:rsid w:val="00176CEE"/>
    <w:rsid w:val="001778A0"/>
    <w:rsid w:val="001811A4"/>
    <w:rsid w:val="00181AF3"/>
    <w:rsid w:val="00186969"/>
    <w:rsid w:val="00186DD8"/>
    <w:rsid w:val="001936D6"/>
    <w:rsid w:val="00194B7D"/>
    <w:rsid w:val="00194C03"/>
    <w:rsid w:val="00195A54"/>
    <w:rsid w:val="001A0BE9"/>
    <w:rsid w:val="001A2097"/>
    <w:rsid w:val="001B13FE"/>
    <w:rsid w:val="001B15BB"/>
    <w:rsid w:val="001B1F40"/>
    <w:rsid w:val="001B3E42"/>
    <w:rsid w:val="001C0451"/>
    <w:rsid w:val="001C0D64"/>
    <w:rsid w:val="001C73A4"/>
    <w:rsid w:val="001D0BDC"/>
    <w:rsid w:val="001D1B4D"/>
    <w:rsid w:val="001D3A4D"/>
    <w:rsid w:val="001D572B"/>
    <w:rsid w:val="001D582F"/>
    <w:rsid w:val="001E1882"/>
    <w:rsid w:val="001E6C6A"/>
    <w:rsid w:val="001E74D1"/>
    <w:rsid w:val="001E7C97"/>
    <w:rsid w:val="001F3016"/>
    <w:rsid w:val="001F3541"/>
    <w:rsid w:val="001F389C"/>
    <w:rsid w:val="001F3BC2"/>
    <w:rsid w:val="001F7B59"/>
    <w:rsid w:val="0020075F"/>
    <w:rsid w:val="0020237A"/>
    <w:rsid w:val="00203402"/>
    <w:rsid w:val="00205920"/>
    <w:rsid w:val="00207EEA"/>
    <w:rsid w:val="00220BA9"/>
    <w:rsid w:val="0022296E"/>
    <w:rsid w:val="002229C7"/>
    <w:rsid w:val="00222C0C"/>
    <w:rsid w:val="0022410B"/>
    <w:rsid w:val="0022737F"/>
    <w:rsid w:val="00230149"/>
    <w:rsid w:val="00231DA2"/>
    <w:rsid w:val="002343A2"/>
    <w:rsid w:val="00237C1B"/>
    <w:rsid w:val="00244CC2"/>
    <w:rsid w:val="00251441"/>
    <w:rsid w:val="0025275A"/>
    <w:rsid w:val="00252B64"/>
    <w:rsid w:val="002572E4"/>
    <w:rsid w:val="00261F4B"/>
    <w:rsid w:val="00262151"/>
    <w:rsid w:val="00262707"/>
    <w:rsid w:val="00262E76"/>
    <w:rsid w:val="00265548"/>
    <w:rsid w:val="00270ECF"/>
    <w:rsid w:val="002723EA"/>
    <w:rsid w:val="002726C6"/>
    <w:rsid w:val="00277F07"/>
    <w:rsid w:val="0028045B"/>
    <w:rsid w:val="00282E10"/>
    <w:rsid w:val="00287080"/>
    <w:rsid w:val="0028776E"/>
    <w:rsid w:val="00292E0E"/>
    <w:rsid w:val="00293D6E"/>
    <w:rsid w:val="00294B9A"/>
    <w:rsid w:val="00295FC8"/>
    <w:rsid w:val="00296E92"/>
    <w:rsid w:val="002A1636"/>
    <w:rsid w:val="002A1B63"/>
    <w:rsid w:val="002A3E5D"/>
    <w:rsid w:val="002A7AF0"/>
    <w:rsid w:val="002B4E2C"/>
    <w:rsid w:val="002C1E86"/>
    <w:rsid w:val="002C1FA1"/>
    <w:rsid w:val="002C26A6"/>
    <w:rsid w:val="002C34FE"/>
    <w:rsid w:val="002C3701"/>
    <w:rsid w:val="002C40F4"/>
    <w:rsid w:val="002C5EE5"/>
    <w:rsid w:val="002D1E88"/>
    <w:rsid w:val="002D469D"/>
    <w:rsid w:val="002D5970"/>
    <w:rsid w:val="002E3A63"/>
    <w:rsid w:val="002E3E82"/>
    <w:rsid w:val="002E6D22"/>
    <w:rsid w:val="002E742D"/>
    <w:rsid w:val="002E7E79"/>
    <w:rsid w:val="002F0DCB"/>
    <w:rsid w:val="002F139F"/>
    <w:rsid w:val="002F29BD"/>
    <w:rsid w:val="002F2AEC"/>
    <w:rsid w:val="002F61A7"/>
    <w:rsid w:val="002F74F1"/>
    <w:rsid w:val="00300C0A"/>
    <w:rsid w:val="0030169D"/>
    <w:rsid w:val="00304E69"/>
    <w:rsid w:val="00305872"/>
    <w:rsid w:val="003060EB"/>
    <w:rsid w:val="0030667E"/>
    <w:rsid w:val="00310456"/>
    <w:rsid w:val="00311F35"/>
    <w:rsid w:val="0031442E"/>
    <w:rsid w:val="003153EB"/>
    <w:rsid w:val="0032024A"/>
    <w:rsid w:val="00321985"/>
    <w:rsid w:val="00330714"/>
    <w:rsid w:val="00331472"/>
    <w:rsid w:val="00333613"/>
    <w:rsid w:val="00336401"/>
    <w:rsid w:val="003411C6"/>
    <w:rsid w:val="00341526"/>
    <w:rsid w:val="0034158A"/>
    <w:rsid w:val="00344207"/>
    <w:rsid w:val="0034459A"/>
    <w:rsid w:val="00345E23"/>
    <w:rsid w:val="00345E78"/>
    <w:rsid w:val="00351205"/>
    <w:rsid w:val="00354965"/>
    <w:rsid w:val="00355D41"/>
    <w:rsid w:val="0036033F"/>
    <w:rsid w:val="00362AE0"/>
    <w:rsid w:val="00363016"/>
    <w:rsid w:val="00363DA1"/>
    <w:rsid w:val="00366992"/>
    <w:rsid w:val="0036742C"/>
    <w:rsid w:val="00371B74"/>
    <w:rsid w:val="00372F74"/>
    <w:rsid w:val="003744A3"/>
    <w:rsid w:val="00387D0C"/>
    <w:rsid w:val="0039056F"/>
    <w:rsid w:val="00392253"/>
    <w:rsid w:val="0039333B"/>
    <w:rsid w:val="00397F91"/>
    <w:rsid w:val="003A27F9"/>
    <w:rsid w:val="003A4837"/>
    <w:rsid w:val="003A6432"/>
    <w:rsid w:val="003A6F6F"/>
    <w:rsid w:val="003A7193"/>
    <w:rsid w:val="003B5508"/>
    <w:rsid w:val="003B7922"/>
    <w:rsid w:val="003B79F8"/>
    <w:rsid w:val="003C003F"/>
    <w:rsid w:val="003C034F"/>
    <w:rsid w:val="003C0E5B"/>
    <w:rsid w:val="003C4249"/>
    <w:rsid w:val="003D1835"/>
    <w:rsid w:val="003D4D3C"/>
    <w:rsid w:val="003E3C92"/>
    <w:rsid w:val="003E4113"/>
    <w:rsid w:val="003E64F1"/>
    <w:rsid w:val="003F5AB0"/>
    <w:rsid w:val="003F6B05"/>
    <w:rsid w:val="003F7224"/>
    <w:rsid w:val="00401856"/>
    <w:rsid w:val="004020C3"/>
    <w:rsid w:val="00403451"/>
    <w:rsid w:val="00404C94"/>
    <w:rsid w:val="00410BF2"/>
    <w:rsid w:val="0041585B"/>
    <w:rsid w:val="004158D6"/>
    <w:rsid w:val="00415A8D"/>
    <w:rsid w:val="00417494"/>
    <w:rsid w:val="00421CC3"/>
    <w:rsid w:val="00425C07"/>
    <w:rsid w:val="00426EC4"/>
    <w:rsid w:val="00427D21"/>
    <w:rsid w:val="004302C3"/>
    <w:rsid w:val="00430AEE"/>
    <w:rsid w:val="00431366"/>
    <w:rsid w:val="0043137F"/>
    <w:rsid w:val="00441045"/>
    <w:rsid w:val="004415E8"/>
    <w:rsid w:val="00444DB6"/>
    <w:rsid w:val="00446778"/>
    <w:rsid w:val="00454F39"/>
    <w:rsid w:val="004555D9"/>
    <w:rsid w:val="00457AE0"/>
    <w:rsid w:val="004644C2"/>
    <w:rsid w:val="004648E2"/>
    <w:rsid w:val="00467F9C"/>
    <w:rsid w:val="00470ADF"/>
    <w:rsid w:val="00472B05"/>
    <w:rsid w:val="004740B0"/>
    <w:rsid w:val="00474D5D"/>
    <w:rsid w:val="00477498"/>
    <w:rsid w:val="00482C31"/>
    <w:rsid w:val="004834A7"/>
    <w:rsid w:val="00490EAF"/>
    <w:rsid w:val="004944DA"/>
    <w:rsid w:val="00495491"/>
    <w:rsid w:val="004A2EA2"/>
    <w:rsid w:val="004A4E05"/>
    <w:rsid w:val="004A5FE2"/>
    <w:rsid w:val="004A78AD"/>
    <w:rsid w:val="004B00AF"/>
    <w:rsid w:val="004B590C"/>
    <w:rsid w:val="004B5EBB"/>
    <w:rsid w:val="004B6BB8"/>
    <w:rsid w:val="004B74B6"/>
    <w:rsid w:val="004C6BF9"/>
    <w:rsid w:val="004D1C69"/>
    <w:rsid w:val="004D572B"/>
    <w:rsid w:val="004D7290"/>
    <w:rsid w:val="004E0152"/>
    <w:rsid w:val="004E0156"/>
    <w:rsid w:val="004E1BEF"/>
    <w:rsid w:val="004E2CC3"/>
    <w:rsid w:val="004E4284"/>
    <w:rsid w:val="004E4E7E"/>
    <w:rsid w:val="004E6CA4"/>
    <w:rsid w:val="004F39D8"/>
    <w:rsid w:val="004F4991"/>
    <w:rsid w:val="004F4D4E"/>
    <w:rsid w:val="004F4F0E"/>
    <w:rsid w:val="004F6722"/>
    <w:rsid w:val="004F7971"/>
    <w:rsid w:val="004F7B65"/>
    <w:rsid w:val="00503F01"/>
    <w:rsid w:val="00510C73"/>
    <w:rsid w:val="00514852"/>
    <w:rsid w:val="00515FF5"/>
    <w:rsid w:val="00516B52"/>
    <w:rsid w:val="00516BAD"/>
    <w:rsid w:val="00516F9D"/>
    <w:rsid w:val="00520169"/>
    <w:rsid w:val="00520BFD"/>
    <w:rsid w:val="00521AA5"/>
    <w:rsid w:val="005222F3"/>
    <w:rsid w:val="00522E7F"/>
    <w:rsid w:val="00525099"/>
    <w:rsid w:val="00526BC4"/>
    <w:rsid w:val="00530337"/>
    <w:rsid w:val="005313C4"/>
    <w:rsid w:val="00533276"/>
    <w:rsid w:val="00533966"/>
    <w:rsid w:val="00534681"/>
    <w:rsid w:val="00534C2F"/>
    <w:rsid w:val="00535BC5"/>
    <w:rsid w:val="005361AF"/>
    <w:rsid w:val="00536820"/>
    <w:rsid w:val="00541312"/>
    <w:rsid w:val="00546814"/>
    <w:rsid w:val="0055056A"/>
    <w:rsid w:val="00550FA2"/>
    <w:rsid w:val="00551162"/>
    <w:rsid w:val="00551872"/>
    <w:rsid w:val="00557726"/>
    <w:rsid w:val="00557AC0"/>
    <w:rsid w:val="00557D48"/>
    <w:rsid w:val="00563442"/>
    <w:rsid w:val="00565B42"/>
    <w:rsid w:val="00566264"/>
    <w:rsid w:val="00567D4C"/>
    <w:rsid w:val="00571812"/>
    <w:rsid w:val="0057291B"/>
    <w:rsid w:val="005734CD"/>
    <w:rsid w:val="0057534A"/>
    <w:rsid w:val="005762FB"/>
    <w:rsid w:val="00581AA6"/>
    <w:rsid w:val="005826CE"/>
    <w:rsid w:val="0059211F"/>
    <w:rsid w:val="00592F0D"/>
    <w:rsid w:val="005947CF"/>
    <w:rsid w:val="00596FF6"/>
    <w:rsid w:val="005971A7"/>
    <w:rsid w:val="005A2D02"/>
    <w:rsid w:val="005A3044"/>
    <w:rsid w:val="005A3F8E"/>
    <w:rsid w:val="005A4CFA"/>
    <w:rsid w:val="005A55F5"/>
    <w:rsid w:val="005A576E"/>
    <w:rsid w:val="005A6B38"/>
    <w:rsid w:val="005A7570"/>
    <w:rsid w:val="005B3DAD"/>
    <w:rsid w:val="005B5E49"/>
    <w:rsid w:val="005B5F5F"/>
    <w:rsid w:val="005B6FE5"/>
    <w:rsid w:val="005C0404"/>
    <w:rsid w:val="005C10B9"/>
    <w:rsid w:val="005C1A6C"/>
    <w:rsid w:val="005C35E1"/>
    <w:rsid w:val="005C4CE6"/>
    <w:rsid w:val="005C69E4"/>
    <w:rsid w:val="005C731F"/>
    <w:rsid w:val="005D0750"/>
    <w:rsid w:val="005D3FD3"/>
    <w:rsid w:val="005D5469"/>
    <w:rsid w:val="005D5AE6"/>
    <w:rsid w:val="005D746A"/>
    <w:rsid w:val="005E44FD"/>
    <w:rsid w:val="005E487F"/>
    <w:rsid w:val="005E62BB"/>
    <w:rsid w:val="005E7D32"/>
    <w:rsid w:val="005F174A"/>
    <w:rsid w:val="005F2FD7"/>
    <w:rsid w:val="005F520C"/>
    <w:rsid w:val="006007D9"/>
    <w:rsid w:val="0060199B"/>
    <w:rsid w:val="0061102D"/>
    <w:rsid w:val="006122BA"/>
    <w:rsid w:val="00614958"/>
    <w:rsid w:val="00615390"/>
    <w:rsid w:val="006170FE"/>
    <w:rsid w:val="006173B0"/>
    <w:rsid w:val="00617768"/>
    <w:rsid w:val="00620443"/>
    <w:rsid w:val="00622D64"/>
    <w:rsid w:val="006264AB"/>
    <w:rsid w:val="0063003C"/>
    <w:rsid w:val="0063377F"/>
    <w:rsid w:val="00644B89"/>
    <w:rsid w:val="00645CE2"/>
    <w:rsid w:val="00646980"/>
    <w:rsid w:val="00647B2C"/>
    <w:rsid w:val="0065227E"/>
    <w:rsid w:val="006541D0"/>
    <w:rsid w:val="00654FCB"/>
    <w:rsid w:val="00655E42"/>
    <w:rsid w:val="00656344"/>
    <w:rsid w:val="006579B0"/>
    <w:rsid w:val="006624D1"/>
    <w:rsid w:val="00662A05"/>
    <w:rsid w:val="0066392E"/>
    <w:rsid w:val="00667512"/>
    <w:rsid w:val="00674ABE"/>
    <w:rsid w:val="00675A9A"/>
    <w:rsid w:val="00683D98"/>
    <w:rsid w:val="00684A88"/>
    <w:rsid w:val="006857C2"/>
    <w:rsid w:val="00685ADC"/>
    <w:rsid w:val="00687BBF"/>
    <w:rsid w:val="006921A5"/>
    <w:rsid w:val="006929F4"/>
    <w:rsid w:val="006932E2"/>
    <w:rsid w:val="006940D4"/>
    <w:rsid w:val="006957D9"/>
    <w:rsid w:val="00696272"/>
    <w:rsid w:val="006967A9"/>
    <w:rsid w:val="00697237"/>
    <w:rsid w:val="00697F95"/>
    <w:rsid w:val="006A029D"/>
    <w:rsid w:val="006A3878"/>
    <w:rsid w:val="006A56BE"/>
    <w:rsid w:val="006A686E"/>
    <w:rsid w:val="006A77D5"/>
    <w:rsid w:val="006B14D8"/>
    <w:rsid w:val="006B2290"/>
    <w:rsid w:val="006B2EC9"/>
    <w:rsid w:val="006B30A9"/>
    <w:rsid w:val="006B633A"/>
    <w:rsid w:val="006B6CB3"/>
    <w:rsid w:val="006C25DE"/>
    <w:rsid w:val="006C7931"/>
    <w:rsid w:val="006C7BFD"/>
    <w:rsid w:val="006D31AA"/>
    <w:rsid w:val="006D32FA"/>
    <w:rsid w:val="006D463C"/>
    <w:rsid w:val="006D5BDA"/>
    <w:rsid w:val="006D7CA4"/>
    <w:rsid w:val="006E0D3B"/>
    <w:rsid w:val="006E10AC"/>
    <w:rsid w:val="006E15A3"/>
    <w:rsid w:val="006E4D8F"/>
    <w:rsid w:val="006E6DFB"/>
    <w:rsid w:val="006F3ABF"/>
    <w:rsid w:val="006F3D5F"/>
    <w:rsid w:val="006F527B"/>
    <w:rsid w:val="006F5ABE"/>
    <w:rsid w:val="0070238B"/>
    <w:rsid w:val="007043BB"/>
    <w:rsid w:val="00705387"/>
    <w:rsid w:val="00705967"/>
    <w:rsid w:val="007119BE"/>
    <w:rsid w:val="00711A0B"/>
    <w:rsid w:val="00714E1E"/>
    <w:rsid w:val="00717D88"/>
    <w:rsid w:val="007244FC"/>
    <w:rsid w:val="0072537B"/>
    <w:rsid w:val="00725CCB"/>
    <w:rsid w:val="00727096"/>
    <w:rsid w:val="00727739"/>
    <w:rsid w:val="0073193E"/>
    <w:rsid w:val="00733DE6"/>
    <w:rsid w:val="00734225"/>
    <w:rsid w:val="0074166C"/>
    <w:rsid w:val="007427F6"/>
    <w:rsid w:val="00742C82"/>
    <w:rsid w:val="00742E3D"/>
    <w:rsid w:val="0074356D"/>
    <w:rsid w:val="00746935"/>
    <w:rsid w:val="0074715C"/>
    <w:rsid w:val="00751713"/>
    <w:rsid w:val="00751A1B"/>
    <w:rsid w:val="00753243"/>
    <w:rsid w:val="007533B1"/>
    <w:rsid w:val="00755A59"/>
    <w:rsid w:val="00764A8F"/>
    <w:rsid w:val="007716A3"/>
    <w:rsid w:val="0077430B"/>
    <w:rsid w:val="00784E6C"/>
    <w:rsid w:val="00786056"/>
    <w:rsid w:val="0079152B"/>
    <w:rsid w:val="007939E8"/>
    <w:rsid w:val="0079418B"/>
    <w:rsid w:val="007942D3"/>
    <w:rsid w:val="00797745"/>
    <w:rsid w:val="007A3C05"/>
    <w:rsid w:val="007A3DE6"/>
    <w:rsid w:val="007A3F28"/>
    <w:rsid w:val="007A5C79"/>
    <w:rsid w:val="007A5E30"/>
    <w:rsid w:val="007A7762"/>
    <w:rsid w:val="007A7AD9"/>
    <w:rsid w:val="007A7E97"/>
    <w:rsid w:val="007B2099"/>
    <w:rsid w:val="007B25F7"/>
    <w:rsid w:val="007B3860"/>
    <w:rsid w:val="007B6C09"/>
    <w:rsid w:val="007B7741"/>
    <w:rsid w:val="007C3CF1"/>
    <w:rsid w:val="007C428C"/>
    <w:rsid w:val="007C471F"/>
    <w:rsid w:val="007C50E2"/>
    <w:rsid w:val="007C5C6C"/>
    <w:rsid w:val="007C7C22"/>
    <w:rsid w:val="007E05B3"/>
    <w:rsid w:val="007E09DA"/>
    <w:rsid w:val="007E1857"/>
    <w:rsid w:val="007E1B4B"/>
    <w:rsid w:val="007E1C79"/>
    <w:rsid w:val="007E1E46"/>
    <w:rsid w:val="007E2177"/>
    <w:rsid w:val="007E2E2E"/>
    <w:rsid w:val="007E556C"/>
    <w:rsid w:val="007E5AFC"/>
    <w:rsid w:val="007E5CD0"/>
    <w:rsid w:val="007E628C"/>
    <w:rsid w:val="007F3942"/>
    <w:rsid w:val="007F6342"/>
    <w:rsid w:val="007F7145"/>
    <w:rsid w:val="00802FA7"/>
    <w:rsid w:val="008037AF"/>
    <w:rsid w:val="00804243"/>
    <w:rsid w:val="00806C8E"/>
    <w:rsid w:val="00807325"/>
    <w:rsid w:val="008077A4"/>
    <w:rsid w:val="0081093C"/>
    <w:rsid w:val="0081131C"/>
    <w:rsid w:val="008134EE"/>
    <w:rsid w:val="00813EBF"/>
    <w:rsid w:val="00815F73"/>
    <w:rsid w:val="008178B6"/>
    <w:rsid w:val="008207C5"/>
    <w:rsid w:val="0082091C"/>
    <w:rsid w:val="00822B23"/>
    <w:rsid w:val="00823CD5"/>
    <w:rsid w:val="00824506"/>
    <w:rsid w:val="00824F27"/>
    <w:rsid w:val="0082771E"/>
    <w:rsid w:val="00827CAE"/>
    <w:rsid w:val="0083001F"/>
    <w:rsid w:val="008311A8"/>
    <w:rsid w:val="00833C73"/>
    <w:rsid w:val="00834E62"/>
    <w:rsid w:val="008357A8"/>
    <w:rsid w:val="00836A45"/>
    <w:rsid w:val="00842A66"/>
    <w:rsid w:val="0084782B"/>
    <w:rsid w:val="008479E7"/>
    <w:rsid w:val="00847D76"/>
    <w:rsid w:val="00847D9A"/>
    <w:rsid w:val="008514E2"/>
    <w:rsid w:val="00854C9D"/>
    <w:rsid w:val="00854EBA"/>
    <w:rsid w:val="00861472"/>
    <w:rsid w:val="00861A6C"/>
    <w:rsid w:val="00862A97"/>
    <w:rsid w:val="0086420F"/>
    <w:rsid w:val="00865B74"/>
    <w:rsid w:val="00871432"/>
    <w:rsid w:val="008720F4"/>
    <w:rsid w:val="00877424"/>
    <w:rsid w:val="00880FC5"/>
    <w:rsid w:val="008813DC"/>
    <w:rsid w:val="00881A22"/>
    <w:rsid w:val="00882387"/>
    <w:rsid w:val="008833EB"/>
    <w:rsid w:val="008852AE"/>
    <w:rsid w:val="00890EFF"/>
    <w:rsid w:val="00893244"/>
    <w:rsid w:val="00894707"/>
    <w:rsid w:val="008974F0"/>
    <w:rsid w:val="008A1770"/>
    <w:rsid w:val="008A2929"/>
    <w:rsid w:val="008B012A"/>
    <w:rsid w:val="008B1076"/>
    <w:rsid w:val="008B32F5"/>
    <w:rsid w:val="008B3578"/>
    <w:rsid w:val="008C0358"/>
    <w:rsid w:val="008C03EB"/>
    <w:rsid w:val="008C072F"/>
    <w:rsid w:val="008C0A66"/>
    <w:rsid w:val="008C46F1"/>
    <w:rsid w:val="008C4ACA"/>
    <w:rsid w:val="008D338E"/>
    <w:rsid w:val="008D5FE7"/>
    <w:rsid w:val="008D704F"/>
    <w:rsid w:val="008D7922"/>
    <w:rsid w:val="008E0BA3"/>
    <w:rsid w:val="008E410D"/>
    <w:rsid w:val="008E517F"/>
    <w:rsid w:val="008F2CFD"/>
    <w:rsid w:val="008F3869"/>
    <w:rsid w:val="00902892"/>
    <w:rsid w:val="0090348D"/>
    <w:rsid w:val="00906E17"/>
    <w:rsid w:val="0090757B"/>
    <w:rsid w:val="0091538E"/>
    <w:rsid w:val="00916D5E"/>
    <w:rsid w:val="00920A86"/>
    <w:rsid w:val="009222D2"/>
    <w:rsid w:val="00923C09"/>
    <w:rsid w:val="00925B00"/>
    <w:rsid w:val="0092740F"/>
    <w:rsid w:val="009278DF"/>
    <w:rsid w:val="00930BA1"/>
    <w:rsid w:val="0093169E"/>
    <w:rsid w:val="00932D12"/>
    <w:rsid w:val="0093461D"/>
    <w:rsid w:val="009359A9"/>
    <w:rsid w:val="00937448"/>
    <w:rsid w:val="00941820"/>
    <w:rsid w:val="00942D8A"/>
    <w:rsid w:val="009472A7"/>
    <w:rsid w:val="009478A9"/>
    <w:rsid w:val="009505C9"/>
    <w:rsid w:val="00950752"/>
    <w:rsid w:val="00951506"/>
    <w:rsid w:val="00957954"/>
    <w:rsid w:val="009614C8"/>
    <w:rsid w:val="00962CD7"/>
    <w:rsid w:val="00963C5B"/>
    <w:rsid w:val="00966424"/>
    <w:rsid w:val="00966FBE"/>
    <w:rsid w:val="00967367"/>
    <w:rsid w:val="009745B7"/>
    <w:rsid w:val="009754BD"/>
    <w:rsid w:val="00977133"/>
    <w:rsid w:val="0098087D"/>
    <w:rsid w:val="00980886"/>
    <w:rsid w:val="009813C1"/>
    <w:rsid w:val="0098166E"/>
    <w:rsid w:val="00983CF9"/>
    <w:rsid w:val="00987091"/>
    <w:rsid w:val="00992F64"/>
    <w:rsid w:val="00995DB9"/>
    <w:rsid w:val="009965D7"/>
    <w:rsid w:val="009A0F4C"/>
    <w:rsid w:val="009A1A36"/>
    <w:rsid w:val="009A3F46"/>
    <w:rsid w:val="009A4660"/>
    <w:rsid w:val="009A467D"/>
    <w:rsid w:val="009A7D0B"/>
    <w:rsid w:val="009B1CB4"/>
    <w:rsid w:val="009B3034"/>
    <w:rsid w:val="009B6B01"/>
    <w:rsid w:val="009C2DE6"/>
    <w:rsid w:val="009C3019"/>
    <w:rsid w:val="009C586C"/>
    <w:rsid w:val="009C65BA"/>
    <w:rsid w:val="009C72A8"/>
    <w:rsid w:val="009D0FFC"/>
    <w:rsid w:val="009D163E"/>
    <w:rsid w:val="009D346C"/>
    <w:rsid w:val="009D538A"/>
    <w:rsid w:val="009D73E9"/>
    <w:rsid w:val="009E0E20"/>
    <w:rsid w:val="009E1727"/>
    <w:rsid w:val="009F0EF3"/>
    <w:rsid w:val="009F2D10"/>
    <w:rsid w:val="009F3C5A"/>
    <w:rsid w:val="009F57EA"/>
    <w:rsid w:val="009F73D3"/>
    <w:rsid w:val="00A0249D"/>
    <w:rsid w:val="00A0251E"/>
    <w:rsid w:val="00A07621"/>
    <w:rsid w:val="00A0773D"/>
    <w:rsid w:val="00A11525"/>
    <w:rsid w:val="00A124B1"/>
    <w:rsid w:val="00A13E91"/>
    <w:rsid w:val="00A2016B"/>
    <w:rsid w:val="00A2198E"/>
    <w:rsid w:val="00A225D4"/>
    <w:rsid w:val="00A25186"/>
    <w:rsid w:val="00A2625D"/>
    <w:rsid w:val="00A26CBA"/>
    <w:rsid w:val="00A311D0"/>
    <w:rsid w:val="00A3202B"/>
    <w:rsid w:val="00A33ABB"/>
    <w:rsid w:val="00A36B30"/>
    <w:rsid w:val="00A36FFE"/>
    <w:rsid w:val="00A40419"/>
    <w:rsid w:val="00A410FF"/>
    <w:rsid w:val="00A413EC"/>
    <w:rsid w:val="00A42254"/>
    <w:rsid w:val="00A43688"/>
    <w:rsid w:val="00A4408F"/>
    <w:rsid w:val="00A47FA1"/>
    <w:rsid w:val="00A53024"/>
    <w:rsid w:val="00A552D0"/>
    <w:rsid w:val="00A605A5"/>
    <w:rsid w:val="00A65070"/>
    <w:rsid w:val="00A65B76"/>
    <w:rsid w:val="00A669B9"/>
    <w:rsid w:val="00A6728E"/>
    <w:rsid w:val="00A70ABE"/>
    <w:rsid w:val="00A80139"/>
    <w:rsid w:val="00A80646"/>
    <w:rsid w:val="00A81175"/>
    <w:rsid w:val="00A822DC"/>
    <w:rsid w:val="00A850ED"/>
    <w:rsid w:val="00A85635"/>
    <w:rsid w:val="00A86CEF"/>
    <w:rsid w:val="00A87059"/>
    <w:rsid w:val="00A900A7"/>
    <w:rsid w:val="00A9173F"/>
    <w:rsid w:val="00AA57BF"/>
    <w:rsid w:val="00AA6F92"/>
    <w:rsid w:val="00AB3BD6"/>
    <w:rsid w:val="00AB6934"/>
    <w:rsid w:val="00AC2B66"/>
    <w:rsid w:val="00AC4BB9"/>
    <w:rsid w:val="00AC4C55"/>
    <w:rsid w:val="00AD04F5"/>
    <w:rsid w:val="00AD060C"/>
    <w:rsid w:val="00AD4206"/>
    <w:rsid w:val="00AD530A"/>
    <w:rsid w:val="00AD618C"/>
    <w:rsid w:val="00AE0793"/>
    <w:rsid w:val="00AE3518"/>
    <w:rsid w:val="00AE36C8"/>
    <w:rsid w:val="00AE3C8F"/>
    <w:rsid w:val="00AE4819"/>
    <w:rsid w:val="00AF164C"/>
    <w:rsid w:val="00AF269E"/>
    <w:rsid w:val="00AF413C"/>
    <w:rsid w:val="00AF42DE"/>
    <w:rsid w:val="00AF4361"/>
    <w:rsid w:val="00AF6837"/>
    <w:rsid w:val="00B04E11"/>
    <w:rsid w:val="00B05654"/>
    <w:rsid w:val="00B0577E"/>
    <w:rsid w:val="00B07380"/>
    <w:rsid w:val="00B07FD1"/>
    <w:rsid w:val="00B102FB"/>
    <w:rsid w:val="00B11B17"/>
    <w:rsid w:val="00B2193A"/>
    <w:rsid w:val="00B24F35"/>
    <w:rsid w:val="00B25084"/>
    <w:rsid w:val="00B25155"/>
    <w:rsid w:val="00B3369F"/>
    <w:rsid w:val="00B3525D"/>
    <w:rsid w:val="00B37695"/>
    <w:rsid w:val="00B407FB"/>
    <w:rsid w:val="00B42270"/>
    <w:rsid w:val="00B435FA"/>
    <w:rsid w:val="00B50A92"/>
    <w:rsid w:val="00B51E4D"/>
    <w:rsid w:val="00B5603E"/>
    <w:rsid w:val="00B61D68"/>
    <w:rsid w:val="00B634B0"/>
    <w:rsid w:val="00B6352B"/>
    <w:rsid w:val="00B638ED"/>
    <w:rsid w:val="00B66D24"/>
    <w:rsid w:val="00B677A7"/>
    <w:rsid w:val="00B701F5"/>
    <w:rsid w:val="00B7742E"/>
    <w:rsid w:val="00B87169"/>
    <w:rsid w:val="00B92C8B"/>
    <w:rsid w:val="00B94503"/>
    <w:rsid w:val="00B94B1B"/>
    <w:rsid w:val="00B94C72"/>
    <w:rsid w:val="00B94E6C"/>
    <w:rsid w:val="00B95B5E"/>
    <w:rsid w:val="00B95ED6"/>
    <w:rsid w:val="00BA125C"/>
    <w:rsid w:val="00BA4930"/>
    <w:rsid w:val="00BA4E49"/>
    <w:rsid w:val="00BB12E0"/>
    <w:rsid w:val="00BB3108"/>
    <w:rsid w:val="00BB4606"/>
    <w:rsid w:val="00BB482B"/>
    <w:rsid w:val="00BB517D"/>
    <w:rsid w:val="00BC0C45"/>
    <w:rsid w:val="00BC4768"/>
    <w:rsid w:val="00BC6694"/>
    <w:rsid w:val="00BC7027"/>
    <w:rsid w:val="00BD0858"/>
    <w:rsid w:val="00BD7BE7"/>
    <w:rsid w:val="00BE07F3"/>
    <w:rsid w:val="00BE0F41"/>
    <w:rsid w:val="00BE1C83"/>
    <w:rsid w:val="00BE3FC5"/>
    <w:rsid w:val="00BE5B24"/>
    <w:rsid w:val="00BE6050"/>
    <w:rsid w:val="00BF024E"/>
    <w:rsid w:val="00BF14D3"/>
    <w:rsid w:val="00BF2987"/>
    <w:rsid w:val="00BF61BE"/>
    <w:rsid w:val="00C003CB"/>
    <w:rsid w:val="00C00F3F"/>
    <w:rsid w:val="00C03C82"/>
    <w:rsid w:val="00C13F3F"/>
    <w:rsid w:val="00C13F61"/>
    <w:rsid w:val="00C22F4F"/>
    <w:rsid w:val="00C23D2F"/>
    <w:rsid w:val="00C258C7"/>
    <w:rsid w:val="00C2769D"/>
    <w:rsid w:val="00C34DCA"/>
    <w:rsid w:val="00C365EC"/>
    <w:rsid w:val="00C37C9C"/>
    <w:rsid w:val="00C408C1"/>
    <w:rsid w:val="00C409C0"/>
    <w:rsid w:val="00C413C9"/>
    <w:rsid w:val="00C443BD"/>
    <w:rsid w:val="00C4478F"/>
    <w:rsid w:val="00C451C5"/>
    <w:rsid w:val="00C50E82"/>
    <w:rsid w:val="00C50F52"/>
    <w:rsid w:val="00C54D92"/>
    <w:rsid w:val="00C624B9"/>
    <w:rsid w:val="00C628BC"/>
    <w:rsid w:val="00C62A19"/>
    <w:rsid w:val="00C630C8"/>
    <w:rsid w:val="00C6457E"/>
    <w:rsid w:val="00C67307"/>
    <w:rsid w:val="00C71B3E"/>
    <w:rsid w:val="00C72ACD"/>
    <w:rsid w:val="00C737BD"/>
    <w:rsid w:val="00C7435F"/>
    <w:rsid w:val="00C81938"/>
    <w:rsid w:val="00C87668"/>
    <w:rsid w:val="00C8786E"/>
    <w:rsid w:val="00C87B44"/>
    <w:rsid w:val="00C90134"/>
    <w:rsid w:val="00C90372"/>
    <w:rsid w:val="00C90D7F"/>
    <w:rsid w:val="00C9161D"/>
    <w:rsid w:val="00C918F6"/>
    <w:rsid w:val="00CA0723"/>
    <w:rsid w:val="00CA0C1D"/>
    <w:rsid w:val="00CA1E6B"/>
    <w:rsid w:val="00CA262C"/>
    <w:rsid w:val="00CA4311"/>
    <w:rsid w:val="00CA4AA1"/>
    <w:rsid w:val="00CA62B1"/>
    <w:rsid w:val="00CB0040"/>
    <w:rsid w:val="00CB0A89"/>
    <w:rsid w:val="00CB27B3"/>
    <w:rsid w:val="00CB3D6A"/>
    <w:rsid w:val="00CB73FE"/>
    <w:rsid w:val="00CC23CC"/>
    <w:rsid w:val="00CC6C70"/>
    <w:rsid w:val="00CC6DDB"/>
    <w:rsid w:val="00CD3E27"/>
    <w:rsid w:val="00CD43A6"/>
    <w:rsid w:val="00CE542E"/>
    <w:rsid w:val="00CE6BE7"/>
    <w:rsid w:val="00CF1848"/>
    <w:rsid w:val="00CF5FD3"/>
    <w:rsid w:val="00CF714D"/>
    <w:rsid w:val="00CF75B6"/>
    <w:rsid w:val="00D013D1"/>
    <w:rsid w:val="00D023F2"/>
    <w:rsid w:val="00D03FE7"/>
    <w:rsid w:val="00D04162"/>
    <w:rsid w:val="00D05167"/>
    <w:rsid w:val="00D07372"/>
    <w:rsid w:val="00D10475"/>
    <w:rsid w:val="00D10EE9"/>
    <w:rsid w:val="00D12044"/>
    <w:rsid w:val="00D1446F"/>
    <w:rsid w:val="00D14524"/>
    <w:rsid w:val="00D17745"/>
    <w:rsid w:val="00D211A0"/>
    <w:rsid w:val="00D230D7"/>
    <w:rsid w:val="00D25D29"/>
    <w:rsid w:val="00D26AE8"/>
    <w:rsid w:val="00D27087"/>
    <w:rsid w:val="00D27B48"/>
    <w:rsid w:val="00D330CA"/>
    <w:rsid w:val="00D33EFC"/>
    <w:rsid w:val="00D34E62"/>
    <w:rsid w:val="00D35C41"/>
    <w:rsid w:val="00D37AE7"/>
    <w:rsid w:val="00D40DBC"/>
    <w:rsid w:val="00D40F72"/>
    <w:rsid w:val="00D41B73"/>
    <w:rsid w:val="00D47521"/>
    <w:rsid w:val="00D475A5"/>
    <w:rsid w:val="00D5258C"/>
    <w:rsid w:val="00D55366"/>
    <w:rsid w:val="00D62BD3"/>
    <w:rsid w:val="00D67378"/>
    <w:rsid w:val="00D67B7B"/>
    <w:rsid w:val="00D72067"/>
    <w:rsid w:val="00D73411"/>
    <w:rsid w:val="00D7493C"/>
    <w:rsid w:val="00D76A18"/>
    <w:rsid w:val="00D80849"/>
    <w:rsid w:val="00D81B4C"/>
    <w:rsid w:val="00D82172"/>
    <w:rsid w:val="00D82D6C"/>
    <w:rsid w:val="00D82E8F"/>
    <w:rsid w:val="00D84136"/>
    <w:rsid w:val="00D85281"/>
    <w:rsid w:val="00D853EB"/>
    <w:rsid w:val="00D85619"/>
    <w:rsid w:val="00D86193"/>
    <w:rsid w:val="00D91DA9"/>
    <w:rsid w:val="00D94002"/>
    <w:rsid w:val="00DA0CC4"/>
    <w:rsid w:val="00DA5AE6"/>
    <w:rsid w:val="00DB1EA7"/>
    <w:rsid w:val="00DB2F04"/>
    <w:rsid w:val="00DC388E"/>
    <w:rsid w:val="00DC55A6"/>
    <w:rsid w:val="00DC7017"/>
    <w:rsid w:val="00DD118C"/>
    <w:rsid w:val="00DD25A5"/>
    <w:rsid w:val="00DD5F11"/>
    <w:rsid w:val="00DD6529"/>
    <w:rsid w:val="00DE153C"/>
    <w:rsid w:val="00DE24F6"/>
    <w:rsid w:val="00DE2F84"/>
    <w:rsid w:val="00DE35C4"/>
    <w:rsid w:val="00DE5CD6"/>
    <w:rsid w:val="00DE6582"/>
    <w:rsid w:val="00DE7A6D"/>
    <w:rsid w:val="00DF20B4"/>
    <w:rsid w:val="00DF4A07"/>
    <w:rsid w:val="00DF4D8A"/>
    <w:rsid w:val="00E0202B"/>
    <w:rsid w:val="00E04409"/>
    <w:rsid w:val="00E12BCF"/>
    <w:rsid w:val="00E145AC"/>
    <w:rsid w:val="00E150C9"/>
    <w:rsid w:val="00E16550"/>
    <w:rsid w:val="00E16986"/>
    <w:rsid w:val="00E21739"/>
    <w:rsid w:val="00E24624"/>
    <w:rsid w:val="00E25026"/>
    <w:rsid w:val="00E26216"/>
    <w:rsid w:val="00E3204F"/>
    <w:rsid w:val="00E3400C"/>
    <w:rsid w:val="00E34636"/>
    <w:rsid w:val="00E35D30"/>
    <w:rsid w:val="00E4291B"/>
    <w:rsid w:val="00E43C11"/>
    <w:rsid w:val="00E52E90"/>
    <w:rsid w:val="00E555B0"/>
    <w:rsid w:val="00E573C4"/>
    <w:rsid w:val="00E57C0B"/>
    <w:rsid w:val="00E62AB9"/>
    <w:rsid w:val="00E66235"/>
    <w:rsid w:val="00E70C56"/>
    <w:rsid w:val="00E71163"/>
    <w:rsid w:val="00E71D13"/>
    <w:rsid w:val="00E76BE8"/>
    <w:rsid w:val="00E76E86"/>
    <w:rsid w:val="00E83C24"/>
    <w:rsid w:val="00E913B5"/>
    <w:rsid w:val="00E9318D"/>
    <w:rsid w:val="00E94120"/>
    <w:rsid w:val="00E94600"/>
    <w:rsid w:val="00E96450"/>
    <w:rsid w:val="00E96811"/>
    <w:rsid w:val="00E96B4D"/>
    <w:rsid w:val="00E970E7"/>
    <w:rsid w:val="00E974A7"/>
    <w:rsid w:val="00EA067E"/>
    <w:rsid w:val="00EA146A"/>
    <w:rsid w:val="00EA1800"/>
    <w:rsid w:val="00EA461C"/>
    <w:rsid w:val="00EA468B"/>
    <w:rsid w:val="00EA501C"/>
    <w:rsid w:val="00EB1866"/>
    <w:rsid w:val="00EB5322"/>
    <w:rsid w:val="00EB59AF"/>
    <w:rsid w:val="00EC35FB"/>
    <w:rsid w:val="00EC3E67"/>
    <w:rsid w:val="00EC4139"/>
    <w:rsid w:val="00EC4B8B"/>
    <w:rsid w:val="00EC6B28"/>
    <w:rsid w:val="00EC7E86"/>
    <w:rsid w:val="00ED06B2"/>
    <w:rsid w:val="00ED4D00"/>
    <w:rsid w:val="00ED70C2"/>
    <w:rsid w:val="00ED7C67"/>
    <w:rsid w:val="00EE3B42"/>
    <w:rsid w:val="00EE5425"/>
    <w:rsid w:val="00EE5617"/>
    <w:rsid w:val="00EE5A08"/>
    <w:rsid w:val="00EE7F2A"/>
    <w:rsid w:val="00EF3036"/>
    <w:rsid w:val="00EF3919"/>
    <w:rsid w:val="00F02172"/>
    <w:rsid w:val="00F0253E"/>
    <w:rsid w:val="00F0304F"/>
    <w:rsid w:val="00F036F0"/>
    <w:rsid w:val="00F03C3D"/>
    <w:rsid w:val="00F109B5"/>
    <w:rsid w:val="00F11DC4"/>
    <w:rsid w:val="00F209F3"/>
    <w:rsid w:val="00F2229A"/>
    <w:rsid w:val="00F22E96"/>
    <w:rsid w:val="00F262E7"/>
    <w:rsid w:val="00F26EF6"/>
    <w:rsid w:val="00F27EFD"/>
    <w:rsid w:val="00F300AB"/>
    <w:rsid w:val="00F3072D"/>
    <w:rsid w:val="00F324B7"/>
    <w:rsid w:val="00F34805"/>
    <w:rsid w:val="00F50853"/>
    <w:rsid w:val="00F52755"/>
    <w:rsid w:val="00F53193"/>
    <w:rsid w:val="00F570A8"/>
    <w:rsid w:val="00F62DDE"/>
    <w:rsid w:val="00F6586C"/>
    <w:rsid w:val="00F6639C"/>
    <w:rsid w:val="00F66BE7"/>
    <w:rsid w:val="00F67577"/>
    <w:rsid w:val="00F675B6"/>
    <w:rsid w:val="00F71BAB"/>
    <w:rsid w:val="00F75D31"/>
    <w:rsid w:val="00F7679A"/>
    <w:rsid w:val="00F82682"/>
    <w:rsid w:val="00F83AC7"/>
    <w:rsid w:val="00F84347"/>
    <w:rsid w:val="00F9089E"/>
    <w:rsid w:val="00F90C0F"/>
    <w:rsid w:val="00F92158"/>
    <w:rsid w:val="00F94774"/>
    <w:rsid w:val="00F94982"/>
    <w:rsid w:val="00F9543F"/>
    <w:rsid w:val="00F962B1"/>
    <w:rsid w:val="00FA5583"/>
    <w:rsid w:val="00FA5C73"/>
    <w:rsid w:val="00FA663B"/>
    <w:rsid w:val="00FB2468"/>
    <w:rsid w:val="00FB4641"/>
    <w:rsid w:val="00FB72BF"/>
    <w:rsid w:val="00FB7F77"/>
    <w:rsid w:val="00FC0FFD"/>
    <w:rsid w:val="00FC35C8"/>
    <w:rsid w:val="00FC36FA"/>
    <w:rsid w:val="00FC53DB"/>
    <w:rsid w:val="00FC70A3"/>
    <w:rsid w:val="00FD0B5E"/>
    <w:rsid w:val="00FD1015"/>
    <w:rsid w:val="00FD4A90"/>
    <w:rsid w:val="00FD70B8"/>
    <w:rsid w:val="00FD75D2"/>
    <w:rsid w:val="00FD7A62"/>
    <w:rsid w:val="00FE0477"/>
    <w:rsid w:val="00FE2279"/>
    <w:rsid w:val="00FE2EDB"/>
    <w:rsid w:val="00FE6E59"/>
    <w:rsid w:val="00FF0F60"/>
    <w:rsid w:val="00FF1AFD"/>
    <w:rsid w:val="00FF2CE6"/>
    <w:rsid w:val="00FF7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1"/>
    <w:qFormat/>
    <w:rsid w:val="00941820"/>
    <w:pPr>
      <w:jc w:val="both"/>
    </w:pPr>
    <w:rPr>
      <w:rFonts w:cs="Times New Roman"/>
      <w:snapToGrid w:val="0"/>
      <w:sz w:val="22"/>
      <w:szCs w:val="22"/>
      <w:lang w:val="en-GB"/>
    </w:rPr>
  </w:style>
  <w:style w:type="paragraph" w:styleId="Heading1">
    <w:name w:val="heading 1"/>
    <w:basedOn w:val="Normal"/>
    <w:next w:val="Heading2"/>
    <w:qFormat/>
    <w:rsid w:val="00941820"/>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rsid w:val="00941820"/>
    <w:pPr>
      <w:keepNext/>
      <w:tabs>
        <w:tab w:val="left" w:pos="720"/>
      </w:tabs>
      <w:spacing w:before="120" w:after="120"/>
      <w:jc w:val="center"/>
      <w:outlineLvl w:val="1"/>
    </w:pPr>
    <w:rPr>
      <w:b/>
      <w:bCs/>
    </w:rPr>
  </w:style>
  <w:style w:type="paragraph" w:styleId="Heading3">
    <w:name w:val="heading 3"/>
    <w:basedOn w:val="Normal"/>
    <w:next w:val="Normal"/>
    <w:qFormat/>
    <w:rsid w:val="00941820"/>
    <w:pPr>
      <w:keepNext/>
      <w:tabs>
        <w:tab w:val="left" w:pos="567"/>
      </w:tabs>
      <w:spacing w:before="120" w:after="120"/>
      <w:jc w:val="center"/>
      <w:outlineLvl w:val="2"/>
    </w:pPr>
    <w:rPr>
      <w:i/>
      <w:iCs/>
    </w:rPr>
  </w:style>
  <w:style w:type="paragraph" w:styleId="Heading4">
    <w:name w:val="heading 4"/>
    <w:basedOn w:val="Normal"/>
    <w:qFormat/>
    <w:rsid w:val="00941820"/>
    <w:pPr>
      <w:keepNext/>
      <w:spacing w:before="120" w:after="120"/>
      <w:outlineLvl w:val="3"/>
    </w:pPr>
    <w:rPr>
      <w:b/>
      <w:bCs/>
      <w:i/>
      <w:iCs/>
    </w:rPr>
  </w:style>
  <w:style w:type="paragraph" w:styleId="Heading5">
    <w:name w:val="heading 5"/>
    <w:basedOn w:val="Normal"/>
    <w:next w:val="Normal"/>
    <w:qFormat/>
    <w:rsid w:val="00941820"/>
    <w:pPr>
      <w:keepNext/>
      <w:numPr>
        <w:ilvl w:val="4"/>
        <w:numId w:val="1"/>
      </w:numPr>
      <w:spacing w:before="120" w:after="120"/>
      <w:jc w:val="left"/>
      <w:outlineLvl w:val="4"/>
    </w:pPr>
    <w:rPr>
      <w:i/>
      <w:iCs/>
      <w:lang w:val="en-CA"/>
    </w:rPr>
  </w:style>
  <w:style w:type="paragraph" w:styleId="Heading6">
    <w:name w:val="heading 6"/>
    <w:basedOn w:val="Normal"/>
    <w:next w:val="Normal"/>
    <w:qFormat/>
    <w:rsid w:val="00941820"/>
    <w:pPr>
      <w:keepNext/>
      <w:spacing w:after="240" w:line="240" w:lineRule="exact"/>
      <w:ind w:left="720"/>
      <w:outlineLvl w:val="5"/>
    </w:pPr>
    <w:rPr>
      <w:u w:val="single"/>
    </w:rPr>
  </w:style>
  <w:style w:type="paragraph" w:styleId="Heading7">
    <w:name w:val="heading 7"/>
    <w:basedOn w:val="Normal"/>
    <w:next w:val="Normal"/>
    <w:qFormat/>
    <w:rsid w:val="00941820"/>
    <w:pPr>
      <w:keepNext/>
      <w:jc w:val="right"/>
      <w:outlineLvl w:val="6"/>
    </w:pPr>
    <w:rPr>
      <w:b/>
      <w:bCs/>
      <w:sz w:val="28"/>
      <w:szCs w:val="28"/>
    </w:rPr>
  </w:style>
  <w:style w:type="paragraph" w:styleId="Heading8">
    <w:name w:val="heading 8"/>
    <w:basedOn w:val="Normal"/>
    <w:next w:val="Normal"/>
    <w:qFormat/>
    <w:rsid w:val="00941820"/>
    <w:pPr>
      <w:keepNext/>
      <w:jc w:val="right"/>
      <w:outlineLvl w:val="7"/>
    </w:pPr>
    <w:rPr>
      <w:b/>
      <w:bCs/>
      <w:sz w:val="32"/>
      <w:szCs w:val="32"/>
    </w:rPr>
  </w:style>
  <w:style w:type="paragraph" w:styleId="Heading9">
    <w:name w:val="heading 9"/>
    <w:basedOn w:val="Normal"/>
    <w:next w:val="Normal"/>
    <w:qFormat/>
    <w:rsid w:val="0094182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820"/>
    <w:rPr>
      <w:rFonts w:cs="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41820"/>
    <w:rPr>
      <w:sz w:val="18"/>
      <w:szCs w:val="18"/>
    </w:rPr>
  </w:style>
  <w:style w:type="character" w:customStyle="1" w:styleId="CharChar9">
    <w:name w:val="Char Char9"/>
    <w:basedOn w:val="DefaultParagraphFont"/>
    <w:semiHidden/>
    <w:locked/>
    <w:rsid w:val="00941820"/>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rsid w:val="00941820"/>
    <w:rPr>
      <w:color w:val="808080"/>
    </w:rPr>
  </w:style>
  <w:style w:type="paragraph" w:styleId="Header">
    <w:name w:val="header"/>
    <w:basedOn w:val="Normal"/>
    <w:rsid w:val="00941820"/>
    <w:pPr>
      <w:tabs>
        <w:tab w:val="center" w:pos="4320"/>
        <w:tab w:val="right" w:pos="8640"/>
      </w:tabs>
    </w:pPr>
  </w:style>
  <w:style w:type="character" w:customStyle="1" w:styleId="CharChar8">
    <w:name w:val="Char Char8"/>
    <w:basedOn w:val="DefaultParagraphFont"/>
    <w:locked/>
    <w:rsid w:val="00941820"/>
    <w:rPr>
      <w:rFonts w:ascii="Times New Roman" w:eastAsia="Times New Roman" w:hAnsi="Times New Roman" w:cs="Times New Roman"/>
      <w:sz w:val="22"/>
      <w:szCs w:val="22"/>
      <w:lang w:val="en-GB"/>
    </w:rPr>
  </w:style>
  <w:style w:type="paragraph" w:styleId="Footer">
    <w:name w:val="footer"/>
    <w:basedOn w:val="Normal"/>
    <w:rsid w:val="00941820"/>
    <w:pPr>
      <w:tabs>
        <w:tab w:val="center" w:pos="4320"/>
        <w:tab w:val="right" w:pos="8640"/>
      </w:tabs>
      <w:ind w:firstLine="720"/>
      <w:jc w:val="right"/>
    </w:pPr>
  </w:style>
  <w:style w:type="character" w:customStyle="1" w:styleId="CharChar7">
    <w:name w:val="Char Char7"/>
    <w:basedOn w:val="DefaultParagraphFont"/>
    <w:locked/>
    <w:rsid w:val="00941820"/>
    <w:rPr>
      <w:rFonts w:ascii="Times New Roman" w:eastAsia="Times New Roman" w:hAnsi="Times New Roman" w:cs="Times New Roman"/>
      <w:sz w:val="22"/>
      <w:szCs w:val="22"/>
      <w:lang w:val="en-GB"/>
    </w:rPr>
  </w:style>
  <w:style w:type="paragraph" w:customStyle="1" w:styleId="meetingname">
    <w:name w:val="meeting name"/>
    <w:basedOn w:val="Normal"/>
    <w:rsid w:val="00941820"/>
    <w:pPr>
      <w:ind w:left="142" w:right="4218" w:hanging="142"/>
    </w:pPr>
    <w:rPr>
      <w:caps/>
    </w:rPr>
  </w:style>
  <w:style w:type="paragraph" w:styleId="Title">
    <w:name w:val="Title"/>
    <w:basedOn w:val="Normal"/>
    <w:next w:val="Normal"/>
    <w:qFormat/>
    <w:rsid w:val="00941820"/>
    <w:pPr>
      <w:pBdr>
        <w:bottom w:val="single" w:sz="8" w:space="4" w:color="4F81BD"/>
      </w:pBdr>
      <w:spacing w:after="300"/>
    </w:pPr>
    <w:rPr>
      <w:rFonts w:ascii="Calibri" w:hAnsi="Calibri" w:cs="Calibri"/>
      <w:color w:val="17365D"/>
      <w:spacing w:val="5"/>
      <w:kern w:val="28"/>
      <w:sz w:val="52"/>
      <w:szCs w:val="52"/>
    </w:rPr>
  </w:style>
  <w:style w:type="character" w:customStyle="1" w:styleId="CharChar6">
    <w:name w:val="Char Char6"/>
    <w:basedOn w:val="DefaultParagraphFont"/>
    <w:locked/>
    <w:rsid w:val="00941820"/>
    <w:rPr>
      <w:rFonts w:ascii="Calibri" w:eastAsia="Times New Roman" w:hAnsi="Calibri" w:cs="Calibri"/>
      <w:color w:val="17365D"/>
      <w:spacing w:val="5"/>
      <w:kern w:val="28"/>
      <w:sz w:val="52"/>
      <w:szCs w:val="52"/>
      <w:lang w:val="en-US"/>
    </w:rPr>
  </w:style>
  <w:style w:type="paragraph" w:styleId="Subtitle">
    <w:name w:val="Subtitle"/>
    <w:basedOn w:val="Normal"/>
    <w:next w:val="Normal"/>
    <w:qFormat/>
    <w:rsid w:val="00941820"/>
    <w:pPr>
      <w:numPr>
        <w:ilvl w:val="1"/>
      </w:numPr>
    </w:pPr>
    <w:rPr>
      <w:rFonts w:ascii="Calibri" w:hAnsi="Calibri" w:cs="Calibri"/>
      <w:i/>
      <w:iCs/>
      <w:color w:val="4F81BD"/>
      <w:spacing w:val="15"/>
      <w:sz w:val="24"/>
      <w:szCs w:val="24"/>
    </w:rPr>
  </w:style>
  <w:style w:type="character" w:customStyle="1" w:styleId="CharChar5">
    <w:name w:val="Char Char5"/>
    <w:basedOn w:val="DefaultParagraphFont"/>
    <w:locked/>
    <w:rsid w:val="00941820"/>
    <w:rPr>
      <w:rFonts w:ascii="Calibri" w:eastAsia="Times New Roman" w:hAnsi="Calibri" w:cs="Calibri"/>
      <w:i/>
      <w:iCs/>
      <w:color w:val="4F81BD"/>
      <w:spacing w:val="15"/>
      <w:lang w:val="en-US"/>
    </w:rPr>
  </w:style>
  <w:style w:type="character" w:customStyle="1" w:styleId="CharChar18">
    <w:name w:val="Char Char18"/>
    <w:basedOn w:val="DefaultParagraphFont"/>
    <w:locked/>
    <w:rsid w:val="00941820"/>
    <w:rPr>
      <w:rFonts w:ascii="Times New Roman" w:eastAsia="Times New Roman" w:hAnsi="Times New Roman" w:cs="Times New Roman"/>
      <w:b/>
      <w:bCs/>
      <w:caps/>
      <w:sz w:val="22"/>
      <w:szCs w:val="22"/>
      <w:lang w:val="en-GB"/>
    </w:rPr>
  </w:style>
  <w:style w:type="paragraph" w:styleId="BodyText">
    <w:name w:val="Body Text"/>
    <w:basedOn w:val="Normal"/>
    <w:rsid w:val="00941820"/>
    <w:pPr>
      <w:spacing w:before="120" w:after="120"/>
      <w:ind w:firstLine="720"/>
    </w:pPr>
  </w:style>
  <w:style w:type="character" w:customStyle="1" w:styleId="CharChar4">
    <w:name w:val="Char Char4"/>
    <w:basedOn w:val="DefaultParagraphFont"/>
    <w:locked/>
    <w:rsid w:val="00941820"/>
    <w:rPr>
      <w:rFonts w:ascii="Times New Roman" w:eastAsia="Times New Roman" w:hAnsi="Times New Roman" w:cs="Times New Roman"/>
      <w:sz w:val="22"/>
      <w:szCs w:val="22"/>
      <w:lang w:val="en-GB"/>
    </w:rPr>
  </w:style>
  <w:style w:type="paragraph" w:styleId="BodyTextIndent">
    <w:name w:val="Body Text Indent"/>
    <w:basedOn w:val="Normal"/>
    <w:rsid w:val="00941820"/>
    <w:pPr>
      <w:spacing w:before="120" w:after="120"/>
      <w:ind w:left="1440" w:hanging="720"/>
      <w:jc w:val="left"/>
    </w:pPr>
  </w:style>
  <w:style w:type="character" w:customStyle="1" w:styleId="CharChar3">
    <w:name w:val="Char Char3"/>
    <w:basedOn w:val="DefaultParagraphFont"/>
    <w:locked/>
    <w:rsid w:val="00941820"/>
    <w:rPr>
      <w:rFonts w:ascii="Times New Roman" w:eastAsia="Times New Roman" w:hAnsi="Times New Roman" w:cs="Times New Roman"/>
      <w:sz w:val="22"/>
      <w:szCs w:val="22"/>
      <w:lang w:val="en-GB"/>
    </w:rPr>
  </w:style>
  <w:style w:type="character" w:styleId="CommentReference">
    <w:name w:val="annotation reference"/>
    <w:basedOn w:val="DefaultParagraphFont"/>
    <w:semiHidden/>
    <w:rsid w:val="00941820"/>
    <w:rPr>
      <w:sz w:val="16"/>
      <w:szCs w:val="16"/>
    </w:rPr>
  </w:style>
  <w:style w:type="paragraph" w:styleId="CommentText">
    <w:name w:val="annotation text"/>
    <w:basedOn w:val="Normal"/>
    <w:semiHidden/>
    <w:rsid w:val="00941820"/>
    <w:pPr>
      <w:spacing w:after="120" w:line="240" w:lineRule="exact"/>
    </w:pPr>
  </w:style>
  <w:style w:type="character" w:customStyle="1" w:styleId="CommentSubjectChar">
    <w:name w:val="Comment Subject Char"/>
    <w:basedOn w:val="DefaultParagraphFont"/>
    <w:link w:val="CommentSubject"/>
    <w:locked/>
    <w:rsid w:val="00941820"/>
    <w:rPr>
      <w:rFonts w:ascii="Times New Roman" w:eastAsia="Times New Roman" w:hAnsi="Times New Roman" w:cs="Times New Roman"/>
      <w:sz w:val="22"/>
      <w:szCs w:val="22"/>
      <w:lang w:val="en-GB"/>
    </w:rPr>
  </w:style>
  <w:style w:type="paragraph" w:customStyle="1" w:styleId="Cornernotation">
    <w:name w:val="Corner notation"/>
    <w:basedOn w:val="Normal"/>
    <w:rsid w:val="00941820"/>
    <w:pPr>
      <w:ind w:left="170" w:right="3119" w:hanging="170"/>
      <w:jc w:val="left"/>
    </w:pPr>
  </w:style>
  <w:style w:type="character" w:styleId="EndnoteReference">
    <w:name w:val="endnote reference"/>
    <w:basedOn w:val="DefaultParagraphFont"/>
    <w:semiHidden/>
    <w:rsid w:val="00941820"/>
    <w:rPr>
      <w:vertAlign w:val="superscript"/>
    </w:rPr>
  </w:style>
  <w:style w:type="paragraph" w:styleId="EndnoteText">
    <w:name w:val="endnote text"/>
    <w:basedOn w:val="Normal"/>
    <w:semiHidden/>
    <w:rsid w:val="00941820"/>
    <w:pPr>
      <w:widowControl w:val="0"/>
      <w:tabs>
        <w:tab w:val="left" w:pos="-720"/>
      </w:tabs>
      <w:suppressAutoHyphens/>
    </w:pPr>
    <w:rPr>
      <w:rFonts w:ascii="Courier New" w:hAnsi="Courier New" w:cs="Courier New"/>
    </w:rPr>
  </w:style>
  <w:style w:type="character" w:customStyle="1" w:styleId="CharChar1">
    <w:name w:val="Char Char1"/>
    <w:basedOn w:val="DefaultParagraphFont"/>
    <w:semiHidden/>
    <w:locked/>
    <w:rsid w:val="00941820"/>
    <w:rPr>
      <w:rFonts w:ascii="Courier New" w:eastAsia="Times New Roman" w:hAnsi="Courier New" w:cs="Courier New"/>
      <w:sz w:val="22"/>
      <w:szCs w:val="22"/>
      <w:lang w:val="en-GB"/>
    </w:rPr>
  </w:style>
  <w:style w:type="character" w:styleId="FollowedHyperlink">
    <w:name w:val="FollowedHyperlink"/>
    <w:basedOn w:val="DefaultParagraphFont"/>
    <w:rsid w:val="00941820"/>
    <w:rPr>
      <w:color w:val="800080"/>
      <w:u w:val="single"/>
    </w:rPr>
  </w:style>
  <w:style w:type="character" w:styleId="FootnoteReference">
    <w:name w:val="footnote reference"/>
    <w:aliases w:val="number Char,Footnote Reference Superscript Char,-E Fußnotenzeichen Char,(Diplomarbeit FZ) Char,(Diplomarbeit FZ)1 Char,(Diplomarbeit FZ)2 Char,(Diplomarbeit FZ)3 Char,(Diplomarbeit FZ)4 Char,(Diplomarbeit FZ)5 Char"/>
    <w:basedOn w:val="DefaultParagraphFont"/>
    <w:link w:val="BVIfnrChar"/>
    <w:qFormat/>
    <w:locked/>
    <w:rsid w:val="00941820"/>
    <w:rPr>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qFormat/>
    <w:rsid w:val="00941820"/>
    <w:pPr>
      <w:keepLines/>
      <w:spacing w:after="60"/>
      <w:ind w:firstLine="720"/>
    </w:pPr>
    <w:rPr>
      <w:sz w:val="18"/>
      <w:szCs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sid w:val="00941820"/>
    <w:rPr>
      <w:rFonts w:ascii="Times New Roman" w:eastAsia="Times New Roman" w:hAnsi="Times New Roman" w:cs="Times New Roman"/>
      <w:sz w:val="18"/>
      <w:szCs w:val="18"/>
      <w:lang w:val="en-GB"/>
    </w:rPr>
  </w:style>
  <w:style w:type="paragraph" w:customStyle="1" w:styleId="HEADING">
    <w:name w:val="HEADING"/>
    <w:basedOn w:val="Normal"/>
    <w:rsid w:val="00941820"/>
    <w:pPr>
      <w:keepNext/>
      <w:spacing w:before="240" w:after="120"/>
      <w:jc w:val="center"/>
    </w:pPr>
    <w:rPr>
      <w:b/>
      <w:bCs/>
      <w:caps/>
    </w:rPr>
  </w:style>
  <w:style w:type="character" w:customStyle="1" w:styleId="CharChar17">
    <w:name w:val="Char Char17"/>
    <w:basedOn w:val="DefaultParagraphFont"/>
    <w:locked/>
    <w:rsid w:val="00941820"/>
    <w:rPr>
      <w:rFonts w:ascii="Times New Roman" w:eastAsia="Times New Roman" w:hAnsi="Times New Roman" w:cs="Times New Roman"/>
      <w:b/>
      <w:bCs/>
      <w:sz w:val="22"/>
      <w:szCs w:val="22"/>
      <w:lang w:val="en-GB"/>
    </w:rPr>
  </w:style>
  <w:style w:type="paragraph" w:customStyle="1" w:styleId="HEADINGNOTFORTOC">
    <w:name w:val="HEADING (NOT FOR TOC)"/>
    <w:basedOn w:val="Heading1"/>
    <w:next w:val="Heading2"/>
    <w:rsid w:val="00941820"/>
  </w:style>
  <w:style w:type="paragraph" w:customStyle="1" w:styleId="Heading1longmultiline">
    <w:name w:val="Heading 1 (long multiline)"/>
    <w:basedOn w:val="Heading1"/>
    <w:rsid w:val="00941820"/>
    <w:pPr>
      <w:ind w:left="1843" w:hanging="1134"/>
      <w:jc w:val="left"/>
    </w:pPr>
  </w:style>
  <w:style w:type="paragraph" w:customStyle="1" w:styleId="Heading1multiline">
    <w:name w:val="Heading 1 (multiline)"/>
    <w:basedOn w:val="Heading1"/>
    <w:rsid w:val="00941820"/>
    <w:pPr>
      <w:ind w:left="1843" w:right="996" w:hanging="567"/>
      <w:jc w:val="left"/>
    </w:pPr>
  </w:style>
  <w:style w:type="paragraph" w:customStyle="1" w:styleId="Heading2multiline">
    <w:name w:val="Heading 2 (multiline)"/>
    <w:basedOn w:val="Heading1"/>
    <w:next w:val="Normal"/>
    <w:rsid w:val="00941820"/>
    <w:pPr>
      <w:spacing w:before="120"/>
      <w:ind w:left="1843" w:right="998" w:hanging="567"/>
      <w:jc w:val="left"/>
    </w:pPr>
    <w:rPr>
      <w:i/>
      <w:iCs/>
      <w:caps w:val="0"/>
    </w:rPr>
  </w:style>
  <w:style w:type="paragraph" w:customStyle="1" w:styleId="Heading2longmultiline">
    <w:name w:val="Heading 2 (long multiline)"/>
    <w:basedOn w:val="Heading2multiline"/>
    <w:rsid w:val="00941820"/>
    <w:pPr>
      <w:ind w:left="2127" w:hanging="1276"/>
    </w:pPr>
  </w:style>
  <w:style w:type="character" w:customStyle="1" w:styleId="CharChar16">
    <w:name w:val="Char Char16"/>
    <w:basedOn w:val="DefaultParagraphFont"/>
    <w:locked/>
    <w:rsid w:val="00941820"/>
    <w:rPr>
      <w:rFonts w:ascii="Times New Roman" w:eastAsia="Times New Roman" w:hAnsi="Times New Roman" w:cs="Times New Roman"/>
      <w:i/>
      <w:iCs/>
      <w:sz w:val="22"/>
      <w:szCs w:val="22"/>
      <w:lang w:val="en-GB"/>
    </w:rPr>
  </w:style>
  <w:style w:type="paragraph" w:customStyle="1" w:styleId="heading2notforTOC">
    <w:name w:val="heading 2 not for TOC"/>
    <w:basedOn w:val="Heading3"/>
    <w:rsid w:val="00941820"/>
  </w:style>
  <w:style w:type="paragraph" w:customStyle="1" w:styleId="Heading3multiline">
    <w:name w:val="Heading 3 (multiline)"/>
    <w:basedOn w:val="Heading3"/>
    <w:next w:val="Normal"/>
    <w:rsid w:val="00941820"/>
    <w:pPr>
      <w:ind w:left="1418" w:hanging="425"/>
      <w:jc w:val="left"/>
    </w:pPr>
  </w:style>
  <w:style w:type="character" w:customStyle="1" w:styleId="CharChar15">
    <w:name w:val="Char Char15"/>
    <w:basedOn w:val="DefaultParagraphFont"/>
    <w:locked/>
    <w:rsid w:val="00941820"/>
    <w:rPr>
      <w:rFonts w:ascii="Times New Roman" w:eastAsia="Times New Roman" w:hAnsi="Times New Roman" w:cs="Times New Roman"/>
      <w:b/>
      <w:bCs/>
      <w:i/>
      <w:iCs/>
      <w:sz w:val="22"/>
      <w:szCs w:val="22"/>
      <w:lang w:val="en-GB"/>
    </w:rPr>
  </w:style>
  <w:style w:type="paragraph" w:customStyle="1" w:styleId="Heading4indent">
    <w:name w:val="Heading 4 indent"/>
    <w:basedOn w:val="Heading4"/>
    <w:rsid w:val="00941820"/>
    <w:pPr>
      <w:ind w:left="720"/>
      <w:outlineLvl w:val="9"/>
    </w:pPr>
  </w:style>
  <w:style w:type="character" w:customStyle="1" w:styleId="CharChar14">
    <w:name w:val="Char Char14"/>
    <w:basedOn w:val="DefaultParagraphFont"/>
    <w:locked/>
    <w:rsid w:val="00941820"/>
    <w:rPr>
      <w:rFonts w:ascii="Times New Roman" w:eastAsia="Times New Roman" w:hAnsi="Times New Roman" w:cs="Times New Roman"/>
      <w:i/>
      <w:iCs/>
      <w:sz w:val="26"/>
      <w:szCs w:val="26"/>
      <w:lang w:val="en-CA"/>
    </w:rPr>
  </w:style>
  <w:style w:type="character" w:customStyle="1" w:styleId="CharChar13">
    <w:name w:val="Char Char13"/>
    <w:basedOn w:val="DefaultParagraphFont"/>
    <w:locked/>
    <w:rsid w:val="00941820"/>
    <w:rPr>
      <w:rFonts w:ascii="Times New Roman" w:eastAsia="Times New Roman" w:hAnsi="Times New Roman" w:cs="Times New Roman"/>
      <w:sz w:val="22"/>
      <w:szCs w:val="22"/>
      <w:u w:val="single"/>
      <w:lang w:val="en-GB"/>
    </w:rPr>
  </w:style>
  <w:style w:type="character" w:customStyle="1" w:styleId="CharChar12">
    <w:name w:val="Char Char12"/>
    <w:basedOn w:val="DefaultParagraphFont"/>
    <w:locked/>
    <w:rsid w:val="00941820"/>
    <w:rPr>
      <w:rFonts w:ascii="Times New Roman" w:eastAsia="Times New Roman" w:hAnsi="Times New Roman" w:cs="Times New Roman"/>
      <w:b/>
      <w:bCs/>
      <w:sz w:val="28"/>
      <w:szCs w:val="28"/>
      <w:lang w:val="en-GB"/>
    </w:rPr>
  </w:style>
  <w:style w:type="character" w:customStyle="1" w:styleId="CharChar11">
    <w:name w:val="Char Char11"/>
    <w:basedOn w:val="DefaultParagraphFont"/>
    <w:locked/>
    <w:rsid w:val="00941820"/>
    <w:rPr>
      <w:rFonts w:ascii="Times New Roman" w:eastAsia="Times New Roman" w:hAnsi="Times New Roman" w:cs="Times New Roman"/>
      <w:b/>
      <w:bCs/>
      <w:sz w:val="32"/>
      <w:szCs w:val="32"/>
      <w:lang w:val="en-GB"/>
    </w:rPr>
  </w:style>
  <w:style w:type="character" w:customStyle="1" w:styleId="CharChar10">
    <w:name w:val="Char Char10"/>
    <w:basedOn w:val="DefaultParagraphFont"/>
    <w:locked/>
    <w:rsid w:val="00941820"/>
    <w:rPr>
      <w:rFonts w:ascii="Times New Roman" w:eastAsia="Times New Roman" w:hAnsi="Times New Roman" w:cs="Times New Roman"/>
      <w:i/>
      <w:iCs/>
      <w:sz w:val="22"/>
      <w:szCs w:val="22"/>
      <w:lang w:val="en-GB"/>
    </w:rPr>
  </w:style>
  <w:style w:type="character" w:styleId="PageNumber">
    <w:name w:val="page number"/>
    <w:basedOn w:val="DefaultParagraphFont"/>
    <w:rsid w:val="00941820"/>
    <w:rPr>
      <w:rFonts w:ascii="Times New Roman" w:hAnsi="Times New Roman" w:cs="Times New Roman"/>
      <w:sz w:val="22"/>
      <w:szCs w:val="22"/>
    </w:rPr>
  </w:style>
  <w:style w:type="paragraph" w:customStyle="1" w:styleId="Para1">
    <w:name w:val="Para1"/>
    <w:basedOn w:val="Normal"/>
    <w:rsid w:val="00941820"/>
    <w:pPr>
      <w:numPr>
        <w:numId w:val="4"/>
      </w:numPr>
      <w:spacing w:before="120" w:after="120"/>
    </w:pPr>
    <w:rPr>
      <w:snapToGrid/>
    </w:rPr>
  </w:style>
  <w:style w:type="paragraph" w:customStyle="1" w:styleId="Para2">
    <w:name w:val="Para2"/>
    <w:basedOn w:val="Para1"/>
    <w:rsid w:val="00941820"/>
    <w:pPr>
      <w:numPr>
        <w:numId w:val="0"/>
      </w:numPr>
      <w:autoSpaceDE w:val="0"/>
      <w:autoSpaceDN w:val="0"/>
    </w:pPr>
  </w:style>
  <w:style w:type="paragraph" w:customStyle="1" w:styleId="Para3">
    <w:name w:val="Para3"/>
    <w:basedOn w:val="Normal"/>
    <w:rsid w:val="00941820"/>
    <w:pPr>
      <w:numPr>
        <w:ilvl w:val="3"/>
        <w:numId w:val="5"/>
      </w:numPr>
      <w:tabs>
        <w:tab w:val="left" w:pos="1980"/>
      </w:tabs>
      <w:spacing w:before="80" w:after="80"/>
    </w:pPr>
  </w:style>
  <w:style w:type="paragraph" w:customStyle="1" w:styleId="para4">
    <w:name w:val="para4"/>
    <w:basedOn w:val="Normal"/>
    <w:rsid w:val="00941820"/>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941820"/>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941820"/>
    <w:pPr>
      <w:spacing w:before="120" w:after="120"/>
      <w:ind w:left="720" w:right="720"/>
    </w:pPr>
  </w:style>
  <w:style w:type="paragraph" w:customStyle="1" w:styleId="recommendationheader">
    <w:name w:val="recommendation header"/>
    <w:basedOn w:val="Heading2"/>
    <w:rsid w:val="00941820"/>
  </w:style>
  <w:style w:type="paragraph" w:customStyle="1" w:styleId="recommendationheaderlong">
    <w:name w:val="recommendation header long"/>
    <w:basedOn w:val="Heading2longmultiline"/>
    <w:rsid w:val="00941820"/>
  </w:style>
  <w:style w:type="paragraph" w:customStyle="1" w:styleId="reference">
    <w:name w:val="reference"/>
    <w:basedOn w:val="Heading9"/>
    <w:rsid w:val="00941820"/>
    <w:rPr>
      <w:i w:val="0"/>
      <w:iCs w:val="0"/>
      <w:sz w:val="18"/>
      <w:szCs w:val="18"/>
    </w:rPr>
  </w:style>
  <w:style w:type="character" w:customStyle="1" w:styleId="StyleFootnoteReferenceNounderline">
    <w:name w:val="Style Footnote Reference + No underline"/>
    <w:rsid w:val="00941820"/>
    <w:rPr>
      <w:sz w:val="18"/>
      <w:szCs w:val="18"/>
      <w:u w:val="none"/>
      <w:vertAlign w:val="baseline"/>
    </w:rPr>
  </w:style>
  <w:style w:type="paragraph" w:customStyle="1" w:styleId="tabletitle">
    <w:name w:val="table title"/>
    <w:basedOn w:val="Heading2"/>
    <w:rsid w:val="00941820"/>
    <w:pPr>
      <w:jc w:val="left"/>
      <w:outlineLvl w:val="9"/>
    </w:pPr>
    <w:rPr>
      <w:i/>
      <w:iCs/>
    </w:rPr>
  </w:style>
  <w:style w:type="paragraph" w:styleId="TOAHeading">
    <w:name w:val="toa heading"/>
    <w:basedOn w:val="Normal"/>
    <w:next w:val="Normal"/>
    <w:semiHidden/>
    <w:rsid w:val="00941820"/>
    <w:pPr>
      <w:spacing w:before="120"/>
    </w:pPr>
    <w:rPr>
      <w:b/>
      <w:bCs/>
      <w:sz w:val="24"/>
      <w:szCs w:val="24"/>
    </w:rPr>
  </w:style>
  <w:style w:type="paragraph" w:styleId="TOC1">
    <w:name w:val="toc 1"/>
    <w:basedOn w:val="Normal"/>
    <w:next w:val="Normal"/>
    <w:autoRedefine/>
    <w:semiHidden/>
    <w:rsid w:val="00941820"/>
    <w:pPr>
      <w:ind w:left="720" w:hanging="720"/>
    </w:pPr>
    <w:rPr>
      <w:caps/>
    </w:rPr>
  </w:style>
  <w:style w:type="paragraph" w:styleId="TOC2">
    <w:name w:val="toc 2"/>
    <w:basedOn w:val="Normal"/>
    <w:next w:val="Normal"/>
    <w:autoRedefine/>
    <w:semiHidden/>
    <w:rsid w:val="00941820"/>
    <w:pPr>
      <w:tabs>
        <w:tab w:val="right" w:leader="dot" w:pos="9356"/>
      </w:tabs>
      <w:ind w:left="1440" w:hanging="720"/>
    </w:pPr>
    <w:rPr>
      <w:noProof/>
      <w:lang w:val="en-US"/>
    </w:rPr>
  </w:style>
  <w:style w:type="paragraph" w:styleId="TOC3">
    <w:name w:val="toc 3"/>
    <w:basedOn w:val="Normal"/>
    <w:next w:val="Normal"/>
    <w:autoRedefine/>
    <w:semiHidden/>
    <w:rsid w:val="00941820"/>
    <w:pPr>
      <w:ind w:left="2160" w:hanging="720"/>
    </w:pPr>
  </w:style>
  <w:style w:type="paragraph" w:styleId="TOC4">
    <w:name w:val="toc 4"/>
    <w:basedOn w:val="Normal"/>
    <w:next w:val="Normal"/>
    <w:autoRedefine/>
    <w:semiHidden/>
    <w:rsid w:val="00941820"/>
    <w:pPr>
      <w:spacing w:before="120" w:after="120"/>
      <w:ind w:left="660"/>
      <w:jc w:val="left"/>
    </w:pPr>
  </w:style>
  <w:style w:type="paragraph" w:styleId="TOC5">
    <w:name w:val="toc 5"/>
    <w:basedOn w:val="Normal"/>
    <w:next w:val="Normal"/>
    <w:autoRedefine/>
    <w:semiHidden/>
    <w:rsid w:val="00941820"/>
    <w:pPr>
      <w:spacing w:before="120" w:after="120"/>
      <w:ind w:left="880"/>
      <w:jc w:val="left"/>
    </w:pPr>
  </w:style>
  <w:style w:type="paragraph" w:styleId="TOC6">
    <w:name w:val="toc 6"/>
    <w:basedOn w:val="Normal"/>
    <w:next w:val="Normal"/>
    <w:autoRedefine/>
    <w:semiHidden/>
    <w:rsid w:val="00941820"/>
    <w:pPr>
      <w:spacing w:before="120" w:after="120"/>
      <w:ind w:left="1100"/>
      <w:jc w:val="left"/>
    </w:pPr>
  </w:style>
  <w:style w:type="paragraph" w:styleId="TOC7">
    <w:name w:val="toc 7"/>
    <w:basedOn w:val="Normal"/>
    <w:next w:val="Normal"/>
    <w:autoRedefine/>
    <w:semiHidden/>
    <w:rsid w:val="00941820"/>
    <w:pPr>
      <w:spacing w:before="120" w:after="120"/>
      <w:ind w:left="1320"/>
      <w:jc w:val="left"/>
    </w:pPr>
  </w:style>
  <w:style w:type="paragraph" w:styleId="TOC8">
    <w:name w:val="toc 8"/>
    <w:basedOn w:val="Normal"/>
    <w:next w:val="Normal"/>
    <w:autoRedefine/>
    <w:semiHidden/>
    <w:rsid w:val="00941820"/>
    <w:pPr>
      <w:spacing w:before="120" w:after="120"/>
      <w:ind w:left="1540"/>
      <w:jc w:val="left"/>
    </w:pPr>
  </w:style>
  <w:style w:type="paragraph" w:styleId="TOC9">
    <w:name w:val="toc 9"/>
    <w:basedOn w:val="Normal"/>
    <w:next w:val="Normal"/>
    <w:autoRedefine/>
    <w:semiHidden/>
    <w:rsid w:val="00941820"/>
    <w:pPr>
      <w:spacing w:before="120" w:after="120"/>
      <w:ind w:left="1760"/>
      <w:jc w:val="left"/>
    </w:pPr>
  </w:style>
  <w:style w:type="character" w:styleId="Hyperlink">
    <w:name w:val="Hyperlink"/>
    <w:basedOn w:val="DefaultParagraphFont"/>
    <w:rsid w:val="00941820"/>
    <w:rPr>
      <w:color w:val="0000FF"/>
      <w:sz w:val="18"/>
      <w:szCs w:val="18"/>
      <w:u w:val="single"/>
    </w:rPr>
  </w:style>
  <w:style w:type="character" w:customStyle="1" w:styleId="Para1Char">
    <w:name w:val="Para1 Char"/>
    <w:locked/>
    <w:rsid w:val="00941820"/>
    <w:rPr>
      <w:rFonts w:ascii="Times New Roman" w:eastAsia="Times New Roman" w:hAnsi="Times New Roman" w:cs="Times New Roman"/>
      <w:snapToGrid w:val="0"/>
      <w:sz w:val="18"/>
      <w:szCs w:val="18"/>
      <w:lang w:val="en-GB"/>
    </w:rPr>
  </w:style>
  <w:style w:type="paragraph" w:customStyle="1" w:styleId="CBD-Doc-Type">
    <w:name w:val="CBD-Doc-Type"/>
    <w:basedOn w:val="Normal"/>
    <w:rsid w:val="00941820"/>
    <w:pPr>
      <w:keepLines/>
      <w:spacing w:before="240" w:after="120"/>
    </w:pPr>
    <w:rPr>
      <w:b/>
      <w:bCs/>
      <w:i/>
      <w:iCs/>
      <w:sz w:val="24"/>
      <w:szCs w:val="24"/>
    </w:rPr>
  </w:style>
  <w:style w:type="paragraph" w:customStyle="1" w:styleId="CBD-Doc">
    <w:name w:val="CBD-Doc"/>
    <w:basedOn w:val="Normal"/>
    <w:rsid w:val="00941820"/>
    <w:pPr>
      <w:keepLines/>
      <w:numPr>
        <w:numId w:val="9"/>
      </w:numPr>
      <w:spacing w:after="120"/>
    </w:pPr>
  </w:style>
  <w:style w:type="paragraph" w:styleId="ListParagraph">
    <w:name w:val="List Paragraph"/>
    <w:basedOn w:val="Normal"/>
    <w:qFormat/>
    <w:rsid w:val="00941820"/>
    <w:pPr>
      <w:ind w:left="720"/>
    </w:pPr>
  </w:style>
  <w:style w:type="paragraph" w:styleId="Caption">
    <w:name w:val="caption"/>
    <w:basedOn w:val="Normal"/>
    <w:next w:val="Normal"/>
    <w:qFormat/>
    <w:rsid w:val="00941820"/>
    <w:pPr>
      <w:keepNext/>
      <w:keepLines/>
      <w:spacing w:after="200"/>
    </w:pPr>
    <w:rPr>
      <w:b/>
      <w:bCs/>
    </w:rPr>
  </w:style>
  <w:style w:type="paragraph" w:customStyle="1" w:styleId="Style1">
    <w:name w:val="Style1"/>
    <w:basedOn w:val="Heading2"/>
    <w:rsid w:val="00941820"/>
    <w:rPr>
      <w:i/>
      <w:iCs/>
    </w:rPr>
  </w:style>
  <w:style w:type="paragraph" w:customStyle="1" w:styleId="number">
    <w:name w:val="number"/>
    <w:aliases w:val="Footnote Reference Superscript,-E Fußnotenzeichen,(Diplomarbeit FZ),(Diplomarbeit FZ)1,(Diplomarbeit FZ)2,(Diplomarbeit FZ)3,(Diplomarbeit FZ)4,(Diplomarbeit FZ)5,(Diplomarbeit FZ)6,(Diplomarbeit FZ)7,(Diplomarbeit FZ)8,16 Poin"/>
    <w:basedOn w:val="Normal"/>
    <w:link w:val="CBD-ParaCharChar"/>
    <w:rsid w:val="00941820"/>
    <w:pPr>
      <w:spacing w:after="160" w:line="240" w:lineRule="exact"/>
      <w:jc w:val="left"/>
    </w:pPr>
    <w:rPr>
      <w:vertAlign w:val="superscript"/>
      <w:lang w:val="en-US"/>
    </w:rPr>
  </w:style>
  <w:style w:type="paragraph" w:customStyle="1" w:styleId="CBD-Para">
    <w:name w:val="CBD-Para"/>
    <w:basedOn w:val="Normal"/>
    <w:rsid w:val="00941820"/>
    <w:pPr>
      <w:keepLines/>
      <w:numPr>
        <w:numId w:val="21"/>
      </w:numPr>
      <w:spacing w:before="120" w:after="120"/>
    </w:pPr>
    <w:rPr>
      <w:lang w:val="en-US"/>
    </w:rPr>
  </w:style>
  <w:style w:type="character" w:customStyle="1" w:styleId="CBD-ParaCharChar">
    <w:name w:val="CBD-Para Char Char"/>
    <w:link w:val="number"/>
    <w:locked/>
    <w:rsid w:val="00941820"/>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semiHidden/>
    <w:rsid w:val="00941820"/>
    <w:rPr>
      <w:color w:val="auto"/>
      <w:shd w:val="clear" w:color="auto" w:fill="auto"/>
    </w:rPr>
  </w:style>
  <w:style w:type="paragraph" w:styleId="CommentSubject">
    <w:name w:val="annotation subject"/>
    <w:basedOn w:val="CommentText"/>
    <w:next w:val="CommentText"/>
    <w:link w:val="CommentSubjectChar"/>
    <w:semiHidden/>
    <w:rsid w:val="00941820"/>
    <w:pPr>
      <w:spacing w:after="0" w:line="240" w:lineRule="auto"/>
    </w:pPr>
    <w:rPr>
      <w:b/>
      <w:bCs/>
      <w:sz w:val="20"/>
      <w:szCs w:val="20"/>
    </w:rPr>
  </w:style>
  <w:style w:type="character" w:customStyle="1" w:styleId="CharChar">
    <w:name w:val="Char Char"/>
    <w:basedOn w:val="CommentSubjectChar"/>
    <w:semiHidden/>
    <w:locked/>
    <w:rsid w:val="00941820"/>
    <w:rPr>
      <w:b/>
      <w:bCs/>
      <w:sz w:val="20"/>
      <w:szCs w:val="20"/>
    </w:rPr>
  </w:style>
  <w:style w:type="paragraph" w:customStyle="1" w:styleId="Default">
    <w:name w:val="Default"/>
    <w:rsid w:val="00941820"/>
    <w:pPr>
      <w:autoSpaceDE w:val="0"/>
      <w:autoSpaceDN w:val="0"/>
      <w:adjustRightInd w:val="0"/>
    </w:pPr>
    <w:rPr>
      <w:rFonts w:cs="Times New Roman"/>
      <w:snapToGrid w:val="0"/>
      <w:color w:val="000000"/>
      <w:sz w:val="24"/>
      <w:szCs w:val="24"/>
    </w:rPr>
  </w:style>
  <w:style w:type="paragraph" w:styleId="Revision">
    <w:name w:val="Revision"/>
    <w:hidden/>
    <w:semiHidden/>
    <w:rsid w:val="00941820"/>
    <w:rPr>
      <w:rFonts w:cs="Times New Roman"/>
      <w:snapToGrid w:val="0"/>
      <w:sz w:val="22"/>
      <w:szCs w:val="22"/>
      <w:lang w:val="en-GB"/>
    </w:rPr>
  </w:style>
  <w:style w:type="character" w:customStyle="1" w:styleId="UnresolvedMention2">
    <w:name w:val="Unresolved Mention2"/>
    <w:basedOn w:val="DefaultParagraphFont"/>
    <w:semiHidden/>
    <w:rsid w:val="00941820"/>
    <w:rPr>
      <w:color w:val="auto"/>
      <w:shd w:val="clear" w:color="auto" w:fill="auto"/>
    </w:rPr>
  </w:style>
  <w:style w:type="character" w:customStyle="1" w:styleId="UnresolvedMention">
    <w:name w:val="Unresolved Mention"/>
    <w:basedOn w:val="DefaultParagraphFont"/>
    <w:semiHidden/>
    <w:rsid w:val="00941820"/>
    <w:rPr>
      <w:color w:val="auto"/>
      <w:shd w:val="clear" w:color="auto" w:fill="auto"/>
    </w:rPr>
  </w:style>
  <w:style w:type="paragraph" w:styleId="NoSpacing">
    <w:name w:val="No Spacing"/>
    <w:qFormat/>
    <w:rsid w:val="00941820"/>
    <w:rPr>
      <w:rFonts w:ascii="Calibri" w:hAnsi="Calibri" w:cs="Calibri"/>
      <w:snapToGrid w:val="0"/>
      <w:sz w:val="22"/>
      <w:szCs w:val="22"/>
      <w:lang w:val="en-CA"/>
    </w:rPr>
  </w:style>
  <w:style w:type="paragraph" w:customStyle="1" w:styleId="para10">
    <w:name w:val="para10"/>
    <w:basedOn w:val="Normal"/>
    <w:rsid w:val="00941820"/>
    <w:pPr>
      <w:numPr>
        <w:numId w:val="38"/>
      </w:numPr>
      <w:snapToGrid w:val="0"/>
      <w:spacing w:before="120" w:after="120"/>
    </w:pPr>
    <w:rPr>
      <w:lang w:val="en-US"/>
    </w:rPr>
  </w:style>
  <w:style w:type="paragraph" w:customStyle="1" w:styleId="Dec-titleoneline">
    <w:name w:val="Dec-title one line"/>
    <w:basedOn w:val="Heading2"/>
    <w:rsid w:val="00941820"/>
    <w:rPr>
      <w:i/>
      <w:iCs/>
    </w:rPr>
  </w:style>
  <w:style w:type="character" w:customStyle="1" w:styleId="ng-binding">
    <w:name w:val="ng-binding"/>
    <w:basedOn w:val="DefaultParagraphFont"/>
    <w:rsid w:val="00941820"/>
  </w:style>
  <w:style w:type="character" w:customStyle="1" w:styleId="tw4winMark">
    <w:name w:val="tw4winMark"/>
    <w:rsid w:val="00941820"/>
    <w:rPr>
      <w:rFonts w:ascii="Courier New" w:hAnsi="Courier New" w:cs="Courier New"/>
      <w:vanish/>
      <w:color w:val="800080"/>
      <w:sz w:val="24"/>
      <w:szCs w:val="24"/>
      <w:vertAlign w:val="subscript"/>
    </w:rPr>
  </w:style>
  <w:style w:type="character" w:customStyle="1" w:styleId="tw4winError">
    <w:name w:val="tw4winError"/>
    <w:rsid w:val="00941820"/>
    <w:rPr>
      <w:rFonts w:ascii="Courier New" w:hAnsi="Courier New" w:cs="Courier New"/>
      <w:color w:val="00FF00"/>
      <w:sz w:val="40"/>
      <w:szCs w:val="40"/>
    </w:rPr>
  </w:style>
  <w:style w:type="character" w:customStyle="1" w:styleId="tw4winTerm">
    <w:name w:val="tw4winTerm"/>
    <w:rsid w:val="00941820"/>
    <w:rPr>
      <w:color w:val="0000FF"/>
    </w:rPr>
  </w:style>
  <w:style w:type="character" w:customStyle="1" w:styleId="tw4winPopup">
    <w:name w:val="tw4winPopup"/>
    <w:rsid w:val="00941820"/>
    <w:rPr>
      <w:rFonts w:ascii="Courier New" w:hAnsi="Courier New" w:cs="Courier New"/>
      <w:noProof/>
      <w:color w:val="008000"/>
    </w:rPr>
  </w:style>
  <w:style w:type="character" w:customStyle="1" w:styleId="tw4winJump">
    <w:name w:val="tw4winJump"/>
    <w:rsid w:val="00941820"/>
    <w:rPr>
      <w:rFonts w:ascii="Courier New" w:hAnsi="Courier New" w:cs="Courier New"/>
      <w:noProof/>
      <w:color w:val="008080"/>
    </w:rPr>
  </w:style>
  <w:style w:type="character" w:customStyle="1" w:styleId="tw4winExternal">
    <w:name w:val="tw4winExternal"/>
    <w:rsid w:val="00941820"/>
    <w:rPr>
      <w:rFonts w:ascii="Courier New" w:hAnsi="Courier New" w:cs="Courier New"/>
      <w:noProof/>
      <w:color w:val="808080"/>
    </w:rPr>
  </w:style>
  <w:style w:type="character" w:customStyle="1" w:styleId="tw4winInternal">
    <w:name w:val="tw4winInternal"/>
    <w:rsid w:val="00941820"/>
    <w:rPr>
      <w:rFonts w:ascii="Courier New" w:hAnsi="Courier New" w:cs="Courier New"/>
      <w:noProof/>
      <w:color w:val="FF0000"/>
    </w:rPr>
  </w:style>
  <w:style w:type="character" w:customStyle="1" w:styleId="DONOTTRANSLATE">
    <w:name w:val="DO_NOT_TRANSLATE"/>
    <w:rsid w:val="00941820"/>
    <w:rPr>
      <w:rFonts w:ascii="Courier New" w:hAnsi="Courier New" w:cs="Courier New"/>
      <w:noProof/>
      <w:color w:val="80000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0B20C6"/>
    <w:pPr>
      <w:spacing w:after="160" w:line="240" w:lineRule="exact"/>
      <w:jc w:val="left"/>
    </w:pPr>
    <w:rPr>
      <w:rFonts w:cs="Courier New"/>
      <w:snapToGrid/>
      <w:vertAlign w:val="superscript"/>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bd.int/doc/decisions/cop-14/cop-14-dec-34-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s://localbiodiversityoutlooks.net/wp-content/uploads/2021/01/Local-Biodiversity-Outlooks-2-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Draft elements of a possible decision operationalizing the post-2020 global biodiversity framework</vt:lpstr>
    </vt:vector>
  </TitlesOfParts>
  <Company>United Nations</Company>
  <LinksUpToDate>false</LinksUpToDate>
  <CharactersWithSpaces>14116</CharactersWithSpaces>
  <SharedDoc>false</SharedDoc>
  <HyperlinkBase>https://www.cbd.int/conferences/geneva-2022/wg2020-03/documents</HyperlinkBase>
  <HLinks>
    <vt:vector size="18" baseType="variant">
      <vt:variant>
        <vt:i4>720980</vt:i4>
      </vt:variant>
      <vt:variant>
        <vt:i4>0</vt:i4>
      </vt:variant>
      <vt:variant>
        <vt:i4>0</vt:i4>
      </vt:variant>
      <vt:variant>
        <vt:i4>5</vt:i4>
      </vt:variant>
      <vt:variant>
        <vt:lpwstr>https://www.cbd.int/doc/decisions/cop-14/cop-14-dec-34-es.pdf</vt:lpwstr>
      </vt:variant>
      <vt:variant>
        <vt:lpwstr/>
      </vt:variant>
      <vt:variant>
        <vt:i4>8323129</vt:i4>
      </vt:variant>
      <vt:variant>
        <vt:i4>3</vt:i4>
      </vt:variant>
      <vt:variant>
        <vt:i4>0</vt:i4>
      </vt:variant>
      <vt:variant>
        <vt:i4>5</vt:i4>
      </vt:variant>
      <vt:variant>
        <vt:lpwstr>https://doi.org/10.5281/zenodo.3831673</vt:lpwstr>
      </vt:variant>
      <vt:variant>
        <vt:lpwstr/>
      </vt:variant>
      <vt:variant>
        <vt:i4>6357101</vt:i4>
      </vt:variant>
      <vt:variant>
        <vt:i4>0</vt:i4>
      </vt:variant>
      <vt:variant>
        <vt:i4>0</vt:i4>
      </vt:variant>
      <vt:variant>
        <vt:i4>5</vt:i4>
      </vt:variant>
      <vt:variant>
        <vt:lpwstr>https://localbiodiversityoutlooks.net/wp-content/uploads/2021/01/Local-Biodiversity-Outlooks-2-Spanish.pdf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elements of a possible decision operationalizing the post-2020 global biodiversity framework</dc:title>
  <dc:subject>CBD/WG2020/3/3/Add.3</dc:subject>
  <dc:creator>SCBD</dc:creator>
  <cp:keywords>Open-ended Working Group on the Post-2020 Global Biodiversity Framework, third meeting, 23 August - 3 September 2021, Convention on Biological Diversity</cp:keywords>
  <cp:lastModifiedBy>Laura Perez</cp:lastModifiedBy>
  <cp:revision>3</cp:revision>
  <cp:lastPrinted>2021-11-25T19:15:00Z</cp:lastPrinted>
  <dcterms:created xsi:type="dcterms:W3CDTF">2021-12-14T13:22:00Z</dcterms:created>
  <dcterms:modified xsi:type="dcterms:W3CDTF">2021-12-14T13:59:00Z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