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3E4587" w14:paraId="4E8E6A7E" w14:textId="77777777" w:rsidTr="00515E0F">
        <w:tc>
          <w:tcPr>
            <w:tcW w:w="1371" w:type="dxa"/>
            <w:tcBorders>
              <w:bottom w:val="single" w:sz="12" w:space="0" w:color="000000"/>
            </w:tcBorders>
          </w:tcPr>
          <w:p w14:paraId="01989F42" w14:textId="77777777" w:rsidR="003E4587" w:rsidRDefault="00201EB1" w:rsidP="00515E0F">
            <w:pPr>
              <w:rPr>
                <w:noProof/>
              </w:rPr>
            </w:pPr>
            <w:r w:rsidRPr="00C75CE2">
              <w:rPr>
                <w:rFonts w:ascii="Cambria" w:hAnsi="Cambria"/>
                <w:noProof/>
                <w:snapToGrid w:val="0"/>
                <w:kern w:val="22"/>
              </w:rPr>
              <w:drawing>
                <wp:inline distT="0" distB="0" distL="0" distR="0" wp14:anchorId="7371065C" wp14:editId="520DF9DF">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572265B1" w14:textId="77777777" w:rsidR="003E4587" w:rsidRDefault="00201EB1" w:rsidP="00515E0F">
            <w:r>
              <w:rPr>
                <w:noProof/>
              </w:rPr>
              <w:drawing>
                <wp:inline distT="0" distB="0" distL="0" distR="0" wp14:anchorId="7D37C2FD" wp14:editId="5F406216">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5DA4126A" w14:textId="77777777" w:rsidR="003E4587" w:rsidRDefault="003E4587" w:rsidP="00515E0F">
            <w:pPr>
              <w:pStyle w:val="Heading8"/>
              <w:spacing w:beforeLines="30" w:before="72"/>
              <w:rPr>
                <w:rFonts w:ascii="Arial" w:hAnsi="Arial"/>
                <w:szCs w:val="32"/>
              </w:rPr>
            </w:pPr>
            <w:r>
              <w:rPr>
                <w:rFonts w:ascii="Arial" w:hAnsi="Arial"/>
                <w:szCs w:val="32"/>
              </w:rPr>
              <w:t>CBD</w:t>
            </w:r>
          </w:p>
          <w:p w14:paraId="7A634D03" w14:textId="77777777" w:rsidR="003E4587" w:rsidRDefault="003E4587" w:rsidP="00515E0F">
            <w:pPr>
              <w:jc w:val="left"/>
              <w:rPr>
                <w:rFonts w:ascii="Univers" w:hAnsi="Univers"/>
                <w:b/>
                <w:sz w:val="36"/>
                <w:szCs w:val="36"/>
              </w:rPr>
            </w:pPr>
          </w:p>
        </w:tc>
      </w:tr>
      <w:tr w:rsidR="003E4587" w14:paraId="25E91496" w14:textId="77777777" w:rsidTr="00F67C30">
        <w:trPr>
          <w:trHeight w:val="1693"/>
        </w:trPr>
        <w:tc>
          <w:tcPr>
            <w:tcW w:w="5242" w:type="dxa"/>
            <w:gridSpan w:val="3"/>
          </w:tcPr>
          <w:p w14:paraId="48984E19" w14:textId="77777777" w:rsidR="003E4587" w:rsidRPr="00E86D8D" w:rsidRDefault="003E4587" w:rsidP="00515E0F">
            <w:pPr>
              <w:rPr>
                <w:sz w:val="16"/>
                <w:szCs w:val="16"/>
              </w:rPr>
            </w:pPr>
          </w:p>
          <w:p w14:paraId="15F8E542" w14:textId="77777777" w:rsidR="003E4587" w:rsidRDefault="00201EB1" w:rsidP="00515E0F">
            <w:pPr>
              <w:rPr>
                <w:b/>
                <w:sz w:val="40"/>
                <w:szCs w:val="40"/>
              </w:rPr>
            </w:pPr>
            <w:r>
              <w:rPr>
                <w:b/>
                <w:noProof/>
                <w:sz w:val="40"/>
                <w:szCs w:val="40"/>
              </w:rPr>
              <w:drawing>
                <wp:inline distT="0" distB="0" distL="0" distR="0" wp14:anchorId="43FFE1B3" wp14:editId="4A826598">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087FD618" w14:textId="77777777" w:rsidR="003E4587" w:rsidRPr="00E86D8D" w:rsidRDefault="003E4587" w:rsidP="00515E0F">
            <w:pPr>
              <w:rPr>
                <w:b/>
                <w:sz w:val="16"/>
                <w:szCs w:val="16"/>
              </w:rPr>
            </w:pPr>
          </w:p>
        </w:tc>
        <w:tc>
          <w:tcPr>
            <w:tcW w:w="1710" w:type="dxa"/>
          </w:tcPr>
          <w:p w14:paraId="2B450447" w14:textId="77777777" w:rsidR="003E4587" w:rsidRDefault="003E4587" w:rsidP="00515E0F"/>
        </w:tc>
        <w:tc>
          <w:tcPr>
            <w:tcW w:w="2880" w:type="dxa"/>
          </w:tcPr>
          <w:p w14:paraId="11C1DC0E" w14:textId="77777777" w:rsidR="003E4587" w:rsidRPr="00C022B0" w:rsidRDefault="003E4587" w:rsidP="00515E0F">
            <w:pPr>
              <w:spacing w:before="120"/>
            </w:pPr>
            <w:r w:rsidRPr="00C022B0">
              <w:t>Distr.</w:t>
            </w:r>
            <w:r w:rsidR="00394B62">
              <w:t xml:space="preserve"> </w:t>
            </w:r>
          </w:p>
          <w:p w14:paraId="5523CAC5" w14:textId="77777777" w:rsidR="003E4587" w:rsidRPr="00C022B0" w:rsidRDefault="003E4587" w:rsidP="00515E0F">
            <w:pPr>
              <w:spacing w:after="120"/>
            </w:pPr>
            <w:r w:rsidRPr="00C022B0">
              <w:t>GENERAL</w:t>
            </w:r>
          </w:p>
          <w:p w14:paraId="5926BE8F" w14:textId="77777777" w:rsidR="00050C5F" w:rsidRDefault="00CC0176" w:rsidP="00050C5F">
            <w:r>
              <w:t>CBD/</w:t>
            </w:r>
            <w:r w:rsidR="00215694">
              <w:rPr>
                <w:rFonts w:eastAsia="Univers"/>
                <w:noProof/>
                <w:kern w:val="22"/>
              </w:rPr>
              <w:t>SB</w:t>
            </w:r>
            <w:r w:rsidR="00135CF2">
              <w:rPr>
                <w:rFonts w:eastAsia="Univers"/>
                <w:noProof/>
                <w:kern w:val="22"/>
              </w:rPr>
              <w:t>I/2</w:t>
            </w:r>
            <w:r w:rsidR="00215694">
              <w:rPr>
                <w:rFonts w:eastAsia="Univers"/>
                <w:noProof/>
                <w:kern w:val="22"/>
              </w:rPr>
              <w:t>/</w:t>
            </w:r>
            <w:r w:rsidR="00B60FA8">
              <w:rPr>
                <w:rFonts w:eastAsia="Univers"/>
                <w:noProof/>
                <w:kern w:val="22"/>
              </w:rPr>
              <w:t>4/Add.3</w:t>
            </w:r>
          </w:p>
          <w:p w14:paraId="3E69495E" w14:textId="77777777" w:rsidR="003E4587" w:rsidRPr="00C022B0" w:rsidRDefault="003E4587" w:rsidP="007C2062">
            <w:pPr>
              <w:spacing w:after="120"/>
            </w:pPr>
            <w:r w:rsidRPr="00C022B0">
              <w:t>2</w:t>
            </w:r>
            <w:r w:rsidR="00B60FA8">
              <w:t>6 May 2</w:t>
            </w:r>
            <w:r w:rsidRPr="00C022B0">
              <w:t>0</w:t>
            </w:r>
            <w:r w:rsidR="00CC0176">
              <w:rPr>
                <w:rFonts w:hint="eastAsia"/>
              </w:rPr>
              <w:t>1</w:t>
            </w:r>
            <w:r w:rsidR="00B60FA8">
              <w:t>8</w:t>
            </w:r>
          </w:p>
          <w:p w14:paraId="683077AF" w14:textId="77777777" w:rsidR="003E4587" w:rsidRPr="000D1EFC" w:rsidRDefault="003E4587" w:rsidP="00515E0F">
            <w:r w:rsidRPr="000D1EFC">
              <w:rPr>
                <w:rFonts w:hint="eastAsia"/>
              </w:rPr>
              <w:t>CHINESE</w:t>
            </w:r>
          </w:p>
          <w:p w14:paraId="266C5AEE" w14:textId="77777777" w:rsidR="003E4587" w:rsidRDefault="00FB344E" w:rsidP="00FB344E">
            <w:pPr>
              <w:spacing w:after="120"/>
              <w:rPr>
                <w:rFonts w:ascii="Courier New" w:hAnsi="Courier New"/>
                <w:sz w:val="22"/>
                <w:szCs w:val="22"/>
              </w:rPr>
            </w:pPr>
            <w:r w:rsidRPr="00587510">
              <w:t>ORIGINAL: ENGLISH</w:t>
            </w:r>
          </w:p>
        </w:tc>
      </w:tr>
    </w:tbl>
    <w:p w14:paraId="79C773D7" w14:textId="77777777" w:rsidR="00135CF2" w:rsidRDefault="00135CF2" w:rsidP="00135CF2">
      <w:pPr>
        <w:pStyle w:val="meetingname"/>
        <w:ind w:left="0" w:right="4392" w:firstLine="0"/>
        <w:rPr>
          <w:rFonts w:ascii="SimSun" w:eastAsia="SimSun" w:hAnsi="SimSun"/>
          <w:kern w:val="22"/>
          <w:sz w:val="24"/>
          <w:lang w:eastAsia="zh-CN"/>
        </w:rPr>
      </w:pPr>
      <w:bookmarkStart w:id="0" w:name="Meeting"/>
      <w:r w:rsidRPr="00CF4C31">
        <w:rPr>
          <w:rFonts w:ascii="SimSun" w:eastAsia="SimSun" w:hAnsi="SimSun" w:hint="eastAsia"/>
          <w:kern w:val="22"/>
          <w:sz w:val="24"/>
          <w:lang w:eastAsia="zh-CN"/>
        </w:rPr>
        <w:t>执行问题附属机构</w:t>
      </w:r>
      <w:bookmarkEnd w:id="0"/>
    </w:p>
    <w:p w14:paraId="73B3E588" w14:textId="77777777" w:rsidR="00135CF2" w:rsidRDefault="00135CF2" w:rsidP="00135CF2">
      <w:pPr>
        <w:pStyle w:val="meetingname"/>
        <w:ind w:left="0" w:right="4392" w:firstLine="0"/>
        <w:rPr>
          <w:rFonts w:ascii="SimSun" w:eastAsia="SimSun" w:hAnsi="SimSun"/>
          <w:kern w:val="22"/>
          <w:sz w:val="24"/>
          <w:lang w:eastAsia="zh-CN"/>
        </w:rPr>
      </w:pPr>
      <w:r w:rsidRPr="00CF4C31">
        <w:rPr>
          <w:rFonts w:ascii="SimSun" w:eastAsia="SimSun" w:hAnsi="SimSun" w:hint="eastAsia"/>
          <w:kern w:val="22"/>
          <w:sz w:val="24"/>
          <w:lang w:eastAsia="zh-CN"/>
        </w:rPr>
        <w:t>第二次会议</w:t>
      </w:r>
    </w:p>
    <w:p w14:paraId="577977EF" w14:textId="77777777" w:rsidR="00135CF2" w:rsidRDefault="00135CF2" w:rsidP="00135CF2">
      <w:pPr>
        <w:pStyle w:val="meetingname"/>
        <w:ind w:left="0" w:right="4392" w:firstLine="0"/>
        <w:rPr>
          <w:rFonts w:ascii="SimSun" w:eastAsia="SimSun" w:hAnsi="SimSun"/>
          <w:kern w:val="22"/>
          <w:sz w:val="24"/>
          <w:lang w:val="en-US" w:eastAsia="zh-CN"/>
        </w:rPr>
      </w:pPr>
      <w:r w:rsidRPr="00CF4C31">
        <w:rPr>
          <w:rFonts w:ascii="SimSun" w:eastAsia="SimSun" w:hAnsi="SimSun"/>
          <w:kern w:val="22"/>
          <w:sz w:val="24"/>
          <w:lang w:eastAsia="nb-NO"/>
        </w:rPr>
        <w:t>2018</w:t>
      </w:r>
      <w:r w:rsidRPr="00CF4C31">
        <w:rPr>
          <w:rFonts w:ascii="SimSun" w:eastAsia="SimSun" w:hAnsi="SimSun" w:hint="eastAsia"/>
          <w:kern w:val="22"/>
          <w:sz w:val="24"/>
          <w:lang w:eastAsia="zh-CN"/>
        </w:rPr>
        <w:t>年7月9日至13日，加拿大蒙特利尔</w:t>
      </w:r>
    </w:p>
    <w:p w14:paraId="69FAEA75" w14:textId="77777777" w:rsidR="00B60FA8" w:rsidRPr="00B60FA8" w:rsidRDefault="00B60FA8" w:rsidP="00135CF2">
      <w:pPr>
        <w:pStyle w:val="meetingname"/>
        <w:ind w:left="0" w:right="4392" w:firstLine="0"/>
        <w:rPr>
          <w:rFonts w:ascii="SimSun" w:eastAsia="SimSun" w:hAnsi="SimSun"/>
          <w:kern w:val="22"/>
          <w:sz w:val="24"/>
          <w:lang w:val="en-US" w:eastAsia="zh-CN"/>
        </w:rPr>
      </w:pPr>
      <w:r>
        <w:rPr>
          <w:rFonts w:ascii="SimSun" w:eastAsia="SimSun" w:hAnsi="SimSun" w:hint="eastAsia"/>
          <w:kern w:val="22"/>
          <w:sz w:val="24"/>
          <w:lang w:val="en-US" w:eastAsia="zh-CN"/>
        </w:rPr>
        <w:t>临时议程</w:t>
      </w:r>
      <w:r w:rsidRPr="00B60FA8">
        <w:rPr>
          <w:rStyle w:val="FootnoteReference"/>
          <w:rFonts w:eastAsia="SimSun"/>
          <w:kern w:val="22"/>
          <w:szCs w:val="22"/>
          <w:lang w:eastAsia="nb-NO"/>
        </w:rPr>
        <w:footnoteReference w:customMarkFollows="1" w:id="1"/>
        <w:t>*</w:t>
      </w:r>
      <w:r>
        <w:rPr>
          <w:rFonts w:eastAsia="SimSun" w:hint="eastAsia"/>
          <w:lang w:eastAsia="zh-CN"/>
        </w:rPr>
        <w:t>项目</w:t>
      </w:r>
      <w:r>
        <w:rPr>
          <w:rFonts w:eastAsia="SimSun" w:hint="eastAsia"/>
          <w:lang w:eastAsia="zh-CN"/>
        </w:rPr>
        <w:t>5</w:t>
      </w:r>
    </w:p>
    <w:p w14:paraId="5A017427" w14:textId="77777777" w:rsidR="00B60FA8" w:rsidRPr="00AA1624" w:rsidRDefault="008C72D7" w:rsidP="004A4ED6">
      <w:pPr>
        <w:spacing w:before="360" w:after="120" w:line="240" w:lineRule="atLeast"/>
        <w:jc w:val="center"/>
        <w:rPr>
          <w:rFonts w:ascii="SimHei" w:eastAsia="SimHei" w:hAnsi="SimHei" w:cs="Times New Roman Bold"/>
          <w:bCs/>
          <w:caps/>
          <w:snapToGrid w:val="0"/>
          <w:kern w:val="22"/>
          <w:sz w:val="28"/>
          <w:szCs w:val="28"/>
        </w:rPr>
      </w:pPr>
      <w:r w:rsidRPr="00AA1624">
        <w:rPr>
          <w:rFonts w:ascii="SimHei" w:eastAsia="SimHei" w:hAnsi="SimHei" w:cs="Times New Roman Bold" w:hint="eastAsia"/>
          <w:bCs/>
          <w:caps/>
          <w:snapToGrid w:val="0"/>
          <w:kern w:val="22"/>
          <w:sz w:val="28"/>
          <w:szCs w:val="28"/>
          <w:lang w:val="en-US"/>
        </w:rPr>
        <w:t>生物多样性纳入能源和采矿部门主流</w:t>
      </w:r>
    </w:p>
    <w:p w14:paraId="04D1DA5B" w14:textId="77777777" w:rsidR="00B60FA8" w:rsidRPr="00ED27AE" w:rsidRDefault="008C72D7" w:rsidP="00B60FA8">
      <w:pPr>
        <w:pStyle w:val="Heading1"/>
        <w:suppressLineNumbers/>
        <w:tabs>
          <w:tab w:val="clear" w:pos="720"/>
          <w:tab w:val="left" w:pos="360"/>
        </w:tabs>
        <w:suppressAutoHyphens/>
        <w:kinsoku w:val="0"/>
        <w:overflowPunct w:val="0"/>
        <w:autoSpaceDE w:val="0"/>
        <w:autoSpaceDN w:val="0"/>
        <w:adjustRightInd w:val="0"/>
        <w:snapToGrid w:val="0"/>
        <w:spacing w:before="120"/>
        <w:rPr>
          <w:rFonts w:ascii="SimSun" w:eastAsia="SimSun" w:hAnsi="SimSun"/>
          <w:b/>
          <w:snapToGrid w:val="0"/>
          <w:kern w:val="22"/>
        </w:rPr>
      </w:pPr>
      <w:proofErr w:type="gramStart"/>
      <w:r w:rsidRPr="00ED27AE">
        <w:rPr>
          <w:rFonts w:ascii="SimSun" w:eastAsia="SimSun" w:hAnsi="SimSun" w:hint="eastAsia"/>
          <w:b/>
          <w:snapToGrid w:val="0"/>
          <w:kern w:val="22"/>
        </w:rPr>
        <w:t>一</w:t>
      </w:r>
      <w:proofErr w:type="gramEnd"/>
      <w:r w:rsidRPr="00ED27AE">
        <w:rPr>
          <w:rFonts w:ascii="SimSun" w:eastAsia="SimSun" w:hAnsi="SimSun" w:hint="eastAsia"/>
          <w:b/>
          <w:snapToGrid w:val="0"/>
          <w:kern w:val="22"/>
        </w:rPr>
        <w:t>．</w:t>
      </w:r>
      <w:r w:rsidR="00B60FA8" w:rsidRPr="00ED27AE">
        <w:rPr>
          <w:b/>
          <w:snapToGrid w:val="0"/>
          <w:kern w:val="22"/>
        </w:rPr>
        <w:tab/>
      </w:r>
      <w:r w:rsidRPr="00ED27AE">
        <w:rPr>
          <w:rFonts w:ascii="SimSun" w:eastAsia="SimSun" w:hAnsi="SimSun" w:hint="eastAsia"/>
          <w:b/>
          <w:snapToGrid w:val="0"/>
          <w:kern w:val="22"/>
        </w:rPr>
        <w:t>背景</w:t>
      </w:r>
    </w:p>
    <w:p w14:paraId="01B294E7" w14:textId="42042F5D" w:rsidR="00B60FA8" w:rsidRPr="00B52A50" w:rsidRDefault="00436C20"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Pr>
          <w:rFonts w:hint="eastAsia"/>
          <w:kern w:val="22"/>
          <w:sz w:val="24"/>
          <w:szCs w:val="24"/>
          <w:lang w:eastAsia="zh-CN"/>
        </w:rPr>
        <w:t>生物多样性公约</w:t>
      </w:r>
      <w:r w:rsidR="003A5B23">
        <w:rPr>
          <w:rFonts w:hint="eastAsia"/>
          <w:kern w:val="22"/>
          <w:sz w:val="24"/>
          <w:szCs w:val="24"/>
          <w:lang w:eastAsia="zh-CN"/>
        </w:rPr>
        <w:t>缔约方</w:t>
      </w:r>
      <w:r>
        <w:rPr>
          <w:rFonts w:hint="eastAsia"/>
          <w:kern w:val="22"/>
          <w:sz w:val="24"/>
          <w:szCs w:val="24"/>
          <w:lang w:eastAsia="zh-CN"/>
        </w:rPr>
        <w:t>大会第十三届会议</w:t>
      </w:r>
      <w:r w:rsidR="00CF1A4E">
        <w:rPr>
          <w:rFonts w:hint="eastAsia"/>
          <w:kern w:val="22"/>
          <w:sz w:val="24"/>
          <w:szCs w:val="24"/>
          <w:lang w:eastAsia="zh-CN"/>
        </w:rPr>
        <w:t>，</w:t>
      </w:r>
      <w:r>
        <w:rPr>
          <w:rFonts w:hint="eastAsia"/>
          <w:kern w:val="22"/>
          <w:sz w:val="24"/>
          <w:szCs w:val="24"/>
          <w:lang w:eastAsia="zh-CN"/>
        </w:rPr>
        <w:t>通过</w:t>
      </w:r>
      <w:r w:rsidR="003A5B23">
        <w:rPr>
          <w:rFonts w:hint="eastAsia"/>
          <w:kern w:val="22"/>
          <w:sz w:val="24"/>
          <w:szCs w:val="24"/>
          <w:lang w:eastAsia="zh-CN"/>
        </w:rPr>
        <w:t>了</w:t>
      </w:r>
      <w:r w:rsidR="00CF1A4E">
        <w:rPr>
          <w:rFonts w:hint="eastAsia"/>
          <w:kern w:val="22"/>
          <w:sz w:val="24"/>
          <w:szCs w:val="24"/>
          <w:lang w:eastAsia="zh-CN"/>
        </w:rPr>
        <w:t>关于将生物多样性纳入经济部门</w:t>
      </w:r>
      <w:r>
        <w:rPr>
          <w:rFonts w:hint="eastAsia"/>
          <w:kern w:val="22"/>
          <w:sz w:val="24"/>
          <w:szCs w:val="24"/>
          <w:lang w:eastAsia="zh-CN"/>
        </w:rPr>
        <w:t>和跨</w:t>
      </w:r>
      <w:r w:rsidR="001C51BF">
        <w:rPr>
          <w:rFonts w:hint="eastAsia"/>
          <w:kern w:val="22"/>
          <w:sz w:val="24"/>
          <w:szCs w:val="24"/>
          <w:lang w:eastAsia="zh-CN"/>
        </w:rPr>
        <w:t>经济</w:t>
      </w:r>
      <w:r>
        <w:rPr>
          <w:rFonts w:hint="eastAsia"/>
          <w:kern w:val="22"/>
          <w:sz w:val="24"/>
          <w:szCs w:val="24"/>
          <w:lang w:eastAsia="zh-CN"/>
        </w:rPr>
        <w:t>部门主流的决定，并要求</w:t>
      </w:r>
      <w:r w:rsidR="00797362">
        <w:rPr>
          <w:rFonts w:hint="eastAsia"/>
          <w:kern w:val="22"/>
          <w:sz w:val="24"/>
          <w:szCs w:val="24"/>
          <w:lang w:eastAsia="zh-CN"/>
        </w:rPr>
        <w:t>其</w:t>
      </w:r>
      <w:r w:rsidR="001C51BF" w:rsidRPr="00596FC3">
        <w:rPr>
          <w:sz w:val="24"/>
          <w:lang w:eastAsia="zh-CN"/>
        </w:rPr>
        <w:t>第十四届会议</w:t>
      </w:r>
      <w:r w:rsidR="001C51BF">
        <w:rPr>
          <w:rFonts w:hint="eastAsia"/>
          <w:sz w:val="24"/>
          <w:lang w:eastAsia="zh-CN"/>
        </w:rPr>
        <w:t>应考虑</w:t>
      </w:r>
      <w:r w:rsidR="001C51BF" w:rsidRPr="00596FC3">
        <w:rPr>
          <w:sz w:val="24"/>
          <w:lang w:eastAsia="zh-CN"/>
        </w:rPr>
        <w:t>将生物多样性纳入以下</w:t>
      </w:r>
      <w:r w:rsidR="001C51BF">
        <w:rPr>
          <w:rFonts w:hint="eastAsia"/>
          <w:sz w:val="24"/>
          <w:lang w:eastAsia="zh-CN"/>
        </w:rPr>
        <w:t>各</w:t>
      </w:r>
      <w:r w:rsidR="001C51BF" w:rsidRPr="00596FC3">
        <w:rPr>
          <w:sz w:val="24"/>
          <w:lang w:eastAsia="zh-CN"/>
        </w:rPr>
        <w:t>部门：能源和采矿、基础设施、制造业</w:t>
      </w:r>
      <w:r w:rsidR="001C51BF">
        <w:rPr>
          <w:rFonts w:hint="eastAsia"/>
          <w:sz w:val="24"/>
          <w:lang w:eastAsia="zh-CN"/>
        </w:rPr>
        <w:t>和加工业和保健的主流</w:t>
      </w:r>
      <w:r w:rsidR="001C51BF">
        <w:rPr>
          <w:rFonts w:hint="eastAsia"/>
          <w:sz w:val="24"/>
          <w:lang w:eastAsia="zh-CN"/>
        </w:rPr>
        <w:t>(</w:t>
      </w:r>
      <w:hyperlink r:id="rId11" w:history="1">
        <w:r w:rsidR="001C51BF" w:rsidRPr="00AA1624">
          <w:rPr>
            <w:rStyle w:val="Hyperlink"/>
            <w:rFonts w:hint="eastAsia"/>
            <w:sz w:val="24"/>
            <w:lang w:eastAsia="zh-CN"/>
          </w:rPr>
          <w:t>第</w:t>
        </w:r>
        <w:r w:rsidR="001C51BF" w:rsidRPr="00AA1624">
          <w:rPr>
            <w:rStyle w:val="Hyperlink"/>
            <w:rFonts w:hint="eastAsia"/>
            <w:sz w:val="24"/>
            <w:lang w:eastAsia="zh-CN"/>
          </w:rPr>
          <w:t>XIII</w:t>
        </w:r>
        <w:r w:rsidR="00112B17">
          <w:rPr>
            <w:rStyle w:val="Hyperlink"/>
            <w:sz w:val="24"/>
            <w:lang w:eastAsia="zh-CN"/>
          </w:rPr>
          <w:t>/3</w:t>
        </w:r>
        <w:r w:rsidR="001C51BF" w:rsidRPr="00AA1624">
          <w:rPr>
            <w:rStyle w:val="Hyperlink"/>
            <w:rFonts w:hint="eastAsia"/>
            <w:sz w:val="24"/>
            <w:lang w:eastAsia="zh-CN"/>
          </w:rPr>
          <w:t>号决定</w:t>
        </w:r>
      </w:hyperlink>
      <w:r w:rsidR="001C51BF">
        <w:rPr>
          <w:rFonts w:hint="eastAsia"/>
          <w:sz w:val="24"/>
          <w:lang w:eastAsia="zh-CN"/>
        </w:rPr>
        <w:t>)</w:t>
      </w:r>
      <w:r w:rsidR="00797362">
        <w:rPr>
          <w:rFonts w:hint="eastAsia"/>
          <w:kern w:val="22"/>
          <w:sz w:val="24"/>
          <w:szCs w:val="24"/>
          <w:lang w:eastAsia="zh-CN"/>
        </w:rPr>
        <w:t>。</w:t>
      </w:r>
      <w:r w:rsidR="00B60FA8" w:rsidRPr="00B52A50">
        <w:rPr>
          <w:kern w:val="22"/>
          <w:sz w:val="24"/>
          <w:szCs w:val="24"/>
          <w:lang w:eastAsia="zh-CN"/>
        </w:rPr>
        <w:t xml:space="preserve"> </w:t>
      </w:r>
      <w:r w:rsidR="00EF2AF7" w:rsidRPr="00EF2AF7">
        <w:rPr>
          <w:rFonts w:hint="eastAsia"/>
          <w:kern w:val="22"/>
          <w:sz w:val="24"/>
          <w:szCs w:val="24"/>
          <w:lang w:eastAsia="zh-CN"/>
        </w:rPr>
        <w:t>生物多样性主流化的定义</w:t>
      </w:r>
      <w:r w:rsidR="00797362">
        <w:rPr>
          <w:rFonts w:hint="eastAsia"/>
          <w:kern w:val="22"/>
          <w:sz w:val="24"/>
          <w:szCs w:val="24"/>
          <w:lang w:eastAsia="zh-CN"/>
        </w:rPr>
        <w:t>有所不同</w:t>
      </w:r>
      <w:r w:rsidR="00EF2AF7" w:rsidRPr="00EF2AF7">
        <w:rPr>
          <w:rFonts w:hint="eastAsia"/>
          <w:kern w:val="22"/>
          <w:sz w:val="24"/>
          <w:szCs w:val="24"/>
          <w:lang w:eastAsia="zh-CN"/>
        </w:rPr>
        <w:t>，但本质上是将生物多样性的考虑因素纳入有可能对其产生影响的决定</w:t>
      </w:r>
      <w:r w:rsidR="00406535">
        <w:rPr>
          <w:rFonts w:hint="eastAsia"/>
          <w:kern w:val="22"/>
          <w:sz w:val="24"/>
          <w:szCs w:val="24"/>
          <w:lang w:val="en-US" w:eastAsia="zh-CN"/>
        </w:rPr>
        <w:t>之</w:t>
      </w:r>
      <w:r w:rsidR="00EF2AF7">
        <w:rPr>
          <w:rFonts w:hint="eastAsia"/>
          <w:kern w:val="22"/>
          <w:sz w:val="24"/>
          <w:szCs w:val="24"/>
          <w:lang w:eastAsia="zh-CN"/>
        </w:rPr>
        <w:t>中的</w:t>
      </w:r>
      <w:r w:rsidR="00797362">
        <w:rPr>
          <w:rFonts w:hint="eastAsia"/>
          <w:kern w:val="22"/>
          <w:sz w:val="24"/>
          <w:szCs w:val="24"/>
          <w:lang w:eastAsia="zh-CN"/>
        </w:rPr>
        <w:t>一个</w:t>
      </w:r>
      <w:r w:rsidR="00EF2AF7">
        <w:rPr>
          <w:rFonts w:hint="eastAsia"/>
          <w:kern w:val="22"/>
          <w:sz w:val="24"/>
          <w:szCs w:val="24"/>
          <w:lang w:eastAsia="zh-CN"/>
        </w:rPr>
        <w:t>进程</w:t>
      </w:r>
      <w:r w:rsidR="00797362">
        <w:rPr>
          <w:rFonts w:hint="eastAsia"/>
          <w:kern w:val="22"/>
          <w:sz w:val="24"/>
          <w:szCs w:val="24"/>
          <w:lang w:eastAsia="zh-CN"/>
        </w:rPr>
        <w:t>。</w:t>
      </w:r>
    </w:p>
    <w:p w14:paraId="3B070C1A" w14:textId="77777777" w:rsidR="00B60FA8" w:rsidRPr="00B52A50" w:rsidRDefault="00406535"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rFonts w:ascii="Times New Roman Bold" w:hAnsi="Times New Roman Bold" w:cs="Times New Roman Bold"/>
          <w:b/>
          <w:caps/>
          <w:kern w:val="22"/>
          <w:sz w:val="24"/>
          <w:szCs w:val="24"/>
          <w:lang w:eastAsia="zh-CN"/>
        </w:rPr>
      </w:pPr>
      <w:proofErr w:type="gramStart"/>
      <w:r w:rsidRPr="00406535">
        <w:rPr>
          <w:rFonts w:hint="eastAsia"/>
          <w:kern w:val="22"/>
          <w:sz w:val="24"/>
          <w:szCs w:val="24"/>
          <w:lang w:eastAsia="zh-CN"/>
        </w:rPr>
        <w:t>本说明</w:t>
      </w:r>
      <w:proofErr w:type="gramEnd"/>
      <w:r w:rsidR="00CF1A4E">
        <w:rPr>
          <w:rFonts w:hint="eastAsia"/>
          <w:kern w:val="22"/>
          <w:sz w:val="24"/>
          <w:szCs w:val="24"/>
          <w:lang w:eastAsia="zh-CN"/>
        </w:rPr>
        <w:t>基于</w:t>
      </w:r>
      <w:r w:rsidR="00797362">
        <w:rPr>
          <w:rFonts w:hint="eastAsia"/>
          <w:kern w:val="22"/>
          <w:sz w:val="24"/>
          <w:szCs w:val="24"/>
          <w:lang w:eastAsia="zh-CN"/>
        </w:rPr>
        <w:t>为</w:t>
      </w:r>
      <w:r w:rsidRPr="00406535">
        <w:rPr>
          <w:rFonts w:hint="eastAsia"/>
          <w:kern w:val="22"/>
          <w:sz w:val="24"/>
          <w:szCs w:val="24"/>
          <w:lang w:eastAsia="zh-CN"/>
        </w:rPr>
        <w:t>科学</w:t>
      </w:r>
      <w:r>
        <w:rPr>
          <w:rFonts w:hint="eastAsia"/>
          <w:kern w:val="22"/>
          <w:sz w:val="24"/>
          <w:szCs w:val="24"/>
          <w:lang w:eastAsia="zh-CN"/>
        </w:rPr>
        <w:t>、</w:t>
      </w:r>
      <w:r w:rsidRPr="00406535">
        <w:rPr>
          <w:rFonts w:hint="eastAsia"/>
          <w:kern w:val="22"/>
          <w:sz w:val="24"/>
          <w:szCs w:val="24"/>
          <w:lang w:eastAsia="zh-CN"/>
        </w:rPr>
        <w:t>技术和工艺咨询附属机构第二十一次会议编写的文件</w:t>
      </w:r>
      <w:r w:rsidR="00CF1A4E">
        <w:rPr>
          <w:rFonts w:hint="eastAsia"/>
          <w:kern w:val="22"/>
          <w:sz w:val="24"/>
          <w:szCs w:val="24"/>
          <w:lang w:eastAsia="zh-CN"/>
        </w:rPr>
        <w:t>之上</w:t>
      </w:r>
      <w:r w:rsidR="00CF1A4E">
        <w:rPr>
          <w:rFonts w:hint="eastAsia"/>
          <w:kern w:val="22"/>
          <w:sz w:val="24"/>
          <w:szCs w:val="24"/>
          <w:lang w:eastAsia="zh-CN"/>
        </w:rPr>
        <w:t xml:space="preserve">  </w:t>
      </w:r>
      <w:r w:rsidR="002F3AEE" w:rsidRPr="00797362">
        <w:rPr>
          <w:rStyle w:val="FootnoteReference"/>
          <w:kern w:val="22"/>
          <w:szCs w:val="24"/>
        </w:rPr>
        <w:footnoteReference w:id="2"/>
      </w:r>
      <w:r w:rsidR="00B45B0F">
        <w:rPr>
          <w:rFonts w:hint="eastAsia"/>
          <w:kern w:val="22"/>
          <w:sz w:val="24"/>
          <w:szCs w:val="24"/>
          <w:lang w:eastAsia="zh-CN"/>
        </w:rPr>
        <w:t>。</w:t>
      </w:r>
      <w:r w:rsidR="00797362">
        <w:rPr>
          <w:rFonts w:hint="eastAsia"/>
          <w:kern w:val="22"/>
          <w:sz w:val="24"/>
          <w:szCs w:val="24"/>
          <w:lang w:eastAsia="zh-CN"/>
        </w:rPr>
        <w:t xml:space="preserve"> </w:t>
      </w:r>
      <w:r w:rsidRPr="00406535">
        <w:rPr>
          <w:rFonts w:hint="eastAsia"/>
          <w:kern w:val="22"/>
          <w:sz w:val="24"/>
          <w:szCs w:val="24"/>
          <w:lang w:eastAsia="zh-CN"/>
        </w:rPr>
        <w:t>简要</w:t>
      </w:r>
      <w:r w:rsidR="00CF1A4E">
        <w:rPr>
          <w:rFonts w:hint="eastAsia"/>
          <w:kern w:val="22"/>
          <w:sz w:val="24"/>
          <w:szCs w:val="24"/>
          <w:lang w:eastAsia="zh-CN"/>
        </w:rPr>
        <w:t>说明</w:t>
      </w:r>
      <w:r w:rsidRPr="00406535">
        <w:rPr>
          <w:rFonts w:hint="eastAsia"/>
          <w:kern w:val="22"/>
          <w:sz w:val="24"/>
          <w:szCs w:val="24"/>
          <w:lang w:eastAsia="zh-CN"/>
        </w:rPr>
        <w:t>能源和采矿部门（不同类型的能源和采矿</w:t>
      </w:r>
      <w:r w:rsidR="002F3AEE">
        <w:rPr>
          <w:rFonts w:hint="eastAsia"/>
          <w:kern w:val="22"/>
          <w:sz w:val="24"/>
          <w:szCs w:val="24"/>
          <w:lang w:eastAsia="zh-CN"/>
        </w:rPr>
        <w:t>、</w:t>
      </w:r>
      <w:r w:rsidR="00797362">
        <w:rPr>
          <w:rFonts w:hint="eastAsia"/>
          <w:kern w:val="22"/>
          <w:sz w:val="24"/>
          <w:szCs w:val="24"/>
          <w:lang w:eastAsia="zh-CN"/>
        </w:rPr>
        <w:t>重</w:t>
      </w:r>
      <w:r w:rsidRPr="00406535">
        <w:rPr>
          <w:rFonts w:hint="eastAsia"/>
          <w:kern w:val="22"/>
          <w:sz w:val="24"/>
          <w:szCs w:val="24"/>
          <w:lang w:eastAsia="zh-CN"/>
        </w:rPr>
        <w:t>要</w:t>
      </w:r>
      <w:r w:rsidR="002F3AEE">
        <w:rPr>
          <w:rFonts w:hint="eastAsia"/>
          <w:kern w:val="22"/>
          <w:sz w:val="24"/>
          <w:szCs w:val="24"/>
          <w:lang w:eastAsia="zh-CN"/>
        </w:rPr>
        <w:t>行为方、</w:t>
      </w:r>
      <w:r w:rsidRPr="00406535">
        <w:rPr>
          <w:rFonts w:hint="eastAsia"/>
          <w:kern w:val="22"/>
          <w:sz w:val="24"/>
          <w:szCs w:val="24"/>
          <w:lang w:eastAsia="zh-CN"/>
        </w:rPr>
        <w:t>主要趋势</w:t>
      </w:r>
      <w:r w:rsidR="002F3AEE">
        <w:rPr>
          <w:rFonts w:hint="eastAsia"/>
          <w:kern w:val="22"/>
          <w:sz w:val="24"/>
          <w:szCs w:val="24"/>
          <w:lang w:eastAsia="zh-CN"/>
        </w:rPr>
        <w:t>、</w:t>
      </w:r>
      <w:r w:rsidRPr="00406535">
        <w:rPr>
          <w:rFonts w:hint="eastAsia"/>
          <w:kern w:val="22"/>
          <w:sz w:val="24"/>
          <w:szCs w:val="24"/>
          <w:lang w:eastAsia="zh-CN"/>
        </w:rPr>
        <w:t>影响和最新发展）</w:t>
      </w:r>
      <w:r w:rsidR="002F3AEE">
        <w:rPr>
          <w:rFonts w:hint="eastAsia"/>
          <w:kern w:val="22"/>
          <w:sz w:val="24"/>
          <w:szCs w:val="24"/>
          <w:lang w:eastAsia="zh-CN"/>
        </w:rPr>
        <w:t>的概况</w:t>
      </w:r>
      <w:r w:rsidRPr="00406535">
        <w:rPr>
          <w:rFonts w:hint="eastAsia"/>
          <w:kern w:val="22"/>
          <w:sz w:val="24"/>
          <w:szCs w:val="24"/>
          <w:lang w:eastAsia="zh-CN"/>
        </w:rPr>
        <w:t>。</w:t>
      </w:r>
      <w:r w:rsidR="002F3AEE" w:rsidRPr="00406535">
        <w:rPr>
          <w:rFonts w:hint="eastAsia"/>
          <w:kern w:val="22"/>
          <w:sz w:val="24"/>
          <w:szCs w:val="24"/>
          <w:lang w:eastAsia="zh-CN"/>
        </w:rPr>
        <w:t>随后探</w:t>
      </w:r>
      <w:r w:rsidR="00797362">
        <w:rPr>
          <w:rFonts w:hint="eastAsia"/>
          <w:kern w:val="22"/>
          <w:sz w:val="24"/>
          <w:szCs w:val="24"/>
          <w:lang w:eastAsia="zh-CN"/>
        </w:rPr>
        <w:t>讨</w:t>
      </w:r>
      <w:r w:rsidR="002F3AEE" w:rsidRPr="00406535">
        <w:rPr>
          <w:rFonts w:hint="eastAsia"/>
          <w:kern w:val="22"/>
          <w:sz w:val="24"/>
          <w:szCs w:val="24"/>
          <w:lang w:eastAsia="zh-CN"/>
        </w:rPr>
        <w:t>将生物多样性纳入该部门主流的关键主题和</w:t>
      </w:r>
      <w:r w:rsidR="00797362">
        <w:rPr>
          <w:rFonts w:hint="eastAsia"/>
          <w:kern w:val="22"/>
          <w:sz w:val="24"/>
          <w:szCs w:val="24"/>
          <w:lang w:eastAsia="zh-CN"/>
        </w:rPr>
        <w:t>可能</w:t>
      </w:r>
      <w:r w:rsidR="002F3AEE">
        <w:rPr>
          <w:rFonts w:hint="eastAsia"/>
          <w:kern w:val="22"/>
          <w:sz w:val="24"/>
          <w:szCs w:val="24"/>
          <w:lang w:eastAsia="zh-CN"/>
        </w:rPr>
        <w:t>办</w:t>
      </w:r>
      <w:r w:rsidR="002F3AEE" w:rsidRPr="00406535">
        <w:rPr>
          <w:rFonts w:hint="eastAsia"/>
          <w:kern w:val="22"/>
          <w:sz w:val="24"/>
          <w:szCs w:val="24"/>
          <w:lang w:eastAsia="zh-CN"/>
        </w:rPr>
        <w:t>法，包括现有</w:t>
      </w:r>
      <w:r w:rsidR="002F3AEE">
        <w:rPr>
          <w:rFonts w:hint="eastAsia"/>
          <w:kern w:val="22"/>
          <w:sz w:val="24"/>
          <w:szCs w:val="24"/>
          <w:lang w:eastAsia="zh-CN"/>
        </w:rPr>
        <w:t>办</w:t>
      </w:r>
      <w:r w:rsidR="002F3AEE" w:rsidRPr="00406535">
        <w:rPr>
          <w:rFonts w:hint="eastAsia"/>
          <w:kern w:val="22"/>
          <w:sz w:val="24"/>
          <w:szCs w:val="24"/>
          <w:lang w:eastAsia="zh-CN"/>
        </w:rPr>
        <w:t>法和标准</w:t>
      </w:r>
      <w:r w:rsidR="002F3AEE">
        <w:rPr>
          <w:rFonts w:hint="eastAsia"/>
          <w:kern w:val="22"/>
          <w:sz w:val="24"/>
          <w:szCs w:val="24"/>
          <w:lang w:eastAsia="zh-CN"/>
        </w:rPr>
        <w:t>、</w:t>
      </w:r>
      <w:r w:rsidR="002F3AEE" w:rsidRPr="00406535">
        <w:rPr>
          <w:rFonts w:hint="eastAsia"/>
          <w:kern w:val="22"/>
          <w:sz w:val="24"/>
          <w:szCs w:val="24"/>
          <w:lang w:eastAsia="zh-CN"/>
        </w:rPr>
        <w:t>良好做法和挑战。本文</w:t>
      </w:r>
      <w:r w:rsidR="002F3AEE">
        <w:rPr>
          <w:rFonts w:hint="eastAsia"/>
          <w:kern w:val="22"/>
          <w:sz w:val="24"/>
          <w:szCs w:val="24"/>
          <w:lang w:eastAsia="zh-CN"/>
        </w:rPr>
        <w:t>件</w:t>
      </w:r>
      <w:r w:rsidR="002F3AEE" w:rsidRPr="00406535">
        <w:rPr>
          <w:rFonts w:hint="eastAsia"/>
          <w:kern w:val="22"/>
          <w:sz w:val="24"/>
          <w:szCs w:val="24"/>
          <w:lang w:eastAsia="zh-CN"/>
        </w:rPr>
        <w:t>的</w:t>
      </w:r>
      <w:r w:rsidR="00797362">
        <w:rPr>
          <w:rFonts w:hint="eastAsia"/>
          <w:kern w:val="22"/>
          <w:sz w:val="24"/>
          <w:szCs w:val="24"/>
          <w:lang w:eastAsia="zh-CN"/>
        </w:rPr>
        <w:t>最后一节</w:t>
      </w:r>
      <w:r w:rsidR="002F3AEE" w:rsidRPr="00406535">
        <w:rPr>
          <w:rFonts w:hint="eastAsia"/>
          <w:kern w:val="22"/>
          <w:sz w:val="24"/>
          <w:szCs w:val="24"/>
          <w:lang w:eastAsia="zh-CN"/>
        </w:rPr>
        <w:t>介绍</w:t>
      </w:r>
      <w:r w:rsidR="002F3AEE">
        <w:rPr>
          <w:rFonts w:hint="eastAsia"/>
          <w:kern w:val="22"/>
          <w:sz w:val="24"/>
          <w:szCs w:val="24"/>
          <w:lang w:eastAsia="zh-CN"/>
        </w:rPr>
        <w:t>了</w:t>
      </w:r>
      <w:r w:rsidR="002F3AEE" w:rsidRPr="00406535">
        <w:rPr>
          <w:rFonts w:hint="eastAsia"/>
          <w:kern w:val="22"/>
          <w:sz w:val="24"/>
          <w:szCs w:val="24"/>
          <w:lang w:eastAsia="zh-CN"/>
        </w:rPr>
        <w:t>机</w:t>
      </w:r>
      <w:r w:rsidR="00797362">
        <w:rPr>
          <w:rFonts w:hint="eastAsia"/>
          <w:kern w:val="22"/>
          <w:sz w:val="24"/>
          <w:szCs w:val="24"/>
          <w:lang w:eastAsia="zh-CN"/>
        </w:rPr>
        <w:t>遇</w:t>
      </w:r>
      <w:r w:rsidR="002F3AEE" w:rsidRPr="00406535">
        <w:rPr>
          <w:rFonts w:hint="eastAsia"/>
          <w:kern w:val="22"/>
          <w:sz w:val="24"/>
          <w:szCs w:val="24"/>
          <w:lang w:eastAsia="zh-CN"/>
        </w:rPr>
        <w:t>和</w:t>
      </w:r>
      <w:r w:rsidR="00797362">
        <w:rPr>
          <w:rFonts w:hint="eastAsia"/>
          <w:kern w:val="22"/>
          <w:sz w:val="24"/>
          <w:szCs w:val="24"/>
          <w:lang w:eastAsia="zh-CN"/>
        </w:rPr>
        <w:t>可能的</w:t>
      </w:r>
      <w:r w:rsidR="002F3AEE" w:rsidRPr="00406535">
        <w:rPr>
          <w:rFonts w:hint="eastAsia"/>
          <w:kern w:val="22"/>
          <w:sz w:val="24"/>
          <w:szCs w:val="24"/>
          <w:lang w:eastAsia="zh-CN"/>
        </w:rPr>
        <w:t>行动</w:t>
      </w:r>
      <w:r w:rsidR="00797362">
        <w:rPr>
          <w:rFonts w:hint="eastAsia"/>
          <w:kern w:val="22"/>
          <w:sz w:val="24"/>
          <w:szCs w:val="24"/>
          <w:lang w:eastAsia="zh-CN"/>
        </w:rPr>
        <w:t>。</w:t>
      </w:r>
    </w:p>
    <w:p w14:paraId="18682568" w14:textId="77777777" w:rsidR="00B60FA8" w:rsidRPr="00200868" w:rsidRDefault="00200868" w:rsidP="00B66243">
      <w:pPr>
        <w:pStyle w:val="Heading1"/>
        <w:suppressLineNumbers/>
        <w:tabs>
          <w:tab w:val="clear" w:pos="720"/>
        </w:tabs>
        <w:suppressAutoHyphens/>
        <w:kinsoku w:val="0"/>
        <w:overflowPunct w:val="0"/>
        <w:autoSpaceDE w:val="0"/>
        <w:autoSpaceDN w:val="0"/>
        <w:adjustRightInd w:val="0"/>
        <w:spacing w:before="120" w:line="240" w:lineRule="atLeast"/>
        <w:rPr>
          <w:rFonts w:ascii="SimSun" w:eastAsia="SimSun" w:hAnsi="SimSun"/>
          <w:snapToGrid w:val="0"/>
          <w:kern w:val="22"/>
        </w:rPr>
      </w:pPr>
      <w:r w:rsidRPr="00ED27AE">
        <w:rPr>
          <w:rFonts w:ascii="SimSun" w:eastAsia="SimSun" w:hAnsi="SimSun" w:hint="eastAsia"/>
          <w:b/>
          <w:snapToGrid w:val="0"/>
          <w:kern w:val="22"/>
        </w:rPr>
        <w:t>二</w:t>
      </w:r>
      <w:r w:rsidR="00B60FA8" w:rsidRPr="00ED27AE">
        <w:rPr>
          <w:rFonts w:ascii="SimSun" w:eastAsia="SimSun" w:hAnsi="SimSun"/>
          <w:b/>
          <w:snapToGrid w:val="0"/>
          <w:kern w:val="22"/>
        </w:rPr>
        <w:t>.</w:t>
      </w:r>
      <w:r w:rsidR="00B60FA8" w:rsidRPr="00ED27AE">
        <w:rPr>
          <w:rFonts w:ascii="SimSun" w:eastAsia="SimSun" w:hAnsi="SimSun"/>
          <w:b/>
          <w:snapToGrid w:val="0"/>
          <w:kern w:val="22"/>
        </w:rPr>
        <w:tab/>
      </w:r>
      <w:r w:rsidRPr="00ED27AE">
        <w:rPr>
          <w:rFonts w:ascii="SimSun" w:eastAsia="SimSun" w:hAnsi="SimSun" w:hint="eastAsia"/>
          <w:b/>
          <w:snapToGrid w:val="0"/>
          <w:kern w:val="22"/>
        </w:rPr>
        <w:t>能源和采矿部门</w:t>
      </w:r>
    </w:p>
    <w:p w14:paraId="6E6FB6BC" w14:textId="77777777" w:rsidR="00B60FA8" w:rsidRPr="00AA1624" w:rsidRDefault="00B60FA8" w:rsidP="00B66243">
      <w:pPr>
        <w:pStyle w:val="Heading2"/>
        <w:suppressLineNumbers/>
        <w:tabs>
          <w:tab w:val="clear" w:pos="720"/>
        </w:tabs>
        <w:suppressAutoHyphens/>
        <w:kinsoku w:val="0"/>
        <w:overflowPunct w:val="0"/>
        <w:autoSpaceDE w:val="0"/>
        <w:autoSpaceDN w:val="0"/>
        <w:adjustRightInd w:val="0"/>
        <w:spacing w:line="240" w:lineRule="atLeast"/>
        <w:rPr>
          <w:rFonts w:ascii="KaiTi" w:eastAsia="KaiTi" w:hAnsi="KaiTi"/>
          <w:b w:val="0"/>
          <w:i w:val="0"/>
          <w:kern w:val="22"/>
        </w:rPr>
      </w:pPr>
      <w:r w:rsidRPr="00AA1624">
        <w:rPr>
          <w:rFonts w:ascii="KaiTi" w:eastAsia="KaiTi" w:hAnsi="KaiTi"/>
          <w:b w:val="0"/>
          <w:i w:val="0"/>
          <w:kern w:val="22"/>
        </w:rPr>
        <w:t>A.</w:t>
      </w:r>
      <w:r w:rsidR="00AA1624" w:rsidRPr="00AA1624">
        <w:rPr>
          <w:rFonts w:ascii="KaiTi" w:eastAsia="KaiTi" w:hAnsi="KaiTi"/>
          <w:b w:val="0"/>
          <w:i w:val="0"/>
          <w:kern w:val="22"/>
        </w:rPr>
        <w:t xml:space="preserve"> </w:t>
      </w:r>
      <w:r w:rsidR="00AA1624" w:rsidRPr="00AA1624">
        <w:rPr>
          <w:rFonts w:ascii="KaiTi" w:eastAsia="KaiTi" w:hAnsi="KaiTi" w:hint="eastAsia"/>
          <w:b w:val="0"/>
          <w:i w:val="0"/>
          <w:kern w:val="22"/>
        </w:rPr>
        <w:t>引言</w:t>
      </w:r>
    </w:p>
    <w:p w14:paraId="4EC22DBA" w14:textId="77777777" w:rsidR="00B60FA8" w:rsidRPr="00B52A50" w:rsidRDefault="00200868"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sidRPr="00200868">
        <w:rPr>
          <w:rFonts w:hint="eastAsia"/>
          <w:kern w:val="22"/>
          <w:sz w:val="24"/>
          <w:szCs w:val="24"/>
          <w:lang w:eastAsia="zh-CN"/>
        </w:rPr>
        <w:t>能源和采矿包括一系列活动和经济部门</w:t>
      </w:r>
      <w:r>
        <w:rPr>
          <w:rFonts w:hint="eastAsia"/>
          <w:kern w:val="22"/>
          <w:sz w:val="24"/>
          <w:szCs w:val="24"/>
          <w:lang w:eastAsia="zh-CN"/>
        </w:rPr>
        <w:t>，</w:t>
      </w:r>
      <w:r w:rsidRPr="00200868">
        <w:rPr>
          <w:rFonts w:hint="eastAsia"/>
          <w:kern w:val="22"/>
          <w:sz w:val="24"/>
          <w:szCs w:val="24"/>
          <w:lang w:eastAsia="zh-CN"/>
        </w:rPr>
        <w:t>涉及石油</w:t>
      </w:r>
      <w:r>
        <w:rPr>
          <w:rFonts w:hint="eastAsia"/>
          <w:kern w:val="22"/>
          <w:sz w:val="24"/>
          <w:szCs w:val="24"/>
          <w:lang w:eastAsia="zh-CN"/>
        </w:rPr>
        <w:t>、</w:t>
      </w:r>
      <w:r w:rsidRPr="00200868">
        <w:rPr>
          <w:rFonts w:hint="eastAsia"/>
          <w:kern w:val="22"/>
          <w:sz w:val="24"/>
          <w:szCs w:val="24"/>
          <w:lang w:eastAsia="zh-CN"/>
        </w:rPr>
        <w:t>天然气</w:t>
      </w:r>
      <w:r>
        <w:rPr>
          <w:rFonts w:hint="eastAsia"/>
          <w:kern w:val="22"/>
          <w:sz w:val="24"/>
          <w:szCs w:val="24"/>
          <w:lang w:eastAsia="zh-CN"/>
        </w:rPr>
        <w:t>、</w:t>
      </w:r>
      <w:r w:rsidRPr="00200868">
        <w:rPr>
          <w:rFonts w:hint="eastAsia"/>
          <w:kern w:val="22"/>
          <w:sz w:val="24"/>
          <w:szCs w:val="24"/>
          <w:lang w:eastAsia="zh-CN"/>
        </w:rPr>
        <w:t>煤炭</w:t>
      </w:r>
      <w:r>
        <w:rPr>
          <w:rFonts w:hint="eastAsia"/>
          <w:kern w:val="22"/>
          <w:sz w:val="24"/>
          <w:szCs w:val="24"/>
          <w:lang w:eastAsia="zh-CN"/>
        </w:rPr>
        <w:t>、</w:t>
      </w:r>
      <w:r w:rsidR="00415DED" w:rsidRPr="00200868">
        <w:rPr>
          <w:rFonts w:ascii="Arial" w:hAnsi="Arial" w:cs="Arial"/>
          <w:color w:val="333333"/>
          <w:sz w:val="24"/>
          <w:szCs w:val="24"/>
          <w:shd w:val="clear" w:color="auto" w:fill="FFFFFF"/>
          <w:lang w:eastAsia="zh-CN"/>
        </w:rPr>
        <w:t>材</w:t>
      </w:r>
      <w:r w:rsidR="00415DED" w:rsidRPr="00200868">
        <w:rPr>
          <w:rFonts w:ascii="SimSun" w:hAnsi="SimSun" w:cs="SimSun" w:hint="eastAsia"/>
          <w:color w:val="333333"/>
          <w:sz w:val="24"/>
          <w:szCs w:val="24"/>
          <w:shd w:val="clear" w:color="auto" w:fill="FFFFFF"/>
          <w:lang w:eastAsia="zh-CN"/>
        </w:rPr>
        <w:t>料</w:t>
      </w:r>
      <w:r w:rsidR="00415DED">
        <w:rPr>
          <w:rFonts w:ascii="SimSun" w:hAnsi="SimSun" w:cs="SimSun" w:hint="eastAsia"/>
          <w:color w:val="333333"/>
          <w:sz w:val="24"/>
          <w:szCs w:val="24"/>
          <w:shd w:val="clear" w:color="auto" w:fill="FFFFFF"/>
          <w:lang w:eastAsia="zh-CN"/>
        </w:rPr>
        <w:t>如</w:t>
      </w:r>
      <w:r w:rsidRPr="00200868">
        <w:rPr>
          <w:rFonts w:ascii="Arial" w:hAnsi="Arial" w:cs="Arial"/>
          <w:color w:val="333333"/>
          <w:sz w:val="24"/>
          <w:szCs w:val="24"/>
          <w:shd w:val="clear" w:color="auto" w:fill="FFFFFF"/>
          <w:lang w:eastAsia="zh-CN"/>
        </w:rPr>
        <w:t>砂和岩石、矿物和金属等</w:t>
      </w:r>
      <w:r w:rsidRPr="00200868">
        <w:rPr>
          <w:rFonts w:hint="eastAsia"/>
          <w:kern w:val="22"/>
          <w:sz w:val="24"/>
          <w:szCs w:val="24"/>
          <w:lang w:eastAsia="zh-CN"/>
        </w:rPr>
        <w:t>的勘探</w:t>
      </w:r>
      <w:r w:rsidR="00415DED">
        <w:rPr>
          <w:rFonts w:hint="eastAsia"/>
          <w:kern w:val="22"/>
          <w:sz w:val="24"/>
          <w:szCs w:val="24"/>
          <w:lang w:eastAsia="zh-CN"/>
        </w:rPr>
        <w:t>、</w:t>
      </w:r>
      <w:r w:rsidRPr="00200868">
        <w:rPr>
          <w:rFonts w:hint="eastAsia"/>
          <w:kern w:val="22"/>
          <w:sz w:val="24"/>
          <w:szCs w:val="24"/>
          <w:lang w:eastAsia="zh-CN"/>
        </w:rPr>
        <w:t>开采</w:t>
      </w:r>
      <w:r w:rsidR="00415DED">
        <w:rPr>
          <w:rFonts w:hint="eastAsia"/>
          <w:kern w:val="22"/>
          <w:sz w:val="24"/>
          <w:szCs w:val="24"/>
          <w:lang w:eastAsia="zh-CN"/>
        </w:rPr>
        <w:t>、</w:t>
      </w:r>
      <w:r w:rsidRPr="00200868">
        <w:rPr>
          <w:rFonts w:hint="eastAsia"/>
          <w:kern w:val="22"/>
          <w:sz w:val="24"/>
          <w:szCs w:val="24"/>
          <w:lang w:eastAsia="zh-CN"/>
        </w:rPr>
        <w:t>加工和分配</w:t>
      </w:r>
      <w:r>
        <w:rPr>
          <w:rFonts w:hint="eastAsia"/>
          <w:kern w:val="22"/>
          <w:sz w:val="24"/>
          <w:szCs w:val="24"/>
          <w:lang w:eastAsia="zh-CN"/>
        </w:rPr>
        <w:t>；</w:t>
      </w:r>
      <w:r w:rsidRPr="00200868">
        <w:rPr>
          <w:rFonts w:hint="eastAsia"/>
          <w:kern w:val="22"/>
          <w:sz w:val="24"/>
          <w:szCs w:val="24"/>
          <w:lang w:eastAsia="zh-CN"/>
        </w:rPr>
        <w:t>化石和非化石能源的产生</w:t>
      </w:r>
      <w:r w:rsidR="00415DED">
        <w:rPr>
          <w:rFonts w:hint="eastAsia"/>
          <w:kern w:val="22"/>
          <w:sz w:val="24"/>
          <w:szCs w:val="24"/>
          <w:lang w:eastAsia="zh-CN"/>
        </w:rPr>
        <w:t>、</w:t>
      </w:r>
      <w:r w:rsidRPr="00200868">
        <w:rPr>
          <w:rFonts w:hint="eastAsia"/>
          <w:kern w:val="22"/>
          <w:sz w:val="24"/>
          <w:szCs w:val="24"/>
          <w:lang w:eastAsia="zh-CN"/>
        </w:rPr>
        <w:t>生产</w:t>
      </w:r>
      <w:r w:rsidR="00415DED">
        <w:rPr>
          <w:rFonts w:hint="eastAsia"/>
          <w:kern w:val="22"/>
          <w:sz w:val="24"/>
          <w:szCs w:val="24"/>
          <w:lang w:eastAsia="zh-CN"/>
        </w:rPr>
        <w:t>、</w:t>
      </w:r>
      <w:r w:rsidRPr="00200868">
        <w:rPr>
          <w:rFonts w:hint="eastAsia"/>
          <w:kern w:val="22"/>
          <w:sz w:val="24"/>
          <w:szCs w:val="24"/>
          <w:lang w:eastAsia="zh-CN"/>
        </w:rPr>
        <w:t>分配和交付</w:t>
      </w:r>
      <w:r w:rsidR="00247F06">
        <w:rPr>
          <w:rFonts w:hint="eastAsia"/>
          <w:kern w:val="22"/>
          <w:sz w:val="24"/>
          <w:szCs w:val="24"/>
          <w:lang w:eastAsia="zh-CN"/>
        </w:rPr>
        <w:t>；</w:t>
      </w:r>
      <w:r w:rsidRPr="00200868">
        <w:rPr>
          <w:rFonts w:hint="eastAsia"/>
          <w:kern w:val="22"/>
          <w:sz w:val="24"/>
          <w:szCs w:val="24"/>
          <w:lang w:eastAsia="zh-CN"/>
        </w:rPr>
        <w:t>以及与该部门</w:t>
      </w:r>
      <w:r w:rsidR="00415DED">
        <w:rPr>
          <w:rFonts w:hint="eastAsia"/>
          <w:kern w:val="22"/>
          <w:sz w:val="24"/>
          <w:szCs w:val="24"/>
          <w:lang w:eastAsia="zh-CN"/>
        </w:rPr>
        <w:t>相</w:t>
      </w:r>
      <w:r w:rsidRPr="00200868">
        <w:rPr>
          <w:rFonts w:hint="eastAsia"/>
          <w:kern w:val="22"/>
          <w:sz w:val="24"/>
          <w:szCs w:val="24"/>
          <w:lang w:eastAsia="zh-CN"/>
        </w:rPr>
        <w:t>关废物</w:t>
      </w:r>
      <w:r w:rsidR="0097544E">
        <w:rPr>
          <w:rFonts w:hint="eastAsia"/>
          <w:kern w:val="22"/>
          <w:sz w:val="24"/>
          <w:szCs w:val="24"/>
          <w:lang w:eastAsia="zh-CN"/>
        </w:rPr>
        <w:t>的</w:t>
      </w:r>
      <w:r w:rsidR="00247F06">
        <w:rPr>
          <w:rFonts w:hint="eastAsia"/>
          <w:kern w:val="22"/>
          <w:sz w:val="24"/>
          <w:szCs w:val="24"/>
          <w:lang w:eastAsia="zh-CN"/>
        </w:rPr>
        <w:t>处置</w:t>
      </w:r>
      <w:r w:rsidRPr="00200868">
        <w:rPr>
          <w:rFonts w:hint="eastAsia"/>
          <w:kern w:val="22"/>
          <w:sz w:val="24"/>
          <w:szCs w:val="24"/>
          <w:lang w:eastAsia="zh-CN"/>
        </w:rPr>
        <w:t>。</w:t>
      </w:r>
      <w:r w:rsidR="00247F06" w:rsidRPr="00200868">
        <w:rPr>
          <w:rFonts w:hint="eastAsia"/>
          <w:kern w:val="22"/>
          <w:sz w:val="24"/>
          <w:szCs w:val="24"/>
          <w:lang w:eastAsia="zh-CN"/>
        </w:rPr>
        <w:t>通过</w:t>
      </w:r>
      <w:r w:rsidR="00247F06">
        <w:rPr>
          <w:rFonts w:hint="eastAsia"/>
          <w:kern w:val="22"/>
          <w:sz w:val="24"/>
          <w:szCs w:val="24"/>
          <w:lang w:eastAsia="zh-CN"/>
        </w:rPr>
        <w:t>加工成</w:t>
      </w:r>
      <w:r w:rsidR="00415DED">
        <w:rPr>
          <w:rFonts w:hint="eastAsia"/>
          <w:kern w:val="22"/>
          <w:sz w:val="24"/>
          <w:szCs w:val="24"/>
          <w:lang w:eastAsia="zh-CN"/>
        </w:rPr>
        <w:t>品</w:t>
      </w:r>
      <w:r w:rsidR="00247F06" w:rsidRPr="00200868">
        <w:rPr>
          <w:rFonts w:hint="eastAsia"/>
          <w:kern w:val="22"/>
          <w:sz w:val="24"/>
          <w:szCs w:val="24"/>
          <w:lang w:eastAsia="zh-CN"/>
        </w:rPr>
        <w:t>方式（例如化学品或化肥生产），</w:t>
      </w:r>
      <w:r w:rsidR="00247F06">
        <w:rPr>
          <w:rFonts w:hint="eastAsia"/>
          <w:kern w:val="22"/>
          <w:sz w:val="24"/>
          <w:szCs w:val="24"/>
          <w:lang w:eastAsia="zh-CN"/>
        </w:rPr>
        <w:t>对</w:t>
      </w:r>
      <w:r w:rsidR="00247F06" w:rsidRPr="00200868">
        <w:rPr>
          <w:rFonts w:hint="eastAsia"/>
          <w:kern w:val="22"/>
          <w:sz w:val="24"/>
          <w:szCs w:val="24"/>
          <w:lang w:eastAsia="zh-CN"/>
        </w:rPr>
        <w:t>基础设施</w:t>
      </w:r>
      <w:r w:rsidR="00247F06">
        <w:rPr>
          <w:rFonts w:hint="eastAsia"/>
          <w:kern w:val="22"/>
          <w:sz w:val="24"/>
          <w:szCs w:val="24"/>
          <w:lang w:eastAsia="zh-CN"/>
        </w:rPr>
        <w:t>的</w:t>
      </w:r>
      <w:r w:rsidR="00247F06" w:rsidRPr="00200868">
        <w:rPr>
          <w:rFonts w:hint="eastAsia"/>
          <w:kern w:val="22"/>
          <w:sz w:val="24"/>
          <w:szCs w:val="24"/>
          <w:lang w:eastAsia="zh-CN"/>
        </w:rPr>
        <w:t>需求以及</w:t>
      </w:r>
      <w:r w:rsidR="00247F06">
        <w:rPr>
          <w:rFonts w:hint="eastAsia"/>
          <w:kern w:val="22"/>
          <w:sz w:val="24"/>
          <w:szCs w:val="24"/>
          <w:lang w:eastAsia="zh-CN"/>
        </w:rPr>
        <w:t>产生的</w:t>
      </w:r>
      <w:r w:rsidR="00247F06" w:rsidRPr="00200868">
        <w:rPr>
          <w:rFonts w:hint="eastAsia"/>
          <w:kern w:val="22"/>
          <w:sz w:val="24"/>
          <w:szCs w:val="24"/>
          <w:lang w:eastAsia="zh-CN"/>
        </w:rPr>
        <w:t>收入和</w:t>
      </w:r>
      <w:r w:rsidR="00ED27AE">
        <w:rPr>
          <w:rFonts w:hint="eastAsia"/>
          <w:kern w:val="22"/>
          <w:sz w:val="24"/>
          <w:szCs w:val="24"/>
          <w:lang w:eastAsia="zh-CN"/>
        </w:rPr>
        <w:t>特许</w:t>
      </w:r>
      <w:r w:rsidR="00247F06" w:rsidRPr="00200868">
        <w:rPr>
          <w:rFonts w:hint="eastAsia"/>
          <w:kern w:val="22"/>
          <w:sz w:val="24"/>
          <w:szCs w:val="24"/>
          <w:lang w:eastAsia="zh-CN"/>
        </w:rPr>
        <w:t>使用费的使用方式</w:t>
      </w:r>
      <w:r w:rsidR="00B45B0F">
        <w:rPr>
          <w:rFonts w:hint="eastAsia"/>
          <w:kern w:val="22"/>
          <w:sz w:val="24"/>
          <w:szCs w:val="24"/>
          <w:lang w:eastAsia="zh-CN"/>
        </w:rPr>
        <w:t>，也可以</w:t>
      </w:r>
      <w:r w:rsidR="00ED27AE">
        <w:rPr>
          <w:rFonts w:hint="eastAsia"/>
          <w:kern w:val="22"/>
          <w:sz w:val="24"/>
          <w:szCs w:val="24"/>
          <w:lang w:eastAsia="zh-CN"/>
        </w:rPr>
        <w:t>感觉到</w:t>
      </w:r>
      <w:r w:rsidR="00B45B0F" w:rsidRPr="00200868">
        <w:rPr>
          <w:rFonts w:hint="eastAsia"/>
          <w:kern w:val="22"/>
          <w:sz w:val="24"/>
          <w:szCs w:val="24"/>
          <w:lang w:eastAsia="zh-CN"/>
        </w:rPr>
        <w:t>能源和采矿部门的更广</w:t>
      </w:r>
      <w:r w:rsidR="00B45B0F">
        <w:rPr>
          <w:rFonts w:hint="eastAsia"/>
          <w:kern w:val="22"/>
          <w:sz w:val="24"/>
          <w:szCs w:val="24"/>
          <w:lang w:eastAsia="zh-CN"/>
        </w:rPr>
        <w:t>阔的</w:t>
      </w:r>
      <w:r w:rsidR="00B45B0F" w:rsidRPr="00200868">
        <w:rPr>
          <w:rFonts w:hint="eastAsia"/>
          <w:kern w:val="22"/>
          <w:sz w:val="24"/>
          <w:szCs w:val="24"/>
          <w:lang w:eastAsia="zh-CN"/>
        </w:rPr>
        <w:t>影响</w:t>
      </w:r>
      <w:r w:rsidR="00ED27AE">
        <w:rPr>
          <w:rFonts w:hint="eastAsia"/>
          <w:kern w:val="22"/>
          <w:sz w:val="24"/>
          <w:szCs w:val="24"/>
          <w:lang w:eastAsia="zh-CN"/>
        </w:rPr>
        <w:t>。</w:t>
      </w:r>
    </w:p>
    <w:p w14:paraId="0A6113E9" w14:textId="77777777" w:rsidR="00B60FA8" w:rsidRPr="00B52A50" w:rsidRDefault="00ED27AE"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sidRPr="00ED27AE">
        <w:rPr>
          <w:rFonts w:hint="eastAsia"/>
          <w:kern w:val="22"/>
          <w:sz w:val="24"/>
          <w:szCs w:val="24"/>
          <w:lang w:eastAsia="zh-CN"/>
        </w:rPr>
        <w:lastRenderedPageBreak/>
        <w:t>整体而言，这些活动以及依赖它们的人表现出对生物多样性和生态系统服务的</w:t>
      </w:r>
      <w:r>
        <w:rPr>
          <w:rFonts w:hint="eastAsia"/>
          <w:kern w:val="22"/>
          <w:sz w:val="24"/>
          <w:szCs w:val="24"/>
          <w:lang w:eastAsia="zh-CN"/>
        </w:rPr>
        <w:t>重大</w:t>
      </w:r>
      <w:r w:rsidRPr="00ED27AE">
        <w:rPr>
          <w:rFonts w:hint="eastAsia"/>
          <w:kern w:val="22"/>
          <w:sz w:val="24"/>
          <w:szCs w:val="24"/>
          <w:lang w:eastAsia="zh-CN"/>
        </w:rPr>
        <w:t>影响和依赖性。但是，他们也有创造</w:t>
      </w:r>
      <w:r w:rsidR="00B45B0F">
        <w:rPr>
          <w:rFonts w:hint="eastAsia"/>
          <w:kern w:val="22"/>
          <w:sz w:val="24"/>
          <w:szCs w:val="24"/>
          <w:lang w:eastAsia="zh-CN"/>
        </w:rPr>
        <w:t>惠</w:t>
      </w:r>
      <w:r w:rsidRPr="00ED27AE">
        <w:rPr>
          <w:rFonts w:hint="eastAsia"/>
          <w:kern w:val="22"/>
          <w:sz w:val="24"/>
          <w:szCs w:val="24"/>
          <w:lang w:eastAsia="zh-CN"/>
        </w:rPr>
        <w:t>益</w:t>
      </w:r>
      <w:r>
        <w:rPr>
          <w:rFonts w:hint="eastAsia"/>
          <w:kern w:val="22"/>
          <w:sz w:val="24"/>
          <w:szCs w:val="24"/>
          <w:lang w:eastAsia="zh-CN"/>
        </w:rPr>
        <w:t>的</w:t>
      </w:r>
      <w:r w:rsidRPr="00ED27AE">
        <w:rPr>
          <w:rFonts w:hint="eastAsia"/>
          <w:kern w:val="22"/>
          <w:sz w:val="24"/>
          <w:szCs w:val="24"/>
          <w:lang w:eastAsia="zh-CN"/>
        </w:rPr>
        <w:t>潜力</w:t>
      </w:r>
      <w:r>
        <w:rPr>
          <w:rFonts w:hint="eastAsia"/>
          <w:kern w:val="22"/>
          <w:sz w:val="24"/>
          <w:szCs w:val="24"/>
          <w:lang w:eastAsia="zh-CN"/>
        </w:rPr>
        <w:t>。</w:t>
      </w:r>
    </w:p>
    <w:p w14:paraId="4945953B" w14:textId="77777777" w:rsidR="00B60FA8" w:rsidRPr="003E71AB" w:rsidRDefault="00B60FA8" w:rsidP="00B66243">
      <w:pPr>
        <w:pStyle w:val="Heading2"/>
        <w:suppressLineNumbers/>
        <w:tabs>
          <w:tab w:val="clear" w:pos="720"/>
        </w:tabs>
        <w:suppressAutoHyphens/>
        <w:kinsoku w:val="0"/>
        <w:overflowPunct w:val="0"/>
        <w:autoSpaceDE w:val="0"/>
        <w:autoSpaceDN w:val="0"/>
        <w:adjustRightInd w:val="0"/>
        <w:spacing w:line="240" w:lineRule="atLeast"/>
        <w:rPr>
          <w:rFonts w:ascii="SimSun" w:hAnsi="SimSun"/>
          <w:i w:val="0"/>
          <w:kern w:val="22"/>
        </w:rPr>
      </w:pPr>
      <w:r w:rsidRPr="003E71AB">
        <w:rPr>
          <w:rFonts w:ascii="SimSun" w:hAnsi="SimSun"/>
          <w:i w:val="0"/>
          <w:kern w:val="22"/>
        </w:rPr>
        <w:t>B.</w:t>
      </w:r>
      <w:r w:rsidRPr="003E71AB">
        <w:rPr>
          <w:rFonts w:ascii="SimSun" w:hAnsi="SimSun"/>
          <w:i w:val="0"/>
          <w:kern w:val="22"/>
        </w:rPr>
        <w:tab/>
      </w:r>
      <w:r w:rsidR="00ED27AE" w:rsidRPr="003E71AB">
        <w:rPr>
          <w:rFonts w:ascii="SimSun" w:hAnsi="SimSun" w:hint="eastAsia"/>
          <w:i w:val="0"/>
          <w:kern w:val="22"/>
        </w:rPr>
        <w:t>能源和采矿的类别</w:t>
      </w:r>
    </w:p>
    <w:p w14:paraId="0D7ACC22" w14:textId="77777777" w:rsidR="00B60FA8" w:rsidRPr="00B52A50" w:rsidRDefault="00ED27AE"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sidRPr="00ED27AE">
        <w:rPr>
          <w:rFonts w:hint="eastAsia"/>
          <w:kern w:val="22"/>
          <w:sz w:val="24"/>
          <w:szCs w:val="24"/>
          <w:lang w:eastAsia="zh-CN"/>
        </w:rPr>
        <w:t>能源部门涵盖</w:t>
      </w:r>
      <w:r w:rsidR="00420B0D">
        <w:rPr>
          <w:rFonts w:hint="eastAsia"/>
          <w:kern w:val="22"/>
          <w:sz w:val="24"/>
          <w:szCs w:val="24"/>
          <w:lang w:eastAsia="zh-CN"/>
        </w:rPr>
        <w:t>范围广大的</w:t>
      </w:r>
      <w:r w:rsidRPr="00ED27AE">
        <w:rPr>
          <w:rFonts w:hint="eastAsia"/>
          <w:kern w:val="22"/>
          <w:sz w:val="24"/>
          <w:szCs w:val="24"/>
          <w:lang w:eastAsia="zh-CN"/>
        </w:rPr>
        <w:t>不同活动和来源，包括</w:t>
      </w:r>
      <w:r w:rsidR="00420B0D">
        <w:rPr>
          <w:rFonts w:hint="eastAsia"/>
          <w:kern w:val="22"/>
          <w:sz w:val="24"/>
          <w:szCs w:val="24"/>
          <w:lang w:eastAsia="zh-CN"/>
        </w:rPr>
        <w:t>：</w:t>
      </w:r>
      <w:r w:rsidRPr="00ED27AE">
        <w:rPr>
          <w:rFonts w:hint="eastAsia"/>
          <w:kern w:val="22"/>
          <w:sz w:val="24"/>
          <w:szCs w:val="24"/>
          <w:lang w:eastAsia="zh-CN"/>
        </w:rPr>
        <w:t>石油和天然气</w:t>
      </w:r>
      <w:r w:rsidR="0097544E">
        <w:rPr>
          <w:rFonts w:hint="eastAsia"/>
          <w:kern w:val="22"/>
          <w:sz w:val="24"/>
          <w:szCs w:val="24"/>
          <w:lang w:eastAsia="zh-CN"/>
        </w:rPr>
        <w:t>、</w:t>
      </w:r>
      <w:r w:rsidRPr="00ED27AE">
        <w:rPr>
          <w:rFonts w:hint="eastAsia"/>
          <w:kern w:val="22"/>
          <w:sz w:val="24"/>
          <w:szCs w:val="24"/>
          <w:lang w:eastAsia="zh-CN"/>
        </w:rPr>
        <w:t>非常规石油和天然气</w:t>
      </w:r>
      <w:r w:rsidR="007F4B67">
        <w:rPr>
          <w:rFonts w:hint="eastAsia"/>
          <w:kern w:val="22"/>
          <w:sz w:val="24"/>
          <w:szCs w:val="24"/>
          <w:lang w:eastAsia="zh-CN"/>
        </w:rPr>
        <w:t>、</w:t>
      </w:r>
      <w:r w:rsidRPr="00ED27AE">
        <w:rPr>
          <w:rFonts w:hint="eastAsia"/>
          <w:kern w:val="22"/>
          <w:sz w:val="24"/>
          <w:szCs w:val="24"/>
          <w:lang w:eastAsia="zh-CN"/>
        </w:rPr>
        <w:t>煤炭</w:t>
      </w:r>
      <w:r w:rsidR="007F4B67">
        <w:rPr>
          <w:rFonts w:hint="eastAsia"/>
          <w:kern w:val="22"/>
          <w:sz w:val="24"/>
          <w:szCs w:val="24"/>
          <w:lang w:eastAsia="zh-CN"/>
        </w:rPr>
        <w:t>、</w:t>
      </w:r>
      <w:r w:rsidRPr="00ED27AE">
        <w:rPr>
          <w:rFonts w:hint="eastAsia"/>
          <w:kern w:val="22"/>
          <w:sz w:val="24"/>
          <w:szCs w:val="24"/>
          <w:lang w:eastAsia="zh-CN"/>
        </w:rPr>
        <w:t>地热能</w:t>
      </w:r>
      <w:r w:rsidR="007F4B67">
        <w:rPr>
          <w:rFonts w:hint="eastAsia"/>
          <w:kern w:val="22"/>
          <w:sz w:val="24"/>
          <w:szCs w:val="24"/>
          <w:lang w:eastAsia="zh-CN"/>
        </w:rPr>
        <w:t>、</w:t>
      </w:r>
      <w:r w:rsidRPr="00ED27AE">
        <w:rPr>
          <w:rFonts w:hint="eastAsia"/>
          <w:kern w:val="22"/>
          <w:sz w:val="24"/>
          <w:szCs w:val="24"/>
          <w:lang w:eastAsia="zh-CN"/>
        </w:rPr>
        <w:t>太阳能</w:t>
      </w:r>
      <w:r w:rsidR="007F4B67">
        <w:rPr>
          <w:rFonts w:hint="eastAsia"/>
          <w:kern w:val="22"/>
          <w:sz w:val="24"/>
          <w:szCs w:val="24"/>
          <w:lang w:eastAsia="zh-CN"/>
        </w:rPr>
        <w:t>、</w:t>
      </w:r>
      <w:r w:rsidRPr="00ED27AE">
        <w:rPr>
          <w:rFonts w:hint="eastAsia"/>
          <w:kern w:val="22"/>
          <w:sz w:val="24"/>
          <w:szCs w:val="24"/>
          <w:lang w:eastAsia="zh-CN"/>
        </w:rPr>
        <w:t>风力</w:t>
      </w:r>
      <w:r w:rsidR="007F4B67">
        <w:rPr>
          <w:rFonts w:hint="eastAsia"/>
          <w:kern w:val="22"/>
          <w:sz w:val="24"/>
          <w:szCs w:val="24"/>
          <w:lang w:eastAsia="zh-CN"/>
        </w:rPr>
        <w:t>、</w:t>
      </w:r>
      <w:r w:rsidRPr="00ED27AE">
        <w:rPr>
          <w:rFonts w:hint="eastAsia"/>
          <w:kern w:val="22"/>
          <w:sz w:val="24"/>
          <w:szCs w:val="24"/>
          <w:lang w:eastAsia="zh-CN"/>
        </w:rPr>
        <w:t>水</w:t>
      </w:r>
      <w:r w:rsidR="00B45B0F">
        <w:rPr>
          <w:rFonts w:hint="eastAsia"/>
          <w:kern w:val="22"/>
          <w:sz w:val="24"/>
          <w:szCs w:val="24"/>
          <w:lang w:eastAsia="zh-CN"/>
        </w:rPr>
        <w:t>力发</w:t>
      </w:r>
      <w:r w:rsidRPr="00ED27AE">
        <w:rPr>
          <w:rFonts w:hint="eastAsia"/>
          <w:kern w:val="22"/>
          <w:sz w:val="24"/>
          <w:szCs w:val="24"/>
          <w:lang w:eastAsia="zh-CN"/>
        </w:rPr>
        <w:t>电</w:t>
      </w:r>
      <w:r w:rsidR="007F4B67">
        <w:rPr>
          <w:rFonts w:hint="eastAsia"/>
          <w:kern w:val="22"/>
          <w:sz w:val="24"/>
          <w:szCs w:val="24"/>
          <w:lang w:eastAsia="zh-CN"/>
        </w:rPr>
        <w:t>、</w:t>
      </w:r>
      <w:r w:rsidRPr="00ED27AE">
        <w:rPr>
          <w:rFonts w:hint="eastAsia"/>
          <w:kern w:val="22"/>
          <w:sz w:val="24"/>
          <w:szCs w:val="24"/>
          <w:lang w:eastAsia="zh-CN"/>
        </w:rPr>
        <w:t>波浪发电</w:t>
      </w:r>
      <w:r w:rsidR="00420B0D">
        <w:rPr>
          <w:rFonts w:hint="eastAsia"/>
          <w:kern w:val="22"/>
          <w:sz w:val="24"/>
          <w:szCs w:val="24"/>
          <w:lang w:eastAsia="zh-CN"/>
        </w:rPr>
        <w:t>、</w:t>
      </w:r>
      <w:r w:rsidRPr="00ED27AE">
        <w:rPr>
          <w:rFonts w:hint="eastAsia"/>
          <w:kern w:val="22"/>
          <w:sz w:val="24"/>
          <w:szCs w:val="24"/>
          <w:lang w:eastAsia="zh-CN"/>
        </w:rPr>
        <w:t>生物燃料和核能。同样，采矿部门</w:t>
      </w:r>
      <w:r w:rsidR="00B45B0F">
        <w:rPr>
          <w:rFonts w:hint="eastAsia"/>
          <w:kern w:val="22"/>
          <w:sz w:val="24"/>
          <w:szCs w:val="24"/>
          <w:lang w:eastAsia="zh-CN"/>
        </w:rPr>
        <w:t>包含</w:t>
      </w:r>
      <w:r w:rsidRPr="00ED27AE">
        <w:rPr>
          <w:rFonts w:hint="eastAsia"/>
          <w:kern w:val="22"/>
          <w:sz w:val="24"/>
          <w:szCs w:val="24"/>
          <w:lang w:eastAsia="zh-CN"/>
        </w:rPr>
        <w:t>不同地点</w:t>
      </w:r>
      <w:r w:rsidR="00B45B0F">
        <w:rPr>
          <w:rFonts w:hint="eastAsia"/>
          <w:kern w:val="22"/>
          <w:sz w:val="24"/>
          <w:szCs w:val="24"/>
          <w:lang w:eastAsia="zh-CN"/>
        </w:rPr>
        <w:t>的</w:t>
      </w:r>
      <w:r w:rsidR="00CF1A4E">
        <w:rPr>
          <w:rFonts w:hint="eastAsia"/>
          <w:kern w:val="22"/>
          <w:sz w:val="24"/>
          <w:szCs w:val="24"/>
          <w:lang w:eastAsia="zh-CN"/>
        </w:rPr>
        <w:t>多种</w:t>
      </w:r>
      <w:r w:rsidRPr="00ED27AE">
        <w:rPr>
          <w:rFonts w:hint="eastAsia"/>
          <w:kern w:val="22"/>
          <w:sz w:val="24"/>
          <w:szCs w:val="24"/>
          <w:lang w:eastAsia="zh-CN"/>
        </w:rPr>
        <w:t>活动</w:t>
      </w:r>
      <w:r w:rsidR="00420B0D">
        <w:rPr>
          <w:rFonts w:hint="eastAsia"/>
          <w:kern w:val="22"/>
          <w:sz w:val="24"/>
          <w:szCs w:val="24"/>
          <w:lang w:eastAsia="zh-CN"/>
        </w:rPr>
        <w:t>：</w:t>
      </w:r>
      <w:r w:rsidRPr="00ED27AE">
        <w:rPr>
          <w:rFonts w:hint="eastAsia"/>
          <w:kern w:val="22"/>
          <w:sz w:val="24"/>
          <w:szCs w:val="24"/>
          <w:lang w:eastAsia="zh-CN"/>
        </w:rPr>
        <w:t>开采矿物和金属</w:t>
      </w:r>
      <w:r w:rsidR="007F4B67">
        <w:rPr>
          <w:rFonts w:hint="eastAsia"/>
          <w:kern w:val="22"/>
          <w:sz w:val="24"/>
          <w:szCs w:val="24"/>
          <w:lang w:eastAsia="zh-CN"/>
        </w:rPr>
        <w:t>、</w:t>
      </w:r>
      <w:r w:rsidRPr="00ED27AE">
        <w:rPr>
          <w:rFonts w:hint="eastAsia"/>
          <w:kern w:val="22"/>
          <w:sz w:val="24"/>
          <w:szCs w:val="24"/>
          <w:lang w:eastAsia="zh-CN"/>
        </w:rPr>
        <w:t>砂和骨料采石</w:t>
      </w:r>
      <w:r w:rsidR="007F4B67">
        <w:rPr>
          <w:rFonts w:hint="eastAsia"/>
          <w:kern w:val="22"/>
          <w:sz w:val="24"/>
          <w:szCs w:val="24"/>
          <w:lang w:eastAsia="zh-CN"/>
        </w:rPr>
        <w:t>、</w:t>
      </w:r>
      <w:r w:rsidRPr="00ED27AE">
        <w:rPr>
          <w:rFonts w:hint="eastAsia"/>
          <w:kern w:val="22"/>
          <w:sz w:val="24"/>
          <w:szCs w:val="24"/>
          <w:lang w:eastAsia="zh-CN"/>
        </w:rPr>
        <w:t>宝石</w:t>
      </w:r>
      <w:r w:rsidR="007F4B67">
        <w:rPr>
          <w:rFonts w:hint="eastAsia"/>
          <w:kern w:val="22"/>
          <w:sz w:val="24"/>
          <w:szCs w:val="24"/>
          <w:lang w:eastAsia="zh-CN"/>
        </w:rPr>
        <w:t>、</w:t>
      </w:r>
      <w:r w:rsidRPr="00ED27AE">
        <w:rPr>
          <w:rFonts w:hint="eastAsia"/>
          <w:kern w:val="22"/>
          <w:sz w:val="24"/>
          <w:szCs w:val="24"/>
          <w:lang w:eastAsia="zh-CN"/>
        </w:rPr>
        <w:t>海底采矿</w:t>
      </w:r>
      <w:r w:rsidR="007F4B67">
        <w:rPr>
          <w:rFonts w:hint="eastAsia"/>
          <w:kern w:val="22"/>
          <w:sz w:val="24"/>
          <w:szCs w:val="24"/>
          <w:lang w:eastAsia="zh-CN"/>
        </w:rPr>
        <w:t>、</w:t>
      </w:r>
      <w:r w:rsidRPr="00ED27AE">
        <w:rPr>
          <w:rFonts w:hint="eastAsia"/>
          <w:kern w:val="22"/>
          <w:sz w:val="24"/>
          <w:szCs w:val="24"/>
          <w:lang w:eastAsia="zh-CN"/>
        </w:rPr>
        <w:t>手工和小规模采矿。能源和采矿</w:t>
      </w:r>
      <w:r w:rsidR="005F2962" w:rsidRPr="00ED27AE">
        <w:rPr>
          <w:rFonts w:hint="eastAsia"/>
          <w:kern w:val="22"/>
          <w:sz w:val="24"/>
          <w:szCs w:val="24"/>
          <w:lang w:eastAsia="zh-CN"/>
        </w:rPr>
        <w:t>（特别是大型项目）</w:t>
      </w:r>
      <w:r w:rsidRPr="00ED27AE">
        <w:rPr>
          <w:rFonts w:hint="eastAsia"/>
          <w:kern w:val="22"/>
          <w:sz w:val="24"/>
          <w:szCs w:val="24"/>
          <w:lang w:eastAsia="zh-CN"/>
        </w:rPr>
        <w:t>还经常涉及</w:t>
      </w:r>
      <w:r w:rsidR="007F4B67">
        <w:rPr>
          <w:rFonts w:hint="eastAsia"/>
          <w:kern w:val="22"/>
          <w:sz w:val="24"/>
          <w:szCs w:val="24"/>
          <w:lang w:eastAsia="zh-CN"/>
        </w:rPr>
        <w:t>许</w:t>
      </w:r>
      <w:r w:rsidRPr="00ED27AE">
        <w:rPr>
          <w:rFonts w:hint="eastAsia"/>
          <w:kern w:val="22"/>
          <w:sz w:val="24"/>
          <w:szCs w:val="24"/>
          <w:lang w:eastAsia="zh-CN"/>
        </w:rPr>
        <w:t>多相关基础设施，例如管道和通道</w:t>
      </w:r>
      <w:r w:rsidR="0043210C">
        <w:rPr>
          <w:rFonts w:hint="eastAsia"/>
          <w:kern w:val="22"/>
          <w:sz w:val="24"/>
          <w:szCs w:val="24"/>
          <w:lang w:eastAsia="zh-CN"/>
        </w:rPr>
        <w:t>。</w:t>
      </w:r>
    </w:p>
    <w:p w14:paraId="3AF5E3B5" w14:textId="77777777" w:rsidR="00B60FA8" w:rsidRPr="003E71AB" w:rsidRDefault="00B60FA8" w:rsidP="00B66243">
      <w:pPr>
        <w:pStyle w:val="Heading2"/>
        <w:suppressLineNumbers/>
        <w:tabs>
          <w:tab w:val="clear" w:pos="720"/>
        </w:tabs>
        <w:suppressAutoHyphens/>
        <w:kinsoku w:val="0"/>
        <w:overflowPunct w:val="0"/>
        <w:autoSpaceDE w:val="0"/>
        <w:autoSpaceDN w:val="0"/>
        <w:adjustRightInd w:val="0"/>
        <w:spacing w:line="240" w:lineRule="atLeast"/>
        <w:rPr>
          <w:rFonts w:ascii="SimSun" w:hAnsi="SimSun"/>
          <w:i w:val="0"/>
          <w:kern w:val="22"/>
        </w:rPr>
      </w:pPr>
      <w:r w:rsidRPr="003E71AB">
        <w:rPr>
          <w:rFonts w:ascii="SimSun" w:hAnsi="SimSun"/>
          <w:i w:val="0"/>
          <w:kern w:val="22"/>
        </w:rPr>
        <w:t>C.</w:t>
      </w:r>
      <w:r w:rsidRPr="003E71AB">
        <w:rPr>
          <w:rFonts w:ascii="SimSun" w:hAnsi="SimSun"/>
          <w:i w:val="0"/>
          <w:kern w:val="22"/>
        </w:rPr>
        <w:tab/>
      </w:r>
      <w:r w:rsidR="0043210C" w:rsidRPr="003E71AB">
        <w:rPr>
          <w:rFonts w:ascii="SimSun" w:hAnsi="SimSun" w:hint="eastAsia"/>
          <w:i w:val="0"/>
          <w:kern w:val="22"/>
        </w:rPr>
        <w:t>主要趋势</w:t>
      </w:r>
    </w:p>
    <w:p w14:paraId="062D68CE" w14:textId="77777777" w:rsidR="00B60FA8" w:rsidRPr="00B52A50" w:rsidRDefault="0043210C"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sidRPr="0043210C">
        <w:rPr>
          <w:rFonts w:hint="eastAsia"/>
          <w:kern w:val="22"/>
          <w:sz w:val="24"/>
          <w:szCs w:val="24"/>
          <w:lang w:eastAsia="zh-CN"/>
        </w:rPr>
        <w:t>人口增长，全球经济不断扩大</w:t>
      </w:r>
      <w:r w:rsidR="0097544E">
        <w:rPr>
          <w:rFonts w:hint="eastAsia"/>
          <w:kern w:val="22"/>
          <w:sz w:val="24"/>
          <w:szCs w:val="24"/>
          <w:lang w:eastAsia="zh-CN"/>
        </w:rPr>
        <w:t>，</w:t>
      </w:r>
      <w:r w:rsidR="005F2962">
        <w:rPr>
          <w:rFonts w:hint="eastAsia"/>
          <w:kern w:val="22"/>
          <w:sz w:val="24"/>
          <w:szCs w:val="24"/>
          <w:lang w:eastAsia="zh-CN"/>
        </w:rPr>
        <w:t>以及</w:t>
      </w:r>
      <w:r w:rsidRPr="0043210C">
        <w:rPr>
          <w:rFonts w:hint="eastAsia"/>
          <w:kern w:val="22"/>
          <w:sz w:val="24"/>
          <w:szCs w:val="24"/>
          <w:lang w:eastAsia="zh-CN"/>
        </w:rPr>
        <w:t>城市化趋势对材料和能源的需求不断增加，特别是经济合作与发展组织（经合组织</w:t>
      </w:r>
      <w:r>
        <w:rPr>
          <w:rFonts w:hint="eastAsia"/>
          <w:kern w:val="22"/>
          <w:sz w:val="24"/>
          <w:szCs w:val="24"/>
          <w:lang w:eastAsia="zh-CN"/>
        </w:rPr>
        <w:t>）</w:t>
      </w:r>
      <w:r w:rsidRPr="0043210C">
        <w:rPr>
          <w:rFonts w:hint="eastAsia"/>
          <w:kern w:val="22"/>
          <w:sz w:val="24"/>
          <w:szCs w:val="24"/>
          <w:lang w:eastAsia="zh-CN"/>
        </w:rPr>
        <w:t>以外的国家</w:t>
      </w:r>
      <w:r>
        <w:rPr>
          <w:rFonts w:hint="eastAsia"/>
          <w:kern w:val="22"/>
          <w:sz w:val="24"/>
          <w:szCs w:val="24"/>
          <w:lang w:eastAsia="zh-CN"/>
        </w:rPr>
        <w:t>。</w:t>
      </w:r>
    </w:p>
    <w:p w14:paraId="171A5658" w14:textId="77777777" w:rsidR="00B60FA8" w:rsidRPr="00B52A50" w:rsidRDefault="0043210C"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sidRPr="0043210C">
        <w:rPr>
          <w:rFonts w:hint="eastAsia"/>
          <w:kern w:val="22"/>
          <w:sz w:val="24"/>
          <w:szCs w:val="24"/>
          <w:lang w:eastAsia="zh-CN"/>
        </w:rPr>
        <w:t>石油和天然气在满足当前能源需求方面</w:t>
      </w:r>
      <w:r w:rsidR="005F2962">
        <w:rPr>
          <w:rFonts w:hint="eastAsia"/>
          <w:kern w:val="22"/>
          <w:sz w:val="24"/>
          <w:szCs w:val="24"/>
          <w:lang w:eastAsia="zh-CN"/>
        </w:rPr>
        <w:t>起</w:t>
      </w:r>
      <w:r w:rsidRPr="0043210C">
        <w:rPr>
          <w:rFonts w:hint="eastAsia"/>
          <w:kern w:val="22"/>
          <w:sz w:val="24"/>
          <w:szCs w:val="24"/>
          <w:lang w:eastAsia="zh-CN"/>
        </w:rPr>
        <w:t>着重要作用，并预计在未来几十年内</w:t>
      </w:r>
      <w:r>
        <w:rPr>
          <w:rFonts w:hint="eastAsia"/>
          <w:kern w:val="22"/>
          <w:sz w:val="24"/>
          <w:szCs w:val="24"/>
          <w:lang w:eastAsia="zh-CN"/>
        </w:rPr>
        <w:t>仍</w:t>
      </w:r>
      <w:r w:rsidR="005F2962">
        <w:rPr>
          <w:rFonts w:hint="eastAsia"/>
          <w:kern w:val="22"/>
          <w:sz w:val="24"/>
          <w:szCs w:val="24"/>
          <w:lang w:eastAsia="zh-CN"/>
        </w:rPr>
        <w:t>将</w:t>
      </w:r>
      <w:r w:rsidR="007F4B67">
        <w:rPr>
          <w:rFonts w:hint="eastAsia"/>
          <w:kern w:val="22"/>
          <w:sz w:val="24"/>
          <w:szCs w:val="24"/>
          <w:lang w:eastAsia="zh-CN"/>
        </w:rPr>
        <w:t>如此</w:t>
      </w:r>
      <w:r w:rsidRPr="0043210C">
        <w:rPr>
          <w:rFonts w:hint="eastAsia"/>
          <w:kern w:val="22"/>
          <w:sz w:val="24"/>
          <w:szCs w:val="24"/>
          <w:lang w:eastAsia="zh-CN"/>
        </w:rPr>
        <w:t>。然而，</w:t>
      </w:r>
      <w:r>
        <w:rPr>
          <w:rFonts w:hint="eastAsia"/>
          <w:kern w:val="22"/>
          <w:sz w:val="24"/>
          <w:szCs w:val="24"/>
          <w:lang w:eastAsia="zh-CN"/>
        </w:rPr>
        <w:t>《</w:t>
      </w:r>
      <w:r w:rsidRPr="0043210C">
        <w:rPr>
          <w:rFonts w:hint="eastAsia"/>
          <w:kern w:val="22"/>
          <w:sz w:val="24"/>
          <w:szCs w:val="24"/>
          <w:lang w:eastAsia="zh-CN"/>
        </w:rPr>
        <w:t>巴黎气候变化协</w:t>
      </w:r>
      <w:r>
        <w:rPr>
          <w:rFonts w:hint="eastAsia"/>
          <w:kern w:val="22"/>
          <w:sz w:val="24"/>
          <w:szCs w:val="24"/>
          <w:lang w:eastAsia="zh-CN"/>
        </w:rPr>
        <w:t>定》</w:t>
      </w:r>
      <w:r w:rsidRPr="0043210C">
        <w:rPr>
          <w:rFonts w:hint="eastAsia"/>
          <w:kern w:val="22"/>
          <w:sz w:val="24"/>
          <w:szCs w:val="24"/>
          <w:lang w:eastAsia="zh-CN"/>
        </w:rPr>
        <w:t>可能导致</w:t>
      </w:r>
      <w:r w:rsidR="0097544E">
        <w:rPr>
          <w:rFonts w:hint="eastAsia"/>
          <w:kern w:val="22"/>
          <w:sz w:val="24"/>
          <w:szCs w:val="24"/>
          <w:lang w:eastAsia="zh-CN"/>
        </w:rPr>
        <w:t>到</w:t>
      </w:r>
      <w:r w:rsidR="0097544E" w:rsidRPr="0043210C">
        <w:rPr>
          <w:rFonts w:hint="eastAsia"/>
          <w:kern w:val="22"/>
          <w:sz w:val="24"/>
          <w:szCs w:val="24"/>
          <w:lang w:eastAsia="zh-CN"/>
        </w:rPr>
        <w:t>本世纪末</w:t>
      </w:r>
      <w:r w:rsidRPr="0043210C">
        <w:rPr>
          <w:rFonts w:hint="eastAsia"/>
          <w:kern w:val="22"/>
          <w:sz w:val="24"/>
          <w:szCs w:val="24"/>
          <w:lang w:eastAsia="zh-CN"/>
        </w:rPr>
        <w:t>煤炭</w:t>
      </w:r>
      <w:r>
        <w:rPr>
          <w:rFonts w:hint="eastAsia"/>
          <w:kern w:val="22"/>
          <w:sz w:val="24"/>
          <w:szCs w:val="24"/>
          <w:lang w:eastAsia="zh-CN"/>
        </w:rPr>
        <w:t>、</w:t>
      </w:r>
      <w:r w:rsidRPr="0043210C">
        <w:rPr>
          <w:rFonts w:hint="eastAsia"/>
          <w:kern w:val="22"/>
          <w:sz w:val="24"/>
          <w:szCs w:val="24"/>
          <w:lang w:eastAsia="zh-CN"/>
        </w:rPr>
        <w:t>石油和天然气生产减少，余</w:t>
      </w:r>
      <w:r w:rsidR="007F4B67">
        <w:rPr>
          <w:rFonts w:hint="eastAsia"/>
          <w:kern w:val="22"/>
          <w:sz w:val="24"/>
          <w:szCs w:val="24"/>
          <w:lang w:eastAsia="zh-CN"/>
        </w:rPr>
        <w:t>下的生</w:t>
      </w:r>
      <w:r w:rsidRPr="0043210C">
        <w:rPr>
          <w:rFonts w:hint="eastAsia"/>
          <w:kern w:val="22"/>
          <w:sz w:val="24"/>
          <w:szCs w:val="24"/>
          <w:lang w:eastAsia="zh-CN"/>
        </w:rPr>
        <w:t>产与碳捕获和储存技术相结合。</w:t>
      </w:r>
      <w:r w:rsidR="00084F2F">
        <w:rPr>
          <w:rFonts w:hint="eastAsia"/>
          <w:kern w:val="22"/>
          <w:sz w:val="24"/>
          <w:szCs w:val="24"/>
          <w:lang w:eastAsia="zh-CN"/>
        </w:rPr>
        <w:t>随着</w:t>
      </w:r>
      <w:r w:rsidRPr="0043210C">
        <w:rPr>
          <w:rFonts w:hint="eastAsia"/>
          <w:kern w:val="22"/>
          <w:sz w:val="24"/>
          <w:szCs w:val="24"/>
          <w:lang w:eastAsia="zh-CN"/>
        </w:rPr>
        <w:t>技术进步，成本</w:t>
      </w:r>
      <w:r w:rsidR="00084F2F" w:rsidRPr="0043210C">
        <w:rPr>
          <w:rFonts w:hint="eastAsia"/>
          <w:kern w:val="22"/>
          <w:sz w:val="24"/>
          <w:szCs w:val="24"/>
          <w:lang w:eastAsia="zh-CN"/>
        </w:rPr>
        <w:t>降低</w:t>
      </w:r>
      <w:r w:rsidRPr="0043210C">
        <w:rPr>
          <w:rFonts w:hint="eastAsia"/>
          <w:kern w:val="22"/>
          <w:sz w:val="24"/>
          <w:szCs w:val="24"/>
          <w:lang w:eastAsia="zh-CN"/>
        </w:rPr>
        <w:t>以及多边气候变化协</w:t>
      </w:r>
      <w:r w:rsidR="00460946">
        <w:rPr>
          <w:rFonts w:hint="eastAsia"/>
          <w:kern w:val="22"/>
          <w:sz w:val="24"/>
          <w:szCs w:val="24"/>
          <w:lang w:eastAsia="zh-CN"/>
        </w:rPr>
        <w:t>定</w:t>
      </w:r>
      <w:r w:rsidRPr="0043210C">
        <w:rPr>
          <w:rFonts w:hint="eastAsia"/>
          <w:kern w:val="22"/>
          <w:sz w:val="24"/>
          <w:szCs w:val="24"/>
          <w:lang w:eastAsia="zh-CN"/>
        </w:rPr>
        <w:t>等驱动因素，可再生能源</w:t>
      </w:r>
      <w:r w:rsidR="00084F2F">
        <w:rPr>
          <w:rFonts w:hint="eastAsia"/>
          <w:kern w:val="22"/>
          <w:sz w:val="24"/>
          <w:szCs w:val="24"/>
          <w:lang w:eastAsia="zh-CN"/>
        </w:rPr>
        <w:t>变得</w:t>
      </w:r>
      <w:r w:rsidR="005F2962">
        <w:rPr>
          <w:rFonts w:hint="eastAsia"/>
          <w:kern w:val="22"/>
          <w:sz w:val="24"/>
          <w:szCs w:val="24"/>
          <w:lang w:eastAsia="zh-CN"/>
        </w:rPr>
        <w:t>更加</w:t>
      </w:r>
      <w:r w:rsidRPr="0043210C">
        <w:rPr>
          <w:rFonts w:hint="eastAsia"/>
          <w:kern w:val="22"/>
          <w:sz w:val="24"/>
          <w:szCs w:val="24"/>
          <w:lang w:eastAsia="zh-CN"/>
        </w:rPr>
        <w:t>突出。</w:t>
      </w:r>
      <w:r w:rsidR="005F2962">
        <w:rPr>
          <w:rFonts w:hint="eastAsia"/>
          <w:kern w:val="22"/>
          <w:sz w:val="24"/>
          <w:szCs w:val="24"/>
          <w:lang w:eastAsia="zh-CN"/>
        </w:rPr>
        <w:t>由于</w:t>
      </w:r>
      <w:r w:rsidRPr="0043210C">
        <w:rPr>
          <w:rFonts w:hint="eastAsia"/>
          <w:kern w:val="22"/>
          <w:sz w:val="24"/>
          <w:szCs w:val="24"/>
          <w:lang w:eastAsia="zh-CN"/>
        </w:rPr>
        <w:t>目前的政策，对可再生能源的投资可能会持续增长，预计到</w:t>
      </w:r>
      <w:r w:rsidRPr="0043210C">
        <w:rPr>
          <w:rFonts w:hint="eastAsia"/>
          <w:kern w:val="22"/>
          <w:sz w:val="24"/>
          <w:szCs w:val="24"/>
          <w:lang w:eastAsia="zh-CN"/>
        </w:rPr>
        <w:t>2022</w:t>
      </w:r>
      <w:r w:rsidRPr="0043210C">
        <w:rPr>
          <w:rFonts w:hint="eastAsia"/>
          <w:kern w:val="22"/>
          <w:sz w:val="24"/>
          <w:szCs w:val="24"/>
          <w:lang w:eastAsia="zh-CN"/>
        </w:rPr>
        <w:t>年可再生</w:t>
      </w:r>
      <w:r w:rsidR="00084F2F">
        <w:rPr>
          <w:rFonts w:hint="eastAsia"/>
          <w:kern w:val="22"/>
          <w:sz w:val="24"/>
          <w:szCs w:val="24"/>
          <w:lang w:eastAsia="zh-CN"/>
        </w:rPr>
        <w:t>电力容量</w:t>
      </w:r>
      <w:r w:rsidRPr="0043210C">
        <w:rPr>
          <w:rFonts w:hint="eastAsia"/>
          <w:kern w:val="22"/>
          <w:sz w:val="24"/>
          <w:szCs w:val="24"/>
          <w:lang w:eastAsia="zh-CN"/>
        </w:rPr>
        <w:t>将</w:t>
      </w:r>
      <w:r w:rsidR="00084F2F">
        <w:rPr>
          <w:rFonts w:hint="eastAsia"/>
          <w:kern w:val="22"/>
          <w:sz w:val="24"/>
          <w:szCs w:val="24"/>
          <w:lang w:eastAsia="zh-CN"/>
        </w:rPr>
        <w:t>扩大</w:t>
      </w:r>
      <w:r w:rsidRPr="0043210C">
        <w:rPr>
          <w:rFonts w:hint="eastAsia"/>
          <w:kern w:val="22"/>
          <w:sz w:val="24"/>
          <w:szCs w:val="24"/>
          <w:lang w:eastAsia="zh-CN"/>
        </w:rPr>
        <w:t>43</w:t>
      </w:r>
      <w:r w:rsidRPr="0043210C">
        <w:rPr>
          <w:rFonts w:hint="eastAsia"/>
          <w:kern w:val="22"/>
          <w:sz w:val="24"/>
          <w:szCs w:val="24"/>
          <w:lang w:eastAsia="zh-CN"/>
        </w:rPr>
        <w:t>％以上</w:t>
      </w:r>
      <w:r w:rsidR="00460946" w:rsidRPr="0019663B">
        <w:rPr>
          <w:rStyle w:val="FootnoteReference"/>
          <w:kern w:val="22"/>
          <w:szCs w:val="24"/>
        </w:rPr>
        <w:footnoteReference w:id="3"/>
      </w:r>
      <w:r w:rsidR="00E15C28">
        <w:rPr>
          <w:rFonts w:hint="eastAsia"/>
          <w:kern w:val="22"/>
          <w:sz w:val="24"/>
          <w:szCs w:val="24"/>
          <w:lang w:eastAsia="zh-CN"/>
        </w:rPr>
        <w:t>。</w:t>
      </w:r>
      <w:r w:rsidRPr="0043210C">
        <w:rPr>
          <w:rFonts w:hint="eastAsia"/>
          <w:kern w:val="22"/>
          <w:sz w:val="24"/>
          <w:szCs w:val="24"/>
          <w:lang w:eastAsia="zh-CN"/>
        </w:rPr>
        <w:t>可再生能源的使用方式也可能发生变化，</w:t>
      </w:r>
      <w:r w:rsidR="005F2962">
        <w:rPr>
          <w:rFonts w:hint="eastAsia"/>
          <w:kern w:val="22"/>
          <w:sz w:val="24"/>
          <w:szCs w:val="24"/>
          <w:lang w:eastAsia="zh-CN"/>
        </w:rPr>
        <w:t>更多</w:t>
      </w:r>
      <w:r w:rsidR="0038663D" w:rsidRPr="0038663D">
        <w:rPr>
          <w:rFonts w:ascii="Arial" w:hAnsi="Arial" w:cs="Arial"/>
          <w:color w:val="333333"/>
          <w:sz w:val="24"/>
          <w:szCs w:val="24"/>
          <w:shd w:val="clear" w:color="auto" w:fill="FFFFFF"/>
          <w:lang w:eastAsia="zh-CN"/>
        </w:rPr>
        <w:t>使用可再生能源提供热量和流动</w:t>
      </w:r>
      <w:r w:rsidR="0038663D" w:rsidRPr="0038663D">
        <w:rPr>
          <w:rFonts w:ascii="SimSun" w:hAnsi="SimSun" w:cs="SimSun" w:hint="eastAsia"/>
          <w:color w:val="333333"/>
          <w:sz w:val="24"/>
          <w:szCs w:val="24"/>
          <w:shd w:val="clear" w:color="auto" w:fill="FFFFFF"/>
          <w:lang w:eastAsia="zh-CN"/>
        </w:rPr>
        <w:t>性</w:t>
      </w:r>
      <w:r w:rsidRPr="0038663D">
        <w:rPr>
          <w:rFonts w:hint="eastAsia"/>
          <w:kern w:val="22"/>
          <w:sz w:val="24"/>
          <w:szCs w:val="24"/>
          <w:lang w:eastAsia="zh-CN"/>
        </w:rPr>
        <w:t>。</w:t>
      </w:r>
      <w:r w:rsidR="00460946" w:rsidRPr="0043210C">
        <w:rPr>
          <w:rFonts w:hint="eastAsia"/>
          <w:kern w:val="22"/>
          <w:sz w:val="24"/>
          <w:szCs w:val="24"/>
          <w:lang w:eastAsia="zh-CN"/>
        </w:rPr>
        <w:t>新一代生物燃料正在开发中，但</w:t>
      </w:r>
      <w:r w:rsidR="0038663D">
        <w:rPr>
          <w:rFonts w:hint="eastAsia"/>
          <w:kern w:val="22"/>
          <w:sz w:val="24"/>
          <w:szCs w:val="24"/>
          <w:lang w:eastAsia="zh-CN"/>
        </w:rPr>
        <w:t>是</w:t>
      </w:r>
      <w:r w:rsidR="0097544E" w:rsidRPr="0043210C">
        <w:rPr>
          <w:rFonts w:hint="eastAsia"/>
          <w:kern w:val="22"/>
          <w:sz w:val="24"/>
          <w:szCs w:val="24"/>
          <w:lang w:eastAsia="zh-CN"/>
        </w:rPr>
        <w:t>许多司法管辖区正在审查</w:t>
      </w:r>
      <w:r w:rsidR="00460946" w:rsidRPr="0043210C">
        <w:rPr>
          <w:rFonts w:hint="eastAsia"/>
          <w:kern w:val="22"/>
          <w:sz w:val="24"/>
          <w:szCs w:val="24"/>
          <w:lang w:eastAsia="zh-CN"/>
        </w:rPr>
        <w:t>它们在未来能源</w:t>
      </w:r>
      <w:r w:rsidR="0038663D">
        <w:rPr>
          <w:rFonts w:hint="eastAsia"/>
          <w:kern w:val="22"/>
          <w:sz w:val="24"/>
          <w:szCs w:val="24"/>
          <w:lang w:eastAsia="zh-CN"/>
        </w:rPr>
        <w:t>组合</w:t>
      </w:r>
      <w:r w:rsidR="00460946" w:rsidRPr="0043210C">
        <w:rPr>
          <w:rFonts w:hint="eastAsia"/>
          <w:kern w:val="22"/>
          <w:sz w:val="24"/>
          <w:szCs w:val="24"/>
          <w:lang w:eastAsia="zh-CN"/>
        </w:rPr>
        <w:t>中的潜在作用。面对日益增长的需求，努力提高现有能源基础设施的效率也将变得</w:t>
      </w:r>
      <w:r w:rsidR="009F32D2">
        <w:rPr>
          <w:rFonts w:hint="eastAsia"/>
          <w:kern w:val="22"/>
          <w:sz w:val="24"/>
          <w:szCs w:val="24"/>
          <w:lang w:eastAsia="zh-CN"/>
        </w:rPr>
        <w:t>越益</w:t>
      </w:r>
      <w:r w:rsidR="00460946" w:rsidRPr="0043210C">
        <w:rPr>
          <w:rFonts w:hint="eastAsia"/>
          <w:kern w:val="22"/>
          <w:sz w:val="24"/>
          <w:szCs w:val="24"/>
          <w:lang w:eastAsia="zh-CN"/>
        </w:rPr>
        <w:t>重要。核能</w:t>
      </w:r>
      <w:r w:rsidR="009F32D2">
        <w:rPr>
          <w:rFonts w:hint="eastAsia"/>
          <w:kern w:val="22"/>
          <w:sz w:val="24"/>
          <w:szCs w:val="24"/>
          <w:lang w:eastAsia="zh-CN"/>
        </w:rPr>
        <w:t>的贡献</w:t>
      </w:r>
      <w:r w:rsidR="00460946" w:rsidRPr="0043210C">
        <w:rPr>
          <w:rFonts w:hint="eastAsia"/>
          <w:kern w:val="22"/>
          <w:sz w:val="24"/>
          <w:szCs w:val="24"/>
          <w:lang w:eastAsia="zh-CN"/>
        </w:rPr>
        <w:t>尽管可能</w:t>
      </w:r>
      <w:r w:rsidR="0038663D">
        <w:rPr>
          <w:rFonts w:hint="eastAsia"/>
          <w:kern w:val="22"/>
          <w:sz w:val="24"/>
          <w:szCs w:val="24"/>
          <w:lang w:eastAsia="zh-CN"/>
        </w:rPr>
        <w:t>仍然</w:t>
      </w:r>
      <w:r w:rsidR="00460946" w:rsidRPr="0043210C">
        <w:rPr>
          <w:rFonts w:hint="eastAsia"/>
          <w:kern w:val="22"/>
          <w:sz w:val="24"/>
          <w:szCs w:val="24"/>
          <w:lang w:eastAsia="zh-CN"/>
        </w:rPr>
        <w:t>相对较小，但预</w:t>
      </w:r>
      <w:r w:rsidR="00460946">
        <w:rPr>
          <w:rFonts w:hint="eastAsia"/>
          <w:kern w:val="22"/>
          <w:sz w:val="24"/>
          <w:szCs w:val="24"/>
          <w:lang w:eastAsia="zh-CN"/>
        </w:rPr>
        <w:t>测</w:t>
      </w:r>
      <w:r w:rsidR="00460946" w:rsidRPr="0043210C">
        <w:rPr>
          <w:rFonts w:hint="eastAsia"/>
          <w:kern w:val="22"/>
          <w:sz w:val="24"/>
          <w:szCs w:val="24"/>
          <w:lang w:eastAsia="zh-CN"/>
        </w:rPr>
        <w:t>将会增加</w:t>
      </w:r>
      <w:r w:rsidR="00B60FA8" w:rsidRPr="00B52A50">
        <w:rPr>
          <w:kern w:val="22"/>
          <w:sz w:val="24"/>
          <w:szCs w:val="24"/>
          <w:lang w:eastAsia="zh-CN"/>
        </w:rPr>
        <w:t xml:space="preserve"> </w:t>
      </w:r>
      <w:r w:rsidR="001D2A37">
        <w:rPr>
          <w:rFonts w:hint="eastAsia"/>
          <w:kern w:val="22"/>
          <w:sz w:val="24"/>
          <w:szCs w:val="24"/>
          <w:lang w:eastAsia="zh-CN"/>
        </w:rPr>
        <w:t>。</w:t>
      </w:r>
    </w:p>
    <w:p w14:paraId="686F2796" w14:textId="77777777" w:rsidR="00B60FA8" w:rsidRPr="00B52A50" w:rsidRDefault="00460946"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Pr>
          <w:rFonts w:hint="eastAsia"/>
          <w:kern w:val="22"/>
          <w:sz w:val="24"/>
          <w:szCs w:val="24"/>
          <w:lang w:eastAsia="zh-CN"/>
        </w:rPr>
        <w:t>采</w:t>
      </w:r>
      <w:r w:rsidRPr="00460946">
        <w:rPr>
          <w:rFonts w:hint="eastAsia"/>
          <w:kern w:val="22"/>
          <w:sz w:val="24"/>
          <w:szCs w:val="24"/>
          <w:lang w:eastAsia="zh-CN"/>
        </w:rPr>
        <w:t>矿业在许多国家的经济发展中</w:t>
      </w:r>
      <w:r w:rsidR="001D2A37">
        <w:rPr>
          <w:rFonts w:hint="eastAsia"/>
          <w:kern w:val="22"/>
          <w:sz w:val="24"/>
          <w:szCs w:val="24"/>
          <w:lang w:eastAsia="zh-CN"/>
        </w:rPr>
        <w:t>起</w:t>
      </w:r>
      <w:r w:rsidRPr="00460946">
        <w:rPr>
          <w:rFonts w:hint="eastAsia"/>
          <w:kern w:val="22"/>
          <w:sz w:val="24"/>
          <w:szCs w:val="24"/>
          <w:lang w:eastAsia="zh-CN"/>
        </w:rPr>
        <w:t>着</w:t>
      </w:r>
      <w:r>
        <w:rPr>
          <w:rFonts w:hint="eastAsia"/>
          <w:kern w:val="22"/>
          <w:sz w:val="24"/>
          <w:szCs w:val="24"/>
          <w:lang w:eastAsia="zh-CN"/>
        </w:rPr>
        <w:t>十分重要的</w:t>
      </w:r>
      <w:r w:rsidRPr="00460946">
        <w:rPr>
          <w:rFonts w:hint="eastAsia"/>
          <w:kern w:val="22"/>
          <w:sz w:val="24"/>
          <w:szCs w:val="24"/>
          <w:lang w:eastAsia="zh-CN"/>
        </w:rPr>
        <w:t>作用（世界银行</w:t>
      </w:r>
      <w:r w:rsidR="0019663B">
        <w:rPr>
          <w:rFonts w:hint="eastAsia"/>
          <w:kern w:val="22"/>
          <w:sz w:val="24"/>
          <w:szCs w:val="24"/>
          <w:lang w:eastAsia="zh-CN"/>
        </w:rPr>
        <w:t>查明有</w:t>
      </w:r>
      <w:r w:rsidRPr="00460946">
        <w:rPr>
          <w:rFonts w:hint="eastAsia"/>
          <w:kern w:val="22"/>
          <w:sz w:val="24"/>
          <w:szCs w:val="24"/>
          <w:lang w:eastAsia="zh-CN"/>
        </w:rPr>
        <w:t>81</w:t>
      </w:r>
      <w:r w:rsidRPr="00460946">
        <w:rPr>
          <w:rFonts w:hint="eastAsia"/>
          <w:kern w:val="22"/>
          <w:sz w:val="24"/>
          <w:szCs w:val="24"/>
          <w:lang w:eastAsia="zh-CN"/>
        </w:rPr>
        <w:t>个</w:t>
      </w:r>
      <w:r w:rsidR="0019663B">
        <w:rPr>
          <w:rFonts w:hint="eastAsia"/>
          <w:kern w:val="22"/>
          <w:sz w:val="24"/>
          <w:szCs w:val="24"/>
          <w:lang w:eastAsia="zh-CN"/>
        </w:rPr>
        <w:t>国家其</w:t>
      </w:r>
      <w:r w:rsidRPr="00460946">
        <w:rPr>
          <w:rFonts w:hint="eastAsia"/>
          <w:kern w:val="22"/>
          <w:sz w:val="24"/>
          <w:szCs w:val="24"/>
          <w:lang w:eastAsia="zh-CN"/>
        </w:rPr>
        <w:t>不可再生矿</w:t>
      </w:r>
      <w:r w:rsidR="0019663B">
        <w:rPr>
          <w:rFonts w:hint="eastAsia"/>
          <w:kern w:val="22"/>
          <w:sz w:val="24"/>
          <w:szCs w:val="24"/>
          <w:lang w:eastAsia="zh-CN"/>
        </w:rPr>
        <w:t>物</w:t>
      </w:r>
      <w:r w:rsidRPr="00460946">
        <w:rPr>
          <w:rFonts w:hint="eastAsia"/>
          <w:kern w:val="22"/>
          <w:sz w:val="24"/>
          <w:szCs w:val="24"/>
          <w:lang w:eastAsia="zh-CN"/>
        </w:rPr>
        <w:t>资源</w:t>
      </w:r>
      <w:r w:rsidR="0019663B">
        <w:rPr>
          <w:rFonts w:hint="eastAsia"/>
          <w:kern w:val="22"/>
          <w:sz w:val="24"/>
          <w:szCs w:val="24"/>
          <w:lang w:eastAsia="zh-CN"/>
        </w:rPr>
        <w:t>在国内</w:t>
      </w:r>
      <w:r w:rsidRPr="00460946">
        <w:rPr>
          <w:rFonts w:hint="eastAsia"/>
          <w:kern w:val="22"/>
          <w:sz w:val="24"/>
          <w:szCs w:val="24"/>
          <w:lang w:eastAsia="zh-CN"/>
        </w:rPr>
        <w:t>“占主导地位”</w:t>
      </w:r>
      <w:bookmarkStart w:id="1" w:name="_Ref511420423"/>
      <w:r w:rsidR="0019663B" w:rsidRPr="0019663B">
        <w:rPr>
          <w:rStyle w:val="FootnoteReference"/>
          <w:kern w:val="22"/>
          <w:szCs w:val="24"/>
          <w:lang w:eastAsia="zh-CN"/>
        </w:rPr>
        <w:t xml:space="preserve"> </w:t>
      </w:r>
      <w:r w:rsidR="0019663B" w:rsidRPr="0019663B">
        <w:rPr>
          <w:rStyle w:val="FootnoteReference"/>
          <w:kern w:val="22"/>
          <w:szCs w:val="24"/>
        </w:rPr>
        <w:footnoteReference w:id="4"/>
      </w:r>
      <w:bookmarkEnd w:id="1"/>
      <w:r w:rsidRPr="00460946">
        <w:rPr>
          <w:rFonts w:hint="eastAsia"/>
          <w:kern w:val="22"/>
          <w:sz w:val="24"/>
          <w:szCs w:val="24"/>
          <w:lang w:eastAsia="zh-CN"/>
        </w:rPr>
        <w:t>），并且可以</w:t>
      </w:r>
      <w:r w:rsidR="0019663B">
        <w:rPr>
          <w:rFonts w:hint="eastAsia"/>
          <w:kern w:val="22"/>
          <w:sz w:val="24"/>
          <w:szCs w:val="24"/>
          <w:lang w:eastAsia="zh-CN"/>
        </w:rPr>
        <w:t>对</w:t>
      </w:r>
      <w:r w:rsidRPr="00460946">
        <w:rPr>
          <w:rFonts w:hint="eastAsia"/>
          <w:kern w:val="22"/>
          <w:sz w:val="24"/>
          <w:szCs w:val="24"/>
          <w:lang w:eastAsia="zh-CN"/>
        </w:rPr>
        <w:t>就业和创收</w:t>
      </w:r>
      <w:proofErr w:type="gramStart"/>
      <w:r w:rsidR="0019663B">
        <w:rPr>
          <w:rFonts w:hint="eastAsia"/>
          <w:kern w:val="22"/>
          <w:sz w:val="24"/>
          <w:szCs w:val="24"/>
          <w:lang w:eastAsia="zh-CN"/>
        </w:rPr>
        <w:t>作出</w:t>
      </w:r>
      <w:proofErr w:type="gramEnd"/>
      <w:r w:rsidRPr="00460946">
        <w:rPr>
          <w:rFonts w:hint="eastAsia"/>
          <w:kern w:val="22"/>
          <w:sz w:val="24"/>
          <w:szCs w:val="24"/>
          <w:lang w:eastAsia="zh-CN"/>
        </w:rPr>
        <w:t>重要贡献，特别是在低收入国家</w:t>
      </w:r>
      <w:r w:rsidR="0019663B" w:rsidRPr="0019663B">
        <w:rPr>
          <w:rStyle w:val="FootnoteReference"/>
          <w:kern w:val="22"/>
          <w:szCs w:val="24"/>
        </w:rPr>
        <w:footnoteReference w:id="5"/>
      </w:r>
      <w:r w:rsidR="008033F9">
        <w:rPr>
          <w:rFonts w:hint="eastAsia"/>
          <w:kern w:val="22"/>
          <w:sz w:val="24"/>
          <w:szCs w:val="24"/>
          <w:lang w:eastAsia="zh-CN"/>
        </w:rPr>
        <w:t>。</w:t>
      </w:r>
      <w:r w:rsidR="0019663B" w:rsidRPr="00460946">
        <w:rPr>
          <w:rFonts w:hint="eastAsia"/>
          <w:kern w:val="22"/>
          <w:sz w:val="24"/>
          <w:szCs w:val="24"/>
          <w:lang w:eastAsia="zh-CN"/>
        </w:rPr>
        <w:t>全球对金属和矿物的需求正在增加，主要原因与能源部门类似。由于大型采矿业倾向于开采浓度</w:t>
      </w:r>
      <w:r w:rsidR="004E0B06">
        <w:rPr>
          <w:rFonts w:hint="eastAsia"/>
          <w:kern w:val="22"/>
          <w:sz w:val="24"/>
          <w:szCs w:val="24"/>
          <w:lang w:eastAsia="zh-CN"/>
        </w:rPr>
        <w:t>越来越</w:t>
      </w:r>
      <w:r w:rsidR="0019663B" w:rsidRPr="00460946">
        <w:rPr>
          <w:rFonts w:hint="eastAsia"/>
          <w:kern w:val="22"/>
          <w:sz w:val="24"/>
          <w:szCs w:val="24"/>
          <w:lang w:eastAsia="zh-CN"/>
        </w:rPr>
        <w:t>低的矿石，未来此类采矿作业的足迹可能会增加。此外，技术的进步促进</w:t>
      </w:r>
      <w:r w:rsidR="005F2962">
        <w:rPr>
          <w:rFonts w:hint="eastAsia"/>
          <w:kern w:val="22"/>
          <w:sz w:val="24"/>
          <w:szCs w:val="24"/>
          <w:lang w:eastAsia="zh-CN"/>
        </w:rPr>
        <w:t>在</w:t>
      </w:r>
      <w:r w:rsidR="0019663B" w:rsidRPr="00460946">
        <w:rPr>
          <w:rFonts w:hint="eastAsia"/>
          <w:kern w:val="22"/>
          <w:sz w:val="24"/>
          <w:szCs w:val="24"/>
          <w:lang w:eastAsia="zh-CN"/>
        </w:rPr>
        <w:t>新</w:t>
      </w:r>
      <w:r w:rsidR="001D2A37">
        <w:rPr>
          <w:rFonts w:hint="eastAsia"/>
          <w:kern w:val="22"/>
          <w:sz w:val="24"/>
          <w:szCs w:val="24"/>
          <w:lang w:eastAsia="zh-CN"/>
        </w:rPr>
        <w:t>地点</w:t>
      </w:r>
      <w:r w:rsidR="0019663B" w:rsidRPr="00460946">
        <w:rPr>
          <w:rFonts w:hint="eastAsia"/>
          <w:kern w:val="22"/>
          <w:sz w:val="24"/>
          <w:szCs w:val="24"/>
          <w:lang w:eastAsia="zh-CN"/>
        </w:rPr>
        <w:t>的采矿作业，</w:t>
      </w:r>
      <w:r w:rsidR="001D2A37">
        <w:rPr>
          <w:rFonts w:hint="eastAsia"/>
          <w:kern w:val="22"/>
          <w:sz w:val="24"/>
          <w:szCs w:val="24"/>
          <w:lang w:eastAsia="zh-CN"/>
        </w:rPr>
        <w:t>比</w:t>
      </w:r>
      <w:r w:rsidR="0019663B" w:rsidRPr="00460946">
        <w:rPr>
          <w:rFonts w:hint="eastAsia"/>
          <w:kern w:val="22"/>
          <w:sz w:val="24"/>
          <w:szCs w:val="24"/>
          <w:lang w:eastAsia="zh-CN"/>
        </w:rPr>
        <w:t>如深海床。</w:t>
      </w:r>
    </w:p>
    <w:p w14:paraId="0B4E997C" w14:textId="5364DA6C" w:rsidR="00B60FA8" w:rsidRPr="00B52A50" w:rsidRDefault="005F2962"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Pr>
          <w:rFonts w:hint="eastAsia"/>
          <w:kern w:val="22"/>
          <w:sz w:val="24"/>
          <w:szCs w:val="24"/>
          <w:lang w:eastAsia="zh-CN"/>
        </w:rPr>
        <w:t>转</w:t>
      </w:r>
      <w:r w:rsidR="00A03647">
        <w:rPr>
          <w:rFonts w:hint="eastAsia"/>
          <w:kern w:val="22"/>
          <w:sz w:val="24"/>
          <w:szCs w:val="24"/>
          <w:lang w:eastAsia="zh-CN"/>
        </w:rPr>
        <w:t>向</w:t>
      </w:r>
      <w:r w:rsidR="002547EA" w:rsidRPr="002547EA">
        <w:rPr>
          <w:rFonts w:hint="eastAsia"/>
          <w:kern w:val="22"/>
          <w:sz w:val="24"/>
          <w:szCs w:val="24"/>
          <w:lang w:eastAsia="zh-CN"/>
        </w:rPr>
        <w:t>可再生能源和新技术的增</w:t>
      </w:r>
      <w:r w:rsidR="009F32D2">
        <w:rPr>
          <w:rFonts w:hint="eastAsia"/>
          <w:kern w:val="22"/>
          <w:sz w:val="24"/>
          <w:szCs w:val="24"/>
          <w:lang w:eastAsia="zh-CN"/>
        </w:rPr>
        <w:t>多</w:t>
      </w:r>
      <w:r w:rsidR="002547EA" w:rsidRPr="002547EA">
        <w:rPr>
          <w:rFonts w:hint="eastAsia"/>
          <w:kern w:val="22"/>
          <w:sz w:val="24"/>
          <w:szCs w:val="24"/>
          <w:lang w:eastAsia="zh-CN"/>
        </w:rPr>
        <w:t>可能会增加对某些特定采矿材料的需求</w:t>
      </w:r>
      <w:r w:rsidR="00A03647">
        <w:rPr>
          <w:rFonts w:hint="eastAsia"/>
          <w:kern w:val="22"/>
          <w:sz w:val="24"/>
          <w:szCs w:val="24"/>
          <w:lang w:eastAsia="zh-CN"/>
        </w:rPr>
        <w:t>。</w:t>
      </w:r>
      <w:r w:rsidR="00BC2F89" w:rsidRPr="00B52A50">
        <w:rPr>
          <w:kern w:val="22"/>
          <w:sz w:val="24"/>
          <w:szCs w:val="24"/>
          <w:vertAlign w:val="superscript"/>
        </w:rPr>
        <w:fldChar w:fldCharType="begin"/>
      </w:r>
      <w:r w:rsidR="00BC2F89" w:rsidRPr="00B52A50">
        <w:rPr>
          <w:kern w:val="22"/>
          <w:sz w:val="24"/>
          <w:szCs w:val="24"/>
          <w:vertAlign w:val="superscript"/>
          <w:lang w:eastAsia="zh-CN"/>
        </w:rPr>
        <w:instrText xml:space="preserve"> NOTEREF _Ref511420423 \h  \* MERGEFORMAT </w:instrText>
      </w:r>
      <w:r w:rsidR="00BC2F89" w:rsidRPr="00B52A50">
        <w:rPr>
          <w:kern w:val="22"/>
          <w:sz w:val="24"/>
          <w:szCs w:val="24"/>
          <w:vertAlign w:val="superscript"/>
        </w:rPr>
      </w:r>
      <w:r w:rsidR="00BC2F89" w:rsidRPr="00B52A50">
        <w:rPr>
          <w:kern w:val="22"/>
          <w:sz w:val="24"/>
          <w:szCs w:val="24"/>
          <w:vertAlign w:val="superscript"/>
        </w:rPr>
        <w:fldChar w:fldCharType="separate"/>
      </w:r>
      <w:r w:rsidR="008661BC">
        <w:rPr>
          <w:kern w:val="22"/>
          <w:sz w:val="24"/>
          <w:szCs w:val="24"/>
          <w:vertAlign w:val="superscript"/>
          <w:lang w:eastAsia="zh-CN"/>
        </w:rPr>
        <w:t>3</w:t>
      </w:r>
      <w:r w:rsidR="00BC2F89" w:rsidRPr="00B52A50">
        <w:rPr>
          <w:kern w:val="22"/>
          <w:sz w:val="24"/>
          <w:szCs w:val="24"/>
          <w:vertAlign w:val="superscript"/>
        </w:rPr>
        <w:fldChar w:fldCharType="end"/>
      </w:r>
      <w:r w:rsidR="00A03647">
        <w:rPr>
          <w:rFonts w:hint="eastAsia"/>
          <w:kern w:val="22"/>
          <w:sz w:val="24"/>
          <w:szCs w:val="24"/>
          <w:vertAlign w:val="superscript"/>
          <w:lang w:eastAsia="zh-CN"/>
        </w:rPr>
        <w:t xml:space="preserve"> </w:t>
      </w:r>
      <w:r w:rsidR="00BC2F89">
        <w:rPr>
          <w:rFonts w:hint="eastAsia"/>
          <w:kern w:val="22"/>
          <w:sz w:val="24"/>
          <w:szCs w:val="24"/>
          <w:lang w:eastAsia="zh-CN"/>
        </w:rPr>
        <w:t>对</w:t>
      </w:r>
      <w:r w:rsidR="002547EA" w:rsidRPr="002547EA">
        <w:rPr>
          <w:rFonts w:hint="eastAsia"/>
          <w:kern w:val="22"/>
          <w:sz w:val="24"/>
          <w:szCs w:val="24"/>
          <w:lang w:eastAsia="zh-CN"/>
        </w:rPr>
        <w:t>能源储存需求的增长（例如许多可再生能源所需的</w:t>
      </w:r>
      <w:r w:rsidR="00BC2F89">
        <w:rPr>
          <w:rFonts w:hint="eastAsia"/>
          <w:kern w:val="22"/>
          <w:sz w:val="24"/>
          <w:szCs w:val="24"/>
          <w:lang w:eastAsia="zh-CN"/>
        </w:rPr>
        <w:t>储存</w:t>
      </w:r>
      <w:r w:rsidR="002547EA" w:rsidRPr="002547EA">
        <w:rPr>
          <w:rFonts w:hint="eastAsia"/>
          <w:kern w:val="22"/>
          <w:sz w:val="24"/>
          <w:szCs w:val="24"/>
          <w:lang w:eastAsia="zh-CN"/>
        </w:rPr>
        <w:t>）</w:t>
      </w:r>
      <w:r w:rsidR="005D7ED0">
        <w:rPr>
          <w:rFonts w:hint="eastAsia"/>
          <w:kern w:val="22"/>
          <w:sz w:val="24"/>
          <w:szCs w:val="24"/>
          <w:lang w:eastAsia="zh-CN"/>
        </w:rPr>
        <w:t>，</w:t>
      </w:r>
      <w:r w:rsidR="00A746CA">
        <w:rPr>
          <w:rFonts w:hint="eastAsia"/>
          <w:kern w:val="22"/>
          <w:sz w:val="24"/>
          <w:szCs w:val="24"/>
          <w:lang w:eastAsia="zh-CN"/>
        </w:rPr>
        <w:t>制造</w:t>
      </w:r>
      <w:r w:rsidR="00A746CA" w:rsidRPr="002547EA">
        <w:rPr>
          <w:rFonts w:hint="eastAsia"/>
          <w:kern w:val="22"/>
          <w:sz w:val="24"/>
          <w:szCs w:val="24"/>
          <w:lang w:eastAsia="zh-CN"/>
        </w:rPr>
        <w:t>电池</w:t>
      </w:r>
      <w:r w:rsidR="002547EA" w:rsidRPr="002547EA">
        <w:rPr>
          <w:rFonts w:hint="eastAsia"/>
          <w:kern w:val="22"/>
          <w:sz w:val="24"/>
          <w:szCs w:val="24"/>
          <w:lang w:eastAsia="zh-CN"/>
        </w:rPr>
        <w:t>对轻金属（如锂）的需求</w:t>
      </w:r>
      <w:r w:rsidR="005D7ED0" w:rsidRPr="002547EA">
        <w:rPr>
          <w:rFonts w:hint="eastAsia"/>
          <w:kern w:val="22"/>
          <w:sz w:val="24"/>
          <w:szCs w:val="24"/>
          <w:lang w:eastAsia="zh-CN"/>
        </w:rPr>
        <w:t>也可能增加</w:t>
      </w:r>
      <w:r w:rsidR="002547EA" w:rsidRPr="002547EA">
        <w:rPr>
          <w:rFonts w:hint="eastAsia"/>
          <w:kern w:val="22"/>
          <w:sz w:val="24"/>
          <w:szCs w:val="24"/>
          <w:lang w:eastAsia="zh-CN"/>
        </w:rPr>
        <w:t>。</w:t>
      </w:r>
      <w:r w:rsidR="009F32D2">
        <w:rPr>
          <w:rFonts w:hint="eastAsia"/>
          <w:kern w:val="22"/>
          <w:sz w:val="24"/>
          <w:szCs w:val="24"/>
          <w:lang w:eastAsia="zh-CN"/>
        </w:rPr>
        <w:t>为</w:t>
      </w:r>
      <w:r w:rsidR="00A746CA" w:rsidRPr="002547EA">
        <w:rPr>
          <w:rFonts w:hint="eastAsia"/>
          <w:kern w:val="22"/>
          <w:sz w:val="24"/>
          <w:szCs w:val="24"/>
          <w:lang w:eastAsia="zh-CN"/>
        </w:rPr>
        <w:t>这类产品</w:t>
      </w:r>
      <w:r w:rsidR="009F32D2">
        <w:rPr>
          <w:rFonts w:hint="eastAsia"/>
          <w:kern w:val="22"/>
          <w:sz w:val="24"/>
          <w:szCs w:val="24"/>
          <w:lang w:eastAsia="zh-CN"/>
        </w:rPr>
        <w:t>进行采掘</w:t>
      </w:r>
      <w:r w:rsidR="00A746CA" w:rsidRPr="002547EA">
        <w:rPr>
          <w:rFonts w:hint="eastAsia"/>
          <w:kern w:val="22"/>
          <w:sz w:val="24"/>
          <w:szCs w:val="24"/>
          <w:lang w:eastAsia="zh-CN"/>
        </w:rPr>
        <w:t>可能会导致</w:t>
      </w:r>
      <w:r w:rsidR="00A746CA">
        <w:rPr>
          <w:rFonts w:hint="eastAsia"/>
          <w:kern w:val="22"/>
          <w:sz w:val="24"/>
          <w:szCs w:val="24"/>
          <w:lang w:eastAsia="zh-CN"/>
        </w:rPr>
        <w:t>与此</w:t>
      </w:r>
      <w:r w:rsidR="00BC2F89" w:rsidRPr="002547EA">
        <w:rPr>
          <w:rFonts w:hint="eastAsia"/>
          <w:kern w:val="22"/>
          <w:sz w:val="24"/>
          <w:szCs w:val="24"/>
          <w:lang w:eastAsia="zh-CN"/>
        </w:rPr>
        <w:t>有关的</w:t>
      </w:r>
      <w:r w:rsidR="00A746CA">
        <w:rPr>
          <w:rFonts w:hint="eastAsia"/>
          <w:kern w:val="22"/>
          <w:sz w:val="24"/>
          <w:szCs w:val="24"/>
          <w:lang w:eastAsia="zh-CN"/>
        </w:rPr>
        <w:t>对</w:t>
      </w:r>
      <w:r w:rsidR="00BC2F89" w:rsidRPr="002547EA">
        <w:rPr>
          <w:rFonts w:hint="eastAsia"/>
          <w:kern w:val="22"/>
          <w:sz w:val="24"/>
          <w:szCs w:val="24"/>
          <w:lang w:eastAsia="zh-CN"/>
        </w:rPr>
        <w:t>生物多样性和生态系统服务的潜在影响，包括不可持续的用水</w:t>
      </w:r>
      <w:r w:rsidR="00A03647">
        <w:rPr>
          <w:rFonts w:hint="eastAsia"/>
          <w:kern w:val="22"/>
          <w:sz w:val="24"/>
          <w:szCs w:val="24"/>
          <w:lang w:eastAsia="zh-CN"/>
        </w:rPr>
        <w:t>量</w:t>
      </w:r>
      <w:r w:rsidR="00BC2F89" w:rsidRPr="002547EA">
        <w:rPr>
          <w:rFonts w:hint="eastAsia"/>
          <w:kern w:val="22"/>
          <w:sz w:val="24"/>
          <w:szCs w:val="24"/>
          <w:lang w:eastAsia="zh-CN"/>
        </w:rPr>
        <w:t>，</w:t>
      </w:r>
      <w:r w:rsidR="00010069">
        <w:rPr>
          <w:rFonts w:hint="eastAsia"/>
          <w:kern w:val="22"/>
          <w:sz w:val="24"/>
          <w:szCs w:val="24"/>
          <w:lang w:eastAsia="zh-CN"/>
        </w:rPr>
        <w:t>有害或无害</w:t>
      </w:r>
      <w:r w:rsidR="00BC2F89" w:rsidRPr="002547EA">
        <w:rPr>
          <w:rFonts w:hint="eastAsia"/>
          <w:kern w:val="22"/>
          <w:sz w:val="24"/>
          <w:szCs w:val="24"/>
          <w:lang w:eastAsia="zh-CN"/>
        </w:rPr>
        <w:t>污染。智能手机</w:t>
      </w:r>
      <w:r w:rsidR="00A746CA">
        <w:rPr>
          <w:rFonts w:hint="eastAsia"/>
          <w:kern w:val="22"/>
          <w:sz w:val="24"/>
          <w:szCs w:val="24"/>
          <w:lang w:eastAsia="zh-CN"/>
        </w:rPr>
        <w:t>、</w:t>
      </w:r>
      <w:r w:rsidR="00BC2F89" w:rsidRPr="002547EA">
        <w:rPr>
          <w:rFonts w:hint="eastAsia"/>
          <w:kern w:val="22"/>
          <w:sz w:val="24"/>
          <w:szCs w:val="24"/>
          <w:lang w:eastAsia="zh-CN"/>
        </w:rPr>
        <w:t>计算机和混合动力车和电</w:t>
      </w:r>
      <w:r w:rsidR="00BC2F89" w:rsidRPr="002547EA">
        <w:rPr>
          <w:rFonts w:hint="eastAsia"/>
          <w:kern w:val="22"/>
          <w:sz w:val="24"/>
          <w:szCs w:val="24"/>
          <w:lang w:eastAsia="zh-CN"/>
        </w:rPr>
        <w:lastRenderedPageBreak/>
        <w:t>动车电池</w:t>
      </w:r>
      <w:r w:rsidR="00A746CA">
        <w:rPr>
          <w:rFonts w:hint="eastAsia"/>
          <w:kern w:val="22"/>
          <w:sz w:val="24"/>
          <w:szCs w:val="24"/>
          <w:lang w:eastAsia="zh-CN"/>
        </w:rPr>
        <w:t>等技术</w:t>
      </w:r>
      <w:r w:rsidR="00BC2F89" w:rsidRPr="002547EA">
        <w:rPr>
          <w:rFonts w:hint="eastAsia"/>
          <w:kern w:val="22"/>
          <w:sz w:val="24"/>
          <w:szCs w:val="24"/>
          <w:lang w:eastAsia="zh-CN"/>
        </w:rPr>
        <w:t>所需的稀土元素</w:t>
      </w:r>
      <w:r w:rsidR="009F32D2">
        <w:rPr>
          <w:rFonts w:hint="eastAsia"/>
          <w:kern w:val="22"/>
          <w:sz w:val="24"/>
          <w:szCs w:val="24"/>
          <w:lang w:eastAsia="zh-CN"/>
        </w:rPr>
        <w:t>即是一例子</w:t>
      </w:r>
      <w:r w:rsidR="00BC2F89" w:rsidRPr="002547EA">
        <w:rPr>
          <w:rFonts w:hint="eastAsia"/>
          <w:kern w:val="22"/>
          <w:sz w:val="24"/>
          <w:szCs w:val="24"/>
          <w:lang w:eastAsia="zh-CN"/>
        </w:rPr>
        <w:t>。中国占世界稀土元素总产量的</w:t>
      </w:r>
      <w:r w:rsidR="00BC2F89" w:rsidRPr="002547EA">
        <w:rPr>
          <w:rFonts w:hint="eastAsia"/>
          <w:kern w:val="22"/>
          <w:sz w:val="24"/>
          <w:szCs w:val="24"/>
          <w:lang w:eastAsia="zh-CN"/>
        </w:rPr>
        <w:t>90</w:t>
      </w:r>
      <w:r w:rsidR="00BC2F89" w:rsidRPr="002547EA">
        <w:rPr>
          <w:rFonts w:hint="eastAsia"/>
          <w:kern w:val="22"/>
          <w:sz w:val="24"/>
          <w:szCs w:val="24"/>
          <w:lang w:eastAsia="zh-CN"/>
        </w:rPr>
        <w:t>％以上，</w:t>
      </w:r>
      <w:r w:rsidR="00A746CA">
        <w:rPr>
          <w:rFonts w:hint="eastAsia"/>
          <w:kern w:val="22"/>
          <w:sz w:val="24"/>
          <w:szCs w:val="24"/>
          <w:lang w:eastAsia="zh-CN"/>
        </w:rPr>
        <w:t>在</w:t>
      </w:r>
      <w:r w:rsidR="00BC2F89" w:rsidRPr="002547EA">
        <w:rPr>
          <w:rFonts w:hint="eastAsia"/>
          <w:kern w:val="22"/>
          <w:sz w:val="24"/>
          <w:szCs w:val="24"/>
          <w:lang w:eastAsia="zh-CN"/>
        </w:rPr>
        <w:t>巴西和澳大利亚</w:t>
      </w:r>
      <w:r w:rsidR="00A746CA">
        <w:rPr>
          <w:rFonts w:hint="eastAsia"/>
          <w:kern w:val="22"/>
          <w:sz w:val="24"/>
          <w:szCs w:val="24"/>
          <w:lang w:eastAsia="zh-CN"/>
        </w:rPr>
        <w:t>也发现了大量</w:t>
      </w:r>
      <w:r w:rsidR="00BC2F89" w:rsidRPr="002547EA">
        <w:rPr>
          <w:rFonts w:hint="eastAsia"/>
          <w:kern w:val="22"/>
          <w:sz w:val="24"/>
          <w:szCs w:val="24"/>
          <w:lang w:eastAsia="zh-CN"/>
        </w:rPr>
        <w:t>稀土元素</w:t>
      </w:r>
      <w:r w:rsidR="00A746CA" w:rsidRPr="00A746CA">
        <w:rPr>
          <w:rStyle w:val="FootnoteReference"/>
          <w:kern w:val="22"/>
          <w:szCs w:val="24"/>
        </w:rPr>
        <w:footnoteReference w:id="6"/>
      </w:r>
      <w:r w:rsidR="00E15C28">
        <w:rPr>
          <w:rFonts w:hint="eastAsia"/>
          <w:kern w:val="22"/>
          <w:sz w:val="24"/>
          <w:szCs w:val="24"/>
          <w:lang w:eastAsia="zh-CN"/>
        </w:rPr>
        <w:t>。</w:t>
      </w:r>
      <w:r w:rsidR="00A746CA">
        <w:rPr>
          <w:rFonts w:hint="eastAsia"/>
          <w:kern w:val="22"/>
          <w:sz w:val="24"/>
          <w:szCs w:val="24"/>
          <w:lang w:eastAsia="zh-CN"/>
        </w:rPr>
        <w:t xml:space="preserve"> </w:t>
      </w:r>
    </w:p>
    <w:p w14:paraId="6162E46A" w14:textId="77777777" w:rsidR="00B60FA8" w:rsidRPr="00B52A50" w:rsidRDefault="003F692A"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sidRPr="003F692A">
        <w:rPr>
          <w:rFonts w:hint="eastAsia"/>
          <w:kern w:val="22"/>
          <w:sz w:val="24"/>
          <w:szCs w:val="24"/>
          <w:lang w:eastAsia="zh-CN"/>
        </w:rPr>
        <w:t>由于基础设施</w:t>
      </w:r>
      <w:r w:rsidR="009F32D2">
        <w:rPr>
          <w:rFonts w:hint="eastAsia"/>
          <w:kern w:val="22"/>
          <w:sz w:val="24"/>
          <w:szCs w:val="24"/>
          <w:lang w:eastAsia="zh-CN"/>
        </w:rPr>
        <w:t>行业</w:t>
      </w:r>
      <w:r w:rsidRPr="003F692A">
        <w:rPr>
          <w:rFonts w:hint="eastAsia"/>
          <w:kern w:val="22"/>
          <w:sz w:val="24"/>
          <w:szCs w:val="24"/>
          <w:lang w:eastAsia="zh-CN"/>
        </w:rPr>
        <w:t>的增长，对沙</w:t>
      </w:r>
      <w:r>
        <w:rPr>
          <w:rFonts w:hint="eastAsia"/>
          <w:kern w:val="22"/>
          <w:sz w:val="24"/>
          <w:szCs w:val="24"/>
          <w:lang w:eastAsia="zh-CN"/>
        </w:rPr>
        <w:t>、</w:t>
      </w:r>
      <w:r w:rsidRPr="003F692A">
        <w:rPr>
          <w:rFonts w:hint="eastAsia"/>
          <w:kern w:val="22"/>
          <w:sz w:val="24"/>
          <w:szCs w:val="24"/>
          <w:lang w:eastAsia="zh-CN"/>
        </w:rPr>
        <w:t>砾石和集料及其他采矿产品的需求可能会增加。</w:t>
      </w:r>
      <w:r w:rsidRPr="003F692A">
        <w:rPr>
          <w:rFonts w:hint="eastAsia"/>
          <w:kern w:val="22"/>
          <w:sz w:val="24"/>
          <w:szCs w:val="24"/>
          <w:lang w:eastAsia="zh-CN"/>
        </w:rPr>
        <w:t xml:space="preserve"> </w:t>
      </w:r>
      <w:r w:rsidRPr="003F692A">
        <w:rPr>
          <w:rFonts w:hint="eastAsia"/>
          <w:kern w:val="22"/>
          <w:sz w:val="24"/>
          <w:szCs w:val="24"/>
          <w:lang w:eastAsia="zh-CN"/>
        </w:rPr>
        <w:t>在一些地区，采矿项目也在推动对基础设施投资</w:t>
      </w:r>
      <w:r>
        <w:rPr>
          <w:rFonts w:hint="eastAsia"/>
          <w:kern w:val="22"/>
          <w:sz w:val="24"/>
          <w:szCs w:val="24"/>
          <w:lang w:eastAsia="zh-CN"/>
        </w:rPr>
        <w:t>，</w:t>
      </w:r>
      <w:r w:rsidR="005D7ED0">
        <w:rPr>
          <w:rFonts w:hint="eastAsia"/>
          <w:kern w:val="22"/>
          <w:sz w:val="24"/>
          <w:szCs w:val="24"/>
          <w:lang w:eastAsia="zh-CN"/>
        </w:rPr>
        <w:t>以便</w:t>
      </w:r>
      <w:r>
        <w:rPr>
          <w:rFonts w:hint="eastAsia"/>
          <w:kern w:val="22"/>
          <w:sz w:val="24"/>
          <w:szCs w:val="24"/>
          <w:lang w:eastAsia="zh-CN"/>
        </w:rPr>
        <w:t>为</w:t>
      </w:r>
      <w:r w:rsidRPr="003F692A">
        <w:rPr>
          <w:rFonts w:hint="eastAsia"/>
          <w:kern w:val="22"/>
          <w:sz w:val="24"/>
          <w:szCs w:val="24"/>
          <w:lang w:eastAsia="zh-CN"/>
        </w:rPr>
        <w:t>这些行业服务</w:t>
      </w:r>
      <w:r>
        <w:rPr>
          <w:rFonts w:hint="eastAsia"/>
          <w:kern w:val="22"/>
          <w:sz w:val="24"/>
          <w:szCs w:val="24"/>
          <w:lang w:eastAsia="zh-CN"/>
        </w:rPr>
        <w:t>。</w:t>
      </w:r>
    </w:p>
    <w:p w14:paraId="29E1A375" w14:textId="1C3064DD" w:rsidR="00B60FA8" w:rsidRPr="00B52A50" w:rsidRDefault="003F692A"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sidRPr="003F692A">
        <w:rPr>
          <w:rFonts w:hint="eastAsia"/>
          <w:kern w:val="22"/>
          <w:sz w:val="24"/>
          <w:szCs w:val="24"/>
          <w:lang w:eastAsia="zh-CN"/>
        </w:rPr>
        <w:t>手工和小规模采矿为世界各地</w:t>
      </w:r>
      <w:r w:rsidR="009F32D2">
        <w:rPr>
          <w:rFonts w:hint="eastAsia"/>
          <w:kern w:val="22"/>
          <w:sz w:val="24"/>
          <w:szCs w:val="24"/>
          <w:lang w:eastAsia="zh-CN"/>
        </w:rPr>
        <w:t>数以</w:t>
      </w:r>
      <w:r w:rsidRPr="003F692A">
        <w:rPr>
          <w:rFonts w:hint="eastAsia"/>
          <w:kern w:val="22"/>
          <w:sz w:val="24"/>
          <w:szCs w:val="24"/>
          <w:lang w:eastAsia="zh-CN"/>
        </w:rPr>
        <w:t>百万</w:t>
      </w:r>
      <w:r w:rsidR="009F32D2">
        <w:rPr>
          <w:rFonts w:hint="eastAsia"/>
          <w:kern w:val="22"/>
          <w:sz w:val="24"/>
          <w:szCs w:val="24"/>
          <w:lang w:eastAsia="zh-CN"/>
        </w:rPr>
        <w:t>计的</w:t>
      </w:r>
      <w:r w:rsidRPr="003F692A">
        <w:rPr>
          <w:rFonts w:hint="eastAsia"/>
          <w:kern w:val="22"/>
          <w:sz w:val="24"/>
          <w:szCs w:val="24"/>
          <w:lang w:eastAsia="zh-CN"/>
        </w:rPr>
        <w:t>人提供生计</w:t>
      </w:r>
      <w:r w:rsidRPr="003F692A">
        <w:rPr>
          <w:rStyle w:val="FootnoteReference"/>
          <w:kern w:val="22"/>
          <w:szCs w:val="24"/>
        </w:rPr>
        <w:footnoteReference w:id="7"/>
      </w:r>
      <w:r w:rsidR="00E15C28">
        <w:rPr>
          <w:rFonts w:hint="eastAsia"/>
          <w:kern w:val="22"/>
          <w:sz w:val="24"/>
          <w:szCs w:val="24"/>
          <w:lang w:eastAsia="zh-CN"/>
        </w:rPr>
        <w:t>，</w:t>
      </w:r>
      <w:r>
        <w:rPr>
          <w:rFonts w:hint="eastAsia"/>
          <w:kern w:val="22"/>
          <w:sz w:val="24"/>
          <w:szCs w:val="24"/>
          <w:lang w:eastAsia="zh-CN"/>
        </w:rPr>
        <w:t xml:space="preserve"> </w:t>
      </w:r>
      <w:r w:rsidRPr="003F692A">
        <w:rPr>
          <w:rFonts w:hint="eastAsia"/>
          <w:kern w:val="22"/>
          <w:sz w:val="24"/>
          <w:szCs w:val="24"/>
          <w:lang w:eastAsia="zh-CN"/>
        </w:rPr>
        <w:t>包括妇女</w:t>
      </w:r>
      <w:r>
        <w:rPr>
          <w:rFonts w:hint="eastAsia"/>
          <w:kern w:val="22"/>
          <w:sz w:val="24"/>
          <w:szCs w:val="24"/>
          <w:lang w:eastAsia="zh-CN"/>
        </w:rPr>
        <w:t>、</w:t>
      </w:r>
      <w:r w:rsidRPr="003F692A">
        <w:rPr>
          <w:rFonts w:hint="eastAsia"/>
          <w:kern w:val="22"/>
          <w:sz w:val="24"/>
          <w:szCs w:val="24"/>
          <w:lang w:eastAsia="zh-CN"/>
        </w:rPr>
        <w:t>土</w:t>
      </w:r>
      <w:r>
        <w:rPr>
          <w:rFonts w:hint="eastAsia"/>
          <w:kern w:val="22"/>
          <w:sz w:val="24"/>
          <w:szCs w:val="24"/>
          <w:lang w:eastAsia="zh-CN"/>
        </w:rPr>
        <w:t>著</w:t>
      </w:r>
      <w:r w:rsidRPr="003F692A">
        <w:rPr>
          <w:rFonts w:hint="eastAsia"/>
          <w:kern w:val="22"/>
          <w:sz w:val="24"/>
          <w:szCs w:val="24"/>
          <w:lang w:eastAsia="zh-CN"/>
        </w:rPr>
        <w:t>人民和地</w:t>
      </w:r>
      <w:r>
        <w:rPr>
          <w:rFonts w:hint="eastAsia"/>
          <w:kern w:val="22"/>
          <w:sz w:val="24"/>
          <w:szCs w:val="24"/>
          <w:lang w:eastAsia="zh-CN"/>
        </w:rPr>
        <w:t>方</w:t>
      </w:r>
      <w:r w:rsidRPr="003F692A">
        <w:rPr>
          <w:rFonts w:hint="eastAsia"/>
          <w:kern w:val="22"/>
          <w:sz w:val="24"/>
          <w:szCs w:val="24"/>
          <w:lang w:eastAsia="zh-CN"/>
        </w:rPr>
        <w:t>社区。手工和小规模采矿</w:t>
      </w:r>
      <w:r w:rsidR="00981367">
        <w:rPr>
          <w:rFonts w:hint="eastAsia"/>
          <w:kern w:val="22"/>
          <w:sz w:val="24"/>
          <w:szCs w:val="24"/>
          <w:lang w:eastAsia="zh-CN"/>
        </w:rPr>
        <w:t>矿工</w:t>
      </w:r>
      <w:r w:rsidRPr="003F692A">
        <w:rPr>
          <w:rFonts w:hint="eastAsia"/>
          <w:kern w:val="22"/>
          <w:sz w:val="24"/>
          <w:szCs w:val="24"/>
          <w:lang w:eastAsia="zh-CN"/>
        </w:rPr>
        <w:t>在</w:t>
      </w:r>
      <w:r w:rsidRPr="003F692A">
        <w:rPr>
          <w:rFonts w:hint="eastAsia"/>
          <w:kern w:val="22"/>
          <w:sz w:val="24"/>
          <w:szCs w:val="24"/>
          <w:lang w:eastAsia="zh-CN"/>
        </w:rPr>
        <w:t>80</w:t>
      </w:r>
      <w:r w:rsidRPr="003F692A">
        <w:rPr>
          <w:rFonts w:hint="eastAsia"/>
          <w:kern w:val="22"/>
          <w:sz w:val="24"/>
          <w:szCs w:val="24"/>
          <w:lang w:eastAsia="zh-CN"/>
        </w:rPr>
        <w:t>多个国家工作，生产全球约</w:t>
      </w:r>
      <w:r w:rsidRPr="003F692A">
        <w:rPr>
          <w:rFonts w:hint="eastAsia"/>
          <w:kern w:val="22"/>
          <w:sz w:val="24"/>
          <w:szCs w:val="24"/>
          <w:lang w:eastAsia="zh-CN"/>
        </w:rPr>
        <w:t>10</w:t>
      </w:r>
      <w:r w:rsidRPr="003F692A">
        <w:rPr>
          <w:rFonts w:hint="eastAsia"/>
          <w:kern w:val="22"/>
          <w:sz w:val="24"/>
          <w:szCs w:val="24"/>
          <w:lang w:eastAsia="zh-CN"/>
        </w:rPr>
        <w:t>％</w:t>
      </w:r>
      <w:r w:rsidR="004030E0" w:rsidRPr="003F692A">
        <w:rPr>
          <w:rFonts w:hint="eastAsia"/>
          <w:kern w:val="22"/>
          <w:sz w:val="24"/>
          <w:szCs w:val="24"/>
          <w:lang w:eastAsia="zh-CN"/>
        </w:rPr>
        <w:t>的</w:t>
      </w:r>
      <w:r w:rsidRPr="003F692A">
        <w:rPr>
          <w:rFonts w:hint="eastAsia"/>
          <w:kern w:val="22"/>
          <w:sz w:val="24"/>
          <w:szCs w:val="24"/>
          <w:lang w:eastAsia="zh-CN"/>
        </w:rPr>
        <w:t>开采黄金，</w:t>
      </w:r>
      <w:r w:rsidRPr="003F692A">
        <w:rPr>
          <w:rFonts w:hint="eastAsia"/>
          <w:kern w:val="22"/>
          <w:sz w:val="24"/>
          <w:szCs w:val="24"/>
          <w:lang w:eastAsia="zh-CN"/>
        </w:rPr>
        <w:t>15-20</w:t>
      </w:r>
      <w:r w:rsidRPr="003F692A">
        <w:rPr>
          <w:rFonts w:hint="eastAsia"/>
          <w:kern w:val="22"/>
          <w:sz w:val="24"/>
          <w:szCs w:val="24"/>
          <w:lang w:eastAsia="zh-CN"/>
        </w:rPr>
        <w:t>％</w:t>
      </w:r>
      <w:r w:rsidR="00981367" w:rsidRPr="003F692A">
        <w:rPr>
          <w:rFonts w:hint="eastAsia"/>
          <w:kern w:val="22"/>
          <w:sz w:val="24"/>
          <w:szCs w:val="24"/>
          <w:lang w:eastAsia="zh-CN"/>
        </w:rPr>
        <w:t>的</w:t>
      </w:r>
      <w:r w:rsidR="002F099A">
        <w:rPr>
          <w:rFonts w:hint="eastAsia"/>
          <w:kern w:val="22"/>
          <w:sz w:val="24"/>
          <w:szCs w:val="24"/>
          <w:lang w:eastAsia="zh-CN"/>
        </w:rPr>
        <w:t>开</w:t>
      </w:r>
      <w:r w:rsidRPr="003F692A">
        <w:rPr>
          <w:rFonts w:hint="eastAsia"/>
          <w:kern w:val="22"/>
          <w:sz w:val="24"/>
          <w:szCs w:val="24"/>
          <w:lang w:eastAsia="zh-CN"/>
        </w:rPr>
        <w:t>采钻石，约</w:t>
      </w:r>
      <w:r w:rsidRPr="003F692A">
        <w:rPr>
          <w:rFonts w:hint="eastAsia"/>
          <w:kern w:val="22"/>
          <w:sz w:val="24"/>
          <w:szCs w:val="24"/>
          <w:lang w:eastAsia="zh-CN"/>
        </w:rPr>
        <w:t>20-25</w:t>
      </w:r>
      <w:r w:rsidRPr="003F692A">
        <w:rPr>
          <w:rFonts w:hint="eastAsia"/>
          <w:kern w:val="22"/>
          <w:sz w:val="24"/>
          <w:szCs w:val="24"/>
          <w:lang w:eastAsia="zh-CN"/>
        </w:rPr>
        <w:t>％的</w:t>
      </w:r>
      <w:r w:rsidR="002F099A">
        <w:rPr>
          <w:rFonts w:hint="eastAsia"/>
          <w:kern w:val="22"/>
          <w:sz w:val="24"/>
          <w:szCs w:val="24"/>
          <w:lang w:eastAsia="zh-CN"/>
        </w:rPr>
        <w:t>开</w:t>
      </w:r>
      <w:r w:rsidRPr="003F692A">
        <w:rPr>
          <w:rFonts w:hint="eastAsia"/>
          <w:kern w:val="22"/>
          <w:sz w:val="24"/>
          <w:szCs w:val="24"/>
          <w:lang w:eastAsia="zh-CN"/>
        </w:rPr>
        <w:t>采锡和</w:t>
      </w:r>
      <w:proofErr w:type="gramStart"/>
      <w:r w:rsidRPr="003F692A">
        <w:rPr>
          <w:rFonts w:hint="eastAsia"/>
          <w:kern w:val="22"/>
          <w:sz w:val="24"/>
          <w:szCs w:val="24"/>
          <w:lang w:eastAsia="zh-CN"/>
        </w:rPr>
        <w:t>钽，</w:t>
      </w:r>
      <w:proofErr w:type="gramEnd"/>
      <w:r w:rsidRPr="003F692A">
        <w:rPr>
          <w:rFonts w:hint="eastAsia"/>
          <w:kern w:val="22"/>
          <w:sz w:val="24"/>
          <w:szCs w:val="24"/>
          <w:lang w:eastAsia="zh-CN"/>
        </w:rPr>
        <w:t>以及</w:t>
      </w:r>
      <w:r w:rsidRPr="003F692A">
        <w:rPr>
          <w:rFonts w:hint="eastAsia"/>
          <w:kern w:val="22"/>
          <w:sz w:val="24"/>
          <w:szCs w:val="24"/>
          <w:lang w:eastAsia="zh-CN"/>
        </w:rPr>
        <w:t>80</w:t>
      </w:r>
      <w:r w:rsidRPr="003F692A">
        <w:rPr>
          <w:rFonts w:hint="eastAsia"/>
          <w:kern w:val="22"/>
          <w:sz w:val="24"/>
          <w:szCs w:val="24"/>
          <w:lang w:eastAsia="zh-CN"/>
        </w:rPr>
        <w:t>％的</w:t>
      </w:r>
      <w:r w:rsidR="002F099A">
        <w:rPr>
          <w:rFonts w:hint="eastAsia"/>
          <w:kern w:val="22"/>
          <w:sz w:val="24"/>
          <w:szCs w:val="24"/>
          <w:lang w:eastAsia="zh-CN"/>
        </w:rPr>
        <w:t>彩色宝石</w:t>
      </w:r>
      <w:bookmarkStart w:id="2" w:name="_Ref517626918"/>
      <w:r w:rsidR="000A1FEA">
        <w:rPr>
          <w:rStyle w:val="FootnoteReference"/>
          <w:kern w:val="22"/>
          <w:szCs w:val="24"/>
          <w:lang w:eastAsia="zh-CN"/>
        </w:rPr>
        <w:footnoteReference w:id="8"/>
      </w:r>
      <w:bookmarkEnd w:id="2"/>
      <w:r w:rsidR="000A1FEA">
        <w:rPr>
          <w:rFonts w:hint="eastAsia"/>
          <w:kern w:val="22"/>
          <w:sz w:val="24"/>
          <w:szCs w:val="24"/>
          <w:lang w:eastAsia="zh-CN"/>
        </w:rPr>
        <w:t>。</w:t>
      </w:r>
      <w:r w:rsidR="002F099A" w:rsidRPr="003F692A">
        <w:rPr>
          <w:rFonts w:hint="eastAsia"/>
          <w:kern w:val="22"/>
          <w:sz w:val="24"/>
          <w:szCs w:val="24"/>
          <w:lang w:eastAsia="zh-CN"/>
        </w:rPr>
        <w:t>与此同时，它往往</w:t>
      </w:r>
      <w:r w:rsidR="008F2344">
        <w:rPr>
          <w:rFonts w:hint="eastAsia"/>
          <w:kern w:val="22"/>
          <w:sz w:val="24"/>
          <w:szCs w:val="24"/>
          <w:lang w:eastAsia="zh-CN"/>
        </w:rPr>
        <w:t>带有</w:t>
      </w:r>
      <w:r w:rsidR="002F099A" w:rsidRPr="003F692A">
        <w:rPr>
          <w:rFonts w:hint="eastAsia"/>
          <w:kern w:val="22"/>
          <w:sz w:val="24"/>
          <w:szCs w:val="24"/>
          <w:lang w:eastAsia="zh-CN"/>
        </w:rPr>
        <w:t>非法</w:t>
      </w:r>
      <w:r w:rsidR="008F2344">
        <w:rPr>
          <w:rFonts w:hint="eastAsia"/>
          <w:kern w:val="22"/>
          <w:sz w:val="24"/>
          <w:szCs w:val="24"/>
          <w:lang w:eastAsia="zh-CN"/>
        </w:rPr>
        <w:t>作业</w:t>
      </w:r>
      <w:r w:rsidR="005A3EB6">
        <w:rPr>
          <w:rFonts w:hint="eastAsia"/>
          <w:kern w:val="22"/>
          <w:sz w:val="24"/>
          <w:szCs w:val="24"/>
          <w:lang w:eastAsia="zh-CN"/>
        </w:rPr>
        <w:t>、</w:t>
      </w:r>
      <w:r w:rsidR="002F099A" w:rsidRPr="003F692A">
        <w:rPr>
          <w:rFonts w:hint="eastAsia"/>
          <w:kern w:val="22"/>
          <w:sz w:val="24"/>
          <w:szCs w:val="24"/>
          <w:lang w:eastAsia="zh-CN"/>
        </w:rPr>
        <w:t>恶劣的工作条件和严重的污染。一个例子是某些</w:t>
      </w:r>
      <w:r w:rsidR="00454A8A">
        <w:rPr>
          <w:rFonts w:hint="eastAsia"/>
          <w:kern w:val="22"/>
          <w:sz w:val="24"/>
          <w:szCs w:val="24"/>
          <w:lang w:eastAsia="zh-CN"/>
        </w:rPr>
        <w:t>作业</w:t>
      </w:r>
      <w:r w:rsidR="002F099A" w:rsidRPr="003F692A">
        <w:rPr>
          <w:rFonts w:hint="eastAsia"/>
          <w:kern w:val="22"/>
          <w:sz w:val="24"/>
          <w:szCs w:val="24"/>
          <w:lang w:eastAsia="zh-CN"/>
        </w:rPr>
        <w:t>过程中使用</w:t>
      </w:r>
      <w:proofErr w:type="gramStart"/>
      <w:r w:rsidR="002F099A" w:rsidRPr="003F692A">
        <w:rPr>
          <w:rFonts w:hint="eastAsia"/>
          <w:kern w:val="22"/>
          <w:sz w:val="24"/>
          <w:szCs w:val="24"/>
          <w:lang w:eastAsia="zh-CN"/>
        </w:rPr>
        <w:t>的汞对生物多样性</w:t>
      </w:r>
      <w:proofErr w:type="gramEnd"/>
      <w:r w:rsidR="008F2344">
        <w:rPr>
          <w:rFonts w:hint="eastAsia"/>
          <w:kern w:val="22"/>
          <w:sz w:val="24"/>
          <w:szCs w:val="24"/>
          <w:lang w:eastAsia="zh-CN"/>
        </w:rPr>
        <w:t>、</w:t>
      </w:r>
      <w:r w:rsidR="002F099A" w:rsidRPr="003F692A">
        <w:rPr>
          <w:rFonts w:hint="eastAsia"/>
          <w:kern w:val="22"/>
          <w:sz w:val="24"/>
          <w:szCs w:val="24"/>
          <w:lang w:eastAsia="zh-CN"/>
        </w:rPr>
        <w:t>生态系统服务和人类健康的影响</w:t>
      </w:r>
      <w:r w:rsidR="00454A8A">
        <w:rPr>
          <w:rFonts w:hint="eastAsia"/>
          <w:kern w:val="22"/>
          <w:sz w:val="24"/>
          <w:szCs w:val="24"/>
          <w:lang w:eastAsia="zh-CN"/>
        </w:rPr>
        <w:t>。</w:t>
      </w:r>
    </w:p>
    <w:p w14:paraId="50487706" w14:textId="77777777" w:rsidR="00B60FA8" w:rsidRPr="00B52A50" w:rsidRDefault="008F2344"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sidRPr="008F2344">
        <w:rPr>
          <w:rFonts w:hint="eastAsia"/>
          <w:kern w:val="22"/>
          <w:sz w:val="24"/>
          <w:szCs w:val="24"/>
          <w:lang w:eastAsia="zh-CN"/>
        </w:rPr>
        <w:t>以上趋势大多与长期视野有关。能源和采矿部门产品的供需也受短期变化影响，与商品价格等因素有关</w:t>
      </w:r>
      <w:r>
        <w:rPr>
          <w:rFonts w:hint="eastAsia"/>
          <w:kern w:val="22"/>
          <w:sz w:val="24"/>
          <w:szCs w:val="24"/>
          <w:lang w:eastAsia="zh-CN"/>
        </w:rPr>
        <w:t>。</w:t>
      </w:r>
    </w:p>
    <w:p w14:paraId="070B11E0" w14:textId="77777777" w:rsidR="00B60FA8" w:rsidRPr="00B52A50" w:rsidRDefault="00B60FA8" w:rsidP="00B66243">
      <w:pPr>
        <w:pStyle w:val="Heading2"/>
        <w:suppressLineNumbers/>
        <w:tabs>
          <w:tab w:val="clear" w:pos="720"/>
        </w:tabs>
        <w:suppressAutoHyphens/>
        <w:kinsoku w:val="0"/>
        <w:overflowPunct w:val="0"/>
        <w:autoSpaceDE w:val="0"/>
        <w:autoSpaceDN w:val="0"/>
        <w:adjustRightInd w:val="0"/>
        <w:spacing w:line="240" w:lineRule="atLeast"/>
        <w:rPr>
          <w:kern w:val="22"/>
        </w:rPr>
      </w:pPr>
      <w:r w:rsidRPr="00851DCE">
        <w:rPr>
          <w:i w:val="0"/>
          <w:kern w:val="22"/>
        </w:rPr>
        <w:t>D.</w:t>
      </w:r>
      <w:r w:rsidRPr="00B52A50">
        <w:rPr>
          <w:kern w:val="22"/>
        </w:rPr>
        <w:tab/>
      </w:r>
      <w:r w:rsidR="00851DCE" w:rsidRPr="00851DCE">
        <w:rPr>
          <w:rFonts w:ascii="SimSun" w:hAnsi="SimSun" w:cs="SimSun" w:hint="eastAsia"/>
          <w:i w:val="0"/>
          <w:kern w:val="22"/>
        </w:rPr>
        <w:t>生物多样性和生态系统服务的影响和</w:t>
      </w:r>
      <w:r w:rsidR="00851DCE" w:rsidRPr="00A51A7F">
        <w:rPr>
          <w:rFonts w:ascii="SimSun" w:hAnsi="SimSun" w:cs="SimSun" w:hint="eastAsia"/>
          <w:i w:val="0"/>
          <w:kern w:val="22"/>
        </w:rPr>
        <w:t>依赖</w:t>
      </w:r>
    </w:p>
    <w:p w14:paraId="4EB9790B" w14:textId="77777777" w:rsidR="00B60FA8" w:rsidRPr="00B52A50" w:rsidRDefault="00851DCE"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sidRPr="00851DCE">
        <w:rPr>
          <w:rFonts w:ascii="SimSun" w:hAnsi="SimSun" w:cs="SimSun" w:hint="eastAsia"/>
          <w:kern w:val="22"/>
          <w:sz w:val="24"/>
          <w:szCs w:val="24"/>
          <w:lang w:eastAsia="zh-CN"/>
        </w:rPr>
        <w:t>能源和采矿项目对生物多样性和生态系统服务的影响和</w:t>
      </w:r>
      <w:r w:rsidR="00A51A7F">
        <w:rPr>
          <w:rFonts w:ascii="SimSun" w:hAnsi="SimSun" w:cs="SimSun" w:hint="eastAsia"/>
          <w:kern w:val="22"/>
          <w:sz w:val="24"/>
          <w:szCs w:val="24"/>
          <w:lang w:eastAsia="zh-CN"/>
        </w:rPr>
        <w:t>依赖</w:t>
      </w:r>
      <w:r w:rsidRPr="00851DCE">
        <w:rPr>
          <w:rFonts w:ascii="SimSun" w:hAnsi="SimSun" w:cs="SimSun" w:hint="eastAsia"/>
          <w:kern w:val="22"/>
          <w:sz w:val="24"/>
          <w:szCs w:val="24"/>
          <w:lang w:eastAsia="zh-CN"/>
        </w:rPr>
        <w:t>因活动</w:t>
      </w:r>
      <w:r w:rsidR="005A3EB6">
        <w:rPr>
          <w:rFonts w:ascii="SimSun" w:hAnsi="SimSun" w:cs="SimSun" w:hint="eastAsia"/>
          <w:kern w:val="22"/>
          <w:sz w:val="24"/>
          <w:szCs w:val="24"/>
          <w:lang w:eastAsia="zh-CN"/>
        </w:rPr>
        <w:t>种类</w:t>
      </w:r>
      <w:r w:rsidR="00454A8A">
        <w:rPr>
          <w:rFonts w:ascii="SimSun" w:hAnsi="SimSun" w:cs="SimSun" w:hint="eastAsia"/>
          <w:kern w:val="22"/>
          <w:sz w:val="24"/>
          <w:szCs w:val="24"/>
          <w:lang w:eastAsia="zh-CN"/>
        </w:rPr>
        <w:t>、</w:t>
      </w:r>
      <w:r w:rsidR="005A3EB6">
        <w:rPr>
          <w:rFonts w:ascii="SimSun" w:hAnsi="SimSun" w:cs="SimSun" w:hint="eastAsia"/>
          <w:kern w:val="22"/>
          <w:sz w:val="24"/>
          <w:szCs w:val="24"/>
          <w:lang w:eastAsia="zh-CN"/>
        </w:rPr>
        <w:t>所处</w:t>
      </w:r>
      <w:r w:rsidRPr="00851DCE">
        <w:rPr>
          <w:rFonts w:ascii="SimSun" w:hAnsi="SimSun" w:cs="SimSun" w:hint="eastAsia"/>
          <w:kern w:val="22"/>
          <w:sz w:val="24"/>
          <w:szCs w:val="24"/>
          <w:lang w:eastAsia="zh-CN"/>
        </w:rPr>
        <w:t>阶段或规模</w:t>
      </w:r>
      <w:r w:rsidR="00454A8A">
        <w:rPr>
          <w:rFonts w:ascii="SimSun" w:hAnsi="SimSun" w:cs="SimSun" w:hint="eastAsia"/>
          <w:kern w:val="22"/>
          <w:sz w:val="24"/>
          <w:szCs w:val="24"/>
          <w:lang w:eastAsia="zh-CN"/>
        </w:rPr>
        <w:t>而异</w:t>
      </w:r>
      <w:r w:rsidRPr="00851DCE">
        <w:rPr>
          <w:rFonts w:ascii="SimSun" w:hAnsi="SimSun" w:cs="SimSun" w:hint="eastAsia"/>
          <w:kern w:val="22"/>
          <w:sz w:val="24"/>
          <w:szCs w:val="24"/>
          <w:lang w:eastAsia="zh-CN"/>
        </w:rPr>
        <w:t>。它们也将取决于活动的性质，发生</w:t>
      </w:r>
      <w:r w:rsidR="003A513C">
        <w:rPr>
          <w:rFonts w:ascii="SimSun" w:hAnsi="SimSun" w:cs="SimSun" w:hint="eastAsia"/>
          <w:kern w:val="22"/>
          <w:sz w:val="24"/>
          <w:szCs w:val="24"/>
          <w:lang w:eastAsia="zh-CN"/>
        </w:rPr>
        <w:t>地</w:t>
      </w:r>
      <w:r w:rsidRPr="00851DCE">
        <w:rPr>
          <w:rFonts w:ascii="SimSun" w:hAnsi="SimSun" w:cs="SimSun" w:hint="eastAsia"/>
          <w:kern w:val="22"/>
          <w:sz w:val="24"/>
          <w:szCs w:val="24"/>
          <w:lang w:eastAsia="zh-CN"/>
        </w:rPr>
        <w:t>环境的敏感性以及</w:t>
      </w:r>
      <w:r w:rsidR="003A513C">
        <w:rPr>
          <w:rFonts w:ascii="SimSun" w:hAnsi="SimSun" w:cs="SimSun" w:hint="eastAsia"/>
          <w:kern w:val="22"/>
          <w:sz w:val="24"/>
          <w:szCs w:val="24"/>
          <w:lang w:eastAsia="zh-CN"/>
        </w:rPr>
        <w:t>在</w:t>
      </w:r>
      <w:r w:rsidRPr="00851DCE">
        <w:rPr>
          <w:rFonts w:ascii="SimSun" w:hAnsi="SimSun" w:cs="SimSun" w:hint="eastAsia"/>
          <w:kern w:val="22"/>
          <w:sz w:val="24"/>
          <w:szCs w:val="24"/>
          <w:lang w:eastAsia="zh-CN"/>
        </w:rPr>
        <w:t>该地区</w:t>
      </w:r>
      <w:r w:rsidR="003A513C">
        <w:rPr>
          <w:rFonts w:ascii="SimSun" w:hAnsi="SimSun" w:cs="SimSun" w:hint="eastAsia"/>
          <w:kern w:val="22"/>
          <w:sz w:val="24"/>
          <w:szCs w:val="24"/>
          <w:lang w:eastAsia="zh-CN"/>
        </w:rPr>
        <w:t>进行</w:t>
      </w:r>
      <w:r w:rsidRPr="00851DCE">
        <w:rPr>
          <w:rFonts w:ascii="SimSun" w:hAnsi="SimSun" w:cs="SimSun" w:hint="eastAsia"/>
          <w:kern w:val="22"/>
          <w:sz w:val="24"/>
          <w:szCs w:val="24"/>
          <w:lang w:eastAsia="zh-CN"/>
        </w:rPr>
        <w:t>的其他活动（以及其他考虑因素</w:t>
      </w:r>
      <w:r w:rsidR="003A513C">
        <w:rPr>
          <w:rFonts w:ascii="SimSun" w:hAnsi="SimSun" w:cs="SimSun" w:hint="eastAsia"/>
          <w:kern w:val="22"/>
          <w:sz w:val="24"/>
          <w:szCs w:val="24"/>
          <w:lang w:eastAsia="zh-CN"/>
        </w:rPr>
        <w:t>）。</w:t>
      </w:r>
    </w:p>
    <w:p w14:paraId="3C657D74" w14:textId="77777777" w:rsidR="00B60FA8" w:rsidRPr="00E15C28" w:rsidRDefault="00E15C28" w:rsidP="00E15C28">
      <w:pPr>
        <w:pStyle w:val="Para3"/>
        <w:numPr>
          <w:ilvl w:val="0"/>
          <w:numId w:val="0"/>
        </w:numPr>
        <w:jc w:val="center"/>
        <w:rPr>
          <w:rFonts w:ascii="KaiTi" w:eastAsia="KaiTi" w:hAnsi="KaiTi"/>
          <w:sz w:val="24"/>
          <w:szCs w:val="24"/>
        </w:rPr>
      </w:pPr>
      <w:r w:rsidRPr="00E15C28">
        <w:rPr>
          <w:rFonts w:ascii="KaiTi" w:eastAsia="KaiTi" w:hAnsi="KaiTi" w:hint="eastAsia"/>
          <w:sz w:val="24"/>
          <w:szCs w:val="24"/>
        </w:rPr>
        <w:t>1</w:t>
      </w:r>
      <w:r w:rsidRPr="00E15C28">
        <w:rPr>
          <w:rFonts w:ascii="KaiTi" w:eastAsia="KaiTi" w:hAnsi="KaiTi"/>
          <w:sz w:val="24"/>
          <w:szCs w:val="24"/>
        </w:rPr>
        <w:t xml:space="preserve">. </w:t>
      </w:r>
      <w:r w:rsidR="00851DCE" w:rsidRPr="00E15C28">
        <w:rPr>
          <w:rFonts w:ascii="KaiTi" w:eastAsia="KaiTi" w:hAnsi="KaiTi" w:hint="eastAsia"/>
          <w:sz w:val="24"/>
          <w:szCs w:val="24"/>
        </w:rPr>
        <w:t>影响</w:t>
      </w:r>
    </w:p>
    <w:p w14:paraId="1C8A988B" w14:textId="4B9F9E97" w:rsidR="00B60FA8" w:rsidRPr="00B52A50" w:rsidRDefault="00851DCE"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rPr>
      </w:pPr>
      <w:r w:rsidRPr="00D77FBE">
        <w:rPr>
          <w:rFonts w:ascii="SimSun" w:hAnsi="SimSun" w:cs="SimSun" w:hint="eastAsia"/>
          <w:kern w:val="22"/>
          <w:sz w:val="24"/>
          <w:szCs w:val="24"/>
          <w:lang w:eastAsia="zh-CN"/>
        </w:rPr>
        <w:t>这些部门</w:t>
      </w:r>
      <w:r w:rsidR="00454A8A">
        <w:rPr>
          <w:rFonts w:ascii="SimSun" w:hAnsi="SimSun" w:cs="SimSun" w:hint="eastAsia"/>
          <w:kern w:val="22"/>
          <w:sz w:val="24"/>
          <w:szCs w:val="24"/>
          <w:lang w:eastAsia="zh-CN"/>
        </w:rPr>
        <w:t>内</w:t>
      </w:r>
      <w:r w:rsidRPr="00D77FBE">
        <w:rPr>
          <w:rFonts w:ascii="SimSun" w:hAnsi="SimSun" w:cs="SimSun" w:hint="eastAsia"/>
          <w:kern w:val="22"/>
          <w:sz w:val="24"/>
          <w:szCs w:val="24"/>
          <w:lang w:eastAsia="zh-CN"/>
        </w:rPr>
        <w:t>的影响来自石油和天然气的勘探和生产、可再生能源</w:t>
      </w:r>
      <w:r w:rsidR="00725AC7">
        <w:rPr>
          <w:rFonts w:ascii="SimSun" w:hAnsi="SimSun" w:cs="SimSun" w:hint="eastAsia"/>
          <w:kern w:val="22"/>
          <w:sz w:val="24"/>
          <w:szCs w:val="24"/>
          <w:lang w:eastAsia="zh-CN"/>
        </w:rPr>
        <w:t>的开发</w:t>
      </w:r>
      <w:r w:rsidRPr="00D77FBE">
        <w:rPr>
          <w:rFonts w:ascii="SimSun" w:hAnsi="SimSun" w:cs="SimSun" w:hint="eastAsia"/>
          <w:kern w:val="22"/>
          <w:sz w:val="24"/>
          <w:szCs w:val="24"/>
          <w:lang w:eastAsia="zh-CN"/>
        </w:rPr>
        <w:t>、煤炭、矿物和金属的</w:t>
      </w:r>
      <w:r w:rsidR="003A513C" w:rsidRPr="00D77FBE">
        <w:rPr>
          <w:rFonts w:ascii="SimSun" w:hAnsi="SimSun" w:cs="SimSun" w:hint="eastAsia"/>
          <w:kern w:val="22"/>
          <w:sz w:val="24"/>
          <w:szCs w:val="24"/>
          <w:lang w:eastAsia="zh-CN"/>
        </w:rPr>
        <w:t>开采</w:t>
      </w:r>
      <w:r w:rsidRPr="00D77FBE">
        <w:rPr>
          <w:rFonts w:ascii="SimSun" w:hAnsi="SimSun" w:cs="SimSun" w:hint="eastAsia"/>
          <w:kern w:val="22"/>
          <w:sz w:val="24"/>
          <w:szCs w:val="24"/>
          <w:lang w:eastAsia="zh-CN"/>
        </w:rPr>
        <w:t>以及</w:t>
      </w:r>
      <w:r w:rsidR="003A513C" w:rsidRPr="00D77FBE">
        <w:rPr>
          <w:rFonts w:ascii="SimSun" w:hAnsi="SimSun" w:cs="SimSun" w:hint="eastAsia"/>
          <w:kern w:val="22"/>
          <w:sz w:val="24"/>
          <w:szCs w:val="24"/>
          <w:lang w:eastAsia="zh-CN"/>
        </w:rPr>
        <w:t>采</w:t>
      </w:r>
      <w:r w:rsidR="003A513C">
        <w:rPr>
          <w:rFonts w:ascii="SimSun" w:hAnsi="SimSun" w:cs="SimSun" w:hint="eastAsia"/>
          <w:kern w:val="22"/>
          <w:sz w:val="24"/>
          <w:szCs w:val="24"/>
          <w:lang w:eastAsia="zh-CN"/>
        </w:rPr>
        <w:t>掘</w:t>
      </w:r>
      <w:r w:rsidRPr="00D77FBE">
        <w:rPr>
          <w:rFonts w:ascii="SimSun" w:hAnsi="SimSun" w:cs="SimSun" w:hint="eastAsia"/>
          <w:kern w:val="22"/>
          <w:sz w:val="24"/>
          <w:szCs w:val="24"/>
          <w:lang w:eastAsia="zh-CN"/>
        </w:rPr>
        <w:t>材料的运输、加工和销售。</w:t>
      </w:r>
      <w:r w:rsidR="00EE676F">
        <w:rPr>
          <w:rFonts w:ascii="SimSun" w:hAnsi="SimSun" w:cs="SimSun" w:hint="eastAsia"/>
          <w:kern w:val="22"/>
          <w:sz w:val="24"/>
          <w:szCs w:val="24"/>
          <w:lang w:eastAsia="zh-CN"/>
        </w:rPr>
        <w:t>必须</w:t>
      </w:r>
      <w:r w:rsidR="00EE676F" w:rsidRPr="00EE676F">
        <w:rPr>
          <w:rFonts w:ascii="SimSun" w:hAnsi="SimSun" w:cs="SimSun" w:hint="eastAsia"/>
          <w:kern w:val="22"/>
          <w:sz w:val="24"/>
          <w:szCs w:val="24"/>
          <w:lang w:eastAsia="zh-CN"/>
        </w:rPr>
        <w:t>考虑</w:t>
      </w:r>
      <w:r w:rsidR="00EE676F">
        <w:rPr>
          <w:rFonts w:ascii="SimSun" w:hAnsi="SimSun" w:cs="SimSun" w:hint="eastAsia"/>
          <w:kern w:val="22"/>
          <w:sz w:val="24"/>
          <w:szCs w:val="24"/>
          <w:lang w:eastAsia="zh-CN"/>
        </w:rPr>
        <w:t>到</w:t>
      </w:r>
      <w:r w:rsidR="00AC3797" w:rsidRPr="00D77FBE">
        <w:rPr>
          <w:rFonts w:ascii="SimSun" w:hAnsi="SimSun" w:cs="SimSun" w:hint="eastAsia"/>
          <w:kern w:val="22"/>
          <w:sz w:val="24"/>
          <w:szCs w:val="24"/>
          <w:lang w:eastAsia="zh-CN"/>
        </w:rPr>
        <w:t>项目的整个生命周期，包括勘探、建设、运营、关闭和关闭后（遗留</w:t>
      </w:r>
      <w:r w:rsidR="009F0139">
        <w:rPr>
          <w:rFonts w:ascii="SimSun" w:hAnsi="SimSun" w:cs="SimSun" w:hint="eastAsia"/>
          <w:kern w:val="22"/>
          <w:sz w:val="24"/>
          <w:szCs w:val="24"/>
          <w:lang w:eastAsia="zh-CN"/>
        </w:rPr>
        <w:t>物</w:t>
      </w:r>
      <w:r w:rsidR="00AC3797" w:rsidRPr="00D77FBE">
        <w:rPr>
          <w:rFonts w:ascii="SimSun" w:hAnsi="SimSun" w:cs="SimSun" w:hint="eastAsia"/>
          <w:kern w:val="22"/>
          <w:sz w:val="24"/>
          <w:szCs w:val="24"/>
          <w:lang w:eastAsia="zh-CN"/>
        </w:rPr>
        <w:t>）</w:t>
      </w:r>
      <w:r w:rsidR="009C2984" w:rsidRPr="009C2984">
        <w:rPr>
          <w:rFonts w:ascii="SimSun" w:hAnsi="SimSun" w:cs="SimSun"/>
          <w:kern w:val="22"/>
          <w:sz w:val="24"/>
          <w:szCs w:val="24"/>
          <w:vertAlign w:val="superscript"/>
          <w:lang w:eastAsia="zh-CN"/>
        </w:rPr>
        <w:fldChar w:fldCharType="begin"/>
      </w:r>
      <w:r w:rsidR="009C2984" w:rsidRPr="009C2984">
        <w:rPr>
          <w:rFonts w:ascii="SimSun" w:hAnsi="SimSun" w:cs="SimSun"/>
          <w:kern w:val="22"/>
          <w:sz w:val="24"/>
          <w:szCs w:val="24"/>
          <w:vertAlign w:val="superscript"/>
          <w:lang w:eastAsia="zh-CN"/>
        </w:rPr>
        <w:instrText xml:space="preserve"> </w:instrText>
      </w:r>
      <w:r w:rsidR="009C2984" w:rsidRPr="009C2984">
        <w:rPr>
          <w:rFonts w:ascii="SimSun" w:hAnsi="SimSun" w:cs="SimSun" w:hint="eastAsia"/>
          <w:kern w:val="22"/>
          <w:sz w:val="24"/>
          <w:szCs w:val="24"/>
          <w:vertAlign w:val="superscript"/>
          <w:lang w:eastAsia="zh-CN"/>
        </w:rPr>
        <w:instrText>NOTEREF _Ref517626918 \h</w:instrText>
      </w:r>
      <w:r w:rsidR="009C2984" w:rsidRPr="009C2984">
        <w:rPr>
          <w:rFonts w:ascii="SimSun" w:hAnsi="SimSun" w:cs="SimSun"/>
          <w:kern w:val="22"/>
          <w:sz w:val="24"/>
          <w:szCs w:val="24"/>
          <w:vertAlign w:val="superscript"/>
          <w:lang w:eastAsia="zh-CN"/>
        </w:rPr>
        <w:instrText xml:space="preserve"> </w:instrText>
      </w:r>
      <w:r w:rsidR="009C2984">
        <w:rPr>
          <w:rFonts w:ascii="SimSun" w:hAnsi="SimSun" w:cs="SimSun"/>
          <w:kern w:val="22"/>
          <w:sz w:val="24"/>
          <w:szCs w:val="24"/>
          <w:vertAlign w:val="superscript"/>
          <w:lang w:eastAsia="zh-CN"/>
        </w:rPr>
        <w:instrText xml:space="preserve"> \* MERGEFORMAT </w:instrText>
      </w:r>
      <w:r w:rsidR="009C2984" w:rsidRPr="009C2984">
        <w:rPr>
          <w:rFonts w:ascii="SimSun" w:hAnsi="SimSun" w:cs="SimSun"/>
          <w:kern w:val="22"/>
          <w:sz w:val="24"/>
          <w:szCs w:val="24"/>
          <w:vertAlign w:val="superscript"/>
          <w:lang w:eastAsia="zh-CN"/>
        </w:rPr>
      </w:r>
      <w:r w:rsidR="009C2984" w:rsidRPr="009C2984">
        <w:rPr>
          <w:rFonts w:ascii="SimSun" w:hAnsi="SimSun" w:cs="SimSun"/>
          <w:kern w:val="22"/>
          <w:sz w:val="24"/>
          <w:szCs w:val="24"/>
          <w:vertAlign w:val="superscript"/>
          <w:lang w:eastAsia="zh-CN"/>
        </w:rPr>
        <w:fldChar w:fldCharType="separate"/>
      </w:r>
      <w:r w:rsidR="008661BC">
        <w:rPr>
          <w:rFonts w:ascii="SimSun" w:hAnsi="SimSun" w:cs="SimSun"/>
          <w:kern w:val="22"/>
          <w:sz w:val="24"/>
          <w:szCs w:val="24"/>
          <w:vertAlign w:val="superscript"/>
          <w:lang w:eastAsia="zh-CN"/>
        </w:rPr>
        <w:t>7</w:t>
      </w:r>
      <w:r w:rsidR="009C2984" w:rsidRPr="009C2984">
        <w:rPr>
          <w:rFonts w:ascii="SimSun" w:hAnsi="SimSun" w:cs="SimSun"/>
          <w:kern w:val="22"/>
          <w:sz w:val="24"/>
          <w:szCs w:val="24"/>
          <w:vertAlign w:val="superscript"/>
          <w:lang w:eastAsia="zh-CN"/>
        </w:rPr>
        <w:fldChar w:fldCharType="end"/>
      </w:r>
      <w:r w:rsidR="00EE676F" w:rsidRPr="00D77FBE">
        <w:rPr>
          <w:rFonts w:ascii="SimSun" w:hAnsi="SimSun" w:cs="SimSun" w:hint="eastAsia"/>
          <w:kern w:val="22"/>
          <w:sz w:val="24"/>
          <w:szCs w:val="24"/>
          <w:lang w:eastAsia="zh-CN"/>
        </w:rPr>
        <w:t>对生物多样性和生态系统服务的直接、间接、诱</w:t>
      </w:r>
      <w:r w:rsidR="00EE676F">
        <w:rPr>
          <w:rFonts w:ascii="SimSun" w:hAnsi="SimSun" w:cs="SimSun" w:hint="eastAsia"/>
          <w:kern w:val="22"/>
          <w:sz w:val="24"/>
          <w:szCs w:val="24"/>
          <w:lang w:eastAsia="zh-CN"/>
        </w:rPr>
        <w:t>发的</w:t>
      </w:r>
      <w:r w:rsidR="00EE676F" w:rsidRPr="00D77FBE">
        <w:rPr>
          <w:rFonts w:ascii="SimSun" w:hAnsi="SimSun" w:cs="SimSun" w:hint="eastAsia"/>
          <w:kern w:val="22"/>
          <w:sz w:val="24"/>
          <w:szCs w:val="24"/>
          <w:lang w:eastAsia="zh-CN"/>
        </w:rPr>
        <w:t>和累积</w:t>
      </w:r>
      <w:r w:rsidR="00EE676F">
        <w:rPr>
          <w:rFonts w:ascii="SimSun" w:hAnsi="SimSun" w:cs="SimSun" w:hint="eastAsia"/>
          <w:kern w:val="22"/>
          <w:sz w:val="24"/>
          <w:szCs w:val="24"/>
          <w:lang w:eastAsia="zh-CN"/>
        </w:rPr>
        <w:t>的</w:t>
      </w:r>
      <w:r w:rsidR="00EE676F" w:rsidRPr="00D77FBE">
        <w:rPr>
          <w:rFonts w:ascii="SimSun" w:hAnsi="SimSun" w:cs="SimSun" w:hint="eastAsia"/>
          <w:kern w:val="22"/>
          <w:sz w:val="24"/>
          <w:szCs w:val="24"/>
          <w:lang w:eastAsia="zh-CN"/>
        </w:rPr>
        <w:t>影响</w:t>
      </w:r>
      <w:r w:rsidR="00E15C28">
        <w:rPr>
          <w:rFonts w:ascii="SimSun" w:hAnsi="SimSun" w:cs="SimSun" w:hint="eastAsia"/>
          <w:kern w:val="22"/>
          <w:sz w:val="24"/>
          <w:szCs w:val="24"/>
          <w:lang w:eastAsia="zh-CN"/>
        </w:rPr>
        <w:t>。</w:t>
      </w:r>
      <w:r w:rsidR="00AC3797">
        <w:rPr>
          <w:rFonts w:ascii="SimSun" w:hAnsi="SimSun" w:cs="SimSun" w:hint="eastAsia"/>
          <w:kern w:val="22"/>
          <w:sz w:val="24"/>
          <w:szCs w:val="24"/>
          <w:lang w:eastAsia="zh-CN"/>
        </w:rPr>
        <w:t>还</w:t>
      </w:r>
      <w:r w:rsidR="00AC3797" w:rsidRPr="00D77FBE">
        <w:rPr>
          <w:rFonts w:ascii="SimSun" w:hAnsi="SimSun" w:cs="SimSun" w:hint="eastAsia"/>
          <w:kern w:val="22"/>
          <w:sz w:val="24"/>
          <w:szCs w:val="24"/>
          <w:lang w:eastAsia="zh-CN"/>
        </w:rPr>
        <w:t>应该考虑</w:t>
      </w:r>
      <w:r w:rsidR="00AC3797">
        <w:rPr>
          <w:rFonts w:ascii="SimSun" w:hAnsi="SimSun" w:cs="SimSun" w:hint="eastAsia"/>
          <w:kern w:val="22"/>
          <w:sz w:val="24"/>
          <w:szCs w:val="24"/>
          <w:lang w:eastAsia="zh-CN"/>
        </w:rPr>
        <w:t>到</w:t>
      </w:r>
      <w:r w:rsidR="00AC3797" w:rsidRPr="00D77FBE">
        <w:rPr>
          <w:rFonts w:ascii="SimSun" w:hAnsi="SimSun" w:cs="SimSun" w:hint="eastAsia"/>
          <w:kern w:val="22"/>
          <w:sz w:val="24"/>
          <w:szCs w:val="24"/>
          <w:lang w:eastAsia="zh-CN"/>
        </w:rPr>
        <w:t>从</w:t>
      </w:r>
      <w:r w:rsidR="00AC3797">
        <w:rPr>
          <w:rFonts w:ascii="SimSun" w:hAnsi="SimSun" w:cs="SimSun" w:hint="eastAsia"/>
          <w:kern w:val="22"/>
          <w:sz w:val="24"/>
          <w:szCs w:val="24"/>
          <w:lang w:eastAsia="zh-CN"/>
        </w:rPr>
        <w:t>矿山</w:t>
      </w:r>
      <w:r w:rsidR="00AC3797" w:rsidRPr="00D77FBE">
        <w:rPr>
          <w:rFonts w:ascii="SimSun" w:hAnsi="SimSun" w:cs="SimSun" w:hint="eastAsia"/>
          <w:kern w:val="22"/>
          <w:sz w:val="24"/>
          <w:szCs w:val="24"/>
          <w:lang w:eastAsia="zh-CN"/>
        </w:rPr>
        <w:t>到市场和消费者</w:t>
      </w:r>
      <w:r w:rsidR="00E156AB">
        <w:rPr>
          <w:rFonts w:ascii="SimSun" w:hAnsi="SimSun" w:cs="SimSun"/>
          <w:kern w:val="22"/>
          <w:sz w:val="24"/>
          <w:szCs w:val="24"/>
          <w:lang w:val="en-US" w:eastAsia="zh-CN"/>
        </w:rPr>
        <w:t>(</w:t>
      </w:r>
      <w:r w:rsidR="00AC3797" w:rsidRPr="00D77FBE">
        <w:rPr>
          <w:rFonts w:ascii="SimSun" w:hAnsi="SimSun" w:cs="SimSun" w:hint="eastAsia"/>
          <w:kern w:val="22"/>
          <w:sz w:val="24"/>
          <w:szCs w:val="24"/>
          <w:lang w:eastAsia="zh-CN"/>
        </w:rPr>
        <w:t>或者</w:t>
      </w:r>
      <w:r w:rsidR="00AC3797">
        <w:rPr>
          <w:rFonts w:ascii="SimSun" w:hAnsi="SimSun" w:cs="SimSun" w:hint="eastAsia"/>
          <w:kern w:val="22"/>
          <w:sz w:val="24"/>
          <w:szCs w:val="24"/>
          <w:lang w:eastAsia="zh-CN"/>
        </w:rPr>
        <w:t>从矿</w:t>
      </w:r>
      <w:r w:rsidR="00AC3797" w:rsidRPr="00D77FBE">
        <w:rPr>
          <w:rFonts w:ascii="SimSun" w:hAnsi="SimSun" w:cs="SimSun" w:hint="eastAsia"/>
          <w:kern w:val="22"/>
          <w:sz w:val="24"/>
          <w:szCs w:val="24"/>
          <w:lang w:eastAsia="zh-CN"/>
        </w:rPr>
        <w:t>井</w:t>
      </w:r>
      <w:r w:rsidR="00AC3797">
        <w:rPr>
          <w:rFonts w:ascii="SimSun" w:hAnsi="SimSun" w:cs="SimSun" w:hint="eastAsia"/>
          <w:kern w:val="22"/>
          <w:sz w:val="24"/>
          <w:szCs w:val="24"/>
          <w:lang w:eastAsia="zh-CN"/>
        </w:rPr>
        <w:t>到车轮</w:t>
      </w:r>
      <w:r w:rsidR="00AC3797" w:rsidRPr="00D77FBE">
        <w:rPr>
          <w:rFonts w:ascii="SimSun" w:hAnsi="SimSun" w:cs="SimSun" w:hint="eastAsia"/>
          <w:kern w:val="22"/>
          <w:sz w:val="24"/>
          <w:szCs w:val="24"/>
          <w:lang w:eastAsia="zh-CN"/>
        </w:rPr>
        <w:t>的</w:t>
      </w:r>
      <w:r w:rsidR="00E156AB">
        <w:rPr>
          <w:rFonts w:ascii="SimSun" w:hAnsi="SimSun" w:cs="SimSun"/>
          <w:kern w:val="22"/>
          <w:sz w:val="24"/>
          <w:szCs w:val="24"/>
          <w:lang w:val="en-US" w:eastAsia="zh-CN"/>
        </w:rPr>
        <w:t>)</w:t>
      </w:r>
      <w:r w:rsidR="00AC3797" w:rsidRPr="00D77FBE">
        <w:rPr>
          <w:rFonts w:ascii="SimSun" w:hAnsi="SimSun" w:cs="SimSun" w:hint="eastAsia"/>
          <w:kern w:val="22"/>
          <w:sz w:val="24"/>
          <w:szCs w:val="24"/>
          <w:lang w:eastAsia="zh-CN"/>
        </w:rPr>
        <w:t>供应链。</w:t>
      </w:r>
      <w:r w:rsidR="009F0139" w:rsidRPr="00D77FBE">
        <w:rPr>
          <w:rFonts w:ascii="SimSun" w:hAnsi="SimSun" w:cs="SimSun" w:hint="eastAsia"/>
          <w:kern w:val="22"/>
          <w:sz w:val="24"/>
          <w:szCs w:val="24"/>
          <w:lang w:eastAsia="zh-CN"/>
        </w:rPr>
        <w:t>许多采矿和能源项目的</w:t>
      </w:r>
      <w:r w:rsidR="00EE676F">
        <w:rPr>
          <w:rFonts w:ascii="SimSun" w:hAnsi="SimSun" w:cs="SimSun" w:hint="eastAsia"/>
          <w:kern w:val="22"/>
          <w:sz w:val="24"/>
          <w:szCs w:val="24"/>
          <w:lang w:eastAsia="zh-CN"/>
        </w:rPr>
        <w:t>存在期相</w:t>
      </w:r>
      <w:r w:rsidR="009F0139" w:rsidRPr="00D77FBE">
        <w:rPr>
          <w:rFonts w:ascii="SimSun" w:hAnsi="SimSun" w:cs="SimSun" w:hint="eastAsia"/>
          <w:kern w:val="22"/>
          <w:sz w:val="24"/>
          <w:szCs w:val="24"/>
          <w:lang w:eastAsia="zh-CN"/>
        </w:rPr>
        <w:t>对较长，并且可能会在超过</w:t>
      </w:r>
      <w:r w:rsidR="00E156AB">
        <w:rPr>
          <w:rFonts w:ascii="SimSun" w:hAnsi="SimSun" w:cs="SimSun" w:hint="eastAsia"/>
          <w:kern w:val="22"/>
          <w:sz w:val="24"/>
          <w:szCs w:val="24"/>
          <w:lang w:eastAsia="zh-CN"/>
        </w:rPr>
        <w:t>一个</w:t>
      </w:r>
      <w:r w:rsidR="00E31FCB">
        <w:rPr>
          <w:rFonts w:ascii="SimSun" w:hAnsi="SimSun" w:cs="SimSun" w:hint="eastAsia"/>
          <w:kern w:val="22"/>
          <w:sz w:val="24"/>
          <w:szCs w:val="24"/>
          <w:lang w:eastAsia="zh-CN"/>
        </w:rPr>
        <w:t>采</w:t>
      </w:r>
      <w:r w:rsidR="009F0139" w:rsidRPr="00D77FBE">
        <w:rPr>
          <w:rFonts w:ascii="SimSun" w:hAnsi="SimSun" w:cs="SimSun" w:hint="eastAsia"/>
          <w:kern w:val="22"/>
          <w:sz w:val="24"/>
          <w:szCs w:val="24"/>
          <w:lang w:eastAsia="zh-CN"/>
        </w:rPr>
        <w:t>矿或能源项目</w:t>
      </w:r>
      <w:r w:rsidR="00E156AB">
        <w:rPr>
          <w:rFonts w:ascii="SimSun" w:hAnsi="SimSun" w:cs="SimSun" w:hint="eastAsia"/>
          <w:kern w:val="22"/>
          <w:sz w:val="24"/>
          <w:szCs w:val="24"/>
          <w:lang w:val="en-US" w:eastAsia="zh-CN"/>
        </w:rPr>
        <w:t>寿命</w:t>
      </w:r>
      <w:r w:rsidR="009F0139" w:rsidRPr="00D77FBE">
        <w:rPr>
          <w:rFonts w:ascii="SimSun" w:hAnsi="SimSun" w:cs="SimSun" w:hint="eastAsia"/>
          <w:kern w:val="22"/>
          <w:sz w:val="24"/>
          <w:szCs w:val="24"/>
          <w:lang w:eastAsia="zh-CN"/>
        </w:rPr>
        <w:t>和地理限制的时间段发生影响。与采矿和能源部门相关的所有废弃产品的管理</w:t>
      </w:r>
      <w:r w:rsidR="009F0139">
        <w:rPr>
          <w:rFonts w:ascii="SimSun" w:hAnsi="SimSun" w:cs="SimSun" w:hint="eastAsia"/>
          <w:kern w:val="22"/>
          <w:sz w:val="24"/>
          <w:szCs w:val="24"/>
          <w:lang w:eastAsia="zh-CN"/>
        </w:rPr>
        <w:t>格外重要，以</w:t>
      </w:r>
      <w:r w:rsidR="009F0139" w:rsidRPr="00D77FBE">
        <w:rPr>
          <w:rFonts w:ascii="SimSun" w:hAnsi="SimSun" w:cs="SimSun" w:hint="eastAsia"/>
          <w:kern w:val="22"/>
          <w:sz w:val="24"/>
          <w:szCs w:val="24"/>
          <w:lang w:eastAsia="zh-CN"/>
        </w:rPr>
        <w:t>避免或尽量减少</w:t>
      </w:r>
      <w:r w:rsidR="009F0139">
        <w:rPr>
          <w:rFonts w:ascii="SimSun" w:hAnsi="SimSun" w:cs="SimSun" w:hint="eastAsia"/>
          <w:kern w:val="22"/>
          <w:sz w:val="24"/>
          <w:szCs w:val="24"/>
          <w:lang w:eastAsia="zh-CN"/>
        </w:rPr>
        <w:t>对</w:t>
      </w:r>
      <w:r w:rsidR="009F0139" w:rsidRPr="00D77FBE">
        <w:rPr>
          <w:rFonts w:ascii="SimSun" w:hAnsi="SimSun" w:cs="SimSun" w:hint="eastAsia"/>
          <w:kern w:val="22"/>
          <w:sz w:val="24"/>
          <w:szCs w:val="24"/>
          <w:lang w:eastAsia="zh-CN"/>
        </w:rPr>
        <w:t>生物多样性和生态系统服务</w:t>
      </w:r>
      <w:r w:rsidR="009F0139">
        <w:rPr>
          <w:rFonts w:ascii="SimSun" w:hAnsi="SimSun" w:cs="SimSun" w:hint="eastAsia"/>
          <w:kern w:val="22"/>
          <w:sz w:val="24"/>
          <w:szCs w:val="24"/>
          <w:lang w:eastAsia="zh-CN"/>
        </w:rPr>
        <w:t>的</w:t>
      </w:r>
      <w:r w:rsidR="009F0139" w:rsidRPr="00D77FBE">
        <w:rPr>
          <w:rFonts w:ascii="SimSun" w:hAnsi="SimSun" w:cs="SimSun" w:hint="eastAsia"/>
          <w:kern w:val="22"/>
          <w:sz w:val="24"/>
          <w:szCs w:val="24"/>
          <w:lang w:eastAsia="zh-CN"/>
        </w:rPr>
        <w:t>影响</w:t>
      </w:r>
      <w:r w:rsidR="009F0139">
        <w:rPr>
          <w:rFonts w:ascii="SimSun" w:hAnsi="SimSun" w:cs="SimSun" w:hint="eastAsia"/>
          <w:kern w:val="22"/>
          <w:sz w:val="24"/>
          <w:szCs w:val="24"/>
          <w:lang w:eastAsia="zh-CN"/>
        </w:rPr>
        <w:t>。</w:t>
      </w:r>
      <w:r w:rsidR="009F0139" w:rsidRPr="00D77FBE">
        <w:rPr>
          <w:rFonts w:ascii="SimSun" w:hAnsi="SimSun" w:cs="SimSun" w:hint="eastAsia"/>
          <w:kern w:val="22"/>
          <w:sz w:val="24"/>
          <w:szCs w:val="24"/>
          <w:lang w:eastAsia="zh-CN"/>
        </w:rPr>
        <w:t>已关闭项目遗留</w:t>
      </w:r>
      <w:r w:rsidR="009F0139">
        <w:rPr>
          <w:rFonts w:ascii="SimSun" w:hAnsi="SimSun" w:cs="SimSun" w:hint="eastAsia"/>
          <w:kern w:val="22"/>
          <w:sz w:val="24"/>
          <w:szCs w:val="24"/>
          <w:lang w:eastAsia="zh-CN"/>
        </w:rPr>
        <w:t>的废物</w:t>
      </w:r>
      <w:r w:rsidR="009F0139" w:rsidRPr="00D77FBE">
        <w:rPr>
          <w:rFonts w:ascii="SimSun" w:hAnsi="SimSun" w:cs="SimSun" w:hint="eastAsia"/>
          <w:kern w:val="22"/>
          <w:sz w:val="24"/>
          <w:szCs w:val="24"/>
          <w:lang w:eastAsia="zh-CN"/>
        </w:rPr>
        <w:t>问题仍然是一</w:t>
      </w:r>
      <w:r w:rsidR="009F0139">
        <w:rPr>
          <w:rFonts w:ascii="SimSun" w:hAnsi="SimSun" w:cs="SimSun" w:hint="eastAsia"/>
          <w:kern w:val="22"/>
          <w:sz w:val="24"/>
          <w:szCs w:val="24"/>
          <w:lang w:eastAsia="zh-CN"/>
        </w:rPr>
        <w:t>项</w:t>
      </w:r>
      <w:r w:rsidR="009F0139" w:rsidRPr="00D77FBE">
        <w:rPr>
          <w:rFonts w:ascii="SimSun" w:hAnsi="SimSun" w:cs="SimSun" w:hint="eastAsia"/>
          <w:kern w:val="22"/>
          <w:sz w:val="24"/>
          <w:szCs w:val="24"/>
          <w:lang w:eastAsia="zh-CN"/>
        </w:rPr>
        <w:t>挑战</w:t>
      </w:r>
      <w:r w:rsidR="009F0139">
        <w:rPr>
          <w:rFonts w:ascii="SimSun" w:hAnsi="SimSun" w:cs="SimSun" w:hint="eastAsia"/>
          <w:kern w:val="22"/>
          <w:sz w:val="24"/>
          <w:szCs w:val="24"/>
          <w:lang w:eastAsia="zh-CN"/>
        </w:rPr>
        <w:t>。</w:t>
      </w:r>
    </w:p>
    <w:p w14:paraId="0C0AD854" w14:textId="77777777" w:rsidR="00B60FA8" w:rsidRPr="00B52A50" w:rsidRDefault="00851DCE"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sidRPr="00D77FBE">
        <w:rPr>
          <w:rFonts w:ascii="SimSun" w:hAnsi="SimSun" w:cs="SimSun" w:hint="eastAsia"/>
          <w:kern w:val="22"/>
          <w:sz w:val="24"/>
          <w:szCs w:val="24"/>
          <w:lang w:eastAsia="zh-CN"/>
        </w:rPr>
        <w:t>采矿和能源活动对物种</w:t>
      </w:r>
      <w:r w:rsidR="00E31FCB">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生命阶段</w:t>
      </w:r>
      <w:r w:rsidR="00E31FCB">
        <w:rPr>
          <w:rFonts w:ascii="SimSun" w:hAnsi="SimSun" w:cs="SimSun" w:hint="eastAsia"/>
          <w:kern w:val="22"/>
          <w:sz w:val="24"/>
          <w:szCs w:val="24"/>
          <w:lang w:eastAsia="zh-CN"/>
        </w:rPr>
        <w:t>、</w:t>
      </w:r>
      <w:r w:rsidR="003B7C49">
        <w:rPr>
          <w:rFonts w:ascii="SimSun" w:hAnsi="SimSun" w:cs="SimSun" w:hint="eastAsia"/>
          <w:kern w:val="22"/>
          <w:sz w:val="24"/>
          <w:szCs w:val="24"/>
          <w:lang w:eastAsia="zh-CN"/>
        </w:rPr>
        <w:t>栖息地</w:t>
      </w:r>
      <w:r w:rsidRPr="00D77FBE">
        <w:rPr>
          <w:rFonts w:ascii="SimSun" w:hAnsi="SimSun" w:cs="SimSun" w:hint="eastAsia"/>
          <w:kern w:val="22"/>
          <w:sz w:val="24"/>
          <w:szCs w:val="24"/>
          <w:lang w:eastAsia="zh-CN"/>
        </w:rPr>
        <w:t>和生态系统的潜在直接影响一般都有很好的记</w:t>
      </w:r>
      <w:r w:rsidR="007077C9">
        <w:rPr>
          <w:rFonts w:ascii="SimSun" w:hAnsi="SimSun" w:cs="SimSun" w:hint="eastAsia"/>
          <w:kern w:val="22"/>
          <w:sz w:val="24"/>
          <w:szCs w:val="24"/>
          <w:lang w:eastAsia="zh-CN"/>
        </w:rPr>
        <w:t>载</w:t>
      </w:r>
      <w:r w:rsidRPr="00D77FBE">
        <w:rPr>
          <w:rFonts w:ascii="SimSun" w:hAnsi="SimSun" w:cs="SimSun" w:hint="eastAsia"/>
          <w:kern w:val="22"/>
          <w:sz w:val="24"/>
          <w:szCs w:val="24"/>
          <w:lang w:eastAsia="zh-CN"/>
        </w:rPr>
        <w:t>和</w:t>
      </w:r>
      <w:r w:rsidR="007077C9">
        <w:rPr>
          <w:rFonts w:ascii="SimSun" w:hAnsi="SimSun" w:cs="SimSun" w:hint="eastAsia"/>
          <w:kern w:val="22"/>
          <w:sz w:val="24"/>
          <w:szCs w:val="24"/>
          <w:lang w:eastAsia="zh-CN"/>
        </w:rPr>
        <w:t>了</w:t>
      </w:r>
      <w:r w:rsidRPr="00D77FBE">
        <w:rPr>
          <w:rFonts w:ascii="SimSun" w:hAnsi="SimSun" w:cs="SimSun" w:hint="eastAsia"/>
          <w:kern w:val="22"/>
          <w:sz w:val="24"/>
          <w:szCs w:val="24"/>
          <w:lang w:eastAsia="zh-CN"/>
        </w:rPr>
        <w:t>解，</w:t>
      </w:r>
      <w:r w:rsidR="00E31FCB" w:rsidRPr="00D77FBE">
        <w:rPr>
          <w:rFonts w:ascii="SimSun" w:hAnsi="SimSun" w:cs="SimSun" w:hint="eastAsia"/>
          <w:kern w:val="22"/>
          <w:sz w:val="24"/>
          <w:szCs w:val="24"/>
          <w:lang w:eastAsia="zh-CN"/>
        </w:rPr>
        <w:t>因此</w:t>
      </w:r>
      <w:r w:rsidR="00E31FCB">
        <w:rPr>
          <w:rFonts w:ascii="SimSun" w:hAnsi="SimSun" w:cs="SimSun" w:hint="eastAsia"/>
          <w:kern w:val="22"/>
          <w:sz w:val="24"/>
          <w:szCs w:val="24"/>
          <w:lang w:eastAsia="zh-CN"/>
        </w:rPr>
        <w:t>在</w:t>
      </w:r>
      <w:r w:rsidR="00E31FCB" w:rsidRPr="00D77FBE">
        <w:rPr>
          <w:rFonts w:ascii="SimSun" w:hAnsi="SimSun" w:cs="SimSun" w:hint="eastAsia"/>
          <w:kern w:val="22"/>
          <w:sz w:val="24"/>
          <w:szCs w:val="24"/>
          <w:lang w:eastAsia="zh-CN"/>
        </w:rPr>
        <w:t>系统已经到位</w:t>
      </w:r>
      <w:r w:rsidR="00E31FCB">
        <w:rPr>
          <w:rFonts w:ascii="SimSun" w:hAnsi="SimSun" w:cs="SimSun" w:hint="eastAsia"/>
          <w:kern w:val="22"/>
          <w:sz w:val="24"/>
          <w:szCs w:val="24"/>
          <w:lang w:eastAsia="zh-CN"/>
        </w:rPr>
        <w:t>的地方，</w:t>
      </w:r>
      <w:r w:rsidRPr="00D77FBE">
        <w:rPr>
          <w:rFonts w:ascii="SimSun" w:hAnsi="SimSun" w:cs="SimSun" w:hint="eastAsia"/>
          <w:kern w:val="22"/>
          <w:sz w:val="24"/>
          <w:szCs w:val="24"/>
          <w:lang w:eastAsia="zh-CN"/>
        </w:rPr>
        <w:t>通常可以成功</w:t>
      </w:r>
      <w:r w:rsidR="003B7C49">
        <w:rPr>
          <w:rFonts w:ascii="SimSun" w:hAnsi="SimSun" w:cs="SimSun" w:hint="eastAsia"/>
          <w:kern w:val="22"/>
          <w:sz w:val="24"/>
          <w:szCs w:val="24"/>
          <w:lang w:eastAsia="zh-CN"/>
        </w:rPr>
        <w:t>地</w:t>
      </w:r>
      <w:r w:rsidRPr="00D77FBE">
        <w:rPr>
          <w:rFonts w:ascii="SimSun" w:hAnsi="SimSun" w:cs="SimSun" w:hint="eastAsia"/>
          <w:kern w:val="22"/>
          <w:sz w:val="24"/>
          <w:szCs w:val="24"/>
          <w:lang w:eastAsia="zh-CN"/>
        </w:rPr>
        <w:t>避免或减轻。</w:t>
      </w:r>
      <w:r w:rsidR="00840F08" w:rsidRPr="00D77FBE">
        <w:rPr>
          <w:rFonts w:ascii="SimSun" w:hAnsi="SimSun" w:cs="SimSun" w:hint="eastAsia"/>
          <w:kern w:val="22"/>
          <w:sz w:val="24"/>
          <w:szCs w:val="24"/>
          <w:lang w:eastAsia="zh-CN"/>
        </w:rPr>
        <w:t>直接影响包括栖息地丧失，破坏和碎</w:t>
      </w:r>
      <w:r w:rsidR="00840F08">
        <w:rPr>
          <w:rFonts w:ascii="SimSun" w:hAnsi="SimSun" w:cs="SimSun" w:hint="eastAsia"/>
          <w:kern w:val="22"/>
          <w:sz w:val="24"/>
          <w:szCs w:val="24"/>
          <w:lang w:eastAsia="zh-CN"/>
        </w:rPr>
        <w:t>片</w:t>
      </w:r>
      <w:r w:rsidR="00840F08" w:rsidRPr="00D77FBE">
        <w:rPr>
          <w:rFonts w:ascii="SimSun" w:hAnsi="SimSun" w:cs="SimSun" w:hint="eastAsia"/>
          <w:kern w:val="22"/>
          <w:sz w:val="24"/>
          <w:szCs w:val="24"/>
          <w:lang w:eastAsia="zh-CN"/>
        </w:rPr>
        <w:t>化，物种的干扰</w:t>
      </w:r>
      <w:r w:rsidR="003B7C49">
        <w:rPr>
          <w:rFonts w:ascii="SimSun" w:hAnsi="SimSun" w:cs="SimSun" w:hint="eastAsia"/>
          <w:kern w:val="22"/>
          <w:sz w:val="24"/>
          <w:szCs w:val="24"/>
          <w:lang w:eastAsia="zh-CN"/>
        </w:rPr>
        <w:t>、</w:t>
      </w:r>
      <w:r w:rsidR="00840F08" w:rsidRPr="00D77FBE">
        <w:rPr>
          <w:rFonts w:ascii="SimSun" w:hAnsi="SimSun" w:cs="SimSun" w:hint="eastAsia"/>
          <w:kern w:val="22"/>
          <w:sz w:val="24"/>
          <w:szCs w:val="24"/>
          <w:lang w:eastAsia="zh-CN"/>
        </w:rPr>
        <w:t>移位或死亡（包括与风力涡轮机或</w:t>
      </w:r>
      <w:r w:rsidR="003B7C49">
        <w:rPr>
          <w:rFonts w:ascii="SimSun" w:hAnsi="SimSun" w:cs="SimSun" w:hint="eastAsia"/>
          <w:kern w:val="22"/>
          <w:sz w:val="24"/>
          <w:szCs w:val="24"/>
          <w:lang w:eastAsia="zh-CN"/>
        </w:rPr>
        <w:t>输电线</w:t>
      </w:r>
      <w:r w:rsidR="00840F08" w:rsidRPr="00D77FBE">
        <w:rPr>
          <w:rFonts w:ascii="SimSun" w:hAnsi="SimSun" w:cs="SimSun" w:hint="eastAsia"/>
          <w:kern w:val="22"/>
          <w:sz w:val="24"/>
          <w:szCs w:val="24"/>
          <w:lang w:eastAsia="zh-CN"/>
        </w:rPr>
        <w:t>的碰撞），破坏某些物种的繁殖和迁徙事件，水质和流量的变化，土壤</w:t>
      </w:r>
      <w:r w:rsidR="00710E91">
        <w:rPr>
          <w:rFonts w:ascii="SimSun" w:hAnsi="SimSun" w:cs="SimSun" w:hint="eastAsia"/>
          <w:kern w:val="22"/>
          <w:sz w:val="24"/>
          <w:szCs w:val="24"/>
          <w:lang w:eastAsia="zh-CN"/>
        </w:rPr>
        <w:t>、</w:t>
      </w:r>
      <w:r w:rsidR="00840F08" w:rsidRPr="00D77FBE">
        <w:rPr>
          <w:rFonts w:ascii="SimSun" w:hAnsi="SimSun" w:cs="SimSun" w:hint="eastAsia"/>
          <w:kern w:val="22"/>
          <w:sz w:val="24"/>
          <w:szCs w:val="24"/>
          <w:lang w:eastAsia="zh-CN"/>
        </w:rPr>
        <w:t>空气和水（包括热</w:t>
      </w:r>
      <w:r w:rsidR="003B7C49" w:rsidRPr="00D77FBE">
        <w:rPr>
          <w:rFonts w:ascii="SimSun" w:hAnsi="SimSun" w:cs="SimSun" w:hint="eastAsia"/>
          <w:kern w:val="22"/>
          <w:sz w:val="24"/>
          <w:szCs w:val="24"/>
          <w:lang w:eastAsia="zh-CN"/>
        </w:rPr>
        <w:t>污染</w:t>
      </w:r>
      <w:r w:rsidR="00840F08" w:rsidRPr="00D77FBE">
        <w:rPr>
          <w:rFonts w:ascii="SimSun" w:hAnsi="SimSun" w:cs="SimSun" w:hint="eastAsia"/>
          <w:kern w:val="22"/>
          <w:sz w:val="24"/>
          <w:szCs w:val="24"/>
          <w:lang w:eastAsia="zh-CN"/>
        </w:rPr>
        <w:t>）和引</w:t>
      </w:r>
      <w:r w:rsidR="00840F08">
        <w:rPr>
          <w:rFonts w:ascii="SimSun" w:hAnsi="SimSun" w:cs="SimSun" w:hint="eastAsia"/>
          <w:kern w:val="22"/>
          <w:sz w:val="24"/>
          <w:szCs w:val="24"/>
          <w:lang w:eastAsia="zh-CN"/>
        </w:rPr>
        <w:t>进</w:t>
      </w:r>
      <w:r w:rsidR="00840F08" w:rsidRPr="00D77FBE">
        <w:rPr>
          <w:rFonts w:ascii="SimSun" w:hAnsi="SimSun" w:cs="SimSun" w:hint="eastAsia"/>
          <w:kern w:val="22"/>
          <w:sz w:val="24"/>
          <w:szCs w:val="24"/>
          <w:lang w:eastAsia="zh-CN"/>
        </w:rPr>
        <w:t>入侵物种</w:t>
      </w:r>
      <w:r w:rsidR="00840F08">
        <w:rPr>
          <w:rFonts w:ascii="SimSun" w:hAnsi="SimSun" w:cs="SimSun" w:hint="eastAsia"/>
          <w:kern w:val="22"/>
          <w:sz w:val="24"/>
          <w:szCs w:val="24"/>
          <w:lang w:eastAsia="zh-CN"/>
        </w:rPr>
        <w:t>。</w:t>
      </w:r>
    </w:p>
    <w:p w14:paraId="1719BB1A" w14:textId="77777777" w:rsidR="00710E91" w:rsidRDefault="00851DCE"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sidRPr="00D77FBE">
        <w:rPr>
          <w:rFonts w:ascii="SimSun" w:hAnsi="SimSun" w:cs="SimSun" w:hint="eastAsia"/>
          <w:kern w:val="22"/>
          <w:sz w:val="24"/>
          <w:szCs w:val="24"/>
          <w:lang w:eastAsia="zh-CN"/>
        </w:rPr>
        <w:lastRenderedPageBreak/>
        <w:t>可再生能源</w:t>
      </w:r>
      <w:r w:rsidR="00725AC7">
        <w:rPr>
          <w:rFonts w:ascii="SimSun" w:hAnsi="SimSun" w:cs="SimSun" w:hint="eastAsia"/>
          <w:kern w:val="22"/>
          <w:sz w:val="24"/>
          <w:szCs w:val="24"/>
          <w:lang w:eastAsia="zh-CN"/>
        </w:rPr>
        <w:t>开</w:t>
      </w:r>
      <w:r w:rsidRPr="00D77FBE">
        <w:rPr>
          <w:rFonts w:ascii="SimSun" w:hAnsi="SimSun" w:cs="SimSun" w:hint="eastAsia"/>
          <w:kern w:val="22"/>
          <w:sz w:val="24"/>
          <w:szCs w:val="24"/>
          <w:lang w:eastAsia="zh-CN"/>
        </w:rPr>
        <w:t>发也</w:t>
      </w:r>
      <w:r w:rsidR="00840F08" w:rsidRPr="00D77FBE">
        <w:rPr>
          <w:rFonts w:ascii="SimSun" w:hAnsi="SimSun" w:cs="SimSun" w:hint="eastAsia"/>
          <w:kern w:val="22"/>
          <w:sz w:val="24"/>
          <w:szCs w:val="24"/>
          <w:lang w:eastAsia="zh-CN"/>
        </w:rPr>
        <w:t>影响</w:t>
      </w:r>
      <w:r w:rsidRPr="00D77FBE">
        <w:rPr>
          <w:rFonts w:ascii="SimSun" w:hAnsi="SimSun" w:cs="SimSun" w:hint="eastAsia"/>
          <w:kern w:val="22"/>
          <w:sz w:val="24"/>
          <w:szCs w:val="24"/>
          <w:lang w:eastAsia="zh-CN"/>
        </w:rPr>
        <w:t>生物多样性，需要</w:t>
      </w:r>
      <w:r w:rsidR="00840F08">
        <w:rPr>
          <w:rFonts w:ascii="SimSun" w:hAnsi="SimSun" w:cs="SimSun" w:hint="eastAsia"/>
          <w:kern w:val="22"/>
          <w:sz w:val="24"/>
          <w:szCs w:val="24"/>
          <w:lang w:eastAsia="zh-CN"/>
        </w:rPr>
        <w:t>了</w:t>
      </w:r>
      <w:r w:rsidRPr="00D77FBE">
        <w:rPr>
          <w:rFonts w:ascii="SimSun" w:hAnsi="SimSun" w:cs="SimSun" w:hint="eastAsia"/>
          <w:kern w:val="22"/>
          <w:sz w:val="24"/>
          <w:szCs w:val="24"/>
          <w:lang w:eastAsia="zh-CN"/>
        </w:rPr>
        <w:t>解和解决。其中包括与某些生物燃料相关的重大栖息地转换影响</w:t>
      </w:r>
      <w:r w:rsidR="002B5F87" w:rsidRPr="002B5F87">
        <w:rPr>
          <w:rStyle w:val="FootnoteReference"/>
          <w:kern w:val="22"/>
          <w:szCs w:val="24"/>
        </w:rPr>
        <w:footnoteReference w:id="9"/>
      </w:r>
      <w:r w:rsidR="00A51A7F">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风</w:t>
      </w:r>
      <w:r w:rsidR="003B7C49">
        <w:rPr>
          <w:rFonts w:ascii="SimSun" w:hAnsi="SimSun" w:cs="SimSun" w:hint="eastAsia"/>
          <w:kern w:val="22"/>
          <w:sz w:val="24"/>
          <w:szCs w:val="24"/>
          <w:lang w:eastAsia="zh-CN"/>
        </w:rPr>
        <w:t>力发</w:t>
      </w:r>
      <w:r w:rsidRPr="00D77FBE">
        <w:rPr>
          <w:rFonts w:ascii="SimSun" w:hAnsi="SimSun" w:cs="SimSun" w:hint="eastAsia"/>
          <w:kern w:val="22"/>
          <w:sz w:val="24"/>
          <w:szCs w:val="24"/>
          <w:lang w:eastAsia="zh-CN"/>
        </w:rPr>
        <w:t>电对候鸟</w:t>
      </w:r>
      <w:r w:rsidR="003B7C49">
        <w:rPr>
          <w:rFonts w:ascii="SimSun" w:hAnsi="SimSun" w:cs="SimSun" w:hint="eastAsia"/>
          <w:kern w:val="22"/>
          <w:sz w:val="24"/>
          <w:szCs w:val="24"/>
          <w:lang w:eastAsia="zh-CN"/>
        </w:rPr>
        <w:t>物</w:t>
      </w:r>
      <w:r w:rsidRPr="00D77FBE">
        <w:rPr>
          <w:rFonts w:ascii="SimSun" w:hAnsi="SimSun" w:cs="SimSun" w:hint="eastAsia"/>
          <w:kern w:val="22"/>
          <w:sz w:val="24"/>
          <w:szCs w:val="24"/>
          <w:lang w:eastAsia="zh-CN"/>
        </w:rPr>
        <w:t>种的影响以及与太阳能技术和储能相关的供应链影响</w:t>
      </w:r>
      <w:r w:rsidR="00840F08">
        <w:rPr>
          <w:rFonts w:ascii="SimSun" w:hAnsi="SimSun" w:cs="SimSun" w:hint="eastAsia"/>
          <w:kern w:val="22"/>
          <w:sz w:val="24"/>
          <w:szCs w:val="24"/>
          <w:lang w:eastAsia="zh-CN"/>
        </w:rPr>
        <w:t>。</w:t>
      </w:r>
    </w:p>
    <w:p w14:paraId="512B8AD8" w14:textId="77777777" w:rsidR="00B60FA8" w:rsidRPr="00710E91" w:rsidRDefault="00851DCE"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sidRPr="00710E91">
        <w:rPr>
          <w:rFonts w:ascii="SimSun" w:hAnsi="SimSun" w:cs="SimSun" w:hint="eastAsia"/>
          <w:kern w:val="22"/>
          <w:sz w:val="24"/>
          <w:szCs w:val="24"/>
          <w:lang w:eastAsia="zh-CN"/>
        </w:rPr>
        <w:t>核能在开采和处置有害物质方面</w:t>
      </w:r>
      <w:r w:rsidR="003B7C49">
        <w:rPr>
          <w:rFonts w:ascii="SimSun" w:hAnsi="SimSun" w:cs="SimSun" w:hint="eastAsia"/>
          <w:kern w:val="22"/>
          <w:sz w:val="24"/>
          <w:szCs w:val="24"/>
          <w:lang w:eastAsia="zh-CN"/>
        </w:rPr>
        <w:t>具有</w:t>
      </w:r>
      <w:r w:rsidRPr="00710E91">
        <w:rPr>
          <w:rFonts w:ascii="SimSun" w:hAnsi="SimSun" w:cs="SimSun" w:hint="eastAsia"/>
          <w:kern w:val="22"/>
          <w:sz w:val="24"/>
          <w:szCs w:val="24"/>
          <w:lang w:eastAsia="zh-CN"/>
        </w:rPr>
        <w:t>巨大影响，</w:t>
      </w:r>
      <w:r w:rsidR="002B5F87" w:rsidRPr="00710E91">
        <w:rPr>
          <w:rFonts w:ascii="SimSun" w:hAnsi="SimSun" w:cs="SimSun" w:hint="eastAsia"/>
          <w:kern w:val="22"/>
          <w:sz w:val="24"/>
          <w:szCs w:val="24"/>
          <w:lang w:eastAsia="zh-CN"/>
        </w:rPr>
        <w:t>有</w:t>
      </w:r>
      <w:r w:rsidRPr="00710E91">
        <w:rPr>
          <w:rFonts w:ascii="SimSun" w:hAnsi="SimSun" w:cs="SimSun" w:hint="eastAsia"/>
          <w:kern w:val="22"/>
          <w:sz w:val="24"/>
          <w:szCs w:val="24"/>
          <w:lang w:eastAsia="zh-CN"/>
        </w:rPr>
        <w:t>一些</w:t>
      </w:r>
      <w:r w:rsidR="002B5F87" w:rsidRPr="00710E91">
        <w:rPr>
          <w:rFonts w:ascii="SimSun" w:hAnsi="SimSun" w:cs="SimSun" w:hint="eastAsia"/>
          <w:kern w:val="22"/>
          <w:sz w:val="24"/>
          <w:szCs w:val="24"/>
          <w:lang w:eastAsia="zh-CN"/>
        </w:rPr>
        <w:t>记录在案</w:t>
      </w:r>
      <w:r w:rsidR="001D73C1">
        <w:rPr>
          <w:rFonts w:ascii="SimSun" w:hAnsi="SimSun" w:cs="SimSun" w:hint="eastAsia"/>
          <w:kern w:val="22"/>
          <w:sz w:val="24"/>
          <w:szCs w:val="24"/>
          <w:lang w:eastAsia="zh-CN"/>
        </w:rPr>
        <w:t>的</w:t>
      </w:r>
      <w:r w:rsidR="002B5F87" w:rsidRPr="00710E91">
        <w:rPr>
          <w:rFonts w:ascii="SimSun" w:hAnsi="SimSun" w:cs="SimSun" w:hint="eastAsia"/>
          <w:kern w:val="22"/>
          <w:sz w:val="24"/>
          <w:szCs w:val="24"/>
          <w:lang w:eastAsia="zh-CN"/>
        </w:rPr>
        <w:t>与</w:t>
      </w:r>
      <w:r w:rsidRPr="00710E91">
        <w:rPr>
          <w:rFonts w:ascii="SimSun" w:hAnsi="SimSun" w:cs="SimSun" w:hint="eastAsia"/>
          <w:kern w:val="22"/>
          <w:sz w:val="24"/>
          <w:szCs w:val="24"/>
          <w:lang w:eastAsia="zh-CN"/>
        </w:rPr>
        <w:t>核事故</w:t>
      </w:r>
      <w:r w:rsidR="002B5F87" w:rsidRPr="00710E91">
        <w:rPr>
          <w:rFonts w:ascii="SimSun" w:hAnsi="SimSun" w:cs="SimSun" w:hint="eastAsia"/>
          <w:kern w:val="22"/>
          <w:sz w:val="24"/>
          <w:szCs w:val="24"/>
          <w:lang w:eastAsia="zh-CN"/>
        </w:rPr>
        <w:t>有关</w:t>
      </w:r>
      <w:r w:rsidRPr="00710E91">
        <w:rPr>
          <w:rFonts w:ascii="SimSun" w:hAnsi="SimSun" w:cs="SimSun" w:hint="eastAsia"/>
          <w:kern w:val="22"/>
          <w:sz w:val="24"/>
          <w:szCs w:val="24"/>
          <w:lang w:eastAsia="zh-CN"/>
        </w:rPr>
        <w:t>的灾难（例如日本</w:t>
      </w:r>
      <w:r w:rsidR="002B5F87" w:rsidRPr="00710E91">
        <w:rPr>
          <w:rFonts w:hint="eastAsia"/>
          <w:kern w:val="22"/>
          <w:sz w:val="24"/>
          <w:szCs w:val="24"/>
          <w:lang w:eastAsia="zh-CN"/>
        </w:rPr>
        <w:t>福岛</w:t>
      </w:r>
      <w:r w:rsidRPr="00710E91">
        <w:rPr>
          <w:rFonts w:ascii="SimSun" w:hAnsi="SimSun" w:cs="SimSun" w:hint="eastAsia"/>
          <w:kern w:val="22"/>
          <w:sz w:val="24"/>
          <w:szCs w:val="24"/>
          <w:lang w:eastAsia="zh-CN"/>
        </w:rPr>
        <w:t>）。大规模采矿业和手工和小规模采矿业之间的影响可</w:t>
      </w:r>
      <w:r w:rsidR="00710E91">
        <w:rPr>
          <w:rFonts w:ascii="SimSun" w:hAnsi="SimSun" w:cs="SimSun" w:hint="eastAsia"/>
          <w:kern w:val="22"/>
          <w:sz w:val="24"/>
          <w:szCs w:val="24"/>
          <w:lang w:eastAsia="zh-CN"/>
        </w:rPr>
        <w:t>能</w:t>
      </w:r>
      <w:r w:rsidRPr="00710E91">
        <w:rPr>
          <w:rFonts w:ascii="SimSun" w:hAnsi="SimSun" w:cs="SimSun" w:hint="eastAsia"/>
          <w:kern w:val="22"/>
          <w:sz w:val="24"/>
          <w:szCs w:val="24"/>
          <w:lang w:eastAsia="zh-CN"/>
        </w:rPr>
        <w:t>不同</w:t>
      </w:r>
      <w:r w:rsidR="002B5F87" w:rsidRPr="002B5F87">
        <w:rPr>
          <w:rStyle w:val="FootnoteReference"/>
          <w:kern w:val="22"/>
          <w:szCs w:val="24"/>
        </w:rPr>
        <w:footnoteReference w:id="10"/>
      </w:r>
      <w:r w:rsidR="008033F9">
        <w:rPr>
          <w:rFonts w:ascii="SimSun" w:hAnsi="SimSun" w:cs="SimSun" w:hint="eastAsia"/>
          <w:kern w:val="22"/>
          <w:sz w:val="24"/>
          <w:szCs w:val="24"/>
          <w:lang w:eastAsia="zh-CN"/>
        </w:rPr>
        <w:t>。</w:t>
      </w:r>
      <w:r w:rsidR="00710E91">
        <w:rPr>
          <w:rFonts w:ascii="SimSun" w:hAnsi="SimSun" w:cs="SimSun" w:hint="eastAsia"/>
          <w:kern w:val="22"/>
          <w:sz w:val="24"/>
          <w:szCs w:val="24"/>
          <w:lang w:eastAsia="zh-CN"/>
        </w:rPr>
        <w:t>不过</w:t>
      </w:r>
      <w:r w:rsidRPr="00710E91">
        <w:rPr>
          <w:rFonts w:ascii="SimSun" w:hAnsi="SimSun" w:cs="SimSun" w:hint="eastAsia"/>
          <w:kern w:val="22"/>
          <w:sz w:val="24"/>
          <w:szCs w:val="24"/>
          <w:lang w:eastAsia="zh-CN"/>
        </w:rPr>
        <w:t>，大规模采矿往往比手工和小规模采矿更好</w:t>
      </w:r>
      <w:r w:rsidR="002B5F87" w:rsidRPr="00710E91">
        <w:rPr>
          <w:rFonts w:ascii="SimSun" w:hAnsi="SimSun" w:cs="SimSun" w:hint="eastAsia"/>
          <w:kern w:val="22"/>
          <w:sz w:val="24"/>
          <w:szCs w:val="24"/>
          <w:lang w:eastAsia="zh-CN"/>
        </w:rPr>
        <w:t>规范</w:t>
      </w:r>
      <w:r w:rsidRPr="00710E91">
        <w:rPr>
          <w:rFonts w:ascii="SimSun" w:hAnsi="SimSun" w:cs="SimSun" w:hint="eastAsia"/>
          <w:kern w:val="22"/>
          <w:sz w:val="24"/>
          <w:szCs w:val="24"/>
          <w:lang w:eastAsia="zh-CN"/>
        </w:rPr>
        <w:t>，这可以</w:t>
      </w:r>
      <w:r w:rsidR="002B5F87" w:rsidRPr="00710E91">
        <w:rPr>
          <w:rFonts w:ascii="SimSun" w:hAnsi="SimSun" w:cs="SimSun" w:hint="eastAsia"/>
          <w:kern w:val="22"/>
          <w:sz w:val="24"/>
          <w:szCs w:val="24"/>
          <w:lang w:eastAsia="zh-CN"/>
        </w:rPr>
        <w:t>导致</w:t>
      </w:r>
      <w:r w:rsidRPr="00710E91">
        <w:rPr>
          <w:rFonts w:ascii="SimSun" w:hAnsi="SimSun" w:cs="SimSun" w:hint="eastAsia"/>
          <w:kern w:val="22"/>
          <w:sz w:val="24"/>
          <w:szCs w:val="24"/>
          <w:lang w:eastAsia="zh-CN"/>
        </w:rPr>
        <w:t>避免或减少对生物多样性和生态系统服务的影响。</w:t>
      </w:r>
      <w:r w:rsidR="002B5F87" w:rsidRPr="00710E91">
        <w:rPr>
          <w:rFonts w:ascii="SimSun" w:hAnsi="SimSun" w:cs="SimSun" w:hint="eastAsia"/>
          <w:kern w:val="22"/>
          <w:sz w:val="24"/>
          <w:szCs w:val="24"/>
          <w:lang w:eastAsia="zh-CN"/>
        </w:rPr>
        <w:t>例如，在手工和小规模黄金开采过程中使用汞是全球汞污染的最大单一来源。这可</w:t>
      </w:r>
      <w:r w:rsidR="005A3EB6">
        <w:rPr>
          <w:rFonts w:ascii="SimSun" w:hAnsi="SimSun" w:cs="SimSun" w:hint="eastAsia"/>
          <w:kern w:val="22"/>
          <w:sz w:val="24"/>
          <w:szCs w:val="24"/>
          <w:lang w:eastAsia="zh-CN"/>
        </w:rPr>
        <w:t>以</w:t>
      </w:r>
      <w:r w:rsidR="002B5F87" w:rsidRPr="00710E91">
        <w:rPr>
          <w:rFonts w:ascii="SimSun" w:hAnsi="SimSun" w:cs="SimSun" w:hint="eastAsia"/>
          <w:kern w:val="22"/>
          <w:sz w:val="24"/>
          <w:szCs w:val="24"/>
          <w:lang w:eastAsia="zh-CN"/>
        </w:rPr>
        <w:t>对人类健康、生物多样性和生态系统服务产生严重影响，例如水和食物供应</w:t>
      </w:r>
      <w:r w:rsidR="001D73C1">
        <w:rPr>
          <w:rFonts w:hint="eastAsia"/>
          <w:kern w:val="22"/>
          <w:sz w:val="24"/>
          <w:szCs w:val="24"/>
          <w:lang w:eastAsia="zh-CN"/>
        </w:rPr>
        <w:t>。</w:t>
      </w:r>
    </w:p>
    <w:p w14:paraId="0E7A555E" w14:textId="61351054" w:rsidR="00B60FA8" w:rsidRPr="00B52A50" w:rsidRDefault="00851DCE"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sidRPr="00D77FBE">
        <w:rPr>
          <w:rFonts w:ascii="SimSun" w:hAnsi="SimSun" w:cs="SimSun" w:hint="eastAsia"/>
          <w:kern w:val="22"/>
          <w:sz w:val="24"/>
          <w:szCs w:val="24"/>
          <w:lang w:eastAsia="zh-CN"/>
        </w:rPr>
        <w:t>新的采矿地点（如海底采矿）可能</w:t>
      </w:r>
      <w:r w:rsidR="001D73C1">
        <w:rPr>
          <w:rFonts w:ascii="SimSun" w:hAnsi="SimSun" w:cs="SimSun" w:hint="eastAsia"/>
          <w:kern w:val="22"/>
          <w:sz w:val="24"/>
          <w:szCs w:val="24"/>
          <w:lang w:eastAsia="zh-CN"/>
        </w:rPr>
        <w:t>会</w:t>
      </w:r>
      <w:r w:rsidRPr="00D77FBE">
        <w:rPr>
          <w:rFonts w:ascii="SimSun" w:hAnsi="SimSun" w:cs="SimSun" w:hint="eastAsia"/>
          <w:kern w:val="22"/>
          <w:sz w:val="24"/>
          <w:szCs w:val="24"/>
          <w:lang w:eastAsia="zh-CN"/>
        </w:rPr>
        <w:t>对生物多样性和生态系统服务</w:t>
      </w:r>
      <w:r w:rsidR="00710E91">
        <w:rPr>
          <w:rFonts w:ascii="SimSun" w:hAnsi="SimSun" w:cs="SimSun" w:hint="eastAsia"/>
          <w:kern w:val="22"/>
          <w:sz w:val="24"/>
          <w:szCs w:val="24"/>
          <w:lang w:eastAsia="zh-CN"/>
        </w:rPr>
        <w:t>形成</w:t>
      </w:r>
      <w:r w:rsidRPr="00D77FBE">
        <w:rPr>
          <w:rFonts w:ascii="SimSun" w:hAnsi="SimSun" w:cs="SimSun" w:hint="eastAsia"/>
          <w:kern w:val="22"/>
          <w:sz w:val="24"/>
          <w:szCs w:val="24"/>
          <w:lang w:eastAsia="zh-CN"/>
        </w:rPr>
        <w:t>新的潜在风险</w:t>
      </w:r>
      <w:r w:rsidR="009C2984" w:rsidRPr="009C2984">
        <w:rPr>
          <w:rFonts w:ascii="SimSun" w:hAnsi="SimSun" w:cs="SimSun"/>
          <w:kern w:val="22"/>
          <w:sz w:val="24"/>
          <w:szCs w:val="24"/>
          <w:vertAlign w:val="superscript"/>
          <w:lang w:eastAsia="zh-CN"/>
        </w:rPr>
        <w:fldChar w:fldCharType="begin"/>
      </w:r>
      <w:r w:rsidR="009C2984" w:rsidRPr="009C2984">
        <w:rPr>
          <w:rFonts w:ascii="SimSun" w:hAnsi="SimSun" w:cs="SimSun"/>
          <w:kern w:val="22"/>
          <w:sz w:val="24"/>
          <w:szCs w:val="24"/>
          <w:vertAlign w:val="superscript"/>
          <w:lang w:eastAsia="zh-CN"/>
        </w:rPr>
        <w:instrText xml:space="preserve"> </w:instrText>
      </w:r>
      <w:r w:rsidR="009C2984" w:rsidRPr="009C2984">
        <w:rPr>
          <w:rFonts w:ascii="SimSun" w:hAnsi="SimSun" w:cs="SimSun" w:hint="eastAsia"/>
          <w:kern w:val="22"/>
          <w:sz w:val="24"/>
          <w:szCs w:val="24"/>
          <w:vertAlign w:val="superscript"/>
          <w:lang w:eastAsia="zh-CN"/>
        </w:rPr>
        <w:instrText>NOTEREF _Ref517626918 \h</w:instrText>
      </w:r>
      <w:r w:rsidR="009C2984" w:rsidRPr="009C2984">
        <w:rPr>
          <w:rFonts w:ascii="SimSun" w:hAnsi="SimSun" w:cs="SimSun"/>
          <w:kern w:val="22"/>
          <w:sz w:val="24"/>
          <w:szCs w:val="24"/>
          <w:vertAlign w:val="superscript"/>
          <w:lang w:eastAsia="zh-CN"/>
        </w:rPr>
        <w:instrText xml:space="preserve"> </w:instrText>
      </w:r>
      <w:r w:rsidR="009C2984">
        <w:rPr>
          <w:rFonts w:ascii="SimSun" w:hAnsi="SimSun" w:cs="SimSun"/>
          <w:kern w:val="22"/>
          <w:sz w:val="24"/>
          <w:szCs w:val="24"/>
          <w:vertAlign w:val="superscript"/>
          <w:lang w:eastAsia="zh-CN"/>
        </w:rPr>
        <w:instrText xml:space="preserve"> \* MERGEFORMAT </w:instrText>
      </w:r>
      <w:r w:rsidR="009C2984" w:rsidRPr="009C2984">
        <w:rPr>
          <w:rFonts w:ascii="SimSun" w:hAnsi="SimSun" w:cs="SimSun"/>
          <w:kern w:val="22"/>
          <w:sz w:val="24"/>
          <w:szCs w:val="24"/>
          <w:vertAlign w:val="superscript"/>
          <w:lang w:eastAsia="zh-CN"/>
        </w:rPr>
      </w:r>
      <w:r w:rsidR="009C2984" w:rsidRPr="009C2984">
        <w:rPr>
          <w:rFonts w:ascii="SimSun" w:hAnsi="SimSun" w:cs="SimSun"/>
          <w:kern w:val="22"/>
          <w:sz w:val="24"/>
          <w:szCs w:val="24"/>
          <w:vertAlign w:val="superscript"/>
          <w:lang w:eastAsia="zh-CN"/>
        </w:rPr>
        <w:fldChar w:fldCharType="separate"/>
      </w:r>
      <w:r w:rsidR="008661BC">
        <w:rPr>
          <w:rFonts w:ascii="SimSun" w:hAnsi="SimSun" w:cs="SimSun"/>
          <w:kern w:val="22"/>
          <w:sz w:val="24"/>
          <w:szCs w:val="24"/>
          <w:vertAlign w:val="superscript"/>
          <w:lang w:eastAsia="zh-CN"/>
        </w:rPr>
        <w:t>7</w:t>
      </w:r>
      <w:r w:rsidR="009C2984" w:rsidRPr="009C2984">
        <w:rPr>
          <w:rFonts w:ascii="SimSun" w:hAnsi="SimSun" w:cs="SimSun"/>
          <w:kern w:val="22"/>
          <w:sz w:val="24"/>
          <w:szCs w:val="24"/>
          <w:vertAlign w:val="superscript"/>
          <w:lang w:eastAsia="zh-CN"/>
        </w:rPr>
        <w:fldChar w:fldCharType="end"/>
      </w:r>
      <w:r w:rsidR="009C2984">
        <w:rPr>
          <w:rFonts w:ascii="SimSun" w:hAnsi="SimSun" w:cs="SimSun" w:hint="eastAsia"/>
          <w:kern w:val="22"/>
          <w:sz w:val="24"/>
          <w:szCs w:val="24"/>
          <w:lang w:eastAsia="zh-CN"/>
        </w:rPr>
        <w:t>。</w:t>
      </w:r>
      <w:r w:rsidR="001D73C1">
        <w:rPr>
          <w:rFonts w:ascii="SimSun" w:hAnsi="SimSun" w:cs="SimSun" w:hint="eastAsia"/>
          <w:kern w:val="22"/>
          <w:sz w:val="24"/>
          <w:szCs w:val="24"/>
          <w:lang w:eastAsia="zh-CN"/>
        </w:rPr>
        <w:t>不过</w:t>
      </w:r>
      <w:r w:rsidRPr="00D77FBE">
        <w:rPr>
          <w:rFonts w:ascii="SimSun" w:hAnsi="SimSun" w:cs="SimSun" w:hint="eastAsia"/>
          <w:kern w:val="22"/>
          <w:sz w:val="24"/>
          <w:szCs w:val="24"/>
          <w:lang w:eastAsia="zh-CN"/>
        </w:rPr>
        <w:t>，新技术提供了</w:t>
      </w:r>
      <w:r w:rsidR="001A668D" w:rsidRPr="00D77FBE">
        <w:rPr>
          <w:rFonts w:ascii="SimSun" w:hAnsi="SimSun" w:cs="SimSun" w:hint="eastAsia"/>
          <w:kern w:val="22"/>
          <w:sz w:val="24"/>
          <w:szCs w:val="24"/>
          <w:lang w:eastAsia="zh-CN"/>
        </w:rPr>
        <w:t>减少风险</w:t>
      </w:r>
      <w:r w:rsidR="001A668D">
        <w:rPr>
          <w:rFonts w:ascii="SimSun" w:hAnsi="SimSun" w:cs="SimSun" w:hint="eastAsia"/>
          <w:kern w:val="22"/>
          <w:sz w:val="24"/>
          <w:szCs w:val="24"/>
          <w:lang w:eastAsia="zh-CN"/>
        </w:rPr>
        <w:t>的</w:t>
      </w:r>
      <w:r w:rsidRPr="00D77FBE">
        <w:rPr>
          <w:rFonts w:ascii="SimSun" w:hAnsi="SimSun" w:cs="SimSun" w:hint="eastAsia"/>
          <w:kern w:val="22"/>
          <w:sz w:val="24"/>
          <w:szCs w:val="24"/>
          <w:lang w:eastAsia="zh-CN"/>
        </w:rPr>
        <w:t>机会。例如，使用定向钻井避免对敏感区域的表面影响可以帮助降低风险</w:t>
      </w:r>
      <w:r w:rsidR="001D73C1">
        <w:rPr>
          <w:rFonts w:hint="eastAsia"/>
          <w:kern w:val="22"/>
          <w:sz w:val="24"/>
          <w:szCs w:val="24"/>
          <w:lang w:eastAsia="zh-CN"/>
        </w:rPr>
        <w:t>。</w:t>
      </w:r>
    </w:p>
    <w:p w14:paraId="0629A2E9" w14:textId="77777777" w:rsidR="00B60FA8" w:rsidRPr="00B52A50" w:rsidRDefault="00851DCE"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sidRPr="00D77FBE">
        <w:rPr>
          <w:rFonts w:ascii="SimSun" w:hAnsi="SimSun" w:cs="SimSun" w:hint="eastAsia"/>
          <w:kern w:val="22"/>
          <w:sz w:val="24"/>
          <w:szCs w:val="24"/>
          <w:lang w:eastAsia="zh-CN"/>
        </w:rPr>
        <w:t>与其他一些部门（如农业或林业</w:t>
      </w:r>
      <w:r w:rsidR="001A668D">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或城市化）相比，</w:t>
      </w:r>
      <w:r w:rsidRPr="001A668D">
        <w:rPr>
          <w:rFonts w:ascii="SimSun" w:hAnsi="SimSun" w:cs="SimSun" w:hint="eastAsia"/>
          <w:kern w:val="22"/>
          <w:sz w:val="24"/>
          <w:szCs w:val="24"/>
          <w:lang w:eastAsia="zh-CN"/>
        </w:rPr>
        <w:t>能源和采矿</w:t>
      </w:r>
      <w:r w:rsidR="001A668D" w:rsidRPr="001A668D">
        <w:rPr>
          <w:rFonts w:ascii="Arial" w:hAnsi="Arial" w:cs="Arial"/>
          <w:color w:val="333333"/>
          <w:sz w:val="24"/>
          <w:szCs w:val="24"/>
          <w:shd w:val="clear" w:color="auto" w:fill="FFFFFF"/>
          <w:lang w:eastAsia="zh-CN"/>
        </w:rPr>
        <w:t>作业的物理足</w:t>
      </w:r>
      <w:r w:rsidR="001A668D" w:rsidRPr="001A668D">
        <w:rPr>
          <w:rFonts w:ascii="SimSun" w:hAnsi="SimSun" w:cs="SimSun" w:hint="eastAsia"/>
          <w:color w:val="333333"/>
          <w:sz w:val="24"/>
          <w:szCs w:val="24"/>
          <w:shd w:val="clear" w:color="auto" w:fill="FFFFFF"/>
          <w:lang w:eastAsia="zh-CN"/>
        </w:rPr>
        <w:t>迹</w:t>
      </w:r>
      <w:r w:rsidRPr="001A668D">
        <w:rPr>
          <w:rFonts w:ascii="SimSun" w:hAnsi="SimSun" w:cs="SimSun" w:hint="eastAsia"/>
          <w:kern w:val="22"/>
          <w:sz w:val="24"/>
          <w:szCs w:val="24"/>
          <w:lang w:eastAsia="zh-CN"/>
        </w:rPr>
        <w:t>可能相对较小。然而，由于能源和采矿作业</w:t>
      </w:r>
      <w:r w:rsidR="00800034">
        <w:rPr>
          <w:rFonts w:ascii="SimSun" w:hAnsi="SimSun" w:cs="SimSun" w:hint="eastAsia"/>
          <w:kern w:val="22"/>
          <w:sz w:val="24"/>
          <w:szCs w:val="24"/>
          <w:lang w:eastAsia="zh-CN"/>
        </w:rPr>
        <w:t>致使</w:t>
      </w:r>
      <w:r w:rsidRPr="001A668D">
        <w:rPr>
          <w:rFonts w:ascii="SimSun" w:hAnsi="SimSun" w:cs="SimSun" w:hint="eastAsia"/>
          <w:kern w:val="22"/>
          <w:sz w:val="24"/>
          <w:szCs w:val="24"/>
          <w:lang w:eastAsia="zh-CN"/>
        </w:rPr>
        <w:t>人口迁入某一地区</w:t>
      </w:r>
      <w:r w:rsidR="00800034">
        <w:rPr>
          <w:rFonts w:ascii="SimSun" w:hAnsi="SimSun" w:cs="SimSun" w:hint="eastAsia"/>
          <w:kern w:val="22"/>
          <w:sz w:val="24"/>
          <w:szCs w:val="24"/>
          <w:lang w:eastAsia="zh-CN"/>
        </w:rPr>
        <w:t>产生</w:t>
      </w:r>
      <w:r w:rsidRPr="001A668D">
        <w:rPr>
          <w:rFonts w:ascii="SimSun" w:hAnsi="SimSun" w:cs="SimSun" w:hint="eastAsia"/>
          <w:kern w:val="22"/>
          <w:sz w:val="24"/>
          <w:szCs w:val="24"/>
          <w:lang w:eastAsia="zh-CN"/>
        </w:rPr>
        <w:t>的生物多样</w:t>
      </w:r>
      <w:r w:rsidRPr="00D77FBE">
        <w:rPr>
          <w:rFonts w:ascii="SimSun" w:hAnsi="SimSun" w:cs="SimSun" w:hint="eastAsia"/>
          <w:kern w:val="22"/>
          <w:sz w:val="24"/>
          <w:szCs w:val="24"/>
          <w:lang w:eastAsia="zh-CN"/>
        </w:rPr>
        <w:t>性影响可</w:t>
      </w:r>
      <w:r w:rsidR="00422EAC">
        <w:rPr>
          <w:rFonts w:ascii="SimSun" w:hAnsi="SimSun" w:cs="SimSun" w:hint="eastAsia"/>
          <w:kern w:val="22"/>
          <w:sz w:val="24"/>
          <w:szCs w:val="24"/>
          <w:lang w:eastAsia="zh-CN"/>
        </w:rPr>
        <w:t>以</w:t>
      </w:r>
      <w:r w:rsidRPr="00D77FBE">
        <w:rPr>
          <w:rFonts w:ascii="SimSun" w:hAnsi="SimSun" w:cs="SimSun" w:hint="eastAsia"/>
          <w:kern w:val="22"/>
          <w:sz w:val="24"/>
          <w:szCs w:val="24"/>
          <w:lang w:eastAsia="zh-CN"/>
        </w:rPr>
        <w:t>非常显着，导致进一步侵蚀自然栖息地。</w:t>
      </w:r>
      <w:r w:rsidR="001D73C1">
        <w:rPr>
          <w:rFonts w:ascii="SimSun" w:hAnsi="SimSun" w:cs="SimSun" w:hint="eastAsia"/>
          <w:kern w:val="22"/>
          <w:sz w:val="24"/>
          <w:szCs w:val="24"/>
          <w:lang w:eastAsia="zh-CN"/>
        </w:rPr>
        <w:t>这</w:t>
      </w:r>
      <w:r w:rsidR="00800034" w:rsidRPr="00D77FBE">
        <w:rPr>
          <w:rFonts w:ascii="SimSun" w:hAnsi="SimSun" w:cs="SimSun" w:hint="eastAsia"/>
          <w:kern w:val="22"/>
          <w:sz w:val="24"/>
          <w:szCs w:val="24"/>
          <w:lang w:eastAsia="zh-CN"/>
        </w:rPr>
        <w:t>还可能导致</w:t>
      </w:r>
      <w:r w:rsidR="00800034">
        <w:rPr>
          <w:rFonts w:ascii="SimSun" w:hAnsi="SimSun" w:cs="SimSun" w:hint="eastAsia"/>
          <w:kern w:val="22"/>
          <w:sz w:val="24"/>
          <w:szCs w:val="24"/>
          <w:lang w:eastAsia="zh-CN"/>
        </w:rPr>
        <w:t>加紧开采</w:t>
      </w:r>
      <w:r w:rsidR="00800034" w:rsidRPr="00D77FBE">
        <w:rPr>
          <w:rFonts w:ascii="SimSun" w:hAnsi="SimSun" w:cs="SimSun" w:hint="eastAsia"/>
          <w:kern w:val="22"/>
          <w:sz w:val="24"/>
          <w:szCs w:val="24"/>
          <w:lang w:eastAsia="zh-CN"/>
        </w:rPr>
        <w:t>自然资源</w:t>
      </w:r>
      <w:r w:rsidR="001D73C1">
        <w:rPr>
          <w:rFonts w:ascii="SimSun" w:hAnsi="SimSun" w:cs="SimSun" w:hint="eastAsia"/>
          <w:kern w:val="22"/>
          <w:sz w:val="24"/>
          <w:szCs w:val="24"/>
          <w:lang w:eastAsia="zh-CN"/>
        </w:rPr>
        <w:t>达到</w:t>
      </w:r>
      <w:r w:rsidR="001D73C1" w:rsidRPr="00D77FBE">
        <w:rPr>
          <w:rFonts w:ascii="SimSun" w:hAnsi="SimSun" w:cs="SimSun" w:hint="eastAsia"/>
          <w:kern w:val="22"/>
          <w:sz w:val="24"/>
          <w:szCs w:val="24"/>
          <w:lang w:eastAsia="zh-CN"/>
        </w:rPr>
        <w:t>不可持续的水平</w:t>
      </w:r>
      <w:r w:rsidR="00800034">
        <w:rPr>
          <w:rFonts w:ascii="SimSun" w:hAnsi="SimSun" w:cs="SimSun" w:hint="eastAsia"/>
          <w:kern w:val="22"/>
          <w:sz w:val="24"/>
          <w:szCs w:val="24"/>
          <w:lang w:eastAsia="zh-CN"/>
        </w:rPr>
        <w:t>，</w:t>
      </w:r>
      <w:r w:rsidR="001D73C1">
        <w:rPr>
          <w:rFonts w:ascii="SimSun" w:hAnsi="SimSun" w:cs="SimSun" w:hint="eastAsia"/>
          <w:kern w:val="22"/>
          <w:sz w:val="24"/>
          <w:szCs w:val="24"/>
          <w:lang w:eastAsia="zh-CN"/>
        </w:rPr>
        <w:t>包括</w:t>
      </w:r>
      <w:r w:rsidR="00800034" w:rsidRPr="00D77FBE">
        <w:rPr>
          <w:rFonts w:ascii="SimSun" w:hAnsi="SimSun" w:cs="SimSun" w:hint="eastAsia"/>
          <w:kern w:val="22"/>
          <w:sz w:val="24"/>
          <w:szCs w:val="24"/>
          <w:lang w:eastAsia="zh-CN"/>
        </w:rPr>
        <w:t>森林</w:t>
      </w:r>
      <w:r w:rsidR="00800034">
        <w:rPr>
          <w:rFonts w:ascii="SimSun" w:hAnsi="SimSun" w:cs="SimSun" w:hint="eastAsia"/>
          <w:kern w:val="22"/>
          <w:sz w:val="24"/>
          <w:szCs w:val="24"/>
          <w:lang w:eastAsia="zh-CN"/>
        </w:rPr>
        <w:t>、</w:t>
      </w:r>
      <w:r w:rsidR="00800034" w:rsidRPr="00D77FBE">
        <w:rPr>
          <w:rFonts w:ascii="SimSun" w:hAnsi="SimSun" w:cs="SimSun" w:hint="eastAsia"/>
          <w:kern w:val="22"/>
          <w:sz w:val="24"/>
          <w:szCs w:val="24"/>
          <w:lang w:eastAsia="zh-CN"/>
        </w:rPr>
        <w:t>野生动物和鱼类等</w:t>
      </w:r>
      <w:r w:rsidR="00800034">
        <w:rPr>
          <w:rFonts w:ascii="SimSun" w:hAnsi="SimSun" w:cs="SimSun" w:hint="eastAsia"/>
          <w:kern w:val="22"/>
          <w:sz w:val="24"/>
          <w:szCs w:val="24"/>
          <w:lang w:eastAsia="zh-CN"/>
        </w:rPr>
        <w:t>。</w:t>
      </w:r>
      <w:r w:rsidR="00800034">
        <w:rPr>
          <w:rFonts w:hint="eastAsia"/>
          <w:kern w:val="22"/>
          <w:sz w:val="24"/>
          <w:szCs w:val="24"/>
          <w:lang w:eastAsia="zh-CN"/>
        </w:rPr>
        <w:t xml:space="preserve"> </w:t>
      </w:r>
    </w:p>
    <w:p w14:paraId="065B7B1F" w14:textId="77777777" w:rsidR="00B60FA8" w:rsidRPr="00B52A50" w:rsidRDefault="00851DCE"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sidRPr="00D77FBE">
        <w:rPr>
          <w:rFonts w:ascii="SimSun" w:hAnsi="SimSun" w:cs="SimSun" w:hint="eastAsia"/>
          <w:kern w:val="22"/>
          <w:sz w:val="24"/>
          <w:szCs w:val="24"/>
          <w:lang w:eastAsia="zh-CN"/>
        </w:rPr>
        <w:t>在现场或景观层面上多个作业的累积影响也很重</w:t>
      </w:r>
      <w:r w:rsidR="00800034">
        <w:rPr>
          <w:rFonts w:ascii="SimSun" w:hAnsi="SimSun" w:cs="SimSun" w:hint="eastAsia"/>
          <w:kern w:val="22"/>
          <w:sz w:val="24"/>
          <w:szCs w:val="24"/>
          <w:lang w:eastAsia="zh-CN"/>
        </w:rPr>
        <w:t>大</w:t>
      </w:r>
      <w:r w:rsidRPr="00D77FBE">
        <w:rPr>
          <w:rFonts w:ascii="SimSun" w:hAnsi="SimSun" w:cs="SimSun" w:hint="eastAsia"/>
          <w:kern w:val="22"/>
          <w:sz w:val="24"/>
          <w:szCs w:val="24"/>
          <w:lang w:eastAsia="zh-CN"/>
        </w:rPr>
        <w:t>。例如，</w:t>
      </w:r>
      <w:r w:rsidR="001D73C1">
        <w:rPr>
          <w:rFonts w:ascii="SimSun" w:hAnsi="SimSun" w:cs="SimSun" w:hint="eastAsia"/>
          <w:kern w:val="22"/>
          <w:sz w:val="24"/>
          <w:szCs w:val="24"/>
          <w:lang w:eastAsia="zh-CN"/>
        </w:rPr>
        <w:t>栖息地的丧</w:t>
      </w:r>
      <w:r w:rsidRPr="00D77FBE">
        <w:rPr>
          <w:rFonts w:ascii="SimSun" w:hAnsi="SimSun" w:cs="SimSun" w:hint="eastAsia"/>
          <w:kern w:val="22"/>
          <w:sz w:val="24"/>
          <w:szCs w:val="24"/>
          <w:lang w:eastAsia="zh-CN"/>
        </w:rPr>
        <w:t>失对</w:t>
      </w:r>
      <w:r w:rsidR="00800034">
        <w:rPr>
          <w:rFonts w:ascii="SimSun" w:hAnsi="SimSun" w:cs="SimSun" w:hint="eastAsia"/>
          <w:kern w:val="22"/>
          <w:sz w:val="24"/>
          <w:szCs w:val="24"/>
          <w:lang w:eastAsia="zh-CN"/>
        </w:rPr>
        <w:t>一个</w:t>
      </w:r>
      <w:r w:rsidRPr="00D77FBE">
        <w:rPr>
          <w:rFonts w:ascii="SimSun" w:hAnsi="SimSun" w:cs="SimSun" w:hint="eastAsia"/>
          <w:kern w:val="22"/>
          <w:sz w:val="24"/>
          <w:szCs w:val="24"/>
          <w:lang w:eastAsia="zh-CN"/>
        </w:rPr>
        <w:t>物种的影响可能会因操作噪声引起的压力而加剧。随着时间的推移，</w:t>
      </w:r>
      <w:r w:rsidR="00800034">
        <w:rPr>
          <w:rFonts w:ascii="SimSun" w:hAnsi="SimSun" w:cs="SimSun" w:hint="eastAsia"/>
          <w:kern w:val="22"/>
          <w:sz w:val="24"/>
          <w:szCs w:val="24"/>
          <w:lang w:eastAsia="zh-CN"/>
        </w:rPr>
        <w:t>环境中</w:t>
      </w:r>
      <w:r w:rsidRPr="00D77FBE">
        <w:rPr>
          <w:rFonts w:ascii="SimSun" w:hAnsi="SimSun" w:cs="SimSun" w:hint="eastAsia"/>
          <w:kern w:val="22"/>
          <w:sz w:val="24"/>
          <w:szCs w:val="24"/>
          <w:lang w:eastAsia="zh-CN"/>
        </w:rPr>
        <w:t>化学物质或重金属可能（生物）累积。由管道造成的</w:t>
      </w:r>
      <w:r w:rsidR="00566964">
        <w:rPr>
          <w:rFonts w:ascii="SimSun" w:hAnsi="SimSun" w:cs="SimSun" w:hint="eastAsia"/>
          <w:kern w:val="22"/>
          <w:sz w:val="24"/>
          <w:szCs w:val="24"/>
          <w:lang w:eastAsia="zh-CN"/>
        </w:rPr>
        <w:t>栖息地</w:t>
      </w:r>
      <w:r w:rsidRPr="00D77FBE">
        <w:rPr>
          <w:rFonts w:ascii="SimSun" w:hAnsi="SimSun" w:cs="SimSun" w:hint="eastAsia"/>
          <w:kern w:val="22"/>
          <w:sz w:val="24"/>
          <w:szCs w:val="24"/>
          <w:lang w:eastAsia="zh-CN"/>
        </w:rPr>
        <w:t>碎</w:t>
      </w:r>
      <w:r w:rsidR="00800034">
        <w:rPr>
          <w:rFonts w:ascii="SimSun" w:hAnsi="SimSun" w:cs="SimSun" w:hint="eastAsia"/>
          <w:kern w:val="22"/>
          <w:sz w:val="24"/>
          <w:szCs w:val="24"/>
          <w:lang w:eastAsia="zh-CN"/>
        </w:rPr>
        <w:t>片</w:t>
      </w:r>
      <w:proofErr w:type="gramStart"/>
      <w:r w:rsidRPr="00D77FBE">
        <w:rPr>
          <w:rFonts w:ascii="SimSun" w:hAnsi="SimSun" w:cs="SimSun" w:hint="eastAsia"/>
          <w:kern w:val="22"/>
          <w:sz w:val="24"/>
          <w:szCs w:val="24"/>
          <w:lang w:eastAsia="zh-CN"/>
        </w:rPr>
        <w:t>化可能</w:t>
      </w:r>
      <w:proofErr w:type="gramEnd"/>
      <w:r w:rsidRPr="00D77FBE">
        <w:rPr>
          <w:rFonts w:ascii="SimSun" w:hAnsi="SimSun" w:cs="SimSun" w:hint="eastAsia"/>
          <w:kern w:val="22"/>
          <w:sz w:val="24"/>
          <w:szCs w:val="24"/>
          <w:lang w:eastAsia="zh-CN"/>
        </w:rPr>
        <w:t>因</w:t>
      </w:r>
      <w:r w:rsidR="00800034">
        <w:rPr>
          <w:rFonts w:ascii="SimSun" w:hAnsi="SimSun" w:cs="SimSun" w:hint="eastAsia"/>
          <w:kern w:val="22"/>
          <w:sz w:val="24"/>
          <w:szCs w:val="24"/>
          <w:lang w:eastAsia="zh-CN"/>
        </w:rPr>
        <w:t>为</w:t>
      </w:r>
      <w:r w:rsidRPr="00D77FBE">
        <w:rPr>
          <w:rFonts w:ascii="SimSun" w:hAnsi="SimSun" w:cs="SimSun" w:hint="eastAsia"/>
          <w:kern w:val="22"/>
          <w:sz w:val="24"/>
          <w:szCs w:val="24"/>
          <w:lang w:eastAsia="zh-CN"/>
        </w:rPr>
        <w:t>与农业</w:t>
      </w:r>
      <w:r w:rsidR="00566964">
        <w:rPr>
          <w:rFonts w:ascii="SimSun" w:hAnsi="SimSun" w:cs="SimSun" w:hint="eastAsia"/>
          <w:kern w:val="22"/>
          <w:sz w:val="24"/>
          <w:szCs w:val="24"/>
          <w:lang w:eastAsia="zh-CN"/>
        </w:rPr>
        <w:t>经营</w:t>
      </w:r>
      <w:r w:rsidRPr="00D77FBE">
        <w:rPr>
          <w:rFonts w:ascii="SimSun" w:hAnsi="SimSun" w:cs="SimSun" w:hint="eastAsia"/>
          <w:kern w:val="22"/>
          <w:sz w:val="24"/>
          <w:szCs w:val="24"/>
          <w:lang w:eastAsia="zh-CN"/>
        </w:rPr>
        <w:t>相关的土地用</w:t>
      </w:r>
      <w:r w:rsidR="00800034">
        <w:rPr>
          <w:rFonts w:ascii="SimSun" w:hAnsi="SimSun" w:cs="SimSun" w:hint="eastAsia"/>
          <w:kern w:val="22"/>
          <w:sz w:val="24"/>
          <w:szCs w:val="24"/>
          <w:lang w:eastAsia="zh-CN"/>
        </w:rPr>
        <w:t>途</w:t>
      </w:r>
      <w:r w:rsidRPr="00D77FBE">
        <w:rPr>
          <w:rFonts w:ascii="SimSun" w:hAnsi="SimSun" w:cs="SimSun" w:hint="eastAsia"/>
          <w:kern w:val="22"/>
          <w:sz w:val="24"/>
          <w:szCs w:val="24"/>
          <w:lang w:eastAsia="zh-CN"/>
        </w:rPr>
        <w:t>变化而加剧</w:t>
      </w:r>
      <w:r w:rsidR="00800034">
        <w:rPr>
          <w:rFonts w:ascii="SimSun" w:hAnsi="SimSun" w:cs="SimSun" w:hint="eastAsia"/>
          <w:kern w:val="22"/>
          <w:sz w:val="24"/>
          <w:szCs w:val="24"/>
          <w:lang w:eastAsia="zh-CN"/>
        </w:rPr>
        <w:t>。</w:t>
      </w:r>
    </w:p>
    <w:p w14:paraId="7E8F09C2" w14:textId="77777777" w:rsidR="00B60FA8" w:rsidRPr="00B52A50" w:rsidRDefault="00851DCE"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sidRPr="00D77FBE">
        <w:rPr>
          <w:rFonts w:ascii="SimSun" w:hAnsi="SimSun" w:cs="SimSun" w:hint="eastAsia"/>
          <w:kern w:val="22"/>
          <w:sz w:val="24"/>
          <w:szCs w:val="24"/>
          <w:lang w:eastAsia="zh-CN"/>
        </w:rPr>
        <w:t>森林</w:t>
      </w:r>
      <w:r w:rsidR="00DA02CB" w:rsidRPr="00D77FBE">
        <w:rPr>
          <w:rFonts w:ascii="SimSun" w:hAnsi="SimSun" w:cs="SimSun" w:hint="eastAsia"/>
          <w:kern w:val="22"/>
          <w:sz w:val="24"/>
          <w:szCs w:val="24"/>
          <w:lang w:eastAsia="zh-CN"/>
        </w:rPr>
        <w:t>砍伐</w:t>
      </w:r>
      <w:r w:rsidR="00422EAC">
        <w:rPr>
          <w:rFonts w:ascii="SimSun" w:hAnsi="SimSun" w:cs="SimSun" w:hint="eastAsia"/>
          <w:kern w:val="22"/>
          <w:sz w:val="24"/>
          <w:szCs w:val="24"/>
          <w:lang w:eastAsia="zh-CN"/>
        </w:rPr>
        <w:t>、</w:t>
      </w:r>
      <w:r w:rsidR="00DA02CB">
        <w:rPr>
          <w:rFonts w:ascii="SimSun" w:hAnsi="SimSun" w:cs="SimSun" w:hint="eastAsia"/>
          <w:kern w:val="22"/>
          <w:sz w:val="24"/>
          <w:szCs w:val="24"/>
          <w:lang w:eastAsia="zh-CN"/>
        </w:rPr>
        <w:t>生境</w:t>
      </w:r>
      <w:r w:rsidRPr="00D77FBE">
        <w:rPr>
          <w:rFonts w:ascii="SimSun" w:hAnsi="SimSun" w:cs="SimSun" w:hint="eastAsia"/>
          <w:kern w:val="22"/>
          <w:sz w:val="24"/>
          <w:szCs w:val="24"/>
          <w:lang w:eastAsia="zh-CN"/>
        </w:rPr>
        <w:t>退化和化石燃料燃烧</w:t>
      </w:r>
      <w:r w:rsidR="00DA02CB">
        <w:rPr>
          <w:rFonts w:ascii="SimSun" w:hAnsi="SimSun" w:cs="SimSun" w:hint="eastAsia"/>
          <w:kern w:val="22"/>
          <w:sz w:val="24"/>
          <w:szCs w:val="24"/>
          <w:lang w:eastAsia="zh-CN"/>
        </w:rPr>
        <w:t>促进</w:t>
      </w:r>
      <w:r w:rsidRPr="00D77FBE">
        <w:rPr>
          <w:rFonts w:ascii="SimSun" w:hAnsi="SimSun" w:cs="SimSun" w:hint="eastAsia"/>
          <w:kern w:val="22"/>
          <w:sz w:val="24"/>
          <w:szCs w:val="24"/>
          <w:lang w:eastAsia="zh-CN"/>
        </w:rPr>
        <w:t>气候变化，这反过来又对全球生物多样性和生态系统服务构成重大威胁。气候变化对生物多样性和生态系统服务的影响可</w:t>
      </w:r>
      <w:r w:rsidR="00566964">
        <w:rPr>
          <w:rFonts w:ascii="SimSun" w:hAnsi="SimSun" w:cs="SimSun" w:hint="eastAsia"/>
          <w:kern w:val="22"/>
          <w:sz w:val="24"/>
          <w:szCs w:val="24"/>
          <w:lang w:eastAsia="zh-CN"/>
        </w:rPr>
        <w:t>以</w:t>
      </w:r>
      <w:r w:rsidRPr="00D77FBE">
        <w:rPr>
          <w:rFonts w:ascii="SimSun" w:hAnsi="SimSun" w:cs="SimSun" w:hint="eastAsia"/>
          <w:kern w:val="22"/>
          <w:sz w:val="24"/>
          <w:szCs w:val="24"/>
          <w:lang w:eastAsia="zh-CN"/>
        </w:rPr>
        <w:t>非常严重。在考虑将生物多样性纳入相关部门的主流时，应考虑化石燃料的气候变化</w:t>
      </w:r>
      <w:r w:rsidR="00566964" w:rsidRPr="00D77FBE">
        <w:rPr>
          <w:rFonts w:ascii="SimSun" w:hAnsi="SimSun" w:cs="SimSun" w:hint="eastAsia"/>
          <w:kern w:val="22"/>
          <w:sz w:val="24"/>
          <w:szCs w:val="24"/>
          <w:lang w:eastAsia="zh-CN"/>
        </w:rPr>
        <w:t>对一系列受体</w:t>
      </w:r>
      <w:r w:rsidR="00566964">
        <w:rPr>
          <w:rFonts w:ascii="SimSun" w:hAnsi="SimSun" w:cs="SimSun" w:hint="eastAsia"/>
          <w:kern w:val="22"/>
          <w:sz w:val="24"/>
          <w:szCs w:val="24"/>
          <w:lang w:eastAsia="zh-CN"/>
        </w:rPr>
        <w:t>的</w:t>
      </w:r>
      <w:r w:rsidRPr="00D77FBE">
        <w:rPr>
          <w:rFonts w:ascii="SimSun" w:hAnsi="SimSun" w:cs="SimSun" w:hint="eastAsia"/>
          <w:kern w:val="22"/>
          <w:sz w:val="24"/>
          <w:szCs w:val="24"/>
          <w:lang w:eastAsia="zh-CN"/>
        </w:rPr>
        <w:t>影响</w:t>
      </w:r>
      <w:r w:rsidR="00DA02CB">
        <w:rPr>
          <w:rFonts w:ascii="SimSun" w:hAnsi="SimSun" w:cs="SimSun" w:hint="eastAsia"/>
          <w:kern w:val="22"/>
          <w:sz w:val="24"/>
          <w:szCs w:val="24"/>
          <w:lang w:eastAsia="zh-CN"/>
        </w:rPr>
        <w:t>，虽然这超出了本文件的范围。</w:t>
      </w:r>
    </w:p>
    <w:p w14:paraId="50764BD7" w14:textId="39D61D21" w:rsidR="00B60FA8" w:rsidRPr="00B52A50" w:rsidRDefault="00B60FA8" w:rsidP="00B66243">
      <w:pPr>
        <w:pStyle w:val="Heading3"/>
        <w:suppressLineNumbers/>
        <w:tabs>
          <w:tab w:val="clear" w:pos="567"/>
        </w:tabs>
        <w:suppressAutoHyphens/>
        <w:kinsoku w:val="0"/>
        <w:overflowPunct w:val="0"/>
        <w:autoSpaceDE w:val="0"/>
        <w:autoSpaceDN w:val="0"/>
        <w:adjustRightInd w:val="0"/>
        <w:spacing w:line="240" w:lineRule="atLeast"/>
        <w:rPr>
          <w:kern w:val="22"/>
        </w:rPr>
      </w:pPr>
      <w:r w:rsidRPr="00566964">
        <w:rPr>
          <w:kern w:val="22"/>
          <w:u w:val="none"/>
        </w:rPr>
        <w:t>2.</w:t>
      </w:r>
      <w:r w:rsidR="00566964">
        <w:rPr>
          <w:rFonts w:hint="eastAsia"/>
          <w:kern w:val="22"/>
          <w:u w:val="none"/>
        </w:rPr>
        <w:t xml:space="preserve">   </w:t>
      </w:r>
      <w:r w:rsidR="00A51A7F" w:rsidRPr="00A51A7F">
        <w:rPr>
          <w:rFonts w:ascii="KaiTi" w:eastAsia="KaiTi" w:hAnsi="KaiTi" w:hint="eastAsia"/>
          <w:kern w:val="22"/>
          <w:u w:val="none"/>
        </w:rPr>
        <w:t>依赖</w:t>
      </w:r>
    </w:p>
    <w:p w14:paraId="65485464" w14:textId="77777777" w:rsidR="00B60FA8" w:rsidRPr="00B52A50" w:rsidRDefault="00851DCE"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sidRPr="00D77FBE">
        <w:rPr>
          <w:rFonts w:ascii="SimSun" w:hAnsi="SimSun" w:cs="SimSun" w:hint="eastAsia"/>
          <w:kern w:val="22"/>
          <w:sz w:val="24"/>
          <w:szCs w:val="24"/>
          <w:lang w:eastAsia="zh-CN"/>
        </w:rPr>
        <w:t>在业</w:t>
      </w:r>
      <w:r w:rsidR="005D7ED0">
        <w:rPr>
          <w:rFonts w:ascii="SimSun" w:hAnsi="SimSun" w:cs="SimSun" w:hint="eastAsia"/>
          <w:kern w:val="22"/>
          <w:sz w:val="24"/>
          <w:szCs w:val="24"/>
          <w:lang w:eastAsia="zh-CN"/>
        </w:rPr>
        <w:t>务</w:t>
      </w:r>
      <w:r w:rsidRPr="00D77FBE">
        <w:rPr>
          <w:rFonts w:ascii="SimSun" w:hAnsi="SimSun" w:cs="SimSun" w:hint="eastAsia"/>
          <w:kern w:val="22"/>
          <w:sz w:val="24"/>
          <w:szCs w:val="24"/>
          <w:lang w:eastAsia="zh-CN"/>
        </w:rPr>
        <w:t>层面上，能源和采矿依赖于生态系统服务，</w:t>
      </w:r>
      <w:r w:rsidR="005D7ED0">
        <w:rPr>
          <w:rFonts w:ascii="SimSun" w:hAnsi="SimSun" w:cs="SimSun" w:hint="eastAsia"/>
          <w:kern w:val="22"/>
          <w:sz w:val="24"/>
          <w:szCs w:val="24"/>
          <w:lang w:eastAsia="zh-CN"/>
        </w:rPr>
        <w:t>既是</w:t>
      </w:r>
      <w:r w:rsidR="00BA6F22" w:rsidRPr="00D77FBE">
        <w:rPr>
          <w:rFonts w:ascii="SimSun" w:hAnsi="SimSun" w:cs="SimSun" w:hint="eastAsia"/>
          <w:kern w:val="22"/>
          <w:sz w:val="24"/>
          <w:szCs w:val="24"/>
          <w:lang w:eastAsia="zh-CN"/>
        </w:rPr>
        <w:t>直接</w:t>
      </w:r>
      <w:r w:rsidR="00BA6F22">
        <w:rPr>
          <w:rFonts w:ascii="SimSun" w:hAnsi="SimSun" w:cs="SimSun" w:hint="eastAsia"/>
          <w:kern w:val="22"/>
          <w:sz w:val="24"/>
          <w:szCs w:val="24"/>
          <w:lang w:eastAsia="zh-CN"/>
        </w:rPr>
        <w:t>为了</w:t>
      </w:r>
      <w:r w:rsidR="00DA02CB">
        <w:rPr>
          <w:rFonts w:ascii="SimSun" w:hAnsi="SimSun" w:cs="SimSun" w:hint="eastAsia"/>
          <w:kern w:val="22"/>
          <w:sz w:val="24"/>
          <w:szCs w:val="24"/>
          <w:lang w:eastAsia="zh-CN"/>
        </w:rPr>
        <w:t>作业</w:t>
      </w:r>
      <w:r w:rsidRPr="00D77FBE">
        <w:rPr>
          <w:rFonts w:ascii="SimSun" w:hAnsi="SimSun" w:cs="SimSun" w:hint="eastAsia"/>
          <w:kern w:val="22"/>
          <w:sz w:val="24"/>
          <w:szCs w:val="24"/>
          <w:lang w:eastAsia="zh-CN"/>
        </w:rPr>
        <w:t>（例如水），也</w:t>
      </w:r>
      <w:r w:rsidR="00BA6F22">
        <w:rPr>
          <w:rFonts w:ascii="SimSun" w:hAnsi="SimSun" w:cs="SimSun" w:hint="eastAsia"/>
          <w:kern w:val="22"/>
          <w:sz w:val="24"/>
          <w:szCs w:val="24"/>
          <w:lang w:eastAsia="zh-CN"/>
        </w:rPr>
        <w:t>可</w:t>
      </w:r>
      <w:r w:rsidR="005D7ED0">
        <w:rPr>
          <w:rFonts w:ascii="SimSun" w:hAnsi="SimSun" w:cs="SimSun" w:hint="eastAsia"/>
          <w:kern w:val="22"/>
          <w:sz w:val="24"/>
          <w:szCs w:val="24"/>
          <w:lang w:eastAsia="zh-CN"/>
        </w:rPr>
        <w:t>以是</w:t>
      </w:r>
      <w:r w:rsidR="00BA6F22">
        <w:rPr>
          <w:rFonts w:ascii="SimSun" w:hAnsi="SimSun" w:cs="SimSun" w:hint="eastAsia"/>
          <w:kern w:val="22"/>
          <w:sz w:val="24"/>
          <w:szCs w:val="24"/>
          <w:lang w:eastAsia="zh-CN"/>
        </w:rPr>
        <w:t>为了</w:t>
      </w:r>
      <w:r w:rsidRPr="00D77FBE">
        <w:rPr>
          <w:rFonts w:ascii="SimSun" w:hAnsi="SimSun" w:cs="SimSun" w:hint="eastAsia"/>
          <w:kern w:val="22"/>
          <w:sz w:val="24"/>
          <w:szCs w:val="24"/>
          <w:lang w:eastAsia="zh-CN"/>
        </w:rPr>
        <w:t>保护基础设施（如道路</w:t>
      </w:r>
      <w:r w:rsidR="00BA6F22">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管道</w:t>
      </w:r>
      <w:r w:rsidR="00BA6F22">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大坝</w:t>
      </w:r>
      <w:r w:rsidR="00BA6F22">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运营结构）免受侵蚀影响，</w:t>
      </w:r>
      <w:r w:rsidR="005D7ED0">
        <w:rPr>
          <w:rFonts w:ascii="SimSun" w:hAnsi="SimSun" w:cs="SimSun" w:hint="eastAsia"/>
          <w:kern w:val="22"/>
          <w:sz w:val="24"/>
          <w:szCs w:val="24"/>
          <w:lang w:eastAsia="zh-CN"/>
        </w:rPr>
        <w:t>免受</w:t>
      </w:r>
      <w:r w:rsidRPr="00D77FBE">
        <w:rPr>
          <w:rFonts w:ascii="SimSun" w:hAnsi="SimSun" w:cs="SimSun" w:hint="eastAsia"/>
          <w:kern w:val="22"/>
          <w:sz w:val="24"/>
          <w:szCs w:val="24"/>
          <w:lang w:eastAsia="zh-CN"/>
        </w:rPr>
        <w:t>山体滑坡和洪水和风暴潮等</w:t>
      </w:r>
      <w:r w:rsidR="00BA6F22" w:rsidRPr="00D77FBE">
        <w:rPr>
          <w:rFonts w:ascii="SimSun" w:hAnsi="SimSun" w:cs="SimSun" w:hint="eastAsia"/>
          <w:kern w:val="22"/>
          <w:sz w:val="24"/>
          <w:szCs w:val="24"/>
          <w:lang w:eastAsia="zh-CN"/>
        </w:rPr>
        <w:t>自然灾害</w:t>
      </w:r>
      <w:r w:rsidRPr="00D77FBE">
        <w:rPr>
          <w:rFonts w:ascii="SimSun" w:hAnsi="SimSun" w:cs="SimSun" w:hint="eastAsia"/>
          <w:kern w:val="22"/>
          <w:sz w:val="24"/>
          <w:szCs w:val="24"/>
          <w:lang w:eastAsia="zh-CN"/>
        </w:rPr>
        <w:t>。例如，湿冷</w:t>
      </w:r>
      <w:r w:rsidR="00BA6F22">
        <w:rPr>
          <w:rFonts w:ascii="SimSun" w:hAnsi="SimSun" w:cs="SimSun" w:hint="eastAsia"/>
          <w:kern w:val="22"/>
          <w:sz w:val="24"/>
          <w:szCs w:val="24"/>
          <w:lang w:eastAsia="zh-CN"/>
        </w:rPr>
        <w:t>却</w:t>
      </w:r>
      <w:r w:rsidRPr="00D77FBE">
        <w:rPr>
          <w:rFonts w:ascii="SimSun" w:hAnsi="SimSun" w:cs="SimSun" w:hint="eastAsia"/>
          <w:kern w:val="22"/>
          <w:sz w:val="24"/>
          <w:szCs w:val="24"/>
          <w:lang w:eastAsia="zh-CN"/>
        </w:rPr>
        <w:t>聚光太阳能发电站需要大量</w:t>
      </w:r>
      <w:r w:rsidR="005D7ED0">
        <w:rPr>
          <w:rFonts w:ascii="SimSun" w:hAnsi="SimSun" w:cs="SimSun" w:hint="eastAsia"/>
          <w:kern w:val="22"/>
          <w:sz w:val="24"/>
          <w:szCs w:val="24"/>
          <w:lang w:eastAsia="zh-CN"/>
        </w:rPr>
        <w:t>水用于</w:t>
      </w:r>
      <w:r w:rsidRPr="00D77FBE">
        <w:rPr>
          <w:rFonts w:ascii="SimSun" w:hAnsi="SimSun" w:cs="SimSun" w:hint="eastAsia"/>
          <w:kern w:val="22"/>
          <w:sz w:val="24"/>
          <w:szCs w:val="24"/>
          <w:lang w:eastAsia="zh-CN"/>
        </w:rPr>
        <w:t>冷却，而水</w:t>
      </w:r>
      <w:r w:rsidR="00566964">
        <w:rPr>
          <w:rFonts w:ascii="SimSun" w:hAnsi="SimSun" w:cs="SimSun" w:hint="eastAsia"/>
          <w:kern w:val="22"/>
          <w:sz w:val="24"/>
          <w:szCs w:val="24"/>
          <w:lang w:eastAsia="zh-CN"/>
        </w:rPr>
        <w:t>力发</w:t>
      </w:r>
      <w:r w:rsidRPr="00D77FBE">
        <w:rPr>
          <w:rFonts w:ascii="SimSun" w:hAnsi="SimSun" w:cs="SimSun" w:hint="eastAsia"/>
          <w:kern w:val="22"/>
          <w:sz w:val="24"/>
          <w:szCs w:val="24"/>
          <w:lang w:eastAsia="zh-CN"/>
        </w:rPr>
        <w:t>电则依赖于天然河流系统的</w:t>
      </w:r>
      <w:r w:rsidR="000C5899">
        <w:rPr>
          <w:rFonts w:ascii="SimSun" w:hAnsi="SimSun" w:cs="SimSun" w:hint="eastAsia"/>
          <w:kern w:val="22"/>
          <w:sz w:val="24"/>
          <w:szCs w:val="24"/>
          <w:lang w:eastAsia="zh-CN"/>
        </w:rPr>
        <w:t>水</w:t>
      </w:r>
      <w:r w:rsidRPr="00D77FBE">
        <w:rPr>
          <w:rFonts w:ascii="SimSun" w:hAnsi="SimSun" w:cs="SimSun" w:hint="eastAsia"/>
          <w:kern w:val="22"/>
          <w:sz w:val="24"/>
          <w:szCs w:val="24"/>
          <w:lang w:eastAsia="zh-CN"/>
        </w:rPr>
        <w:t>流</w:t>
      </w:r>
      <w:r w:rsidR="000C5899">
        <w:rPr>
          <w:rFonts w:ascii="SimSun" w:hAnsi="SimSun" w:cs="SimSun" w:hint="eastAsia"/>
          <w:kern w:val="22"/>
          <w:sz w:val="24"/>
          <w:szCs w:val="24"/>
          <w:lang w:eastAsia="zh-CN"/>
        </w:rPr>
        <w:t>动态</w:t>
      </w:r>
      <w:r w:rsidRPr="00D77FBE">
        <w:rPr>
          <w:rFonts w:ascii="SimSun" w:hAnsi="SimSun" w:cs="SimSun" w:hint="eastAsia"/>
          <w:kern w:val="22"/>
          <w:sz w:val="24"/>
          <w:szCs w:val="24"/>
          <w:lang w:eastAsia="zh-CN"/>
        </w:rPr>
        <w:t>，这些系统</w:t>
      </w:r>
      <w:r w:rsidR="000C5899">
        <w:rPr>
          <w:rFonts w:ascii="SimSun" w:hAnsi="SimSun" w:cs="SimSun" w:hint="eastAsia"/>
          <w:kern w:val="22"/>
          <w:sz w:val="24"/>
          <w:szCs w:val="24"/>
          <w:lang w:eastAsia="zh-CN"/>
        </w:rPr>
        <w:t>有时</w:t>
      </w:r>
      <w:r w:rsidR="00422EAC">
        <w:rPr>
          <w:rFonts w:ascii="SimSun" w:hAnsi="SimSun" w:cs="SimSun" w:hint="eastAsia"/>
          <w:kern w:val="22"/>
          <w:sz w:val="24"/>
          <w:szCs w:val="24"/>
          <w:lang w:eastAsia="zh-CN"/>
        </w:rPr>
        <w:t>是</w:t>
      </w:r>
      <w:r w:rsidRPr="00D77FBE">
        <w:rPr>
          <w:rFonts w:ascii="SimSun" w:hAnsi="SimSun" w:cs="SimSun" w:hint="eastAsia"/>
          <w:kern w:val="22"/>
          <w:sz w:val="24"/>
          <w:szCs w:val="24"/>
          <w:lang w:eastAsia="zh-CN"/>
        </w:rPr>
        <w:t>国家公园保护流域的一部</w:t>
      </w:r>
      <w:r w:rsidRPr="00D77FBE">
        <w:rPr>
          <w:rFonts w:ascii="SimSun" w:hAnsi="SimSun" w:cs="SimSun" w:hint="eastAsia"/>
          <w:kern w:val="22"/>
          <w:sz w:val="24"/>
          <w:szCs w:val="24"/>
          <w:lang w:eastAsia="zh-CN"/>
        </w:rPr>
        <w:lastRenderedPageBreak/>
        <w:t>分。</w:t>
      </w:r>
      <w:r w:rsidR="0084091D">
        <w:rPr>
          <w:rFonts w:ascii="SimSun" w:hAnsi="SimSun" w:cs="SimSun" w:hint="eastAsia"/>
          <w:kern w:val="22"/>
          <w:sz w:val="24"/>
          <w:szCs w:val="24"/>
          <w:lang w:eastAsia="zh-CN"/>
        </w:rPr>
        <w:t>不过</w:t>
      </w:r>
      <w:r w:rsidRPr="00D77FBE">
        <w:rPr>
          <w:rFonts w:ascii="SimSun" w:hAnsi="SimSun" w:cs="SimSun" w:hint="eastAsia"/>
          <w:kern w:val="22"/>
          <w:sz w:val="24"/>
          <w:szCs w:val="24"/>
          <w:lang w:eastAsia="zh-CN"/>
        </w:rPr>
        <w:t>，</w:t>
      </w:r>
      <w:r w:rsidR="0084091D" w:rsidRPr="00D77FBE">
        <w:rPr>
          <w:rFonts w:ascii="SimSun" w:hAnsi="SimSun" w:cs="SimSun" w:hint="eastAsia"/>
          <w:kern w:val="22"/>
          <w:sz w:val="24"/>
          <w:szCs w:val="24"/>
          <w:lang w:eastAsia="zh-CN"/>
        </w:rPr>
        <w:t>生产</w:t>
      </w:r>
      <w:r w:rsidRPr="00D77FBE">
        <w:rPr>
          <w:rFonts w:ascii="SimSun" w:hAnsi="SimSun" w:cs="SimSun" w:hint="eastAsia"/>
          <w:kern w:val="22"/>
          <w:sz w:val="24"/>
          <w:szCs w:val="24"/>
          <w:lang w:eastAsia="zh-CN"/>
        </w:rPr>
        <w:t>生物燃料原料</w:t>
      </w:r>
      <w:r w:rsidR="0084091D" w:rsidRPr="00D77FBE">
        <w:rPr>
          <w:rFonts w:ascii="SimSun" w:hAnsi="SimSun" w:cs="SimSun" w:hint="eastAsia"/>
          <w:kern w:val="22"/>
          <w:sz w:val="24"/>
          <w:szCs w:val="24"/>
          <w:lang w:eastAsia="zh-CN"/>
        </w:rPr>
        <w:t>的</w:t>
      </w:r>
      <w:r w:rsidR="00422EAC">
        <w:rPr>
          <w:rFonts w:ascii="SimSun" w:hAnsi="SimSun" w:cs="SimSun" w:hint="eastAsia"/>
          <w:kern w:val="22"/>
          <w:sz w:val="24"/>
          <w:szCs w:val="24"/>
          <w:lang w:eastAsia="zh-CN"/>
        </w:rPr>
        <w:t>行业</w:t>
      </w:r>
      <w:r w:rsidRPr="00D77FBE">
        <w:rPr>
          <w:rFonts w:ascii="SimSun" w:hAnsi="SimSun" w:cs="SimSun" w:hint="eastAsia"/>
          <w:kern w:val="22"/>
          <w:sz w:val="24"/>
          <w:szCs w:val="24"/>
          <w:lang w:eastAsia="zh-CN"/>
        </w:rPr>
        <w:t>可能</w:t>
      </w:r>
      <w:r w:rsidR="0084091D">
        <w:rPr>
          <w:rFonts w:ascii="SimSun" w:hAnsi="SimSun" w:cs="SimSun" w:hint="eastAsia"/>
          <w:kern w:val="22"/>
          <w:sz w:val="24"/>
          <w:szCs w:val="24"/>
          <w:lang w:eastAsia="zh-CN"/>
        </w:rPr>
        <w:t>对</w:t>
      </w:r>
      <w:r w:rsidR="000C5899" w:rsidRPr="00D77FBE">
        <w:rPr>
          <w:rFonts w:ascii="SimSun" w:hAnsi="SimSun" w:cs="SimSun" w:hint="eastAsia"/>
          <w:kern w:val="22"/>
          <w:sz w:val="24"/>
          <w:szCs w:val="24"/>
          <w:lang w:eastAsia="zh-CN"/>
        </w:rPr>
        <w:t>生物多样性服务</w:t>
      </w:r>
      <w:r w:rsidR="00422EAC">
        <w:rPr>
          <w:rFonts w:ascii="SimSun" w:hAnsi="SimSun" w:cs="SimSun" w:hint="eastAsia"/>
          <w:kern w:val="22"/>
          <w:sz w:val="24"/>
          <w:szCs w:val="24"/>
          <w:lang w:eastAsia="zh-CN"/>
        </w:rPr>
        <w:t>的</w:t>
      </w:r>
      <w:r w:rsidR="0084091D" w:rsidRPr="00D77FBE">
        <w:rPr>
          <w:rFonts w:ascii="SimSun" w:hAnsi="SimSun" w:cs="SimSun" w:hint="eastAsia"/>
          <w:kern w:val="22"/>
          <w:sz w:val="24"/>
          <w:szCs w:val="24"/>
          <w:lang w:eastAsia="zh-CN"/>
        </w:rPr>
        <w:t>依赖</w:t>
      </w:r>
      <w:r w:rsidR="0084091D">
        <w:rPr>
          <w:rFonts w:ascii="SimSun" w:hAnsi="SimSun" w:cs="SimSun" w:hint="eastAsia"/>
          <w:kern w:val="22"/>
          <w:sz w:val="24"/>
          <w:szCs w:val="24"/>
          <w:lang w:eastAsia="zh-CN"/>
        </w:rPr>
        <w:t>性最大</w:t>
      </w:r>
      <w:r w:rsidR="000C5899">
        <w:rPr>
          <w:rFonts w:ascii="SimSun" w:hAnsi="SimSun" w:cs="SimSun" w:hint="eastAsia"/>
          <w:kern w:val="22"/>
          <w:sz w:val="24"/>
          <w:szCs w:val="24"/>
          <w:lang w:eastAsia="zh-CN"/>
        </w:rPr>
        <w:t>，比</w:t>
      </w:r>
      <w:r w:rsidRPr="00D77FBE">
        <w:rPr>
          <w:rFonts w:ascii="SimSun" w:hAnsi="SimSun" w:cs="SimSun" w:hint="eastAsia"/>
          <w:kern w:val="22"/>
          <w:sz w:val="24"/>
          <w:szCs w:val="24"/>
          <w:lang w:eastAsia="zh-CN"/>
        </w:rPr>
        <w:t>如授粉</w:t>
      </w:r>
      <w:r w:rsidR="000C5899">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疾病控制和供水等。在未来的气候变化情景</w:t>
      </w:r>
      <w:r w:rsidR="005B09D3">
        <w:rPr>
          <w:rFonts w:ascii="SimSun" w:hAnsi="SimSun" w:cs="SimSun" w:hint="eastAsia"/>
          <w:kern w:val="22"/>
          <w:sz w:val="24"/>
          <w:szCs w:val="24"/>
          <w:lang w:eastAsia="zh-CN"/>
        </w:rPr>
        <w:t>设想</w:t>
      </w:r>
      <w:r w:rsidRPr="00D77FBE">
        <w:rPr>
          <w:rFonts w:ascii="SimSun" w:hAnsi="SimSun" w:cs="SimSun" w:hint="eastAsia"/>
          <w:kern w:val="22"/>
          <w:sz w:val="24"/>
          <w:szCs w:val="24"/>
          <w:lang w:eastAsia="zh-CN"/>
        </w:rPr>
        <w:t>下，水资源</w:t>
      </w:r>
      <w:r w:rsidR="0055284E">
        <w:rPr>
          <w:rFonts w:ascii="SimSun" w:hAnsi="SimSun" w:cs="SimSun" w:hint="eastAsia"/>
          <w:kern w:val="22"/>
          <w:sz w:val="24"/>
          <w:szCs w:val="24"/>
          <w:lang w:eastAsia="zh-CN"/>
        </w:rPr>
        <w:t>日益</w:t>
      </w:r>
      <w:r w:rsidRPr="00D77FBE">
        <w:rPr>
          <w:rFonts w:ascii="SimSun" w:hAnsi="SimSun" w:cs="SimSun" w:hint="eastAsia"/>
          <w:kern w:val="22"/>
          <w:sz w:val="24"/>
          <w:szCs w:val="24"/>
          <w:lang w:eastAsia="zh-CN"/>
        </w:rPr>
        <w:t>短缺和极端天气事件</w:t>
      </w:r>
      <w:r w:rsidR="0055284E">
        <w:rPr>
          <w:rFonts w:ascii="SimSun" w:hAnsi="SimSun" w:cs="SimSun" w:hint="eastAsia"/>
          <w:kern w:val="22"/>
          <w:sz w:val="24"/>
          <w:szCs w:val="24"/>
          <w:lang w:eastAsia="zh-CN"/>
        </w:rPr>
        <w:t>频繁</w:t>
      </w:r>
      <w:r w:rsidRPr="00D77FBE">
        <w:rPr>
          <w:rFonts w:ascii="SimSun" w:hAnsi="SimSun" w:cs="SimSun" w:hint="eastAsia"/>
          <w:kern w:val="22"/>
          <w:sz w:val="24"/>
          <w:szCs w:val="24"/>
          <w:lang w:eastAsia="zh-CN"/>
        </w:rPr>
        <w:t>发生等因素可能会扩大这</w:t>
      </w:r>
      <w:r w:rsidR="0055284E">
        <w:rPr>
          <w:rFonts w:ascii="SimSun" w:hAnsi="SimSun" w:cs="SimSun" w:hint="eastAsia"/>
          <w:kern w:val="22"/>
          <w:sz w:val="24"/>
          <w:szCs w:val="24"/>
          <w:lang w:eastAsia="zh-CN"/>
        </w:rPr>
        <w:t>种</w:t>
      </w:r>
      <w:r w:rsidRPr="00D77FBE">
        <w:rPr>
          <w:rFonts w:ascii="SimSun" w:hAnsi="SimSun" w:cs="SimSun" w:hint="eastAsia"/>
          <w:kern w:val="22"/>
          <w:sz w:val="24"/>
          <w:szCs w:val="24"/>
          <w:lang w:eastAsia="zh-CN"/>
        </w:rPr>
        <w:t>依赖</w:t>
      </w:r>
      <w:r w:rsidR="0055284E">
        <w:rPr>
          <w:rFonts w:ascii="SimSun" w:hAnsi="SimSun" w:cs="SimSun" w:hint="eastAsia"/>
          <w:kern w:val="22"/>
          <w:sz w:val="24"/>
          <w:szCs w:val="24"/>
          <w:lang w:eastAsia="zh-CN"/>
        </w:rPr>
        <w:t>性</w:t>
      </w:r>
      <w:r w:rsidR="005B09D3">
        <w:rPr>
          <w:rFonts w:hint="eastAsia"/>
          <w:kern w:val="22"/>
          <w:sz w:val="24"/>
          <w:szCs w:val="24"/>
          <w:lang w:eastAsia="zh-CN"/>
        </w:rPr>
        <w:t>。</w:t>
      </w:r>
      <w:r w:rsidR="00422EAC">
        <w:rPr>
          <w:rFonts w:hint="eastAsia"/>
          <w:kern w:val="22"/>
          <w:sz w:val="24"/>
          <w:szCs w:val="24"/>
          <w:lang w:eastAsia="zh-CN"/>
        </w:rPr>
        <w:t xml:space="preserve"> </w:t>
      </w:r>
    </w:p>
    <w:p w14:paraId="22DA5FA4" w14:textId="77777777" w:rsidR="00B60FA8" w:rsidRPr="00104073" w:rsidRDefault="00B60FA8" w:rsidP="00B66243">
      <w:pPr>
        <w:pStyle w:val="Heading2"/>
        <w:suppressLineNumbers/>
        <w:tabs>
          <w:tab w:val="clear" w:pos="720"/>
        </w:tabs>
        <w:suppressAutoHyphens/>
        <w:kinsoku w:val="0"/>
        <w:overflowPunct w:val="0"/>
        <w:autoSpaceDE w:val="0"/>
        <w:autoSpaceDN w:val="0"/>
        <w:adjustRightInd w:val="0"/>
        <w:spacing w:line="240" w:lineRule="atLeast"/>
        <w:rPr>
          <w:rFonts w:ascii="SimSun" w:hAnsi="SimSun"/>
          <w:i w:val="0"/>
          <w:kern w:val="22"/>
        </w:rPr>
      </w:pPr>
      <w:r w:rsidRPr="00104073">
        <w:rPr>
          <w:rFonts w:ascii="SimSun" w:hAnsi="SimSun"/>
          <w:i w:val="0"/>
          <w:kern w:val="22"/>
        </w:rPr>
        <w:t>E.</w:t>
      </w:r>
      <w:r w:rsidRPr="00104073">
        <w:rPr>
          <w:rFonts w:ascii="SimSun" w:hAnsi="SimSun"/>
          <w:i w:val="0"/>
          <w:kern w:val="22"/>
        </w:rPr>
        <w:tab/>
      </w:r>
      <w:r w:rsidR="0055284E" w:rsidRPr="00104073">
        <w:rPr>
          <w:rFonts w:ascii="SimSun" w:hAnsi="SimSun" w:hint="eastAsia"/>
          <w:i w:val="0"/>
          <w:kern w:val="22"/>
        </w:rPr>
        <w:t>主要行为方</w:t>
      </w:r>
    </w:p>
    <w:p w14:paraId="2E93CBDB" w14:textId="77777777" w:rsidR="00B60FA8" w:rsidRPr="00B52A50" w:rsidRDefault="00851DCE"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sidRPr="00D77FBE">
        <w:rPr>
          <w:rFonts w:ascii="SimSun" w:hAnsi="SimSun" w:cs="SimSun" w:hint="eastAsia"/>
          <w:kern w:val="22"/>
          <w:sz w:val="24"/>
          <w:szCs w:val="24"/>
          <w:lang w:eastAsia="zh-CN"/>
        </w:rPr>
        <w:t>土著人民和地方社区</w:t>
      </w:r>
      <w:r w:rsidR="0055284E">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各国政府</w:t>
      </w:r>
      <w:r w:rsidR="0055284E">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非政府组织</w:t>
      </w:r>
      <w:r w:rsidR="0055284E">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保护团体</w:t>
      </w:r>
      <w:r w:rsidR="0055284E">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保护区和生物多样性资源管理人员</w:t>
      </w:r>
      <w:r w:rsidR="0055284E">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学术界和企业</w:t>
      </w:r>
      <w:r w:rsidR="0055284E" w:rsidRPr="00D77FBE">
        <w:rPr>
          <w:rFonts w:ascii="SimSun" w:hAnsi="SimSun" w:cs="SimSun" w:hint="eastAsia"/>
          <w:kern w:val="22"/>
          <w:sz w:val="24"/>
          <w:szCs w:val="24"/>
          <w:lang w:eastAsia="zh-CN"/>
        </w:rPr>
        <w:t>（和其他利益</w:t>
      </w:r>
      <w:r w:rsidR="0055284E">
        <w:rPr>
          <w:rFonts w:ascii="SimSun" w:hAnsi="SimSun" w:cs="SimSun" w:hint="eastAsia"/>
          <w:kern w:val="22"/>
          <w:sz w:val="24"/>
          <w:szCs w:val="24"/>
          <w:lang w:eastAsia="zh-CN"/>
        </w:rPr>
        <w:t>悠</w:t>
      </w:r>
      <w:r w:rsidR="0055284E" w:rsidRPr="00D77FBE">
        <w:rPr>
          <w:rFonts w:ascii="SimSun" w:hAnsi="SimSun" w:cs="SimSun" w:hint="eastAsia"/>
          <w:kern w:val="22"/>
          <w:sz w:val="24"/>
          <w:szCs w:val="24"/>
          <w:lang w:eastAsia="zh-CN"/>
        </w:rPr>
        <w:t>关</w:t>
      </w:r>
      <w:r w:rsidR="0055284E">
        <w:rPr>
          <w:rFonts w:ascii="SimSun" w:hAnsi="SimSun" w:cs="SimSun" w:hint="eastAsia"/>
          <w:kern w:val="22"/>
          <w:sz w:val="24"/>
          <w:szCs w:val="24"/>
          <w:lang w:eastAsia="zh-CN"/>
        </w:rPr>
        <w:t>方</w:t>
      </w:r>
      <w:r w:rsidR="0055284E" w:rsidRPr="00D77FBE">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对能源和采矿部门与生物多样性和生态系统服务之间的关系有着丰富的</w:t>
      </w:r>
      <w:r w:rsidR="00422EAC">
        <w:rPr>
          <w:rFonts w:ascii="SimSun" w:hAnsi="SimSun" w:cs="SimSun" w:hint="eastAsia"/>
          <w:kern w:val="22"/>
          <w:sz w:val="24"/>
          <w:szCs w:val="24"/>
          <w:lang w:eastAsia="zh-CN"/>
        </w:rPr>
        <w:t>了</w:t>
      </w:r>
      <w:r w:rsidRPr="00D77FBE">
        <w:rPr>
          <w:rFonts w:ascii="SimSun" w:hAnsi="SimSun" w:cs="SimSun" w:hint="eastAsia"/>
          <w:kern w:val="22"/>
          <w:sz w:val="24"/>
          <w:szCs w:val="24"/>
          <w:lang w:eastAsia="zh-CN"/>
        </w:rPr>
        <w:t>解和经验。虽然政府和企业是这些部门的主要决策者，但与项目相关的生物多样性影响可能直接影响到土著人民和地方社区的权利。</w:t>
      </w:r>
      <w:r w:rsidR="0055284E" w:rsidRPr="00D77FBE">
        <w:rPr>
          <w:rFonts w:ascii="SimSun" w:hAnsi="SimSun" w:cs="SimSun" w:hint="eastAsia"/>
          <w:kern w:val="22"/>
          <w:sz w:val="24"/>
          <w:szCs w:val="24"/>
          <w:lang w:eastAsia="zh-CN"/>
        </w:rPr>
        <w:t>这</w:t>
      </w:r>
      <w:r w:rsidR="0055284E">
        <w:rPr>
          <w:rFonts w:ascii="SimSun" w:hAnsi="SimSun" w:cs="SimSun" w:hint="eastAsia"/>
          <w:kern w:val="22"/>
          <w:sz w:val="24"/>
          <w:szCs w:val="24"/>
          <w:lang w:eastAsia="zh-CN"/>
        </w:rPr>
        <w:t>种</w:t>
      </w:r>
      <w:r w:rsidR="0055284E" w:rsidRPr="00D77FBE">
        <w:rPr>
          <w:rFonts w:ascii="SimSun" w:hAnsi="SimSun" w:cs="SimSun" w:hint="eastAsia"/>
          <w:kern w:val="22"/>
          <w:sz w:val="24"/>
          <w:szCs w:val="24"/>
          <w:lang w:eastAsia="zh-CN"/>
        </w:rPr>
        <w:t>例子造成损害或限制进入传统地点或</w:t>
      </w:r>
      <w:r w:rsidR="0055284E">
        <w:rPr>
          <w:rFonts w:ascii="SimSun" w:hAnsi="SimSun" w:cs="SimSun" w:hint="eastAsia"/>
          <w:kern w:val="22"/>
          <w:sz w:val="24"/>
          <w:szCs w:val="24"/>
          <w:lang w:eastAsia="zh-CN"/>
        </w:rPr>
        <w:t>获取</w:t>
      </w:r>
      <w:r w:rsidR="0055284E" w:rsidRPr="00D77FBE">
        <w:rPr>
          <w:rFonts w:ascii="SimSun" w:hAnsi="SimSun" w:cs="SimSun" w:hint="eastAsia"/>
          <w:kern w:val="22"/>
          <w:sz w:val="24"/>
          <w:szCs w:val="24"/>
          <w:lang w:eastAsia="zh-CN"/>
        </w:rPr>
        <w:t>用</w:t>
      </w:r>
      <w:r w:rsidR="0055284E">
        <w:rPr>
          <w:rFonts w:ascii="SimSun" w:hAnsi="SimSun" w:cs="SimSun" w:hint="eastAsia"/>
          <w:kern w:val="22"/>
          <w:sz w:val="24"/>
          <w:szCs w:val="24"/>
          <w:lang w:eastAsia="zh-CN"/>
        </w:rPr>
        <w:t>作</w:t>
      </w:r>
      <w:r w:rsidR="0055284E" w:rsidRPr="00D77FBE">
        <w:rPr>
          <w:rFonts w:ascii="SimSun" w:hAnsi="SimSun" w:cs="SimSun" w:hint="eastAsia"/>
          <w:kern w:val="22"/>
          <w:sz w:val="24"/>
          <w:szCs w:val="24"/>
          <w:lang w:eastAsia="zh-CN"/>
        </w:rPr>
        <w:t>食物</w:t>
      </w:r>
      <w:r w:rsidR="0055284E">
        <w:rPr>
          <w:rFonts w:ascii="SimSun" w:hAnsi="SimSun" w:cs="SimSun" w:hint="eastAsia"/>
          <w:kern w:val="22"/>
          <w:sz w:val="24"/>
          <w:szCs w:val="24"/>
          <w:lang w:eastAsia="zh-CN"/>
        </w:rPr>
        <w:t>、</w:t>
      </w:r>
      <w:r w:rsidR="0055284E" w:rsidRPr="00D77FBE">
        <w:rPr>
          <w:rFonts w:ascii="SimSun" w:hAnsi="SimSun" w:cs="SimSun" w:hint="eastAsia"/>
          <w:kern w:val="22"/>
          <w:sz w:val="24"/>
          <w:szCs w:val="24"/>
          <w:lang w:eastAsia="zh-CN"/>
        </w:rPr>
        <w:t>燃料或药品的自然资源</w:t>
      </w:r>
      <w:r w:rsidR="00714BEA" w:rsidRPr="00714BEA">
        <w:rPr>
          <w:rStyle w:val="FootnoteReference"/>
          <w:kern w:val="22"/>
          <w:szCs w:val="24"/>
        </w:rPr>
        <w:footnoteReference w:id="11"/>
      </w:r>
      <w:r w:rsidR="00104073">
        <w:rPr>
          <w:rFonts w:ascii="SimSun" w:hAnsi="SimSun" w:cs="SimSun" w:hint="eastAsia"/>
          <w:kern w:val="22"/>
          <w:sz w:val="24"/>
          <w:szCs w:val="24"/>
          <w:lang w:eastAsia="zh-CN"/>
        </w:rPr>
        <w:t>。</w:t>
      </w:r>
      <w:r w:rsidR="00714BEA" w:rsidRPr="00D77FBE">
        <w:rPr>
          <w:rFonts w:ascii="SimSun" w:hAnsi="SimSun" w:cs="SimSun" w:hint="eastAsia"/>
          <w:kern w:val="22"/>
          <w:sz w:val="24"/>
          <w:szCs w:val="24"/>
          <w:lang w:eastAsia="zh-CN"/>
        </w:rPr>
        <w:t>在社区迁移到其他自然地区的情况下，</w:t>
      </w:r>
      <w:r w:rsidR="00714BEA">
        <w:rPr>
          <w:rFonts w:ascii="SimSun" w:hAnsi="SimSun" w:cs="SimSun" w:hint="eastAsia"/>
          <w:kern w:val="22"/>
          <w:sz w:val="24"/>
          <w:szCs w:val="24"/>
          <w:lang w:eastAsia="zh-CN"/>
        </w:rPr>
        <w:t>对</w:t>
      </w:r>
      <w:r w:rsidR="00714BEA" w:rsidRPr="00714BEA">
        <w:rPr>
          <w:rFonts w:ascii="Arial" w:hAnsi="Arial" w:cs="Arial"/>
          <w:color w:val="333333"/>
          <w:sz w:val="24"/>
          <w:szCs w:val="24"/>
          <w:shd w:val="clear" w:color="auto" w:fill="FFFFFF"/>
          <w:lang w:eastAsia="zh-CN"/>
        </w:rPr>
        <w:t>食物、燃料或</w:t>
      </w:r>
      <w:r w:rsidR="00714BEA">
        <w:rPr>
          <w:rFonts w:ascii="Arial" w:hAnsi="Arial" w:cs="Arial" w:hint="eastAsia"/>
          <w:color w:val="333333"/>
          <w:sz w:val="24"/>
          <w:szCs w:val="24"/>
          <w:shd w:val="clear" w:color="auto" w:fill="FFFFFF"/>
          <w:lang w:eastAsia="zh-CN"/>
        </w:rPr>
        <w:t>居</w:t>
      </w:r>
      <w:r w:rsidR="00714BEA" w:rsidRPr="00714BEA">
        <w:rPr>
          <w:rFonts w:ascii="Arial" w:hAnsi="Arial" w:cs="Arial"/>
          <w:color w:val="333333"/>
          <w:sz w:val="24"/>
          <w:szCs w:val="24"/>
          <w:shd w:val="clear" w:color="auto" w:fill="FFFFFF"/>
          <w:lang w:eastAsia="zh-CN"/>
        </w:rPr>
        <w:t>所资</w:t>
      </w:r>
      <w:r w:rsidR="00714BEA" w:rsidRPr="00714BEA">
        <w:rPr>
          <w:rFonts w:ascii="SimSun" w:hAnsi="SimSun" w:cs="SimSun" w:hint="eastAsia"/>
          <w:color w:val="333333"/>
          <w:sz w:val="24"/>
          <w:szCs w:val="24"/>
          <w:shd w:val="clear" w:color="auto" w:fill="FFFFFF"/>
          <w:lang w:eastAsia="zh-CN"/>
        </w:rPr>
        <w:t>源</w:t>
      </w:r>
      <w:r w:rsidR="00714BEA" w:rsidRPr="00714BEA">
        <w:rPr>
          <w:rFonts w:ascii="Arial" w:hAnsi="Arial" w:cs="Arial"/>
          <w:color w:val="333333"/>
          <w:sz w:val="24"/>
          <w:szCs w:val="24"/>
          <w:shd w:val="clear" w:color="auto" w:fill="FFFFFF"/>
          <w:lang w:eastAsia="zh-CN"/>
        </w:rPr>
        <w:t>的压力增加</w:t>
      </w:r>
      <w:r w:rsidR="00714BEA">
        <w:rPr>
          <w:rFonts w:ascii="Arial" w:hAnsi="Arial" w:cs="Arial" w:hint="eastAsia"/>
          <w:color w:val="333333"/>
          <w:sz w:val="24"/>
          <w:szCs w:val="24"/>
          <w:shd w:val="clear" w:color="auto" w:fill="FFFFFF"/>
          <w:lang w:eastAsia="zh-CN"/>
        </w:rPr>
        <w:t>，也会</w:t>
      </w:r>
      <w:r w:rsidR="00714BEA" w:rsidRPr="00D77FBE">
        <w:rPr>
          <w:rFonts w:ascii="SimSun" w:hAnsi="SimSun" w:cs="SimSun" w:hint="eastAsia"/>
          <w:kern w:val="22"/>
          <w:sz w:val="24"/>
          <w:szCs w:val="24"/>
          <w:lang w:eastAsia="zh-CN"/>
        </w:rPr>
        <w:t>对接收地区的生物多样性和生态系统</w:t>
      </w:r>
      <w:r w:rsidR="00714BEA">
        <w:rPr>
          <w:rFonts w:ascii="SimSun" w:hAnsi="SimSun" w:cs="SimSun" w:hint="eastAsia"/>
          <w:kern w:val="22"/>
          <w:sz w:val="24"/>
          <w:szCs w:val="24"/>
          <w:lang w:eastAsia="zh-CN"/>
        </w:rPr>
        <w:t>产生</w:t>
      </w:r>
      <w:r w:rsidR="00714BEA" w:rsidRPr="00D77FBE">
        <w:rPr>
          <w:rFonts w:ascii="SimSun" w:hAnsi="SimSun" w:cs="SimSun" w:hint="eastAsia"/>
          <w:kern w:val="22"/>
          <w:sz w:val="24"/>
          <w:szCs w:val="24"/>
          <w:lang w:eastAsia="zh-CN"/>
        </w:rPr>
        <w:t>影响</w:t>
      </w:r>
      <w:r w:rsidR="00714BEA">
        <w:rPr>
          <w:rFonts w:ascii="SimSun" w:hAnsi="SimSun" w:cs="SimSun" w:hint="eastAsia"/>
          <w:kern w:val="22"/>
          <w:sz w:val="24"/>
          <w:szCs w:val="24"/>
          <w:lang w:eastAsia="zh-CN"/>
        </w:rPr>
        <w:t>。</w:t>
      </w:r>
    </w:p>
    <w:p w14:paraId="770049A7" w14:textId="77777777" w:rsidR="00B60FA8" w:rsidRPr="00B52A50" w:rsidRDefault="00851DCE"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sidRPr="00D77FBE">
        <w:rPr>
          <w:rFonts w:ascii="SimSun" w:hAnsi="SimSun" w:cs="SimSun" w:hint="eastAsia"/>
          <w:kern w:val="22"/>
          <w:sz w:val="24"/>
          <w:szCs w:val="24"/>
          <w:lang w:eastAsia="zh-CN"/>
        </w:rPr>
        <w:t>一些规模较大的国际公司（通常与行业协会一起）和政府正在制定良好的做法并寻求机会推进生物多样性保护。</w:t>
      </w:r>
      <w:r w:rsidR="00422EAC" w:rsidRPr="00D77FBE">
        <w:rPr>
          <w:rFonts w:ascii="SimSun" w:hAnsi="SimSun" w:cs="SimSun" w:hint="eastAsia"/>
          <w:kern w:val="22"/>
          <w:sz w:val="24"/>
          <w:szCs w:val="24"/>
          <w:lang w:eastAsia="zh-CN"/>
        </w:rPr>
        <w:t>有机会</w:t>
      </w:r>
      <w:r w:rsidRPr="00D77FBE">
        <w:rPr>
          <w:rFonts w:ascii="SimSun" w:hAnsi="SimSun" w:cs="SimSun" w:hint="eastAsia"/>
          <w:kern w:val="22"/>
          <w:sz w:val="24"/>
          <w:szCs w:val="24"/>
          <w:lang w:eastAsia="zh-CN"/>
        </w:rPr>
        <w:t>通过所有参与</w:t>
      </w:r>
      <w:r w:rsidR="00BE35C0">
        <w:rPr>
          <w:rFonts w:ascii="SimSun" w:hAnsi="SimSun" w:cs="SimSun" w:hint="eastAsia"/>
          <w:kern w:val="22"/>
          <w:sz w:val="24"/>
          <w:szCs w:val="24"/>
          <w:lang w:eastAsia="zh-CN"/>
        </w:rPr>
        <w:t>方</w:t>
      </w:r>
      <w:r w:rsidRPr="00D77FBE">
        <w:rPr>
          <w:rFonts w:ascii="SimSun" w:hAnsi="SimSun" w:cs="SimSun" w:hint="eastAsia"/>
          <w:kern w:val="22"/>
          <w:sz w:val="24"/>
          <w:szCs w:val="24"/>
          <w:lang w:eastAsia="zh-CN"/>
        </w:rPr>
        <w:t>之间的</w:t>
      </w:r>
      <w:r w:rsidR="00BE35C0">
        <w:rPr>
          <w:rFonts w:ascii="SimSun" w:hAnsi="SimSun" w:cs="SimSun" w:hint="eastAsia"/>
          <w:kern w:val="22"/>
          <w:sz w:val="24"/>
          <w:szCs w:val="24"/>
          <w:lang w:eastAsia="zh-CN"/>
        </w:rPr>
        <w:t>协</w:t>
      </w:r>
      <w:r w:rsidRPr="00D77FBE">
        <w:rPr>
          <w:rFonts w:ascii="SimSun" w:hAnsi="SimSun" w:cs="SimSun" w:hint="eastAsia"/>
          <w:kern w:val="22"/>
          <w:sz w:val="24"/>
          <w:szCs w:val="24"/>
          <w:lang w:eastAsia="zh-CN"/>
        </w:rPr>
        <w:t>作和参与，积极加强生物多样性和生态系统服务</w:t>
      </w:r>
      <w:r w:rsidR="00BE35C0">
        <w:rPr>
          <w:rFonts w:ascii="SimSun" w:hAnsi="SimSun" w:cs="SimSun" w:hint="eastAsia"/>
          <w:kern w:val="22"/>
          <w:sz w:val="24"/>
          <w:szCs w:val="24"/>
          <w:lang w:eastAsia="zh-CN"/>
        </w:rPr>
        <w:t>。</w:t>
      </w:r>
    </w:p>
    <w:p w14:paraId="6116753E" w14:textId="77777777" w:rsidR="00B60FA8" w:rsidRPr="00422EAC" w:rsidRDefault="00BE35C0" w:rsidP="00104073">
      <w:pPr>
        <w:pStyle w:val="Heading1"/>
        <w:suppressLineNumbers/>
        <w:tabs>
          <w:tab w:val="clear" w:pos="720"/>
        </w:tabs>
        <w:suppressAutoHyphens/>
        <w:kinsoku w:val="0"/>
        <w:overflowPunct w:val="0"/>
        <w:autoSpaceDE w:val="0"/>
        <w:autoSpaceDN w:val="0"/>
        <w:adjustRightInd w:val="0"/>
        <w:spacing w:before="120" w:line="240" w:lineRule="atLeast"/>
        <w:ind w:right="533" w:firstLine="720"/>
        <w:rPr>
          <w:b/>
          <w:snapToGrid w:val="0"/>
          <w:kern w:val="22"/>
        </w:rPr>
      </w:pPr>
      <w:r w:rsidRPr="00422EAC">
        <w:rPr>
          <w:rFonts w:hint="eastAsia"/>
          <w:b/>
          <w:snapToGrid w:val="0"/>
          <w:kern w:val="22"/>
        </w:rPr>
        <w:t>三</w:t>
      </w:r>
      <w:r w:rsidR="00B60FA8" w:rsidRPr="00422EAC">
        <w:rPr>
          <w:b/>
          <w:snapToGrid w:val="0"/>
          <w:kern w:val="22"/>
        </w:rPr>
        <w:t>.</w:t>
      </w:r>
      <w:r w:rsidR="00104073">
        <w:rPr>
          <w:b/>
          <w:snapToGrid w:val="0"/>
          <w:kern w:val="22"/>
        </w:rPr>
        <w:t xml:space="preserve"> </w:t>
      </w:r>
      <w:r w:rsidR="00851DCE" w:rsidRPr="00422EAC">
        <w:rPr>
          <w:rFonts w:ascii="SimSun" w:eastAsia="SimSun" w:hAnsi="SimSun" w:cs="SimSun" w:hint="eastAsia"/>
          <w:b/>
          <w:kern w:val="22"/>
        </w:rPr>
        <w:t>生物多样性纳入能源和采矿部门的主题和</w:t>
      </w:r>
      <w:r w:rsidR="00FD3302" w:rsidRPr="00422EAC">
        <w:rPr>
          <w:rFonts w:ascii="SimSun" w:eastAsia="SimSun" w:hAnsi="SimSun" w:cs="SimSun" w:hint="eastAsia"/>
          <w:b/>
          <w:kern w:val="22"/>
        </w:rPr>
        <w:t>办</w:t>
      </w:r>
      <w:r w:rsidR="00851DCE" w:rsidRPr="00422EAC">
        <w:rPr>
          <w:rFonts w:ascii="SimSun" w:eastAsia="SimSun" w:hAnsi="SimSun" w:cs="SimSun" w:hint="eastAsia"/>
          <w:b/>
          <w:kern w:val="22"/>
        </w:rPr>
        <w:t>法</w:t>
      </w:r>
    </w:p>
    <w:p w14:paraId="359CA2D1" w14:textId="77777777" w:rsidR="00B60FA8" w:rsidRPr="000278B5" w:rsidRDefault="000278B5"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rFonts w:ascii="SimSun" w:hAnsi="SimSun" w:cs="SimSun"/>
          <w:kern w:val="22"/>
          <w:sz w:val="24"/>
          <w:szCs w:val="24"/>
          <w:lang w:eastAsia="zh-CN"/>
        </w:rPr>
      </w:pPr>
      <w:r w:rsidRPr="00D77FBE">
        <w:rPr>
          <w:rFonts w:ascii="SimSun" w:hAnsi="SimSun" w:cs="SimSun" w:hint="eastAsia"/>
          <w:kern w:val="22"/>
          <w:sz w:val="24"/>
          <w:szCs w:val="24"/>
          <w:lang w:eastAsia="zh-CN"/>
        </w:rPr>
        <w:t>在改善生物多样性管理和减少能源和采矿部门的影响，</w:t>
      </w:r>
      <w:r>
        <w:rPr>
          <w:rFonts w:ascii="SimSun" w:hAnsi="SimSun" w:cs="SimSun" w:hint="eastAsia"/>
          <w:kern w:val="22"/>
          <w:sz w:val="24"/>
          <w:szCs w:val="24"/>
          <w:lang w:eastAsia="zh-CN"/>
        </w:rPr>
        <w:t>从</w:t>
      </w:r>
      <w:r w:rsidRPr="00D77FBE">
        <w:rPr>
          <w:rFonts w:ascii="SimSun" w:hAnsi="SimSun" w:cs="SimSun" w:hint="eastAsia"/>
          <w:kern w:val="22"/>
          <w:sz w:val="24"/>
          <w:szCs w:val="24"/>
          <w:lang w:eastAsia="zh-CN"/>
        </w:rPr>
        <w:t>解决需求模式，</w:t>
      </w:r>
      <w:r w:rsidR="0084091D">
        <w:rPr>
          <w:rFonts w:ascii="SimSun" w:hAnsi="SimSun" w:cs="SimSun" w:hint="eastAsia"/>
          <w:kern w:val="22"/>
          <w:sz w:val="24"/>
          <w:szCs w:val="24"/>
          <w:lang w:eastAsia="zh-CN"/>
        </w:rPr>
        <w:t>到</w:t>
      </w:r>
      <w:r w:rsidRPr="00D77FBE">
        <w:rPr>
          <w:rFonts w:ascii="SimSun" w:hAnsi="SimSun" w:cs="SimSun" w:hint="eastAsia"/>
          <w:kern w:val="22"/>
          <w:sz w:val="24"/>
          <w:szCs w:val="24"/>
          <w:lang w:eastAsia="zh-CN"/>
        </w:rPr>
        <w:t>改善所有项目价值链阶段（包括退役）的规划和监管方面，有</w:t>
      </w:r>
      <w:r w:rsidR="00F94A12">
        <w:rPr>
          <w:rFonts w:ascii="SimSun" w:hAnsi="SimSun" w:cs="SimSun" w:hint="eastAsia"/>
          <w:kern w:val="22"/>
          <w:sz w:val="24"/>
          <w:szCs w:val="24"/>
          <w:lang w:eastAsia="zh-CN"/>
        </w:rPr>
        <w:t>若干采取</w:t>
      </w:r>
      <w:r w:rsidRPr="00D77FBE">
        <w:rPr>
          <w:rFonts w:ascii="SimSun" w:hAnsi="SimSun" w:cs="SimSun" w:hint="eastAsia"/>
          <w:kern w:val="22"/>
          <w:sz w:val="24"/>
          <w:szCs w:val="24"/>
          <w:lang w:eastAsia="zh-CN"/>
        </w:rPr>
        <w:t>干预措施点。</w:t>
      </w:r>
      <w:r w:rsidR="00F94A12">
        <w:rPr>
          <w:rFonts w:ascii="SimSun" w:hAnsi="SimSun" w:cs="SimSun" w:hint="eastAsia"/>
          <w:kern w:val="22"/>
          <w:sz w:val="24"/>
          <w:szCs w:val="24"/>
          <w:lang w:eastAsia="zh-CN"/>
        </w:rPr>
        <w:t>存在</w:t>
      </w:r>
      <w:r w:rsidRPr="00D77FBE">
        <w:rPr>
          <w:rFonts w:ascii="SimSun" w:hAnsi="SimSun" w:cs="SimSun" w:hint="eastAsia"/>
          <w:kern w:val="22"/>
          <w:sz w:val="24"/>
          <w:szCs w:val="24"/>
          <w:lang w:eastAsia="zh-CN"/>
        </w:rPr>
        <w:t>大规模采矿和能源公司为鼓励保护生物多样性和生态系统服务（</w:t>
      </w:r>
      <w:r w:rsidRPr="009563F7">
        <w:rPr>
          <w:rFonts w:ascii="SimSun" w:hAnsi="SimSun" w:cs="SimSun" w:hint="eastAsia"/>
          <w:kern w:val="22"/>
          <w:sz w:val="24"/>
          <w:szCs w:val="24"/>
          <w:lang w:eastAsia="zh-CN"/>
        </w:rPr>
        <w:t>例如</w:t>
      </w:r>
      <w:r w:rsidR="00111834" w:rsidRPr="009563F7">
        <w:rPr>
          <w:rFonts w:ascii="SimSun" w:hAnsi="SimSun" w:cs="SimSun" w:hint="eastAsia"/>
          <w:kern w:val="22"/>
          <w:sz w:val="24"/>
          <w:szCs w:val="24"/>
          <w:lang w:eastAsia="zh-CN"/>
        </w:rPr>
        <w:t>国际</w:t>
      </w:r>
      <w:r w:rsidR="009563F7" w:rsidRPr="009563F7">
        <w:rPr>
          <w:rFonts w:ascii="SimSun" w:hAnsi="SimSun" w:cs="SimSun" w:hint="eastAsia"/>
          <w:kern w:val="22"/>
          <w:sz w:val="24"/>
          <w:szCs w:val="24"/>
          <w:lang w:eastAsia="zh-CN"/>
        </w:rPr>
        <w:t>采矿和金属理事会、</w:t>
      </w:r>
      <w:r w:rsidR="009563F7" w:rsidRPr="009563F7">
        <w:rPr>
          <w:rFonts w:ascii="SimSun" w:hAnsi="SimSun" w:cs="SimSun" w:hint="eastAsia"/>
          <w:sz w:val="24"/>
          <w:szCs w:val="24"/>
          <w:lang w:val="is-IS" w:eastAsia="zh-CN"/>
        </w:rPr>
        <w:t>石环协会</w:t>
      </w:r>
      <w:r w:rsidRPr="009563F7">
        <w:rPr>
          <w:rFonts w:ascii="SimSun" w:hAnsi="SimSun" w:cs="SimSun" w:hint="eastAsia"/>
          <w:kern w:val="22"/>
          <w:sz w:val="24"/>
          <w:szCs w:val="24"/>
          <w:lang w:eastAsia="zh-CN"/>
        </w:rPr>
        <w:t>和</w:t>
      </w:r>
      <w:r w:rsidR="009563F7" w:rsidRPr="009563F7">
        <w:rPr>
          <w:rFonts w:ascii="Arial" w:hAnsi="Arial" w:cs="Arial" w:hint="eastAsia"/>
          <w:color w:val="222222"/>
          <w:sz w:val="24"/>
          <w:szCs w:val="24"/>
          <w:shd w:val="clear" w:color="auto" w:fill="FFFFFF"/>
          <w:lang w:eastAsia="zh-CN"/>
        </w:rPr>
        <w:t>跨部门生物多样性倡议</w:t>
      </w:r>
      <w:r w:rsidRPr="009563F7">
        <w:rPr>
          <w:rFonts w:ascii="SimSun" w:hAnsi="SimSun" w:cs="SimSun" w:hint="eastAsia"/>
          <w:kern w:val="22"/>
          <w:sz w:val="24"/>
          <w:szCs w:val="24"/>
          <w:lang w:eastAsia="zh-CN"/>
        </w:rPr>
        <w:t>制定的指导工具</w:t>
      </w:r>
      <w:r w:rsidR="00E93041">
        <w:rPr>
          <w:rFonts w:ascii="SimSun" w:hAnsi="SimSun" w:cs="SimSun" w:hint="eastAsia"/>
          <w:kern w:val="22"/>
          <w:sz w:val="24"/>
          <w:szCs w:val="24"/>
          <w:lang w:eastAsia="zh-CN"/>
        </w:rPr>
        <w:t xml:space="preserve"> </w:t>
      </w:r>
      <w:r w:rsidR="00E93041" w:rsidRPr="009563F7">
        <w:rPr>
          <w:rStyle w:val="FootnoteReference"/>
          <w:kern w:val="22"/>
          <w:szCs w:val="24"/>
        </w:rPr>
        <w:footnoteReference w:id="12"/>
      </w:r>
      <w:r w:rsidR="00E93041">
        <w:rPr>
          <w:rFonts w:ascii="SimSun" w:hAnsi="SimSun" w:cs="SimSun" w:hint="eastAsia"/>
          <w:kern w:val="22"/>
          <w:sz w:val="24"/>
          <w:szCs w:val="24"/>
          <w:lang w:eastAsia="zh-CN"/>
        </w:rPr>
        <w:t>）</w:t>
      </w:r>
      <w:r w:rsidRPr="009563F7">
        <w:rPr>
          <w:rFonts w:ascii="SimSun" w:hAnsi="SimSun" w:cs="SimSun" w:hint="eastAsia"/>
          <w:kern w:val="22"/>
          <w:sz w:val="24"/>
          <w:szCs w:val="24"/>
          <w:lang w:eastAsia="zh-CN"/>
        </w:rPr>
        <w:t>以及通过加强监管和执法</w:t>
      </w:r>
      <w:r w:rsidRPr="000278B5">
        <w:rPr>
          <w:rFonts w:ascii="SimSun" w:hAnsi="SimSun" w:cs="SimSun" w:hint="eastAsia"/>
          <w:kern w:val="22"/>
          <w:sz w:val="24"/>
          <w:szCs w:val="24"/>
          <w:lang w:eastAsia="zh-CN"/>
        </w:rPr>
        <w:t>开展工作的良好事例。</w:t>
      </w:r>
      <w:r w:rsidR="009563F7" w:rsidRPr="000278B5">
        <w:rPr>
          <w:rFonts w:ascii="SimSun" w:hAnsi="SimSun" w:cs="SimSun" w:hint="eastAsia"/>
          <w:kern w:val="22"/>
          <w:sz w:val="24"/>
          <w:szCs w:val="24"/>
          <w:lang w:eastAsia="zh-CN"/>
        </w:rPr>
        <w:t>挑战在于如何超越项目层面，将这些办法扩大到所有相关国家和遍及能源和采矿部门。还有一些问题通常</w:t>
      </w:r>
      <w:r w:rsidR="009563F7">
        <w:rPr>
          <w:rFonts w:ascii="SimSun" w:hAnsi="SimSun" w:cs="SimSun" w:hint="eastAsia"/>
          <w:kern w:val="22"/>
          <w:sz w:val="24"/>
          <w:szCs w:val="24"/>
          <w:lang w:eastAsia="zh-CN"/>
        </w:rPr>
        <w:t>都</w:t>
      </w:r>
      <w:r w:rsidR="009563F7" w:rsidRPr="000278B5">
        <w:rPr>
          <w:rFonts w:ascii="SimSun" w:hAnsi="SimSun" w:cs="SimSun" w:hint="eastAsia"/>
          <w:kern w:val="22"/>
          <w:sz w:val="24"/>
          <w:szCs w:val="24"/>
          <w:lang w:eastAsia="zh-CN"/>
        </w:rPr>
        <w:t>解决得不好，包括手工和小规模采矿，以及围绕</w:t>
      </w:r>
      <w:r w:rsidR="009563F7">
        <w:rPr>
          <w:rFonts w:ascii="SimSun" w:hAnsi="SimSun" w:cs="SimSun" w:hint="eastAsia"/>
          <w:kern w:val="22"/>
          <w:sz w:val="24"/>
          <w:szCs w:val="24"/>
          <w:lang w:eastAsia="zh-CN"/>
        </w:rPr>
        <w:t>使</w:t>
      </w:r>
      <w:r w:rsidR="009563F7" w:rsidRPr="000278B5">
        <w:rPr>
          <w:rFonts w:ascii="SimSun" w:hAnsi="SimSun" w:cs="SimSun" w:hint="eastAsia"/>
          <w:kern w:val="22"/>
          <w:sz w:val="24"/>
          <w:szCs w:val="24"/>
          <w:lang w:eastAsia="zh-CN"/>
        </w:rPr>
        <w:t>某些行为方参与（例如初级经营者和国有企业）</w:t>
      </w:r>
      <w:r w:rsidR="00F94A12">
        <w:rPr>
          <w:rFonts w:ascii="SimSun" w:hAnsi="SimSun" w:cs="SimSun" w:hint="eastAsia"/>
          <w:kern w:val="22"/>
          <w:sz w:val="24"/>
          <w:szCs w:val="24"/>
          <w:lang w:eastAsia="zh-CN"/>
        </w:rPr>
        <w:t>方面</w:t>
      </w:r>
      <w:r w:rsidR="009563F7" w:rsidRPr="000278B5">
        <w:rPr>
          <w:rFonts w:ascii="SimSun" w:hAnsi="SimSun" w:cs="SimSun" w:hint="eastAsia"/>
          <w:kern w:val="22"/>
          <w:sz w:val="24"/>
          <w:szCs w:val="24"/>
          <w:lang w:eastAsia="zh-CN"/>
        </w:rPr>
        <w:t>的挑战</w:t>
      </w:r>
      <w:r w:rsidR="000B4012">
        <w:rPr>
          <w:rFonts w:ascii="SimSun" w:hAnsi="SimSun" w:cs="SimSun" w:hint="eastAsia"/>
          <w:kern w:val="22"/>
          <w:sz w:val="24"/>
          <w:szCs w:val="24"/>
          <w:lang w:eastAsia="zh-CN"/>
        </w:rPr>
        <w:t>。</w:t>
      </w:r>
    </w:p>
    <w:p w14:paraId="551EF6DA" w14:textId="77777777" w:rsidR="00B60FA8" w:rsidRPr="00B52A50" w:rsidRDefault="00851DCE"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sidRPr="00D77FBE">
        <w:rPr>
          <w:rFonts w:ascii="SimSun" w:hAnsi="SimSun" w:cs="SimSun" w:hint="eastAsia"/>
          <w:kern w:val="22"/>
          <w:sz w:val="24"/>
          <w:szCs w:val="24"/>
          <w:lang w:eastAsia="zh-CN"/>
        </w:rPr>
        <w:t>通过</w:t>
      </w:r>
      <w:r w:rsidR="000C321F">
        <w:rPr>
          <w:rFonts w:ascii="SimSun" w:hAnsi="SimSun" w:cs="SimSun" w:hint="eastAsia"/>
          <w:kern w:val="22"/>
          <w:sz w:val="24"/>
          <w:szCs w:val="24"/>
          <w:lang w:eastAsia="zh-CN"/>
        </w:rPr>
        <w:t>查阅</w:t>
      </w:r>
      <w:r w:rsidRPr="00D77FBE">
        <w:rPr>
          <w:rFonts w:ascii="SimSun" w:hAnsi="SimSun" w:cs="SimSun" w:hint="eastAsia"/>
          <w:kern w:val="22"/>
          <w:sz w:val="24"/>
          <w:szCs w:val="24"/>
          <w:lang w:eastAsia="zh-CN"/>
        </w:rPr>
        <w:t>文献和多</w:t>
      </w:r>
      <w:r w:rsidR="000C321F">
        <w:rPr>
          <w:rFonts w:ascii="SimSun" w:hAnsi="SimSun" w:cs="SimSun" w:hint="eastAsia"/>
          <w:kern w:val="22"/>
          <w:sz w:val="24"/>
          <w:szCs w:val="24"/>
          <w:lang w:eastAsia="zh-CN"/>
        </w:rPr>
        <w:t>个</w:t>
      </w:r>
      <w:r w:rsidRPr="00D77FBE">
        <w:rPr>
          <w:rFonts w:ascii="SimSun" w:hAnsi="SimSun" w:cs="SimSun" w:hint="eastAsia"/>
          <w:kern w:val="22"/>
          <w:sz w:val="24"/>
          <w:szCs w:val="24"/>
          <w:lang w:eastAsia="zh-CN"/>
        </w:rPr>
        <w:t>利益</w:t>
      </w:r>
      <w:r w:rsidR="000C321F">
        <w:rPr>
          <w:rFonts w:ascii="SimSun" w:hAnsi="SimSun" w:cs="SimSun" w:hint="eastAsia"/>
          <w:kern w:val="22"/>
          <w:sz w:val="24"/>
          <w:szCs w:val="24"/>
          <w:lang w:eastAsia="zh-CN"/>
        </w:rPr>
        <w:t>悠</w:t>
      </w:r>
      <w:r w:rsidRPr="00D77FBE">
        <w:rPr>
          <w:rFonts w:ascii="SimSun" w:hAnsi="SimSun" w:cs="SimSun" w:hint="eastAsia"/>
          <w:kern w:val="22"/>
          <w:sz w:val="24"/>
          <w:szCs w:val="24"/>
          <w:lang w:eastAsia="zh-CN"/>
        </w:rPr>
        <w:t>关</w:t>
      </w:r>
      <w:r w:rsidR="000C321F">
        <w:rPr>
          <w:rFonts w:ascii="SimSun" w:hAnsi="SimSun" w:cs="SimSun" w:hint="eastAsia"/>
          <w:kern w:val="22"/>
          <w:sz w:val="24"/>
          <w:szCs w:val="24"/>
          <w:lang w:eastAsia="zh-CN"/>
        </w:rPr>
        <w:t>方</w:t>
      </w:r>
      <w:r w:rsidR="00C52E84">
        <w:rPr>
          <w:rFonts w:ascii="SimSun" w:hAnsi="SimSun" w:cs="SimSun" w:hint="eastAsia"/>
          <w:kern w:val="22"/>
          <w:sz w:val="24"/>
          <w:szCs w:val="24"/>
          <w:lang w:eastAsia="zh-CN"/>
        </w:rPr>
        <w:t>的</w:t>
      </w:r>
      <w:r w:rsidRPr="00D77FBE">
        <w:rPr>
          <w:rFonts w:ascii="SimSun" w:hAnsi="SimSun" w:cs="SimSun" w:hint="eastAsia"/>
          <w:kern w:val="22"/>
          <w:sz w:val="24"/>
          <w:szCs w:val="24"/>
          <w:lang w:eastAsia="zh-CN"/>
        </w:rPr>
        <w:t>研讨会，确定了将生物多样性纳入能源和采矿部门主流的几个关键主题和</w:t>
      </w:r>
      <w:r w:rsidR="000C321F">
        <w:rPr>
          <w:rFonts w:ascii="SimSun" w:hAnsi="SimSun" w:cs="SimSun" w:hint="eastAsia"/>
          <w:kern w:val="22"/>
          <w:sz w:val="24"/>
          <w:szCs w:val="24"/>
          <w:lang w:eastAsia="zh-CN"/>
        </w:rPr>
        <w:t>办</w:t>
      </w:r>
      <w:r w:rsidRPr="00D77FBE">
        <w:rPr>
          <w:rFonts w:ascii="SimSun" w:hAnsi="SimSun" w:cs="SimSun" w:hint="eastAsia"/>
          <w:kern w:val="22"/>
          <w:sz w:val="24"/>
          <w:szCs w:val="24"/>
          <w:lang w:eastAsia="zh-CN"/>
        </w:rPr>
        <w:t>法。</w:t>
      </w:r>
      <w:r w:rsidR="000B4012">
        <w:rPr>
          <w:rFonts w:ascii="SimSun" w:hAnsi="SimSun" w:cs="SimSun" w:hint="eastAsia"/>
          <w:kern w:val="22"/>
          <w:sz w:val="24"/>
          <w:szCs w:val="24"/>
          <w:lang w:eastAsia="zh-CN"/>
        </w:rPr>
        <w:t>下</w:t>
      </w:r>
      <w:r w:rsidRPr="00D77FBE">
        <w:rPr>
          <w:rFonts w:ascii="SimSun" w:hAnsi="SimSun" w:cs="SimSun" w:hint="eastAsia"/>
          <w:kern w:val="22"/>
          <w:sz w:val="24"/>
          <w:szCs w:val="24"/>
          <w:lang w:eastAsia="zh-CN"/>
        </w:rPr>
        <w:t>面章节</w:t>
      </w:r>
      <w:r w:rsidR="00C52E84">
        <w:rPr>
          <w:rFonts w:ascii="SimSun" w:hAnsi="SimSun" w:cs="SimSun" w:hint="eastAsia"/>
          <w:kern w:val="22"/>
          <w:sz w:val="24"/>
          <w:szCs w:val="24"/>
          <w:lang w:eastAsia="zh-CN"/>
        </w:rPr>
        <w:t>将对此进行</w:t>
      </w:r>
      <w:r w:rsidRPr="00D77FBE">
        <w:rPr>
          <w:rFonts w:ascii="SimSun" w:hAnsi="SimSun" w:cs="SimSun" w:hint="eastAsia"/>
          <w:kern w:val="22"/>
          <w:sz w:val="24"/>
          <w:szCs w:val="24"/>
          <w:lang w:eastAsia="zh-CN"/>
        </w:rPr>
        <w:t>更详细</w:t>
      </w:r>
      <w:r w:rsidR="000C321F">
        <w:rPr>
          <w:rFonts w:ascii="SimSun" w:hAnsi="SimSun" w:cs="SimSun" w:hint="eastAsia"/>
          <w:kern w:val="22"/>
          <w:sz w:val="24"/>
          <w:szCs w:val="24"/>
          <w:lang w:eastAsia="zh-CN"/>
        </w:rPr>
        <w:t>地探讨</w:t>
      </w:r>
      <w:r w:rsidRPr="00D77FBE">
        <w:rPr>
          <w:rFonts w:ascii="SimSun" w:hAnsi="SimSun" w:cs="SimSun" w:hint="eastAsia"/>
          <w:kern w:val="22"/>
          <w:sz w:val="24"/>
          <w:szCs w:val="24"/>
          <w:lang w:eastAsia="zh-CN"/>
        </w:rPr>
        <w:t>。这不是一份详尽的清</w:t>
      </w:r>
      <w:r w:rsidRPr="00D77FBE">
        <w:rPr>
          <w:rFonts w:ascii="SimSun" w:hAnsi="SimSun" w:cs="SimSun" w:hint="eastAsia"/>
          <w:kern w:val="22"/>
          <w:sz w:val="24"/>
          <w:szCs w:val="24"/>
          <w:lang w:eastAsia="zh-CN"/>
        </w:rPr>
        <w:lastRenderedPageBreak/>
        <w:t>单，但是被认为与主流</w:t>
      </w:r>
      <w:r w:rsidR="00C52E84">
        <w:rPr>
          <w:rFonts w:ascii="SimSun" w:hAnsi="SimSun" w:cs="SimSun" w:hint="eastAsia"/>
          <w:kern w:val="22"/>
          <w:sz w:val="24"/>
          <w:szCs w:val="24"/>
          <w:lang w:eastAsia="zh-CN"/>
        </w:rPr>
        <w:t>化</w:t>
      </w:r>
      <w:r w:rsidRPr="00D77FBE">
        <w:rPr>
          <w:rFonts w:ascii="SimSun" w:hAnsi="SimSun" w:cs="SimSun" w:hint="eastAsia"/>
          <w:kern w:val="22"/>
          <w:sz w:val="24"/>
          <w:szCs w:val="24"/>
          <w:lang w:eastAsia="zh-CN"/>
        </w:rPr>
        <w:t>专题特别相关，并且可</w:t>
      </w:r>
      <w:r w:rsidR="00C52E84">
        <w:rPr>
          <w:rFonts w:ascii="SimSun" w:hAnsi="SimSun" w:cs="SimSun" w:hint="eastAsia"/>
          <w:kern w:val="22"/>
          <w:sz w:val="24"/>
          <w:szCs w:val="24"/>
          <w:lang w:eastAsia="zh-CN"/>
        </w:rPr>
        <w:t>以</w:t>
      </w:r>
      <w:r w:rsidRPr="00D77FBE">
        <w:rPr>
          <w:rFonts w:ascii="SimSun" w:hAnsi="SimSun" w:cs="SimSun" w:hint="eastAsia"/>
          <w:kern w:val="22"/>
          <w:sz w:val="24"/>
          <w:szCs w:val="24"/>
          <w:lang w:eastAsia="zh-CN"/>
        </w:rPr>
        <w:t>通过</w:t>
      </w:r>
      <w:r w:rsidR="000B4012">
        <w:rPr>
          <w:rFonts w:ascii="SimSun" w:hAnsi="SimSun" w:cs="SimSun" w:hint="eastAsia"/>
          <w:kern w:val="22"/>
          <w:sz w:val="24"/>
          <w:szCs w:val="24"/>
          <w:lang w:eastAsia="zh-CN"/>
        </w:rPr>
        <w:t>根据</w:t>
      </w:r>
      <w:r w:rsidR="00C52E84" w:rsidRPr="005B09D3">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公约</w:t>
      </w:r>
      <w:r w:rsidR="00C52E84">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采取的行动来</w:t>
      </w:r>
      <w:r w:rsidR="00C52E84">
        <w:rPr>
          <w:rFonts w:ascii="SimSun" w:hAnsi="SimSun" w:cs="SimSun" w:hint="eastAsia"/>
          <w:kern w:val="22"/>
          <w:sz w:val="24"/>
          <w:szCs w:val="24"/>
          <w:lang w:eastAsia="zh-CN"/>
        </w:rPr>
        <w:t>推动</w:t>
      </w:r>
      <w:r w:rsidRPr="00D77FBE">
        <w:rPr>
          <w:rFonts w:ascii="SimSun" w:hAnsi="SimSun" w:cs="SimSun" w:hint="eastAsia"/>
          <w:kern w:val="22"/>
          <w:sz w:val="24"/>
          <w:szCs w:val="24"/>
          <w:lang w:eastAsia="zh-CN"/>
        </w:rPr>
        <w:t>和促进。</w:t>
      </w:r>
      <w:r w:rsidR="00C52E84" w:rsidRPr="00D77FBE">
        <w:rPr>
          <w:rFonts w:ascii="SimSun" w:hAnsi="SimSun" w:cs="SimSun" w:hint="eastAsia"/>
          <w:kern w:val="22"/>
          <w:sz w:val="24"/>
          <w:szCs w:val="24"/>
          <w:lang w:eastAsia="zh-CN"/>
        </w:rPr>
        <w:t>前三</w:t>
      </w:r>
      <w:r w:rsidR="00C52E84">
        <w:rPr>
          <w:rFonts w:ascii="SimSun" w:hAnsi="SimSun" w:cs="SimSun" w:hint="eastAsia"/>
          <w:kern w:val="22"/>
          <w:sz w:val="24"/>
          <w:szCs w:val="24"/>
          <w:lang w:eastAsia="zh-CN"/>
        </w:rPr>
        <w:t>点</w:t>
      </w:r>
      <w:r w:rsidR="00C52E84" w:rsidRPr="00D77FBE">
        <w:rPr>
          <w:rFonts w:ascii="SimSun" w:hAnsi="SimSun" w:cs="SimSun" w:hint="eastAsia"/>
          <w:kern w:val="22"/>
          <w:sz w:val="24"/>
          <w:szCs w:val="24"/>
          <w:lang w:eastAsia="zh-CN"/>
        </w:rPr>
        <w:t>主要涉及规划和确定将生物多样性纳入各部门主流的框架，而后</w:t>
      </w:r>
      <w:r w:rsidR="00C52E84">
        <w:rPr>
          <w:rFonts w:ascii="SimSun" w:hAnsi="SimSun" w:cs="SimSun" w:hint="eastAsia"/>
          <w:kern w:val="22"/>
          <w:sz w:val="24"/>
          <w:szCs w:val="24"/>
          <w:lang w:eastAsia="zh-CN"/>
        </w:rPr>
        <w:t>面几点</w:t>
      </w:r>
      <w:r w:rsidR="00C52E84" w:rsidRPr="00D77FBE">
        <w:rPr>
          <w:rFonts w:ascii="SimSun" w:hAnsi="SimSun" w:cs="SimSun" w:hint="eastAsia"/>
          <w:kern w:val="22"/>
          <w:sz w:val="24"/>
          <w:szCs w:val="24"/>
          <w:lang w:eastAsia="zh-CN"/>
        </w:rPr>
        <w:t>则更广泛地涉及</w:t>
      </w:r>
      <w:r w:rsidR="00C52E84">
        <w:rPr>
          <w:rFonts w:ascii="SimSun" w:hAnsi="SimSun" w:cs="SimSun" w:hint="eastAsia"/>
          <w:kern w:val="22"/>
          <w:sz w:val="24"/>
          <w:szCs w:val="24"/>
          <w:lang w:eastAsia="zh-CN"/>
        </w:rPr>
        <w:t>执行</w:t>
      </w:r>
      <w:r w:rsidR="000B4012">
        <w:rPr>
          <w:rFonts w:ascii="SimSun" w:hAnsi="SimSun" w:cs="SimSun" w:hint="eastAsia"/>
          <w:kern w:val="22"/>
          <w:sz w:val="24"/>
          <w:szCs w:val="24"/>
          <w:lang w:eastAsia="zh-CN"/>
        </w:rPr>
        <w:t>。</w:t>
      </w:r>
    </w:p>
    <w:p w14:paraId="1FF0FB9D" w14:textId="77777777" w:rsidR="00B60FA8" w:rsidRPr="00B52A50" w:rsidRDefault="00851DCE"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sidRPr="00D77FBE">
        <w:rPr>
          <w:rFonts w:ascii="SimSun" w:hAnsi="SimSun" w:cs="SimSun" w:hint="eastAsia"/>
          <w:kern w:val="22"/>
          <w:sz w:val="24"/>
          <w:szCs w:val="24"/>
          <w:lang w:eastAsia="zh-CN"/>
        </w:rPr>
        <w:t>下面探讨的所有主题和潜在办法也与若干可持续发展目标有关，最近有两份出版物特别</w:t>
      </w:r>
      <w:r w:rsidR="00C52E84">
        <w:rPr>
          <w:rFonts w:ascii="SimSun" w:hAnsi="SimSun" w:cs="SimSun" w:hint="eastAsia"/>
          <w:kern w:val="22"/>
          <w:sz w:val="24"/>
          <w:szCs w:val="24"/>
          <w:lang w:eastAsia="zh-CN"/>
        </w:rPr>
        <w:t>将</w:t>
      </w:r>
      <w:r w:rsidRPr="00D77FBE">
        <w:rPr>
          <w:rFonts w:ascii="SimSun" w:hAnsi="SimSun" w:cs="SimSun" w:hint="eastAsia"/>
          <w:kern w:val="22"/>
          <w:sz w:val="24"/>
          <w:szCs w:val="24"/>
          <w:lang w:eastAsia="zh-CN"/>
        </w:rPr>
        <w:t>采矿</w:t>
      </w:r>
      <w:r w:rsidR="00C52E84">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石油和天然气工业</w:t>
      </w:r>
      <w:r w:rsidR="002B3E4D">
        <w:rPr>
          <w:rFonts w:ascii="SimSun" w:hAnsi="SimSun" w:cs="SimSun" w:hint="eastAsia"/>
          <w:kern w:val="22"/>
          <w:sz w:val="24"/>
          <w:szCs w:val="24"/>
          <w:lang w:eastAsia="zh-CN"/>
        </w:rPr>
        <w:t>定位为</w:t>
      </w:r>
      <w:r w:rsidRPr="00D77FBE">
        <w:rPr>
          <w:rFonts w:ascii="SimSun" w:hAnsi="SimSun" w:cs="SimSun" w:hint="eastAsia"/>
          <w:kern w:val="22"/>
          <w:sz w:val="24"/>
          <w:szCs w:val="24"/>
          <w:lang w:eastAsia="zh-CN"/>
        </w:rPr>
        <w:t>可持续发展目</w:t>
      </w:r>
      <w:r w:rsidR="00C52E84">
        <w:rPr>
          <w:rFonts w:ascii="SimSun" w:hAnsi="SimSun" w:cs="SimSun" w:hint="eastAsia"/>
          <w:kern w:val="22"/>
          <w:sz w:val="24"/>
          <w:szCs w:val="24"/>
          <w:lang w:eastAsia="zh-CN"/>
        </w:rPr>
        <w:t>标</w:t>
      </w:r>
      <w:r w:rsidR="00C52E84" w:rsidRPr="00C52E84">
        <w:rPr>
          <w:rStyle w:val="FootnoteReference"/>
          <w:kern w:val="22"/>
          <w:szCs w:val="24"/>
        </w:rPr>
        <w:footnoteReference w:id="13"/>
      </w:r>
      <w:r w:rsidR="008033F9">
        <w:rPr>
          <w:rFonts w:ascii="SimSun" w:hAnsi="SimSun" w:cs="SimSun" w:hint="eastAsia"/>
          <w:kern w:val="22"/>
          <w:sz w:val="24"/>
          <w:szCs w:val="24"/>
          <w:lang w:eastAsia="zh-CN"/>
        </w:rPr>
        <w:t>。</w:t>
      </w:r>
    </w:p>
    <w:p w14:paraId="7AF17785" w14:textId="77777777" w:rsidR="00B60FA8" w:rsidRPr="00104073" w:rsidRDefault="00851DCE" w:rsidP="00B66243">
      <w:pPr>
        <w:pStyle w:val="Heading2"/>
        <w:numPr>
          <w:ilvl w:val="0"/>
          <w:numId w:val="22"/>
        </w:numPr>
        <w:suppressLineNumbers/>
        <w:tabs>
          <w:tab w:val="clear" w:pos="720"/>
        </w:tabs>
        <w:suppressAutoHyphens/>
        <w:kinsoku w:val="0"/>
        <w:overflowPunct w:val="0"/>
        <w:autoSpaceDE w:val="0"/>
        <w:autoSpaceDN w:val="0"/>
        <w:adjustRightInd w:val="0"/>
        <w:spacing w:line="240" w:lineRule="atLeast"/>
        <w:rPr>
          <w:rFonts w:ascii="SimSun" w:hAnsi="SimSun"/>
          <w:kern w:val="22"/>
        </w:rPr>
      </w:pPr>
      <w:bookmarkStart w:id="3" w:name="_GOOD_DATA_AND"/>
      <w:bookmarkStart w:id="4" w:name="_REDUCING_DEMAND"/>
      <w:bookmarkStart w:id="5" w:name="_INNOVATION:_Reducing_Demand"/>
      <w:bookmarkStart w:id="6" w:name="_INNOVATION:_Reducing_Demand,"/>
      <w:bookmarkStart w:id="7" w:name="_GOOD_PLANNING:_Spatial"/>
      <w:bookmarkEnd w:id="3"/>
      <w:bookmarkEnd w:id="4"/>
      <w:bookmarkEnd w:id="5"/>
      <w:bookmarkEnd w:id="6"/>
      <w:bookmarkEnd w:id="7"/>
      <w:r w:rsidRPr="00104073">
        <w:rPr>
          <w:rFonts w:ascii="SimSun" w:hAnsi="SimSun" w:cs="SimSun" w:hint="eastAsia"/>
          <w:i w:val="0"/>
          <w:kern w:val="22"/>
        </w:rPr>
        <w:t>国家法律和政策：</w:t>
      </w:r>
      <w:r w:rsidR="00C52E84" w:rsidRPr="00104073">
        <w:rPr>
          <w:rFonts w:ascii="SimSun" w:hAnsi="SimSun" w:cs="SimSun" w:hint="eastAsia"/>
          <w:i w:val="0"/>
          <w:kern w:val="22"/>
        </w:rPr>
        <w:t>激励</w:t>
      </w:r>
      <w:r w:rsidRPr="00104073">
        <w:rPr>
          <w:rFonts w:ascii="SimSun" w:hAnsi="SimSun" w:cs="SimSun" w:hint="eastAsia"/>
          <w:i w:val="0"/>
          <w:kern w:val="22"/>
        </w:rPr>
        <w:t>和惩罚</w:t>
      </w:r>
    </w:p>
    <w:p w14:paraId="1C832015" w14:textId="77777777" w:rsidR="00B60FA8" w:rsidRPr="00104073" w:rsidRDefault="000B4012" w:rsidP="00B66243">
      <w:pPr>
        <w:pStyle w:val="Heading3"/>
        <w:suppressLineNumbers/>
        <w:tabs>
          <w:tab w:val="clear" w:pos="567"/>
        </w:tabs>
        <w:suppressAutoHyphens/>
        <w:kinsoku w:val="0"/>
        <w:overflowPunct w:val="0"/>
        <w:autoSpaceDE w:val="0"/>
        <w:autoSpaceDN w:val="0"/>
        <w:adjustRightInd w:val="0"/>
        <w:spacing w:line="240" w:lineRule="atLeast"/>
        <w:rPr>
          <w:rFonts w:ascii="KaiTi" w:eastAsia="KaiTi" w:hAnsi="KaiTi"/>
          <w:kern w:val="22"/>
          <w:u w:val="none"/>
        </w:rPr>
      </w:pPr>
      <w:r w:rsidRPr="00104073">
        <w:rPr>
          <w:rFonts w:ascii="KaiTi" w:eastAsia="KaiTi" w:hAnsi="KaiTi" w:hint="eastAsia"/>
          <w:kern w:val="22"/>
          <w:u w:val="none"/>
        </w:rPr>
        <w:t>1.</w:t>
      </w:r>
      <w:r w:rsidR="00104073">
        <w:rPr>
          <w:rFonts w:ascii="KaiTi" w:eastAsia="KaiTi" w:hAnsi="KaiTi"/>
          <w:kern w:val="22"/>
          <w:u w:val="none"/>
        </w:rPr>
        <w:t xml:space="preserve"> </w:t>
      </w:r>
      <w:r w:rsidR="00AA1624" w:rsidRPr="00104073">
        <w:rPr>
          <w:rFonts w:ascii="KaiTi" w:eastAsia="KaiTi" w:hAnsi="KaiTi" w:hint="eastAsia"/>
          <w:kern w:val="22"/>
          <w:u w:val="none"/>
        </w:rPr>
        <w:t>引言</w:t>
      </w:r>
    </w:p>
    <w:p w14:paraId="6D72755B" w14:textId="77777777" w:rsidR="00B60FA8" w:rsidRPr="00B52A50" w:rsidRDefault="00C52E84"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Pr>
          <w:rFonts w:ascii="SimSun" w:hAnsi="SimSun" w:cs="SimSun" w:hint="eastAsia"/>
          <w:kern w:val="22"/>
          <w:sz w:val="24"/>
          <w:szCs w:val="24"/>
          <w:lang w:eastAsia="zh-CN"/>
        </w:rPr>
        <w:t>一个</w:t>
      </w:r>
      <w:r w:rsidR="00851DCE" w:rsidRPr="00D77FBE">
        <w:rPr>
          <w:rFonts w:ascii="SimSun" w:hAnsi="SimSun" w:cs="SimSun" w:hint="eastAsia"/>
          <w:kern w:val="22"/>
          <w:sz w:val="24"/>
          <w:szCs w:val="24"/>
          <w:lang w:eastAsia="zh-CN"/>
        </w:rPr>
        <w:t>反映良好做法并尽可能纳入国际最佳做法要素的法律框架对于将生物多样性纳入能源和采矿部门的主流</w:t>
      </w:r>
      <w:r w:rsidR="009E6CE5">
        <w:rPr>
          <w:rFonts w:ascii="SimSun" w:hAnsi="SimSun" w:cs="SimSun" w:hint="eastAsia"/>
          <w:kern w:val="22"/>
          <w:sz w:val="24"/>
          <w:szCs w:val="24"/>
          <w:lang w:eastAsia="zh-CN"/>
        </w:rPr>
        <w:t>很是</w:t>
      </w:r>
      <w:r w:rsidR="00851DCE" w:rsidRPr="00D77FBE">
        <w:rPr>
          <w:rFonts w:ascii="SimSun" w:hAnsi="SimSun" w:cs="SimSun" w:hint="eastAsia"/>
          <w:kern w:val="22"/>
          <w:sz w:val="24"/>
          <w:szCs w:val="24"/>
          <w:lang w:eastAsia="zh-CN"/>
        </w:rPr>
        <w:t>重要</w:t>
      </w:r>
      <w:r w:rsidR="000B4012">
        <w:rPr>
          <w:rFonts w:hint="eastAsia"/>
          <w:kern w:val="22"/>
          <w:sz w:val="24"/>
          <w:szCs w:val="24"/>
          <w:lang w:eastAsia="zh-CN"/>
        </w:rPr>
        <w:t>。</w:t>
      </w:r>
    </w:p>
    <w:p w14:paraId="5B0D18F2" w14:textId="77777777" w:rsidR="00B60FA8" w:rsidRPr="00104073" w:rsidRDefault="00B60FA8" w:rsidP="00B66243">
      <w:pPr>
        <w:pStyle w:val="Heading3"/>
        <w:suppressLineNumbers/>
        <w:tabs>
          <w:tab w:val="clear" w:pos="567"/>
        </w:tabs>
        <w:suppressAutoHyphens/>
        <w:kinsoku w:val="0"/>
        <w:overflowPunct w:val="0"/>
        <w:autoSpaceDE w:val="0"/>
        <w:autoSpaceDN w:val="0"/>
        <w:adjustRightInd w:val="0"/>
        <w:spacing w:line="240" w:lineRule="atLeast"/>
        <w:rPr>
          <w:rFonts w:ascii="KaiTi" w:eastAsia="KaiTi" w:hAnsi="KaiTi"/>
          <w:kern w:val="22"/>
          <w:u w:val="none"/>
        </w:rPr>
      </w:pPr>
      <w:r w:rsidRPr="00104073">
        <w:rPr>
          <w:rFonts w:ascii="KaiTi" w:eastAsia="KaiTi" w:hAnsi="KaiTi"/>
          <w:kern w:val="22"/>
          <w:u w:val="none"/>
        </w:rPr>
        <w:t>2.</w:t>
      </w:r>
      <w:r w:rsidR="00104073">
        <w:rPr>
          <w:rFonts w:ascii="KaiTi" w:eastAsia="KaiTi" w:hAnsi="KaiTi"/>
          <w:kern w:val="22"/>
          <w:u w:val="none"/>
        </w:rPr>
        <w:t xml:space="preserve"> </w:t>
      </w:r>
      <w:r w:rsidR="00104073" w:rsidRPr="00104073">
        <w:rPr>
          <w:rFonts w:ascii="KaiTi" w:eastAsia="KaiTi" w:hAnsi="KaiTi" w:cs="SimSun" w:hint="eastAsia"/>
          <w:kern w:val="22"/>
          <w:u w:val="none"/>
        </w:rPr>
        <w:t>部分方法</w:t>
      </w:r>
      <w:r w:rsidR="009E6CE5" w:rsidRPr="00104073">
        <w:rPr>
          <w:rFonts w:ascii="KaiTi" w:eastAsia="KaiTi" w:hAnsi="KaiTi" w:cs="SimSun" w:hint="eastAsia"/>
          <w:kern w:val="22"/>
          <w:u w:val="none"/>
        </w:rPr>
        <w:t>、</w:t>
      </w:r>
      <w:r w:rsidR="00851DCE" w:rsidRPr="00104073">
        <w:rPr>
          <w:rFonts w:ascii="KaiTi" w:eastAsia="KaiTi" w:hAnsi="KaiTi" w:cs="SimSun" w:hint="eastAsia"/>
          <w:kern w:val="22"/>
          <w:u w:val="none"/>
        </w:rPr>
        <w:t>标准和良好做法</w:t>
      </w:r>
    </w:p>
    <w:p w14:paraId="2082E38B" w14:textId="77777777" w:rsidR="00B60FA8" w:rsidRPr="00B52A50" w:rsidRDefault="00851DCE"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sidRPr="00D77FBE">
        <w:rPr>
          <w:rFonts w:ascii="SimSun" w:hAnsi="SimSun" w:cs="SimSun" w:hint="eastAsia"/>
          <w:kern w:val="22"/>
          <w:sz w:val="24"/>
          <w:szCs w:val="24"/>
          <w:lang w:eastAsia="zh-CN"/>
        </w:rPr>
        <w:t>国家法律和法规创</w:t>
      </w:r>
      <w:r w:rsidR="00E93041">
        <w:rPr>
          <w:rFonts w:ascii="SimSun" w:hAnsi="SimSun" w:cs="SimSun" w:hint="eastAsia"/>
          <w:kern w:val="22"/>
          <w:sz w:val="24"/>
          <w:szCs w:val="24"/>
          <w:lang w:eastAsia="zh-CN"/>
        </w:rPr>
        <w:t>造</w:t>
      </w:r>
      <w:r w:rsidRPr="00D77FBE">
        <w:rPr>
          <w:rFonts w:ascii="SimSun" w:hAnsi="SimSun" w:cs="SimSun" w:hint="eastAsia"/>
          <w:kern w:val="22"/>
          <w:sz w:val="24"/>
          <w:szCs w:val="24"/>
          <w:lang w:eastAsia="zh-CN"/>
        </w:rPr>
        <w:t>一个合</w:t>
      </w:r>
      <w:proofErr w:type="gramStart"/>
      <w:r w:rsidRPr="00D77FBE">
        <w:rPr>
          <w:rFonts w:ascii="SimSun" w:hAnsi="SimSun" w:cs="SimSun" w:hint="eastAsia"/>
          <w:kern w:val="22"/>
          <w:sz w:val="24"/>
          <w:szCs w:val="24"/>
          <w:lang w:eastAsia="zh-CN"/>
        </w:rPr>
        <w:t>规</w:t>
      </w:r>
      <w:proofErr w:type="gramEnd"/>
      <w:r w:rsidRPr="00D77FBE">
        <w:rPr>
          <w:rFonts w:ascii="SimSun" w:hAnsi="SimSun" w:cs="SimSun" w:hint="eastAsia"/>
          <w:kern w:val="22"/>
          <w:sz w:val="24"/>
          <w:szCs w:val="24"/>
          <w:lang w:eastAsia="zh-CN"/>
        </w:rPr>
        <w:t>框架并</w:t>
      </w:r>
      <w:r w:rsidR="009E6CE5">
        <w:rPr>
          <w:rFonts w:ascii="SimSun" w:hAnsi="SimSun" w:cs="SimSun" w:hint="eastAsia"/>
          <w:kern w:val="22"/>
          <w:sz w:val="24"/>
          <w:szCs w:val="24"/>
          <w:lang w:eastAsia="zh-CN"/>
        </w:rPr>
        <w:t>便利执行</w:t>
      </w:r>
      <w:r w:rsidRPr="00D77FBE">
        <w:rPr>
          <w:rFonts w:ascii="SimSun" w:hAnsi="SimSun" w:cs="SimSun" w:hint="eastAsia"/>
          <w:kern w:val="22"/>
          <w:sz w:val="24"/>
          <w:szCs w:val="24"/>
          <w:lang w:eastAsia="zh-CN"/>
        </w:rPr>
        <w:t>。</w:t>
      </w:r>
      <w:r w:rsidR="00E93041">
        <w:rPr>
          <w:rFonts w:ascii="SimSun" w:hAnsi="SimSun" w:cs="SimSun" w:hint="eastAsia"/>
          <w:kern w:val="22"/>
          <w:sz w:val="24"/>
          <w:szCs w:val="24"/>
          <w:lang w:eastAsia="zh-CN"/>
        </w:rPr>
        <w:t>它</w:t>
      </w:r>
      <w:r w:rsidRPr="00D77FBE">
        <w:rPr>
          <w:rFonts w:ascii="SimSun" w:hAnsi="SimSun" w:cs="SimSun" w:hint="eastAsia"/>
          <w:kern w:val="22"/>
          <w:sz w:val="24"/>
          <w:szCs w:val="24"/>
          <w:lang w:eastAsia="zh-CN"/>
        </w:rPr>
        <w:t>们</w:t>
      </w:r>
      <w:r w:rsidR="00E93041">
        <w:rPr>
          <w:rFonts w:ascii="SimSun" w:hAnsi="SimSun" w:cs="SimSun" w:hint="eastAsia"/>
          <w:kern w:val="22"/>
          <w:sz w:val="24"/>
          <w:szCs w:val="24"/>
          <w:lang w:eastAsia="zh-CN"/>
        </w:rPr>
        <w:t>往往受到</w:t>
      </w:r>
      <w:r w:rsidRPr="00D77FBE">
        <w:rPr>
          <w:rFonts w:ascii="SimSun" w:hAnsi="SimSun" w:cs="SimSun" w:hint="eastAsia"/>
          <w:kern w:val="22"/>
          <w:sz w:val="24"/>
          <w:szCs w:val="24"/>
          <w:lang w:eastAsia="zh-CN"/>
        </w:rPr>
        <w:t>一系列政策</w:t>
      </w:r>
      <w:r w:rsidR="00E93041">
        <w:rPr>
          <w:rFonts w:ascii="SimSun" w:hAnsi="SimSun" w:cs="SimSun" w:hint="eastAsia"/>
          <w:kern w:val="22"/>
          <w:sz w:val="24"/>
          <w:szCs w:val="24"/>
          <w:lang w:eastAsia="zh-CN"/>
        </w:rPr>
        <w:t>的</w:t>
      </w:r>
      <w:r w:rsidRPr="00D77FBE">
        <w:rPr>
          <w:rFonts w:ascii="SimSun" w:hAnsi="SimSun" w:cs="SimSun" w:hint="eastAsia"/>
          <w:kern w:val="22"/>
          <w:sz w:val="24"/>
          <w:szCs w:val="24"/>
          <w:lang w:eastAsia="zh-CN"/>
        </w:rPr>
        <w:t>指导，包括宪法条款以及与部门</w:t>
      </w:r>
      <w:r w:rsidR="009E6CE5">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规划</w:t>
      </w:r>
      <w:r w:rsidR="009E6CE5">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环境和人权有关的政策和法律。</w:t>
      </w:r>
      <w:r w:rsidR="000B4012">
        <w:rPr>
          <w:rFonts w:ascii="SimSun" w:hAnsi="SimSun" w:cs="SimSun" w:hint="eastAsia"/>
          <w:kern w:val="22"/>
          <w:sz w:val="24"/>
          <w:szCs w:val="24"/>
          <w:lang w:eastAsia="zh-CN"/>
        </w:rPr>
        <w:t>其</w:t>
      </w:r>
      <w:r w:rsidRPr="00D77FBE">
        <w:rPr>
          <w:rFonts w:ascii="SimSun" w:hAnsi="SimSun" w:cs="SimSun" w:hint="eastAsia"/>
          <w:kern w:val="22"/>
          <w:sz w:val="24"/>
          <w:szCs w:val="24"/>
          <w:lang w:eastAsia="zh-CN"/>
        </w:rPr>
        <w:t>中包括通过许可程序</w:t>
      </w:r>
      <w:r w:rsidR="009E6CE5" w:rsidRPr="00D77FBE">
        <w:rPr>
          <w:rFonts w:ascii="SimSun" w:hAnsi="SimSun" w:cs="SimSun" w:hint="eastAsia"/>
          <w:kern w:val="22"/>
          <w:sz w:val="24"/>
          <w:szCs w:val="24"/>
          <w:lang w:eastAsia="zh-CN"/>
        </w:rPr>
        <w:t>监管</w:t>
      </w:r>
      <w:r w:rsidRPr="00D77FBE">
        <w:rPr>
          <w:rFonts w:ascii="SimSun" w:hAnsi="SimSun" w:cs="SimSun" w:hint="eastAsia"/>
          <w:kern w:val="22"/>
          <w:sz w:val="24"/>
          <w:szCs w:val="24"/>
          <w:lang w:eastAsia="zh-CN"/>
        </w:rPr>
        <w:t>能源和采矿作业</w:t>
      </w:r>
      <w:r w:rsidR="00E93041">
        <w:rPr>
          <w:rFonts w:ascii="SimSun" w:hAnsi="SimSun" w:cs="SimSun" w:hint="eastAsia"/>
          <w:kern w:val="22"/>
          <w:sz w:val="24"/>
          <w:szCs w:val="24"/>
          <w:lang w:eastAsia="zh-CN"/>
        </w:rPr>
        <w:t>、</w:t>
      </w:r>
      <w:r w:rsidR="009E6CE5">
        <w:rPr>
          <w:rFonts w:ascii="SimSun" w:hAnsi="SimSun" w:cs="SimSun" w:hint="eastAsia"/>
          <w:kern w:val="22"/>
          <w:sz w:val="24"/>
          <w:szCs w:val="24"/>
          <w:lang w:eastAsia="zh-CN"/>
        </w:rPr>
        <w:t>关于</w:t>
      </w:r>
      <w:r w:rsidRPr="00D77FBE">
        <w:rPr>
          <w:rFonts w:ascii="SimSun" w:hAnsi="SimSun" w:cs="SimSun" w:hint="eastAsia"/>
          <w:kern w:val="22"/>
          <w:sz w:val="24"/>
          <w:szCs w:val="24"/>
          <w:lang w:eastAsia="zh-CN"/>
        </w:rPr>
        <w:t>环境损害责任和</w:t>
      </w:r>
      <w:r w:rsidR="009E6CE5">
        <w:rPr>
          <w:rFonts w:ascii="SimSun" w:hAnsi="SimSun" w:cs="SimSun" w:hint="eastAsia"/>
          <w:kern w:val="22"/>
          <w:sz w:val="24"/>
          <w:szCs w:val="24"/>
          <w:lang w:eastAsia="zh-CN"/>
        </w:rPr>
        <w:t>诉诸</w:t>
      </w:r>
      <w:r w:rsidRPr="00D77FBE">
        <w:rPr>
          <w:rFonts w:ascii="SimSun" w:hAnsi="SimSun" w:cs="SimSun" w:hint="eastAsia"/>
          <w:kern w:val="22"/>
          <w:sz w:val="24"/>
          <w:szCs w:val="24"/>
          <w:lang w:eastAsia="zh-CN"/>
        </w:rPr>
        <w:t>法院</w:t>
      </w:r>
      <w:r w:rsidR="009E6CE5">
        <w:rPr>
          <w:rFonts w:ascii="SimSun" w:hAnsi="SimSun" w:cs="SimSun" w:hint="eastAsia"/>
          <w:kern w:val="22"/>
          <w:sz w:val="24"/>
          <w:szCs w:val="24"/>
          <w:lang w:eastAsia="zh-CN"/>
        </w:rPr>
        <w:t>的</w:t>
      </w:r>
      <w:r w:rsidR="009E6CE5" w:rsidRPr="00D77FBE">
        <w:rPr>
          <w:rFonts w:ascii="SimSun" w:hAnsi="SimSun" w:cs="SimSun" w:hint="eastAsia"/>
          <w:kern w:val="22"/>
          <w:sz w:val="24"/>
          <w:szCs w:val="24"/>
          <w:lang w:eastAsia="zh-CN"/>
        </w:rPr>
        <w:t>法规</w:t>
      </w:r>
      <w:r w:rsidR="009E6CE5">
        <w:rPr>
          <w:rFonts w:ascii="SimSun" w:hAnsi="SimSun" w:cs="SimSun" w:hint="eastAsia"/>
          <w:kern w:val="22"/>
          <w:sz w:val="24"/>
          <w:szCs w:val="24"/>
          <w:lang w:eastAsia="zh-CN"/>
        </w:rPr>
        <w:t>。</w:t>
      </w:r>
    </w:p>
    <w:p w14:paraId="586006FD" w14:textId="77777777" w:rsidR="00B60FA8" w:rsidRPr="00B52A50" w:rsidRDefault="00851DCE"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sidRPr="00D77FBE">
        <w:rPr>
          <w:rFonts w:ascii="SimSun" w:hAnsi="SimSun" w:cs="SimSun" w:hint="eastAsia"/>
          <w:kern w:val="22"/>
          <w:sz w:val="24"/>
          <w:szCs w:val="24"/>
          <w:lang w:eastAsia="zh-CN"/>
        </w:rPr>
        <w:t>一些国家生物多样性战略和行动计划包</w:t>
      </w:r>
      <w:r w:rsidR="000A261D">
        <w:rPr>
          <w:rFonts w:ascii="SimSun" w:hAnsi="SimSun" w:cs="SimSun" w:hint="eastAsia"/>
          <w:kern w:val="22"/>
          <w:sz w:val="24"/>
          <w:szCs w:val="24"/>
          <w:lang w:eastAsia="zh-CN"/>
        </w:rPr>
        <w:t>含</w:t>
      </w:r>
      <w:r w:rsidRPr="00D77FBE">
        <w:rPr>
          <w:rFonts w:ascii="SimSun" w:hAnsi="SimSun" w:cs="SimSun" w:hint="eastAsia"/>
          <w:kern w:val="22"/>
          <w:sz w:val="24"/>
          <w:szCs w:val="24"/>
          <w:lang w:eastAsia="zh-CN"/>
        </w:rPr>
        <w:t>与能源和采矿部门有关的建议。对经修订的国家生物多样性战略和行动计划的高级别审查显示，有</w:t>
      </w:r>
      <w:r w:rsidRPr="00D77FBE">
        <w:rPr>
          <w:kern w:val="22"/>
          <w:sz w:val="24"/>
          <w:szCs w:val="24"/>
          <w:lang w:eastAsia="zh-CN"/>
        </w:rPr>
        <w:t>16</w:t>
      </w:r>
      <w:r w:rsidRPr="00D77FBE">
        <w:rPr>
          <w:rFonts w:ascii="SimSun" w:hAnsi="SimSun" w:cs="SimSun" w:hint="eastAsia"/>
          <w:kern w:val="22"/>
          <w:sz w:val="24"/>
          <w:szCs w:val="24"/>
          <w:lang w:eastAsia="zh-CN"/>
        </w:rPr>
        <w:t>个</w:t>
      </w:r>
      <w:r w:rsidR="000A1C7E">
        <w:rPr>
          <w:rFonts w:ascii="SimSun" w:hAnsi="SimSun" w:cs="SimSun" w:hint="eastAsia"/>
          <w:kern w:val="22"/>
          <w:sz w:val="24"/>
          <w:szCs w:val="24"/>
          <w:lang w:eastAsia="zh-CN"/>
        </w:rPr>
        <w:t>国家的</w:t>
      </w:r>
      <w:r w:rsidRPr="00D77FBE">
        <w:rPr>
          <w:rFonts w:ascii="SimSun" w:hAnsi="SimSun" w:cs="SimSun" w:hint="eastAsia"/>
          <w:kern w:val="22"/>
          <w:sz w:val="24"/>
          <w:szCs w:val="24"/>
          <w:lang w:eastAsia="zh-CN"/>
        </w:rPr>
        <w:t>战略或行</w:t>
      </w:r>
      <w:r w:rsidR="000A1C7E">
        <w:rPr>
          <w:rFonts w:ascii="SimSun" w:hAnsi="SimSun" w:cs="SimSun" w:hint="eastAsia"/>
          <w:kern w:val="22"/>
          <w:sz w:val="24"/>
          <w:szCs w:val="24"/>
          <w:lang w:eastAsia="zh-CN"/>
        </w:rPr>
        <w:t>动联系到</w:t>
      </w:r>
      <w:r w:rsidR="000A1C7E" w:rsidRPr="00D77FBE">
        <w:rPr>
          <w:rFonts w:ascii="SimSun" w:hAnsi="SimSun" w:cs="SimSun" w:hint="eastAsia"/>
          <w:kern w:val="22"/>
          <w:sz w:val="24"/>
          <w:szCs w:val="24"/>
          <w:lang w:eastAsia="zh-CN"/>
        </w:rPr>
        <w:t>采矿</w:t>
      </w:r>
      <w:r w:rsidRPr="00D77FBE">
        <w:rPr>
          <w:rFonts w:ascii="SimSun" w:hAnsi="SimSun" w:cs="SimSun" w:hint="eastAsia"/>
          <w:kern w:val="22"/>
          <w:sz w:val="24"/>
          <w:szCs w:val="24"/>
          <w:lang w:eastAsia="zh-CN"/>
        </w:rPr>
        <w:t>，而有</w:t>
      </w:r>
      <w:r w:rsidRPr="00D77FBE">
        <w:rPr>
          <w:kern w:val="22"/>
          <w:sz w:val="24"/>
          <w:szCs w:val="24"/>
          <w:lang w:eastAsia="zh-CN"/>
        </w:rPr>
        <w:t>35</w:t>
      </w:r>
      <w:r w:rsidRPr="00D77FBE">
        <w:rPr>
          <w:rFonts w:ascii="SimSun" w:hAnsi="SimSun" w:cs="SimSun" w:hint="eastAsia"/>
          <w:kern w:val="22"/>
          <w:sz w:val="24"/>
          <w:szCs w:val="24"/>
          <w:lang w:eastAsia="zh-CN"/>
        </w:rPr>
        <w:t>个国家的战略或行动与能源有关。</w:t>
      </w:r>
      <w:r w:rsidR="002B3E4D" w:rsidRPr="00D77FBE">
        <w:rPr>
          <w:rFonts w:ascii="SimSun" w:hAnsi="SimSun" w:cs="SimSun" w:hint="eastAsia"/>
          <w:kern w:val="22"/>
          <w:sz w:val="24"/>
          <w:szCs w:val="24"/>
          <w:lang w:eastAsia="zh-CN"/>
        </w:rPr>
        <w:t>共有</w:t>
      </w:r>
      <w:r w:rsidR="002B3E4D" w:rsidRPr="00D77FBE">
        <w:rPr>
          <w:kern w:val="22"/>
          <w:sz w:val="24"/>
          <w:szCs w:val="24"/>
          <w:lang w:eastAsia="zh-CN"/>
        </w:rPr>
        <w:t>36</w:t>
      </w:r>
      <w:r w:rsidR="002B3E4D" w:rsidRPr="00D77FBE">
        <w:rPr>
          <w:rFonts w:ascii="SimSun" w:hAnsi="SimSun" w:cs="SimSun" w:hint="eastAsia"/>
          <w:kern w:val="22"/>
          <w:sz w:val="24"/>
          <w:szCs w:val="24"/>
          <w:lang w:eastAsia="zh-CN"/>
        </w:rPr>
        <w:t>个国家生物多样性战略和行动计划</w:t>
      </w:r>
      <w:r w:rsidR="000A1C7E">
        <w:rPr>
          <w:rFonts w:ascii="SimSun" w:hAnsi="SimSun" w:cs="SimSun" w:hint="eastAsia"/>
          <w:kern w:val="22"/>
          <w:sz w:val="24"/>
          <w:szCs w:val="24"/>
          <w:lang w:eastAsia="zh-CN"/>
        </w:rPr>
        <w:t>的</w:t>
      </w:r>
      <w:r w:rsidR="002B3E4D" w:rsidRPr="00D77FBE">
        <w:rPr>
          <w:rFonts w:ascii="SimSun" w:hAnsi="SimSun" w:cs="SimSun" w:hint="eastAsia"/>
          <w:kern w:val="22"/>
          <w:sz w:val="24"/>
          <w:szCs w:val="24"/>
          <w:lang w:eastAsia="zh-CN"/>
        </w:rPr>
        <w:t>战略或行动</w:t>
      </w:r>
      <w:r w:rsidR="000A1C7E">
        <w:rPr>
          <w:rFonts w:ascii="SimSun" w:hAnsi="SimSun" w:cs="SimSun" w:hint="eastAsia"/>
          <w:kern w:val="22"/>
          <w:sz w:val="24"/>
          <w:szCs w:val="24"/>
          <w:lang w:eastAsia="zh-CN"/>
        </w:rPr>
        <w:t>联系到</w:t>
      </w:r>
      <w:r w:rsidR="002B3E4D" w:rsidRPr="00D77FBE">
        <w:rPr>
          <w:rFonts w:ascii="SimSun" w:hAnsi="SimSun" w:cs="SimSun" w:hint="eastAsia"/>
          <w:kern w:val="22"/>
          <w:sz w:val="24"/>
          <w:szCs w:val="24"/>
          <w:lang w:eastAsia="zh-CN"/>
        </w:rPr>
        <w:t>环境和社会影响评估</w:t>
      </w:r>
      <w:r w:rsidR="002B3E4D" w:rsidRPr="00D77FBE">
        <w:rPr>
          <w:kern w:val="22"/>
          <w:sz w:val="24"/>
          <w:szCs w:val="24"/>
          <w:lang w:eastAsia="zh-CN"/>
        </w:rPr>
        <w:t>/</w:t>
      </w:r>
      <w:r w:rsidR="002B3E4D" w:rsidRPr="00D77FBE">
        <w:rPr>
          <w:rFonts w:ascii="SimSun" w:hAnsi="SimSun" w:cs="SimSun" w:hint="eastAsia"/>
          <w:kern w:val="22"/>
          <w:sz w:val="24"/>
          <w:szCs w:val="24"/>
          <w:lang w:eastAsia="zh-CN"/>
        </w:rPr>
        <w:t>战略环境评估</w:t>
      </w:r>
      <w:r w:rsidR="000A1C7E">
        <w:rPr>
          <w:rFonts w:ascii="SimSun" w:hAnsi="SimSun" w:cs="SimSun" w:hint="eastAsia"/>
          <w:kern w:val="22"/>
          <w:sz w:val="24"/>
          <w:szCs w:val="24"/>
          <w:lang w:eastAsia="zh-CN"/>
        </w:rPr>
        <w:t>。</w:t>
      </w:r>
    </w:p>
    <w:p w14:paraId="76F8FA4A" w14:textId="77777777" w:rsidR="00B60FA8" w:rsidRPr="00B52A50" w:rsidRDefault="000A1C7E"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bCs/>
          <w:kern w:val="22"/>
          <w:sz w:val="24"/>
          <w:szCs w:val="24"/>
          <w:lang w:eastAsia="zh-CN"/>
        </w:rPr>
      </w:pPr>
      <w:r>
        <w:rPr>
          <w:rFonts w:ascii="SimSun" w:hAnsi="SimSun" w:cs="SimSun" w:hint="eastAsia"/>
          <w:kern w:val="22"/>
          <w:sz w:val="24"/>
          <w:szCs w:val="24"/>
          <w:lang w:eastAsia="zh-CN"/>
        </w:rPr>
        <w:t>有一些国家发展计划明确承认生物多样性价值的例子（比</w:t>
      </w:r>
      <w:r w:rsidR="00851DCE" w:rsidRPr="00D77FBE">
        <w:rPr>
          <w:rFonts w:ascii="SimSun" w:hAnsi="SimSun" w:cs="SimSun" w:hint="eastAsia"/>
          <w:kern w:val="22"/>
          <w:sz w:val="24"/>
          <w:szCs w:val="24"/>
          <w:lang w:eastAsia="zh-CN"/>
        </w:rPr>
        <w:t>如在乌干达和加纳）。</w:t>
      </w:r>
      <w:r w:rsidR="00851DCE" w:rsidRPr="00D77FBE">
        <w:rPr>
          <w:kern w:val="22"/>
          <w:sz w:val="24"/>
          <w:szCs w:val="24"/>
          <w:lang w:eastAsia="zh-CN"/>
        </w:rPr>
        <w:t xml:space="preserve"> </w:t>
      </w:r>
      <w:r w:rsidR="00851DCE" w:rsidRPr="00D77FBE">
        <w:rPr>
          <w:rFonts w:ascii="SimSun" w:hAnsi="SimSun" w:cs="SimSun" w:hint="eastAsia"/>
          <w:kern w:val="22"/>
          <w:sz w:val="24"/>
          <w:szCs w:val="24"/>
          <w:lang w:eastAsia="zh-CN"/>
        </w:rPr>
        <w:t>由于国家发展计划可以成为</w:t>
      </w:r>
      <w:r w:rsidR="000A261D">
        <w:rPr>
          <w:rFonts w:ascii="SimSun" w:hAnsi="SimSun" w:cs="SimSun" w:hint="eastAsia"/>
          <w:kern w:val="22"/>
          <w:sz w:val="24"/>
          <w:szCs w:val="24"/>
          <w:lang w:eastAsia="zh-CN"/>
        </w:rPr>
        <w:t>规</w:t>
      </w:r>
      <w:r w:rsidR="00851DCE" w:rsidRPr="00D77FBE">
        <w:rPr>
          <w:rFonts w:ascii="SimSun" w:hAnsi="SimSun" w:cs="SimSun" w:hint="eastAsia"/>
          <w:kern w:val="22"/>
          <w:sz w:val="24"/>
          <w:szCs w:val="24"/>
          <w:lang w:eastAsia="zh-CN"/>
        </w:rPr>
        <w:t>定国家战略方向的有力工具，</w:t>
      </w:r>
      <w:r>
        <w:rPr>
          <w:rFonts w:ascii="SimSun" w:hAnsi="SimSun" w:cs="SimSun" w:hint="eastAsia"/>
          <w:kern w:val="22"/>
          <w:sz w:val="24"/>
          <w:szCs w:val="24"/>
          <w:lang w:eastAsia="zh-CN"/>
        </w:rPr>
        <w:t>关键是</w:t>
      </w:r>
      <w:r w:rsidR="00851DCE" w:rsidRPr="00D77FBE">
        <w:rPr>
          <w:rFonts w:ascii="SimSun" w:hAnsi="SimSun" w:cs="SimSun" w:hint="eastAsia"/>
          <w:kern w:val="22"/>
          <w:sz w:val="24"/>
          <w:szCs w:val="24"/>
          <w:lang w:eastAsia="zh-CN"/>
        </w:rPr>
        <w:t>平衡资源开采与生物多样性和生态系统服务的</w:t>
      </w:r>
      <w:r w:rsidR="00122758">
        <w:rPr>
          <w:rFonts w:ascii="SimSun" w:hAnsi="SimSun" w:cs="SimSun" w:hint="eastAsia"/>
          <w:kern w:val="22"/>
          <w:sz w:val="24"/>
          <w:szCs w:val="24"/>
          <w:lang w:eastAsia="zh-CN"/>
        </w:rPr>
        <w:t>提供</w:t>
      </w:r>
      <w:r>
        <w:rPr>
          <w:rFonts w:ascii="SimSun" w:hAnsi="SimSun" w:cs="SimSun" w:hint="eastAsia"/>
          <w:kern w:val="22"/>
          <w:sz w:val="24"/>
          <w:szCs w:val="24"/>
          <w:lang w:eastAsia="zh-CN"/>
        </w:rPr>
        <w:t>。</w:t>
      </w:r>
    </w:p>
    <w:p w14:paraId="48A6D5AE" w14:textId="77777777" w:rsidR="00B60FA8" w:rsidRPr="00B52A50" w:rsidRDefault="000A261D"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bCs/>
          <w:kern w:val="22"/>
          <w:sz w:val="24"/>
          <w:szCs w:val="24"/>
          <w:lang w:eastAsia="zh-CN"/>
        </w:rPr>
      </w:pPr>
      <w:r w:rsidRPr="00D77FBE">
        <w:rPr>
          <w:rFonts w:ascii="SimSun" w:hAnsi="SimSun" w:cs="SimSun" w:hint="eastAsia"/>
          <w:bCs/>
          <w:kern w:val="22"/>
          <w:sz w:val="24"/>
          <w:szCs w:val="24"/>
          <w:lang w:eastAsia="zh-CN"/>
        </w:rPr>
        <w:t>能源和采矿政策通常为该部门制定发展重点和投资。</w:t>
      </w:r>
      <w:r w:rsidR="00851DCE" w:rsidRPr="00D77FBE">
        <w:rPr>
          <w:rFonts w:ascii="SimSun" w:hAnsi="SimSun" w:cs="SimSun" w:hint="eastAsia"/>
          <w:bCs/>
          <w:kern w:val="22"/>
          <w:sz w:val="24"/>
          <w:szCs w:val="24"/>
          <w:lang w:eastAsia="zh-CN"/>
        </w:rPr>
        <w:t>这些政策可能包括</w:t>
      </w:r>
      <w:r w:rsidR="00122758">
        <w:rPr>
          <w:rFonts w:ascii="SimSun" w:hAnsi="SimSun" w:cs="SimSun" w:hint="eastAsia"/>
          <w:bCs/>
          <w:kern w:val="22"/>
          <w:sz w:val="24"/>
          <w:szCs w:val="24"/>
          <w:lang w:eastAsia="zh-CN"/>
        </w:rPr>
        <w:t>激励</w:t>
      </w:r>
      <w:r w:rsidR="00851DCE" w:rsidRPr="00D77FBE">
        <w:rPr>
          <w:rFonts w:ascii="SimSun" w:hAnsi="SimSun" w:cs="SimSun" w:hint="eastAsia"/>
          <w:bCs/>
          <w:kern w:val="22"/>
          <w:sz w:val="24"/>
          <w:szCs w:val="24"/>
          <w:lang w:eastAsia="zh-CN"/>
        </w:rPr>
        <w:t>使用清洁技术，某些类型能源和采矿活动的</w:t>
      </w:r>
      <w:r w:rsidR="00122758" w:rsidRPr="00D77FBE">
        <w:rPr>
          <w:rFonts w:ascii="SimSun" w:hAnsi="SimSun" w:cs="SimSun" w:hint="eastAsia"/>
          <w:bCs/>
          <w:kern w:val="22"/>
          <w:sz w:val="24"/>
          <w:szCs w:val="24"/>
          <w:lang w:eastAsia="zh-CN"/>
        </w:rPr>
        <w:t>支持</w:t>
      </w:r>
      <w:r w:rsidR="00851DCE" w:rsidRPr="00D77FBE">
        <w:rPr>
          <w:rFonts w:ascii="SimSun" w:hAnsi="SimSun" w:cs="SimSun" w:hint="eastAsia"/>
          <w:bCs/>
          <w:kern w:val="22"/>
          <w:sz w:val="24"/>
          <w:szCs w:val="24"/>
          <w:lang w:eastAsia="zh-CN"/>
        </w:rPr>
        <w:t>机制或</w:t>
      </w:r>
      <w:r w:rsidR="00122758">
        <w:rPr>
          <w:rFonts w:ascii="SimSun" w:hAnsi="SimSun" w:cs="SimSun" w:hint="eastAsia"/>
          <w:bCs/>
          <w:kern w:val="22"/>
          <w:sz w:val="24"/>
          <w:szCs w:val="24"/>
          <w:lang w:eastAsia="zh-CN"/>
        </w:rPr>
        <w:t>要求使用</w:t>
      </w:r>
      <w:r w:rsidR="0078499D">
        <w:rPr>
          <w:rFonts w:hint="eastAsia"/>
          <w:bCs/>
          <w:kern w:val="22"/>
          <w:sz w:val="24"/>
          <w:szCs w:val="24"/>
          <w:lang w:eastAsia="zh-CN"/>
        </w:rPr>
        <w:t>“</w:t>
      </w:r>
      <w:r w:rsidR="00851DCE" w:rsidRPr="00D77FBE">
        <w:rPr>
          <w:rFonts w:ascii="SimSun" w:hAnsi="SimSun" w:cs="SimSun" w:hint="eastAsia"/>
          <w:bCs/>
          <w:kern w:val="22"/>
          <w:sz w:val="24"/>
          <w:szCs w:val="24"/>
          <w:lang w:eastAsia="zh-CN"/>
        </w:rPr>
        <w:t>最佳可用技术</w:t>
      </w:r>
      <w:r w:rsidR="0078499D">
        <w:rPr>
          <w:rFonts w:ascii="SimSun" w:hAnsi="SimSun" w:cs="SimSun" w:hint="eastAsia"/>
          <w:bCs/>
          <w:kern w:val="22"/>
          <w:sz w:val="24"/>
          <w:szCs w:val="24"/>
          <w:lang w:eastAsia="zh-CN"/>
        </w:rPr>
        <w:t>”</w:t>
      </w:r>
      <w:r w:rsidR="00122758">
        <w:rPr>
          <w:rFonts w:ascii="SimSun" w:hAnsi="SimSun" w:cs="SimSun" w:hint="eastAsia"/>
          <w:bCs/>
          <w:kern w:val="22"/>
          <w:sz w:val="24"/>
          <w:szCs w:val="24"/>
          <w:lang w:eastAsia="zh-CN"/>
        </w:rPr>
        <w:t>。</w:t>
      </w:r>
      <w:r w:rsidR="00851DCE" w:rsidRPr="00D77FBE">
        <w:rPr>
          <w:rFonts w:ascii="SimSun" w:hAnsi="SimSun" w:cs="SimSun" w:hint="eastAsia"/>
          <w:bCs/>
          <w:kern w:val="22"/>
          <w:sz w:val="24"/>
          <w:szCs w:val="24"/>
          <w:lang w:eastAsia="zh-CN"/>
        </w:rPr>
        <w:t>例如，柬埔寨的国家生物多样性战略和行动计划下，有一项行动</w:t>
      </w:r>
      <w:r>
        <w:rPr>
          <w:rFonts w:ascii="SimSun" w:hAnsi="SimSun" w:cs="SimSun" w:hint="eastAsia"/>
          <w:bCs/>
          <w:kern w:val="22"/>
          <w:sz w:val="24"/>
          <w:szCs w:val="24"/>
          <w:lang w:eastAsia="zh-CN"/>
        </w:rPr>
        <w:t>“</w:t>
      </w:r>
      <w:r w:rsidR="00851DCE" w:rsidRPr="00D77FBE">
        <w:rPr>
          <w:rFonts w:ascii="SimSun" w:hAnsi="SimSun" w:cs="SimSun" w:hint="eastAsia"/>
          <w:bCs/>
          <w:kern w:val="22"/>
          <w:sz w:val="24"/>
          <w:szCs w:val="24"/>
          <w:lang w:eastAsia="zh-CN"/>
        </w:rPr>
        <w:t>支持</w:t>
      </w:r>
      <w:r w:rsidR="00122758">
        <w:rPr>
          <w:rFonts w:ascii="SimSun" w:hAnsi="SimSun" w:cs="SimSun" w:hint="eastAsia"/>
          <w:bCs/>
          <w:kern w:val="22"/>
          <w:sz w:val="24"/>
          <w:szCs w:val="24"/>
          <w:lang w:eastAsia="zh-CN"/>
        </w:rPr>
        <w:t>执行</w:t>
      </w:r>
      <w:r w:rsidR="00851DCE" w:rsidRPr="00D77FBE">
        <w:rPr>
          <w:rFonts w:ascii="SimSun" w:hAnsi="SimSun" w:cs="SimSun" w:hint="eastAsia"/>
          <w:bCs/>
          <w:kern w:val="22"/>
          <w:sz w:val="24"/>
          <w:szCs w:val="24"/>
          <w:lang w:eastAsia="zh-CN"/>
        </w:rPr>
        <w:t>能源部门战略，包括</w:t>
      </w:r>
      <w:r w:rsidR="0046251A">
        <w:rPr>
          <w:rFonts w:ascii="SimSun" w:hAnsi="SimSun" w:cs="SimSun" w:hint="eastAsia"/>
          <w:bCs/>
          <w:kern w:val="22"/>
          <w:sz w:val="24"/>
          <w:szCs w:val="24"/>
          <w:lang w:eastAsia="zh-CN"/>
        </w:rPr>
        <w:t>……</w:t>
      </w:r>
      <w:r w:rsidR="00851DCE" w:rsidRPr="00D77FBE">
        <w:rPr>
          <w:rFonts w:ascii="SimSun" w:hAnsi="SimSun" w:cs="SimSun" w:hint="eastAsia"/>
          <w:bCs/>
          <w:kern w:val="22"/>
          <w:sz w:val="24"/>
          <w:szCs w:val="24"/>
          <w:lang w:eastAsia="zh-CN"/>
        </w:rPr>
        <w:t>能源战略草案，</w:t>
      </w:r>
      <w:r>
        <w:rPr>
          <w:rFonts w:ascii="SimSun" w:hAnsi="SimSun" w:cs="SimSun" w:hint="eastAsia"/>
          <w:bCs/>
          <w:kern w:val="22"/>
          <w:sz w:val="24"/>
          <w:szCs w:val="24"/>
          <w:lang w:eastAsia="zh-CN"/>
        </w:rPr>
        <w:t>列</w:t>
      </w:r>
      <w:r w:rsidR="00122758">
        <w:rPr>
          <w:rFonts w:ascii="SimSun" w:hAnsi="SimSun" w:cs="SimSun" w:hint="eastAsia"/>
          <w:bCs/>
          <w:kern w:val="22"/>
          <w:sz w:val="24"/>
          <w:szCs w:val="24"/>
          <w:lang w:eastAsia="zh-CN"/>
        </w:rPr>
        <w:t>出</w:t>
      </w:r>
      <w:r>
        <w:rPr>
          <w:rFonts w:ascii="SimSun" w:hAnsi="SimSun" w:cs="SimSun" w:hint="eastAsia"/>
          <w:bCs/>
          <w:kern w:val="22"/>
          <w:sz w:val="24"/>
          <w:szCs w:val="24"/>
          <w:lang w:eastAsia="zh-CN"/>
        </w:rPr>
        <w:t>了</w:t>
      </w:r>
      <w:r w:rsidR="00851DCE" w:rsidRPr="00D77FBE">
        <w:rPr>
          <w:rFonts w:ascii="SimSun" w:hAnsi="SimSun" w:cs="SimSun" w:hint="eastAsia"/>
          <w:bCs/>
          <w:kern w:val="22"/>
          <w:sz w:val="24"/>
          <w:szCs w:val="24"/>
          <w:lang w:eastAsia="zh-CN"/>
        </w:rPr>
        <w:t>改善柬埔寨生物质的可持续供应和使用</w:t>
      </w:r>
      <w:r w:rsidR="00122758">
        <w:rPr>
          <w:rFonts w:ascii="SimSun" w:hAnsi="SimSun" w:cs="SimSun" w:hint="eastAsia"/>
          <w:bCs/>
          <w:kern w:val="22"/>
          <w:sz w:val="24"/>
          <w:szCs w:val="24"/>
          <w:lang w:eastAsia="zh-CN"/>
        </w:rPr>
        <w:t>的干预措施</w:t>
      </w:r>
      <w:r>
        <w:rPr>
          <w:rFonts w:ascii="SimSun" w:hAnsi="SimSun" w:cs="SimSun" w:hint="eastAsia"/>
          <w:bCs/>
          <w:kern w:val="22"/>
          <w:sz w:val="24"/>
          <w:szCs w:val="24"/>
          <w:lang w:eastAsia="zh-CN"/>
        </w:rPr>
        <w:t>”</w:t>
      </w:r>
      <w:r w:rsidR="00851DCE" w:rsidRPr="00D77FBE">
        <w:rPr>
          <w:rFonts w:ascii="SimSun" w:hAnsi="SimSun" w:cs="SimSun" w:hint="eastAsia"/>
          <w:bCs/>
          <w:kern w:val="22"/>
          <w:sz w:val="24"/>
          <w:szCs w:val="24"/>
          <w:lang w:eastAsia="zh-CN"/>
        </w:rPr>
        <w:t>。另一个</w:t>
      </w:r>
      <w:r w:rsidR="007E5FEB">
        <w:rPr>
          <w:rFonts w:ascii="SimSun" w:hAnsi="SimSun" w:cs="SimSun" w:hint="eastAsia"/>
          <w:bCs/>
          <w:kern w:val="22"/>
          <w:sz w:val="24"/>
          <w:szCs w:val="24"/>
          <w:lang w:eastAsia="zh-CN"/>
        </w:rPr>
        <w:t>事</w:t>
      </w:r>
      <w:r w:rsidR="00851DCE" w:rsidRPr="00D77FBE">
        <w:rPr>
          <w:rFonts w:ascii="SimSun" w:hAnsi="SimSun" w:cs="SimSun" w:hint="eastAsia"/>
          <w:bCs/>
          <w:kern w:val="22"/>
          <w:sz w:val="24"/>
          <w:szCs w:val="24"/>
          <w:lang w:eastAsia="zh-CN"/>
        </w:rPr>
        <w:t>例是南非采矿和生物多样性</w:t>
      </w:r>
      <w:r w:rsidR="003818DF">
        <w:rPr>
          <w:rFonts w:ascii="SimSun" w:hAnsi="SimSun" w:cs="SimSun" w:hint="eastAsia"/>
          <w:bCs/>
          <w:kern w:val="22"/>
          <w:sz w:val="24"/>
          <w:szCs w:val="24"/>
          <w:lang w:eastAsia="zh-CN"/>
        </w:rPr>
        <w:t>准则</w:t>
      </w:r>
      <w:r w:rsidR="003818DF" w:rsidRPr="003818DF">
        <w:rPr>
          <w:rStyle w:val="FootnoteReference"/>
          <w:bCs/>
          <w:kern w:val="22"/>
          <w:szCs w:val="24"/>
        </w:rPr>
        <w:footnoteReference w:id="14"/>
      </w:r>
      <w:r w:rsidR="008033F9">
        <w:rPr>
          <w:rFonts w:ascii="SimSun" w:hAnsi="SimSun" w:cs="SimSun" w:hint="eastAsia"/>
          <w:bCs/>
          <w:kern w:val="22"/>
          <w:sz w:val="24"/>
          <w:szCs w:val="24"/>
          <w:lang w:eastAsia="zh-CN"/>
        </w:rPr>
        <w:t>，</w:t>
      </w:r>
      <w:r w:rsidR="00851DCE" w:rsidRPr="00D77FBE">
        <w:rPr>
          <w:rFonts w:ascii="SimSun" w:hAnsi="SimSun" w:cs="SimSun" w:hint="eastAsia"/>
          <w:bCs/>
          <w:kern w:val="22"/>
          <w:sz w:val="24"/>
          <w:szCs w:val="24"/>
          <w:lang w:eastAsia="zh-CN"/>
        </w:rPr>
        <w:t>为决策者提供了一个工具。</w:t>
      </w:r>
      <w:r w:rsidR="00122758">
        <w:rPr>
          <w:rFonts w:ascii="SimSun" w:hAnsi="SimSun" w:cs="SimSun" w:hint="eastAsia"/>
          <w:bCs/>
          <w:kern w:val="22"/>
          <w:sz w:val="24"/>
          <w:szCs w:val="24"/>
          <w:lang w:eastAsia="zh-CN"/>
        </w:rPr>
        <w:t>工具</w:t>
      </w:r>
      <w:r w:rsidR="0078499D">
        <w:rPr>
          <w:rFonts w:ascii="SimSun" w:hAnsi="SimSun" w:cs="SimSun" w:hint="eastAsia"/>
          <w:bCs/>
          <w:kern w:val="22"/>
          <w:sz w:val="24"/>
          <w:szCs w:val="24"/>
          <w:lang w:eastAsia="zh-CN"/>
        </w:rPr>
        <w:t>是</w:t>
      </w:r>
      <w:r w:rsidR="00851DCE" w:rsidRPr="00D77FBE">
        <w:rPr>
          <w:rFonts w:ascii="SimSun" w:hAnsi="SimSun" w:cs="SimSun" w:hint="eastAsia"/>
          <w:bCs/>
          <w:kern w:val="22"/>
          <w:sz w:val="24"/>
          <w:szCs w:val="24"/>
          <w:lang w:eastAsia="zh-CN"/>
        </w:rPr>
        <w:t>通过多</w:t>
      </w:r>
      <w:r w:rsidR="0078499D">
        <w:rPr>
          <w:rFonts w:ascii="SimSun" w:hAnsi="SimSun" w:cs="SimSun" w:hint="eastAsia"/>
          <w:bCs/>
          <w:kern w:val="22"/>
          <w:sz w:val="24"/>
          <w:szCs w:val="24"/>
          <w:lang w:eastAsia="zh-CN"/>
        </w:rPr>
        <w:t>个</w:t>
      </w:r>
      <w:r w:rsidR="00851DCE" w:rsidRPr="00D77FBE">
        <w:rPr>
          <w:rFonts w:ascii="SimSun" w:hAnsi="SimSun" w:cs="SimSun" w:hint="eastAsia"/>
          <w:bCs/>
          <w:kern w:val="22"/>
          <w:sz w:val="24"/>
          <w:szCs w:val="24"/>
          <w:lang w:eastAsia="zh-CN"/>
        </w:rPr>
        <w:t>利益</w:t>
      </w:r>
      <w:r w:rsidR="003818DF">
        <w:rPr>
          <w:rFonts w:ascii="SimSun" w:hAnsi="SimSun" w:cs="SimSun" w:hint="eastAsia"/>
          <w:bCs/>
          <w:kern w:val="22"/>
          <w:sz w:val="24"/>
          <w:szCs w:val="24"/>
          <w:lang w:eastAsia="zh-CN"/>
        </w:rPr>
        <w:t>攸关方</w:t>
      </w:r>
      <w:r w:rsidR="00851DCE" w:rsidRPr="00D77FBE">
        <w:rPr>
          <w:rFonts w:ascii="SimSun" w:hAnsi="SimSun" w:cs="SimSun" w:hint="eastAsia"/>
          <w:bCs/>
          <w:kern w:val="22"/>
          <w:sz w:val="24"/>
          <w:szCs w:val="24"/>
          <w:lang w:eastAsia="zh-CN"/>
        </w:rPr>
        <w:lastRenderedPageBreak/>
        <w:t>协商制定</w:t>
      </w:r>
      <w:r w:rsidR="00122758">
        <w:rPr>
          <w:rFonts w:ascii="SimSun" w:hAnsi="SimSun" w:cs="SimSun" w:hint="eastAsia"/>
          <w:bCs/>
          <w:kern w:val="22"/>
          <w:sz w:val="24"/>
          <w:szCs w:val="24"/>
          <w:lang w:eastAsia="zh-CN"/>
        </w:rPr>
        <w:t>的</w:t>
      </w:r>
      <w:r w:rsidR="00851DCE" w:rsidRPr="00D77FBE">
        <w:rPr>
          <w:rFonts w:ascii="SimSun" w:hAnsi="SimSun" w:cs="SimSun" w:hint="eastAsia"/>
          <w:bCs/>
          <w:kern w:val="22"/>
          <w:sz w:val="24"/>
          <w:szCs w:val="24"/>
          <w:lang w:eastAsia="zh-CN"/>
        </w:rPr>
        <w:t>，</w:t>
      </w:r>
      <w:r w:rsidR="00122758">
        <w:rPr>
          <w:rFonts w:ascii="SimSun" w:hAnsi="SimSun" w:cs="SimSun" w:hint="eastAsia"/>
          <w:bCs/>
          <w:kern w:val="22"/>
          <w:sz w:val="24"/>
          <w:szCs w:val="24"/>
          <w:lang w:eastAsia="zh-CN"/>
        </w:rPr>
        <w:t>是</w:t>
      </w:r>
      <w:r w:rsidR="00953766">
        <w:rPr>
          <w:rFonts w:ascii="SimSun" w:hAnsi="SimSun" w:cs="SimSun" w:hint="eastAsia"/>
          <w:bCs/>
          <w:kern w:val="22"/>
          <w:sz w:val="24"/>
          <w:szCs w:val="24"/>
          <w:lang w:eastAsia="zh-CN"/>
        </w:rPr>
        <w:t>为</w:t>
      </w:r>
      <w:r w:rsidR="00851DCE" w:rsidRPr="00D77FBE">
        <w:rPr>
          <w:rFonts w:ascii="SimSun" w:hAnsi="SimSun" w:cs="SimSun" w:hint="eastAsia"/>
          <w:bCs/>
          <w:kern w:val="22"/>
          <w:sz w:val="24"/>
          <w:szCs w:val="24"/>
          <w:lang w:eastAsia="zh-CN"/>
        </w:rPr>
        <w:t>促进采矿部门</w:t>
      </w:r>
      <w:r w:rsidR="00953766">
        <w:rPr>
          <w:rFonts w:ascii="SimSun" w:hAnsi="SimSun" w:cs="SimSun" w:hint="eastAsia"/>
          <w:bCs/>
          <w:kern w:val="22"/>
          <w:sz w:val="24"/>
          <w:szCs w:val="24"/>
          <w:lang w:eastAsia="zh-CN"/>
        </w:rPr>
        <w:t>统</w:t>
      </w:r>
      <w:r w:rsidR="003818DF" w:rsidRPr="00D77FBE">
        <w:rPr>
          <w:rFonts w:ascii="SimSun" w:hAnsi="SimSun" w:cs="SimSun" w:hint="eastAsia"/>
          <w:bCs/>
          <w:kern w:val="22"/>
          <w:sz w:val="24"/>
          <w:szCs w:val="24"/>
          <w:lang w:eastAsia="zh-CN"/>
        </w:rPr>
        <w:t>一</w:t>
      </w:r>
      <w:r w:rsidR="00851DCE" w:rsidRPr="00D77FBE">
        <w:rPr>
          <w:rFonts w:ascii="SimSun" w:hAnsi="SimSun" w:cs="SimSun" w:hint="eastAsia"/>
          <w:bCs/>
          <w:kern w:val="22"/>
          <w:sz w:val="24"/>
          <w:szCs w:val="24"/>
          <w:lang w:eastAsia="zh-CN"/>
        </w:rPr>
        <w:t>考虑生物多样性问题。它随后被南非的矿业</w:t>
      </w:r>
      <w:r w:rsidR="00953766">
        <w:rPr>
          <w:rFonts w:ascii="SimSun" w:hAnsi="SimSun" w:cs="SimSun" w:hint="eastAsia"/>
          <w:bCs/>
          <w:kern w:val="22"/>
          <w:sz w:val="24"/>
          <w:szCs w:val="24"/>
          <w:lang w:eastAsia="zh-CN"/>
        </w:rPr>
        <w:t>协</w:t>
      </w:r>
      <w:r w:rsidR="00851DCE" w:rsidRPr="00D77FBE">
        <w:rPr>
          <w:rFonts w:ascii="SimSun" w:hAnsi="SimSun" w:cs="SimSun" w:hint="eastAsia"/>
          <w:bCs/>
          <w:kern w:val="22"/>
          <w:sz w:val="24"/>
          <w:szCs w:val="24"/>
          <w:lang w:eastAsia="zh-CN"/>
        </w:rPr>
        <w:t>会采纳，该</w:t>
      </w:r>
      <w:r w:rsidR="00953766">
        <w:rPr>
          <w:rFonts w:ascii="SimSun" w:hAnsi="SimSun" w:cs="SimSun" w:hint="eastAsia"/>
          <w:bCs/>
          <w:kern w:val="22"/>
          <w:sz w:val="24"/>
          <w:szCs w:val="24"/>
          <w:lang w:eastAsia="zh-CN"/>
        </w:rPr>
        <w:t>协</w:t>
      </w:r>
      <w:r w:rsidR="00851DCE" w:rsidRPr="00D77FBE">
        <w:rPr>
          <w:rFonts w:ascii="SimSun" w:hAnsi="SimSun" w:cs="SimSun" w:hint="eastAsia"/>
          <w:bCs/>
          <w:kern w:val="22"/>
          <w:sz w:val="24"/>
          <w:szCs w:val="24"/>
          <w:lang w:eastAsia="zh-CN"/>
        </w:rPr>
        <w:t>会有</w:t>
      </w:r>
      <w:r w:rsidR="00851DCE" w:rsidRPr="00D77FBE">
        <w:rPr>
          <w:bCs/>
          <w:kern w:val="22"/>
          <w:sz w:val="24"/>
          <w:szCs w:val="24"/>
          <w:lang w:eastAsia="zh-CN"/>
        </w:rPr>
        <w:t>69</w:t>
      </w:r>
      <w:r w:rsidR="00851DCE" w:rsidRPr="00D77FBE">
        <w:rPr>
          <w:rFonts w:ascii="SimSun" w:hAnsi="SimSun" w:cs="SimSun" w:hint="eastAsia"/>
          <w:bCs/>
          <w:kern w:val="22"/>
          <w:sz w:val="24"/>
          <w:szCs w:val="24"/>
          <w:lang w:eastAsia="zh-CN"/>
        </w:rPr>
        <w:t>个成员公司</w:t>
      </w:r>
      <w:r w:rsidR="003818DF">
        <w:rPr>
          <w:rFonts w:ascii="SimSun" w:hAnsi="SimSun" w:cs="SimSun" w:hint="eastAsia"/>
          <w:bCs/>
          <w:kern w:val="22"/>
          <w:sz w:val="24"/>
          <w:szCs w:val="24"/>
          <w:lang w:eastAsia="zh-CN"/>
        </w:rPr>
        <w:t>。</w:t>
      </w:r>
    </w:p>
    <w:p w14:paraId="43604429" w14:textId="77777777" w:rsidR="00B60FA8" w:rsidRPr="00B52A50" w:rsidRDefault="00A11624"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bCs/>
          <w:kern w:val="22"/>
          <w:sz w:val="24"/>
          <w:szCs w:val="24"/>
          <w:lang w:eastAsia="zh-CN"/>
        </w:rPr>
      </w:pPr>
      <w:r w:rsidRPr="00D77FBE">
        <w:rPr>
          <w:rFonts w:ascii="SimSun" w:hAnsi="SimSun" w:cs="SimSun" w:hint="eastAsia"/>
          <w:bCs/>
          <w:kern w:val="22"/>
          <w:sz w:val="24"/>
          <w:szCs w:val="24"/>
          <w:lang w:eastAsia="zh-CN"/>
        </w:rPr>
        <w:t>土地用</w:t>
      </w:r>
      <w:r w:rsidR="00780C54">
        <w:rPr>
          <w:rFonts w:ascii="SimSun" w:hAnsi="SimSun" w:cs="SimSun" w:hint="eastAsia"/>
          <w:bCs/>
          <w:kern w:val="22"/>
          <w:sz w:val="24"/>
          <w:szCs w:val="24"/>
          <w:lang w:eastAsia="zh-CN"/>
        </w:rPr>
        <w:t>途</w:t>
      </w:r>
      <w:r w:rsidRPr="00D77FBE">
        <w:rPr>
          <w:rFonts w:ascii="SimSun" w:hAnsi="SimSun" w:cs="SimSun" w:hint="eastAsia"/>
          <w:bCs/>
          <w:kern w:val="22"/>
          <w:sz w:val="24"/>
          <w:szCs w:val="24"/>
          <w:lang w:eastAsia="zh-CN"/>
        </w:rPr>
        <w:t>规划政策对于避免与能源</w:t>
      </w:r>
      <w:r w:rsidR="00780C54">
        <w:rPr>
          <w:rFonts w:ascii="SimSun" w:hAnsi="SimSun" w:cs="SimSun" w:hint="eastAsia"/>
          <w:bCs/>
          <w:kern w:val="22"/>
          <w:sz w:val="24"/>
          <w:szCs w:val="24"/>
          <w:lang w:eastAsia="zh-CN"/>
        </w:rPr>
        <w:t>、</w:t>
      </w:r>
      <w:r w:rsidRPr="00D77FBE">
        <w:rPr>
          <w:rFonts w:ascii="SimSun" w:hAnsi="SimSun" w:cs="SimSun" w:hint="eastAsia"/>
          <w:bCs/>
          <w:kern w:val="22"/>
          <w:sz w:val="24"/>
          <w:szCs w:val="24"/>
          <w:lang w:eastAsia="zh-CN"/>
        </w:rPr>
        <w:t>采矿和相关活动</w:t>
      </w:r>
      <w:r w:rsidR="00122758">
        <w:rPr>
          <w:rFonts w:ascii="SimSun" w:hAnsi="SimSun" w:cs="SimSun" w:hint="eastAsia"/>
          <w:bCs/>
          <w:kern w:val="22"/>
          <w:sz w:val="24"/>
          <w:szCs w:val="24"/>
          <w:lang w:eastAsia="zh-CN"/>
        </w:rPr>
        <w:t>地点</w:t>
      </w:r>
      <w:r w:rsidRPr="00D77FBE">
        <w:rPr>
          <w:rFonts w:ascii="SimSun" w:hAnsi="SimSun" w:cs="SimSun" w:hint="eastAsia"/>
          <w:bCs/>
          <w:kern w:val="22"/>
          <w:sz w:val="24"/>
          <w:szCs w:val="24"/>
          <w:lang w:eastAsia="zh-CN"/>
        </w:rPr>
        <w:t>有关的影响至关重要。国家发展计划和政策可以促进或要求</w:t>
      </w:r>
      <w:r w:rsidR="00780C54" w:rsidRPr="00D77FBE">
        <w:rPr>
          <w:rFonts w:ascii="SimSun" w:hAnsi="SimSun" w:cs="SimSun" w:hint="eastAsia"/>
          <w:bCs/>
          <w:kern w:val="22"/>
          <w:sz w:val="24"/>
          <w:szCs w:val="24"/>
          <w:lang w:eastAsia="zh-CN"/>
        </w:rPr>
        <w:t>土地利用规划</w:t>
      </w:r>
      <w:r w:rsidR="00780C54">
        <w:rPr>
          <w:rFonts w:ascii="SimSun" w:hAnsi="SimSun" w:cs="SimSun" w:hint="eastAsia"/>
          <w:bCs/>
          <w:kern w:val="22"/>
          <w:sz w:val="24"/>
          <w:szCs w:val="24"/>
          <w:lang w:eastAsia="zh-CN"/>
        </w:rPr>
        <w:t>统筹</w:t>
      </w:r>
      <w:r w:rsidRPr="00D77FBE">
        <w:rPr>
          <w:rFonts w:ascii="SimSun" w:hAnsi="SimSun" w:cs="SimSun" w:hint="eastAsia"/>
          <w:bCs/>
          <w:kern w:val="22"/>
          <w:sz w:val="24"/>
          <w:szCs w:val="24"/>
          <w:lang w:eastAsia="zh-CN"/>
        </w:rPr>
        <w:t>考虑生物多样性和生态系统服务。</w:t>
      </w:r>
      <w:r w:rsidR="00780C54">
        <w:rPr>
          <w:rFonts w:ascii="SimSun" w:hAnsi="SimSun" w:cs="SimSun" w:hint="eastAsia"/>
          <w:bCs/>
          <w:kern w:val="22"/>
          <w:sz w:val="24"/>
          <w:szCs w:val="24"/>
          <w:lang w:eastAsia="zh-CN"/>
        </w:rPr>
        <w:t>同样，</w:t>
      </w:r>
      <w:r w:rsidR="00857FC2">
        <w:rPr>
          <w:rFonts w:ascii="SimSun" w:hAnsi="SimSun" w:cs="SimSun" w:hint="eastAsia"/>
          <w:bCs/>
          <w:kern w:val="22"/>
          <w:sz w:val="24"/>
          <w:szCs w:val="24"/>
          <w:lang w:eastAsia="zh-CN"/>
        </w:rPr>
        <w:t>地方</w:t>
      </w:r>
      <w:r w:rsidRPr="00D77FBE">
        <w:rPr>
          <w:rFonts w:ascii="SimSun" w:hAnsi="SimSun" w:cs="SimSun" w:hint="eastAsia"/>
          <w:bCs/>
          <w:kern w:val="22"/>
          <w:sz w:val="24"/>
          <w:szCs w:val="24"/>
          <w:lang w:eastAsia="zh-CN"/>
        </w:rPr>
        <w:t>法律文书</w:t>
      </w:r>
      <w:r w:rsidR="00857FC2">
        <w:rPr>
          <w:rFonts w:ascii="SimSun" w:hAnsi="SimSun" w:cs="SimSun" w:hint="eastAsia"/>
          <w:bCs/>
          <w:kern w:val="22"/>
          <w:sz w:val="24"/>
          <w:szCs w:val="24"/>
          <w:lang w:eastAsia="zh-CN"/>
        </w:rPr>
        <w:t>也</w:t>
      </w:r>
      <w:r w:rsidR="00953766">
        <w:rPr>
          <w:rFonts w:ascii="SimSun" w:hAnsi="SimSun" w:cs="SimSun" w:hint="eastAsia"/>
          <w:bCs/>
          <w:kern w:val="22"/>
          <w:sz w:val="24"/>
          <w:szCs w:val="24"/>
          <w:lang w:eastAsia="zh-CN"/>
        </w:rPr>
        <w:t>与此</w:t>
      </w:r>
      <w:r w:rsidR="00780C54">
        <w:rPr>
          <w:rFonts w:ascii="SimSun" w:hAnsi="SimSun" w:cs="SimSun" w:hint="eastAsia"/>
          <w:bCs/>
          <w:kern w:val="22"/>
          <w:sz w:val="24"/>
          <w:szCs w:val="24"/>
          <w:lang w:eastAsia="zh-CN"/>
        </w:rPr>
        <w:t>相关</w:t>
      </w:r>
      <w:r w:rsidRPr="00D77FBE">
        <w:rPr>
          <w:rFonts w:ascii="SimSun" w:hAnsi="SimSun" w:cs="SimSun" w:hint="eastAsia"/>
          <w:bCs/>
          <w:kern w:val="22"/>
          <w:sz w:val="24"/>
          <w:szCs w:val="24"/>
          <w:lang w:eastAsia="zh-CN"/>
        </w:rPr>
        <w:t>，例如</w:t>
      </w:r>
      <w:r w:rsidR="009A25B9">
        <w:rPr>
          <w:rFonts w:ascii="SimSun" w:hAnsi="SimSun" w:cs="SimSun" w:hint="eastAsia"/>
          <w:bCs/>
          <w:kern w:val="22"/>
          <w:sz w:val="24"/>
          <w:szCs w:val="24"/>
          <w:lang w:eastAsia="zh-CN"/>
        </w:rPr>
        <w:t>使</w:t>
      </w:r>
      <w:r w:rsidR="009A25B9" w:rsidRPr="00D77FBE">
        <w:rPr>
          <w:rFonts w:ascii="SimSun" w:hAnsi="SimSun" w:cs="SimSun" w:hint="eastAsia"/>
          <w:bCs/>
          <w:kern w:val="22"/>
          <w:sz w:val="24"/>
          <w:szCs w:val="24"/>
          <w:lang w:eastAsia="zh-CN"/>
        </w:rPr>
        <w:t>土地区</w:t>
      </w:r>
      <w:r w:rsidR="009A25B9">
        <w:rPr>
          <w:rFonts w:ascii="SimSun" w:hAnsi="SimSun" w:cs="SimSun" w:hint="eastAsia"/>
          <w:bCs/>
          <w:kern w:val="22"/>
          <w:sz w:val="24"/>
          <w:szCs w:val="24"/>
          <w:lang w:eastAsia="zh-CN"/>
        </w:rPr>
        <w:t>划</w:t>
      </w:r>
      <w:r w:rsidR="009A25B9" w:rsidRPr="00D77FBE">
        <w:rPr>
          <w:rFonts w:ascii="SimSun" w:hAnsi="SimSun" w:cs="SimSun" w:hint="eastAsia"/>
          <w:bCs/>
          <w:kern w:val="22"/>
          <w:sz w:val="24"/>
          <w:szCs w:val="24"/>
          <w:lang w:eastAsia="zh-CN"/>
        </w:rPr>
        <w:t>多样化</w:t>
      </w:r>
      <w:r w:rsidR="009A25B9">
        <w:rPr>
          <w:rFonts w:ascii="SimSun" w:hAnsi="SimSun" w:cs="SimSun" w:hint="eastAsia"/>
          <w:bCs/>
          <w:kern w:val="22"/>
          <w:sz w:val="24"/>
          <w:szCs w:val="24"/>
          <w:lang w:eastAsia="zh-CN"/>
        </w:rPr>
        <w:t>的</w:t>
      </w:r>
      <w:r w:rsidRPr="00D77FBE">
        <w:rPr>
          <w:rFonts w:ascii="SimSun" w:hAnsi="SimSun" w:cs="SimSun" w:hint="eastAsia"/>
          <w:bCs/>
          <w:kern w:val="22"/>
          <w:sz w:val="24"/>
          <w:szCs w:val="24"/>
          <w:lang w:eastAsia="zh-CN"/>
        </w:rPr>
        <w:t>哥斯达黎加的保护区</w:t>
      </w:r>
      <w:r w:rsidR="009A25B9">
        <w:rPr>
          <w:rFonts w:ascii="SimSun" w:hAnsi="SimSun" w:cs="SimSun" w:hint="eastAsia"/>
          <w:bCs/>
          <w:kern w:val="22"/>
          <w:sz w:val="24"/>
          <w:szCs w:val="24"/>
          <w:lang w:eastAsia="zh-CN"/>
        </w:rPr>
        <w:t>区</w:t>
      </w:r>
      <w:r w:rsidRPr="00D77FBE">
        <w:rPr>
          <w:rFonts w:ascii="SimSun" w:hAnsi="SimSun" w:cs="SimSun" w:hint="eastAsia"/>
          <w:bCs/>
          <w:kern w:val="22"/>
          <w:sz w:val="24"/>
          <w:szCs w:val="24"/>
          <w:lang w:eastAsia="zh-CN"/>
        </w:rPr>
        <w:t>划法</w:t>
      </w:r>
      <w:r w:rsidR="00780C54">
        <w:rPr>
          <w:rFonts w:ascii="SimSun" w:hAnsi="SimSun" w:cs="SimSun" w:hint="eastAsia"/>
          <w:bCs/>
          <w:kern w:val="22"/>
          <w:sz w:val="24"/>
          <w:szCs w:val="24"/>
          <w:lang w:eastAsia="zh-CN"/>
        </w:rPr>
        <w:t>。</w:t>
      </w:r>
    </w:p>
    <w:p w14:paraId="5F23AB77" w14:textId="77777777" w:rsidR="00B60FA8" w:rsidRPr="00B52A50" w:rsidRDefault="00A21E21"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bCs/>
          <w:kern w:val="22"/>
          <w:sz w:val="24"/>
          <w:szCs w:val="24"/>
          <w:lang w:eastAsia="zh-CN"/>
        </w:rPr>
      </w:pPr>
      <w:r>
        <w:rPr>
          <w:rFonts w:ascii="SimSun" w:hAnsi="SimSun" w:cs="SimSun" w:hint="eastAsia"/>
          <w:kern w:val="22"/>
          <w:sz w:val="24"/>
          <w:szCs w:val="24"/>
          <w:lang w:eastAsia="zh-CN"/>
        </w:rPr>
        <w:t>建立在</w:t>
      </w:r>
      <w:r w:rsidR="00877047" w:rsidRPr="00877047">
        <w:rPr>
          <w:rFonts w:ascii="SimSun" w:hAnsi="SimSun" w:cs="SimSun" w:hint="eastAsia"/>
          <w:color w:val="000000" w:themeColor="text1"/>
          <w:kern w:val="22"/>
          <w:sz w:val="24"/>
          <w:szCs w:val="24"/>
          <w:lang w:eastAsia="zh-CN"/>
        </w:rPr>
        <w:t>减缓层次</w:t>
      </w:r>
      <w:r w:rsidR="00A94C1F" w:rsidRPr="00877047">
        <w:rPr>
          <w:rFonts w:ascii="SimSun" w:hAnsi="SimSun" w:cs="SimSun" w:hint="eastAsia"/>
          <w:color w:val="000000" w:themeColor="text1"/>
          <w:kern w:val="22"/>
          <w:sz w:val="24"/>
          <w:szCs w:val="24"/>
          <w:lang w:eastAsia="zh-CN"/>
        </w:rPr>
        <w:t>和生物多样性</w:t>
      </w:r>
      <w:r w:rsidR="0078499D" w:rsidRPr="00877047">
        <w:rPr>
          <w:rFonts w:ascii="SimSun" w:hAnsi="SimSun" w:cs="SimSun" w:hint="eastAsia"/>
          <w:color w:val="000000" w:themeColor="text1"/>
          <w:kern w:val="22"/>
          <w:sz w:val="24"/>
          <w:szCs w:val="24"/>
          <w:lang w:eastAsia="zh-CN"/>
        </w:rPr>
        <w:t>补偿</w:t>
      </w:r>
      <w:r w:rsidR="00A94C1F" w:rsidRPr="00877047">
        <w:rPr>
          <w:rFonts w:ascii="SimSun" w:hAnsi="SimSun" w:cs="SimSun" w:hint="eastAsia"/>
          <w:color w:val="000000" w:themeColor="text1"/>
          <w:kern w:val="22"/>
          <w:sz w:val="24"/>
          <w:szCs w:val="24"/>
          <w:lang w:eastAsia="zh-CN"/>
        </w:rPr>
        <w:t>概念</w:t>
      </w:r>
      <w:r w:rsidR="00A94C1F">
        <w:rPr>
          <w:rFonts w:ascii="SimSun" w:hAnsi="SimSun" w:cs="SimSun" w:hint="eastAsia"/>
          <w:kern w:val="22"/>
          <w:sz w:val="24"/>
          <w:szCs w:val="24"/>
          <w:lang w:eastAsia="zh-CN"/>
        </w:rPr>
        <w:t>之上的</w:t>
      </w:r>
      <w:r w:rsidR="00A94C1F" w:rsidRPr="00877047">
        <w:rPr>
          <w:rFonts w:ascii="SimSun" w:hAnsi="SimSun" w:cs="SimSun" w:hint="eastAsia"/>
          <w:kern w:val="22"/>
          <w:sz w:val="24"/>
          <w:szCs w:val="24"/>
          <w:lang w:eastAsia="zh-CN"/>
        </w:rPr>
        <w:t>既无</w:t>
      </w:r>
      <w:r w:rsidR="00877047" w:rsidRPr="00877047">
        <w:rPr>
          <w:rFonts w:ascii="SimSun" w:hAnsi="SimSun" w:cs="SimSun" w:hint="eastAsia"/>
          <w:kern w:val="22"/>
          <w:sz w:val="24"/>
          <w:szCs w:val="24"/>
          <w:lang w:eastAsia="zh-CN"/>
        </w:rPr>
        <w:t>净</w:t>
      </w:r>
      <w:r w:rsidR="00A94C1F" w:rsidRPr="00877047">
        <w:rPr>
          <w:rFonts w:ascii="SimSun" w:hAnsi="SimSun" w:cs="SimSun" w:hint="eastAsia"/>
          <w:kern w:val="22"/>
          <w:sz w:val="24"/>
          <w:szCs w:val="24"/>
          <w:lang w:eastAsia="zh-CN"/>
        </w:rPr>
        <w:t>损失也无</w:t>
      </w:r>
      <w:r w:rsidR="00877047" w:rsidRPr="00877047">
        <w:rPr>
          <w:rFonts w:ascii="SimSun" w:hAnsi="SimSun" w:cs="SimSun" w:hint="eastAsia"/>
          <w:kern w:val="22"/>
          <w:sz w:val="24"/>
          <w:szCs w:val="24"/>
          <w:lang w:eastAsia="zh-CN"/>
        </w:rPr>
        <w:t>净</w:t>
      </w:r>
      <w:r w:rsidR="00A94C1F" w:rsidRPr="00877047">
        <w:rPr>
          <w:rFonts w:ascii="SimSun" w:hAnsi="SimSun" w:cs="SimSun" w:hint="eastAsia"/>
          <w:kern w:val="22"/>
          <w:sz w:val="24"/>
          <w:szCs w:val="24"/>
          <w:lang w:eastAsia="zh-CN"/>
        </w:rPr>
        <w:t>收益政策</w:t>
      </w:r>
      <w:r w:rsidR="00A94C1F">
        <w:rPr>
          <w:rFonts w:ascii="SimSun" w:hAnsi="SimSun" w:cs="SimSun" w:hint="eastAsia"/>
          <w:kern w:val="22"/>
          <w:sz w:val="24"/>
          <w:szCs w:val="24"/>
          <w:lang w:eastAsia="zh-CN"/>
        </w:rPr>
        <w:t>，</w:t>
      </w:r>
      <w:r w:rsidR="00A94C1F" w:rsidRPr="00D77FBE">
        <w:rPr>
          <w:rFonts w:ascii="SimSun" w:hAnsi="SimSun" w:cs="SimSun" w:hint="eastAsia"/>
          <w:kern w:val="22"/>
          <w:sz w:val="24"/>
          <w:szCs w:val="24"/>
          <w:lang w:eastAsia="zh-CN"/>
        </w:rPr>
        <w:t>促进或要求</w:t>
      </w:r>
      <w:r w:rsidR="009A25B9">
        <w:rPr>
          <w:rFonts w:ascii="SimSun" w:hAnsi="SimSun" w:cs="SimSun" w:hint="eastAsia"/>
          <w:kern w:val="22"/>
          <w:sz w:val="24"/>
          <w:szCs w:val="24"/>
          <w:lang w:eastAsia="zh-CN"/>
        </w:rPr>
        <w:t>执行</w:t>
      </w:r>
      <w:r w:rsidR="00A94C1F" w:rsidRPr="00D77FBE">
        <w:rPr>
          <w:rFonts w:ascii="SimSun" w:hAnsi="SimSun" w:cs="SimSun" w:hint="eastAsia"/>
          <w:kern w:val="22"/>
          <w:sz w:val="24"/>
          <w:szCs w:val="24"/>
          <w:lang w:eastAsia="zh-CN"/>
        </w:rPr>
        <w:t>生物多样性战略</w:t>
      </w:r>
      <w:r w:rsidR="00A94C1F">
        <w:rPr>
          <w:rFonts w:ascii="SimSun" w:hAnsi="SimSun" w:cs="SimSun" w:hint="eastAsia"/>
          <w:kern w:val="22"/>
          <w:sz w:val="24"/>
          <w:szCs w:val="24"/>
          <w:lang w:eastAsia="zh-CN"/>
        </w:rPr>
        <w:t>，</w:t>
      </w:r>
      <w:r w:rsidR="00A11624" w:rsidRPr="00D77FBE">
        <w:rPr>
          <w:rFonts w:ascii="SimSun" w:hAnsi="SimSun" w:cs="SimSun" w:hint="eastAsia"/>
          <w:kern w:val="22"/>
          <w:sz w:val="24"/>
          <w:szCs w:val="24"/>
          <w:lang w:eastAsia="zh-CN"/>
        </w:rPr>
        <w:t>这</w:t>
      </w:r>
      <w:r w:rsidR="00A94C1F">
        <w:rPr>
          <w:rFonts w:ascii="SimSun" w:hAnsi="SimSun" w:cs="SimSun" w:hint="eastAsia"/>
          <w:kern w:val="22"/>
          <w:sz w:val="24"/>
          <w:szCs w:val="24"/>
          <w:lang w:eastAsia="zh-CN"/>
        </w:rPr>
        <w:t>种</w:t>
      </w:r>
      <w:r w:rsidR="00A11624" w:rsidRPr="00D77FBE">
        <w:rPr>
          <w:rFonts w:ascii="SimSun" w:hAnsi="SimSun" w:cs="SimSun" w:hint="eastAsia"/>
          <w:kern w:val="22"/>
          <w:sz w:val="24"/>
          <w:szCs w:val="24"/>
          <w:lang w:eastAsia="zh-CN"/>
        </w:rPr>
        <w:t>政策正越来越多地被采用。大量依赖矿业和生物多样性丰富的国家现在已经制定了</w:t>
      </w:r>
      <w:r w:rsidR="009A25B9">
        <w:rPr>
          <w:rFonts w:ascii="SimSun" w:hAnsi="SimSun" w:cs="SimSun" w:hint="eastAsia"/>
          <w:kern w:val="22"/>
          <w:sz w:val="24"/>
          <w:szCs w:val="24"/>
          <w:lang w:eastAsia="zh-CN"/>
        </w:rPr>
        <w:t>补偿</w:t>
      </w:r>
      <w:r w:rsidR="00A11624" w:rsidRPr="00D77FBE">
        <w:rPr>
          <w:rFonts w:ascii="SimSun" w:hAnsi="SimSun" w:cs="SimSun" w:hint="eastAsia"/>
          <w:kern w:val="22"/>
          <w:sz w:val="24"/>
          <w:szCs w:val="24"/>
          <w:lang w:eastAsia="zh-CN"/>
        </w:rPr>
        <w:t>政策</w:t>
      </w:r>
      <w:r w:rsidR="00A94C1F" w:rsidRPr="00A94C1F">
        <w:rPr>
          <w:rStyle w:val="FootnoteReference"/>
          <w:bCs/>
          <w:kern w:val="22"/>
          <w:szCs w:val="24"/>
        </w:rPr>
        <w:footnoteReference w:id="15"/>
      </w:r>
      <w:r w:rsidR="00877047">
        <w:rPr>
          <w:rFonts w:ascii="SimSun" w:hAnsi="SimSun" w:cs="SimSun" w:hint="eastAsia"/>
          <w:kern w:val="22"/>
          <w:sz w:val="24"/>
          <w:szCs w:val="24"/>
          <w:lang w:eastAsia="zh-CN"/>
        </w:rPr>
        <w:t>。</w:t>
      </w:r>
      <w:r w:rsidR="00A11624" w:rsidRPr="00D77FBE">
        <w:rPr>
          <w:rFonts w:ascii="SimSun" w:hAnsi="SimSun" w:cs="SimSun" w:hint="eastAsia"/>
          <w:kern w:val="22"/>
          <w:sz w:val="24"/>
          <w:szCs w:val="24"/>
          <w:lang w:eastAsia="zh-CN"/>
        </w:rPr>
        <w:t>例如，澳大利亚</w:t>
      </w:r>
      <w:r w:rsidR="00A94C1F">
        <w:rPr>
          <w:rFonts w:ascii="SimSun" w:hAnsi="SimSun" w:cs="SimSun" w:hint="eastAsia"/>
          <w:kern w:val="22"/>
          <w:sz w:val="24"/>
          <w:szCs w:val="24"/>
          <w:lang w:eastAsia="zh-CN"/>
        </w:rPr>
        <w:t>，</w:t>
      </w:r>
      <w:r w:rsidR="00A11624" w:rsidRPr="00D77FBE">
        <w:rPr>
          <w:rFonts w:ascii="SimSun" w:hAnsi="SimSun" w:cs="SimSun" w:hint="eastAsia"/>
          <w:kern w:val="22"/>
          <w:sz w:val="24"/>
          <w:szCs w:val="24"/>
          <w:lang w:eastAsia="zh-CN"/>
        </w:rPr>
        <w:t>在国家和地方一级都有政策，包括指导和计算器工具。其他国家的立法或政策</w:t>
      </w:r>
      <w:r w:rsidR="009A25B9">
        <w:rPr>
          <w:rFonts w:ascii="SimSun" w:hAnsi="SimSun" w:cs="SimSun" w:hint="eastAsia"/>
          <w:kern w:val="22"/>
          <w:sz w:val="24"/>
          <w:szCs w:val="24"/>
          <w:lang w:eastAsia="zh-CN"/>
        </w:rPr>
        <w:t>帮</w:t>
      </w:r>
      <w:r w:rsidR="00A11624" w:rsidRPr="00D77FBE">
        <w:rPr>
          <w:rFonts w:ascii="SimSun" w:hAnsi="SimSun" w:cs="SimSun" w:hint="eastAsia"/>
          <w:kern w:val="22"/>
          <w:sz w:val="24"/>
          <w:szCs w:val="24"/>
          <w:lang w:eastAsia="zh-CN"/>
        </w:rPr>
        <w:t>助促进自愿</w:t>
      </w:r>
      <w:r w:rsidR="009A25B9">
        <w:rPr>
          <w:rFonts w:ascii="SimSun" w:hAnsi="SimSun" w:cs="SimSun" w:hint="eastAsia"/>
          <w:kern w:val="22"/>
          <w:sz w:val="24"/>
          <w:szCs w:val="24"/>
          <w:lang w:eastAsia="zh-CN"/>
        </w:rPr>
        <w:t>补偿。</w:t>
      </w:r>
    </w:p>
    <w:p w14:paraId="7675D483" w14:textId="77777777" w:rsidR="00B60FA8" w:rsidRPr="00B52A50" w:rsidRDefault="00A11624"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bCs/>
          <w:kern w:val="22"/>
          <w:sz w:val="24"/>
          <w:szCs w:val="24"/>
          <w:lang w:eastAsia="zh-CN"/>
        </w:rPr>
      </w:pPr>
      <w:r w:rsidRPr="00D77FBE">
        <w:rPr>
          <w:rFonts w:ascii="SimSun" w:hAnsi="SimSun" w:cs="SimSun" w:hint="eastAsia"/>
          <w:kern w:val="22"/>
          <w:sz w:val="24"/>
          <w:szCs w:val="24"/>
          <w:lang w:eastAsia="zh-CN"/>
        </w:rPr>
        <w:t>考虑到与许多大型能源和采矿项目相关的社会</w:t>
      </w:r>
      <w:r w:rsidR="00857FC2">
        <w:rPr>
          <w:rFonts w:ascii="SimSun" w:hAnsi="SimSun" w:cs="SimSun" w:hint="eastAsia"/>
          <w:kern w:val="22"/>
          <w:sz w:val="24"/>
          <w:szCs w:val="24"/>
          <w:lang w:eastAsia="zh-CN"/>
        </w:rPr>
        <w:t>涌入</w:t>
      </w:r>
      <w:r w:rsidRPr="00D77FBE">
        <w:rPr>
          <w:rFonts w:ascii="SimSun" w:hAnsi="SimSun" w:cs="SimSun" w:hint="eastAsia"/>
          <w:kern w:val="22"/>
          <w:sz w:val="24"/>
          <w:szCs w:val="24"/>
          <w:lang w:eastAsia="zh-CN"/>
        </w:rPr>
        <w:t>，</w:t>
      </w:r>
      <w:r w:rsidR="0078499D">
        <w:rPr>
          <w:rFonts w:ascii="SimSun" w:hAnsi="SimSun" w:cs="SimSun" w:hint="eastAsia"/>
          <w:kern w:val="22"/>
          <w:sz w:val="24"/>
          <w:szCs w:val="24"/>
          <w:lang w:eastAsia="zh-CN"/>
        </w:rPr>
        <w:t>兼顾</w:t>
      </w:r>
      <w:r w:rsidRPr="00D77FBE">
        <w:rPr>
          <w:rFonts w:ascii="SimSun" w:hAnsi="SimSun" w:cs="SimSun" w:hint="eastAsia"/>
          <w:kern w:val="22"/>
          <w:sz w:val="24"/>
          <w:szCs w:val="24"/>
          <w:lang w:eastAsia="zh-CN"/>
        </w:rPr>
        <w:t>生物多样性和生态系统服务考虑因素的</w:t>
      </w:r>
      <w:r w:rsidR="00857FC2">
        <w:rPr>
          <w:rFonts w:ascii="SimSun" w:hAnsi="SimSun" w:cs="SimSun" w:hint="eastAsia"/>
          <w:kern w:val="22"/>
          <w:sz w:val="24"/>
          <w:szCs w:val="24"/>
          <w:lang w:eastAsia="zh-CN"/>
        </w:rPr>
        <w:t>地方性</w:t>
      </w:r>
      <w:r w:rsidRPr="00D77FBE">
        <w:rPr>
          <w:rFonts w:ascii="SimSun" w:hAnsi="SimSun" w:cs="SimSun" w:hint="eastAsia"/>
          <w:kern w:val="22"/>
          <w:sz w:val="24"/>
          <w:szCs w:val="24"/>
          <w:lang w:eastAsia="zh-CN"/>
        </w:rPr>
        <w:t>政策可</w:t>
      </w:r>
      <w:r w:rsidR="009A25B9">
        <w:rPr>
          <w:rFonts w:ascii="SimSun" w:hAnsi="SimSun" w:cs="SimSun" w:hint="eastAsia"/>
          <w:kern w:val="22"/>
          <w:sz w:val="24"/>
          <w:szCs w:val="24"/>
          <w:lang w:eastAsia="zh-CN"/>
        </w:rPr>
        <w:t>以</w:t>
      </w:r>
      <w:r w:rsidRPr="00D77FBE">
        <w:rPr>
          <w:rFonts w:ascii="SimSun" w:hAnsi="SimSun" w:cs="SimSun" w:hint="eastAsia"/>
          <w:kern w:val="22"/>
          <w:sz w:val="24"/>
          <w:szCs w:val="24"/>
          <w:lang w:eastAsia="zh-CN"/>
        </w:rPr>
        <w:t>很重要。如果</w:t>
      </w:r>
      <w:r w:rsidR="009A25B9">
        <w:rPr>
          <w:rFonts w:ascii="SimSun" w:hAnsi="SimSun" w:cs="SimSun" w:hint="eastAsia"/>
          <w:kern w:val="22"/>
          <w:sz w:val="24"/>
          <w:szCs w:val="24"/>
          <w:lang w:eastAsia="zh-CN"/>
        </w:rPr>
        <w:t>没有达到</w:t>
      </w:r>
      <w:r w:rsidRPr="00D77FBE">
        <w:rPr>
          <w:rFonts w:ascii="SimSun" w:hAnsi="SimSun" w:cs="SimSun" w:hint="eastAsia"/>
          <w:kern w:val="22"/>
          <w:sz w:val="24"/>
          <w:szCs w:val="24"/>
          <w:lang w:eastAsia="zh-CN"/>
        </w:rPr>
        <w:t>收入预期，并且</w:t>
      </w:r>
      <w:r w:rsidR="00857FC2">
        <w:rPr>
          <w:rFonts w:ascii="SimSun" w:hAnsi="SimSun" w:cs="SimSun" w:hint="eastAsia"/>
          <w:kern w:val="22"/>
          <w:sz w:val="24"/>
          <w:szCs w:val="24"/>
          <w:lang w:eastAsia="zh-CN"/>
        </w:rPr>
        <w:t>开采</w:t>
      </w:r>
      <w:r w:rsidRPr="00D77FBE">
        <w:rPr>
          <w:rFonts w:ascii="SimSun" w:hAnsi="SimSun" w:cs="SimSun" w:hint="eastAsia"/>
          <w:kern w:val="22"/>
          <w:sz w:val="24"/>
          <w:szCs w:val="24"/>
          <w:lang w:eastAsia="zh-CN"/>
        </w:rPr>
        <w:t>的财富和收益</w:t>
      </w:r>
      <w:r w:rsidR="00066B58">
        <w:rPr>
          <w:rFonts w:ascii="SimSun" w:hAnsi="SimSun" w:cs="SimSun" w:hint="eastAsia"/>
          <w:kern w:val="22"/>
          <w:sz w:val="24"/>
          <w:szCs w:val="24"/>
          <w:lang w:eastAsia="zh-CN"/>
        </w:rPr>
        <w:t>没有涓滴下流或没有</w:t>
      </w:r>
      <w:r w:rsidRPr="00D77FBE">
        <w:rPr>
          <w:rFonts w:ascii="SimSun" w:hAnsi="SimSun" w:cs="SimSun" w:hint="eastAsia"/>
          <w:kern w:val="22"/>
          <w:sz w:val="24"/>
          <w:szCs w:val="24"/>
          <w:lang w:eastAsia="zh-CN"/>
        </w:rPr>
        <w:t>为当地人创造</w:t>
      </w:r>
      <w:r w:rsidR="00066B58">
        <w:rPr>
          <w:rFonts w:ascii="SimSun" w:hAnsi="SimSun" w:cs="SimSun" w:hint="eastAsia"/>
          <w:kern w:val="22"/>
          <w:sz w:val="24"/>
          <w:szCs w:val="24"/>
          <w:lang w:eastAsia="zh-CN"/>
        </w:rPr>
        <w:t>机会</w:t>
      </w:r>
      <w:r w:rsidRPr="00D77FBE">
        <w:rPr>
          <w:rFonts w:ascii="SimSun" w:hAnsi="SimSun" w:cs="SimSun" w:hint="eastAsia"/>
          <w:kern w:val="22"/>
          <w:sz w:val="24"/>
          <w:szCs w:val="24"/>
          <w:lang w:eastAsia="zh-CN"/>
        </w:rPr>
        <w:t>，可能</w:t>
      </w:r>
      <w:r w:rsidR="00066B58">
        <w:rPr>
          <w:rFonts w:ascii="SimSun" w:hAnsi="SimSun" w:cs="SimSun" w:hint="eastAsia"/>
          <w:kern w:val="22"/>
          <w:sz w:val="24"/>
          <w:szCs w:val="24"/>
          <w:lang w:eastAsia="zh-CN"/>
        </w:rPr>
        <w:t>造成</w:t>
      </w:r>
      <w:r w:rsidRPr="00D77FBE">
        <w:rPr>
          <w:rFonts w:ascii="SimSun" w:hAnsi="SimSun" w:cs="SimSun" w:hint="eastAsia"/>
          <w:kern w:val="22"/>
          <w:sz w:val="24"/>
          <w:szCs w:val="24"/>
          <w:lang w:eastAsia="zh-CN"/>
        </w:rPr>
        <w:t>冲突</w:t>
      </w:r>
      <w:r w:rsidR="0078499D">
        <w:rPr>
          <w:rFonts w:ascii="SimSun" w:hAnsi="SimSun" w:cs="SimSun" w:hint="eastAsia"/>
          <w:kern w:val="22"/>
          <w:sz w:val="24"/>
          <w:szCs w:val="24"/>
          <w:lang w:eastAsia="zh-CN"/>
        </w:rPr>
        <w:t>，</w:t>
      </w:r>
      <w:r w:rsidR="00066B58">
        <w:rPr>
          <w:rFonts w:ascii="SimSun" w:hAnsi="SimSun" w:cs="SimSun" w:hint="eastAsia"/>
          <w:kern w:val="22"/>
          <w:sz w:val="24"/>
          <w:szCs w:val="24"/>
          <w:lang w:eastAsia="zh-CN"/>
        </w:rPr>
        <w:t>并</w:t>
      </w:r>
      <w:r w:rsidRPr="00D77FBE">
        <w:rPr>
          <w:rFonts w:ascii="SimSun" w:hAnsi="SimSun" w:cs="SimSun" w:hint="eastAsia"/>
          <w:kern w:val="22"/>
          <w:sz w:val="24"/>
          <w:szCs w:val="24"/>
          <w:lang w:eastAsia="zh-CN"/>
        </w:rPr>
        <w:t>成为额外环境破坏的催化剂。在这方面，越来越多的国家</w:t>
      </w:r>
      <w:r w:rsidR="00066B58">
        <w:rPr>
          <w:rFonts w:ascii="SimSun" w:hAnsi="SimSun" w:cs="SimSun" w:hint="eastAsia"/>
          <w:kern w:val="22"/>
          <w:sz w:val="24"/>
          <w:szCs w:val="24"/>
          <w:lang w:eastAsia="zh-CN"/>
        </w:rPr>
        <w:t>采用</w:t>
      </w:r>
      <w:r w:rsidRPr="00D77FBE">
        <w:rPr>
          <w:rFonts w:ascii="SimSun" w:hAnsi="SimSun" w:cs="SimSun" w:hint="eastAsia"/>
          <w:kern w:val="22"/>
          <w:sz w:val="24"/>
          <w:szCs w:val="24"/>
          <w:lang w:eastAsia="zh-CN"/>
        </w:rPr>
        <w:t>或强化了地方</w:t>
      </w:r>
      <w:r w:rsidR="00600CAE">
        <w:rPr>
          <w:rFonts w:ascii="SimSun" w:hAnsi="SimSun" w:cs="SimSun" w:hint="eastAsia"/>
          <w:kern w:val="22"/>
          <w:sz w:val="24"/>
          <w:szCs w:val="24"/>
          <w:lang w:eastAsia="zh-CN"/>
        </w:rPr>
        <w:t>性</w:t>
      </w:r>
      <w:r w:rsidRPr="00D77FBE">
        <w:rPr>
          <w:rFonts w:ascii="SimSun" w:hAnsi="SimSun" w:cs="SimSun" w:hint="eastAsia"/>
          <w:kern w:val="22"/>
          <w:sz w:val="24"/>
          <w:szCs w:val="24"/>
          <w:lang w:eastAsia="zh-CN"/>
        </w:rPr>
        <w:t>政策，规定</w:t>
      </w:r>
      <w:r w:rsidR="00066B58">
        <w:rPr>
          <w:rFonts w:ascii="SimSun" w:hAnsi="SimSun" w:cs="SimSun" w:hint="eastAsia"/>
          <w:kern w:val="22"/>
          <w:sz w:val="24"/>
          <w:szCs w:val="24"/>
          <w:lang w:eastAsia="zh-CN"/>
        </w:rPr>
        <w:t>使</w:t>
      </w:r>
      <w:r w:rsidRPr="00D77FBE">
        <w:rPr>
          <w:rFonts w:ascii="SimSun" w:hAnsi="SimSun" w:cs="SimSun" w:hint="eastAsia"/>
          <w:kern w:val="22"/>
          <w:sz w:val="24"/>
          <w:szCs w:val="24"/>
          <w:lang w:eastAsia="zh-CN"/>
        </w:rPr>
        <w:t>用当地劳动力</w:t>
      </w:r>
      <w:r w:rsidR="00066B58">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技能</w:t>
      </w:r>
      <w:r w:rsidR="00066B58">
        <w:rPr>
          <w:rFonts w:ascii="SimSun" w:hAnsi="SimSun" w:cs="SimSun" w:hint="eastAsia"/>
          <w:kern w:val="22"/>
          <w:sz w:val="24"/>
          <w:szCs w:val="24"/>
          <w:lang w:eastAsia="zh-CN"/>
        </w:rPr>
        <w:t>、</w:t>
      </w:r>
      <w:r w:rsidR="00600CAE">
        <w:rPr>
          <w:rFonts w:ascii="SimSun" w:hAnsi="SimSun" w:cs="SimSun" w:hint="eastAsia"/>
          <w:kern w:val="22"/>
          <w:sz w:val="24"/>
          <w:szCs w:val="24"/>
          <w:lang w:eastAsia="zh-CN"/>
        </w:rPr>
        <w:t>商</w:t>
      </w:r>
      <w:r w:rsidRPr="00D77FBE">
        <w:rPr>
          <w:rFonts w:ascii="SimSun" w:hAnsi="SimSun" w:cs="SimSun" w:hint="eastAsia"/>
          <w:kern w:val="22"/>
          <w:sz w:val="24"/>
          <w:szCs w:val="24"/>
          <w:lang w:eastAsia="zh-CN"/>
        </w:rPr>
        <w:t>品和服务</w:t>
      </w:r>
      <w:r w:rsidR="00066B58">
        <w:rPr>
          <w:rFonts w:ascii="SimSun" w:hAnsi="SimSun" w:cs="SimSun" w:hint="eastAsia"/>
          <w:kern w:val="22"/>
          <w:sz w:val="24"/>
          <w:szCs w:val="24"/>
          <w:lang w:eastAsia="zh-CN"/>
        </w:rPr>
        <w:t>，</w:t>
      </w:r>
      <w:r w:rsidR="00066B58" w:rsidRPr="00D77FBE">
        <w:rPr>
          <w:rFonts w:ascii="SimSun" w:hAnsi="SimSun" w:cs="SimSun" w:hint="eastAsia"/>
          <w:kern w:val="22"/>
          <w:sz w:val="24"/>
          <w:szCs w:val="24"/>
          <w:lang w:eastAsia="zh-CN"/>
        </w:rPr>
        <w:t>创造</w:t>
      </w:r>
      <w:r w:rsidR="00066B58">
        <w:rPr>
          <w:rFonts w:ascii="SimSun" w:hAnsi="SimSun" w:cs="SimSun" w:hint="eastAsia"/>
          <w:kern w:val="22"/>
          <w:sz w:val="24"/>
          <w:szCs w:val="24"/>
          <w:lang w:eastAsia="zh-CN"/>
        </w:rPr>
        <w:t>地方</w:t>
      </w:r>
      <w:r w:rsidRPr="00D77FBE">
        <w:rPr>
          <w:rFonts w:ascii="SimSun" w:hAnsi="SimSun" w:cs="SimSun" w:hint="eastAsia"/>
          <w:kern w:val="22"/>
          <w:sz w:val="24"/>
          <w:szCs w:val="24"/>
          <w:lang w:eastAsia="zh-CN"/>
        </w:rPr>
        <w:t>经济价值，从而扩大</w:t>
      </w:r>
      <w:r w:rsidR="00066B58">
        <w:rPr>
          <w:rFonts w:ascii="SimSun" w:hAnsi="SimSun" w:cs="SimSun" w:hint="eastAsia"/>
          <w:kern w:val="22"/>
          <w:sz w:val="24"/>
          <w:szCs w:val="24"/>
          <w:lang w:eastAsia="zh-CN"/>
        </w:rPr>
        <w:t>该</w:t>
      </w:r>
      <w:r w:rsidR="00600CAE">
        <w:rPr>
          <w:rFonts w:ascii="SimSun" w:hAnsi="SimSun" w:cs="SimSun" w:hint="eastAsia"/>
          <w:kern w:val="22"/>
          <w:sz w:val="24"/>
          <w:szCs w:val="24"/>
          <w:lang w:eastAsia="zh-CN"/>
        </w:rPr>
        <w:t>工</w:t>
      </w:r>
      <w:r w:rsidRPr="00D77FBE">
        <w:rPr>
          <w:rFonts w:ascii="SimSun" w:hAnsi="SimSun" w:cs="SimSun" w:hint="eastAsia"/>
          <w:kern w:val="22"/>
          <w:sz w:val="24"/>
          <w:szCs w:val="24"/>
          <w:lang w:eastAsia="zh-CN"/>
        </w:rPr>
        <w:t>业部门</w:t>
      </w:r>
      <w:r w:rsidR="00066B58">
        <w:rPr>
          <w:rFonts w:ascii="SimSun" w:hAnsi="SimSun" w:cs="SimSun" w:hint="eastAsia"/>
          <w:kern w:val="22"/>
          <w:sz w:val="24"/>
          <w:szCs w:val="24"/>
          <w:lang w:eastAsia="zh-CN"/>
        </w:rPr>
        <w:t>。</w:t>
      </w:r>
    </w:p>
    <w:p w14:paraId="21668F17" w14:textId="77777777" w:rsidR="00B60FA8" w:rsidRPr="00B52A50" w:rsidRDefault="004030E0"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Pr>
          <w:rFonts w:ascii="SimSun" w:hAnsi="SimSun" w:cs="SimSun" w:hint="eastAsia"/>
          <w:kern w:val="22"/>
          <w:sz w:val="24"/>
          <w:szCs w:val="24"/>
          <w:lang w:eastAsia="zh-CN"/>
        </w:rPr>
        <w:t>有关</w:t>
      </w:r>
      <w:r w:rsidR="00A11624" w:rsidRPr="00D77FBE">
        <w:rPr>
          <w:rFonts w:ascii="SimSun" w:hAnsi="SimSun" w:cs="SimSun" w:hint="eastAsia"/>
          <w:kern w:val="22"/>
          <w:sz w:val="24"/>
          <w:szCs w:val="24"/>
          <w:lang w:eastAsia="zh-CN"/>
        </w:rPr>
        <w:t>科学</w:t>
      </w:r>
      <w:r w:rsidR="00600CAE">
        <w:rPr>
          <w:rFonts w:ascii="SimSun" w:hAnsi="SimSun" w:cs="SimSun" w:hint="eastAsia"/>
          <w:kern w:val="22"/>
          <w:sz w:val="24"/>
          <w:szCs w:val="24"/>
          <w:lang w:eastAsia="zh-CN"/>
        </w:rPr>
        <w:t>上</w:t>
      </w:r>
      <w:r w:rsidR="00A11624" w:rsidRPr="00D77FBE">
        <w:rPr>
          <w:rFonts w:ascii="SimSun" w:hAnsi="SimSun" w:cs="SimSun" w:hint="eastAsia"/>
          <w:kern w:val="22"/>
          <w:sz w:val="24"/>
          <w:szCs w:val="24"/>
          <w:lang w:eastAsia="zh-CN"/>
        </w:rPr>
        <w:t>严谨和</w:t>
      </w:r>
      <w:r w:rsidR="00FD1FB8">
        <w:rPr>
          <w:rFonts w:ascii="SimSun" w:hAnsi="SimSun" w:cs="SimSun" w:hint="eastAsia"/>
          <w:kern w:val="22"/>
          <w:sz w:val="24"/>
          <w:szCs w:val="24"/>
          <w:lang w:eastAsia="zh-CN"/>
        </w:rPr>
        <w:t>法</w:t>
      </w:r>
      <w:r w:rsidR="00600CAE">
        <w:rPr>
          <w:rFonts w:ascii="SimSun" w:hAnsi="SimSun" w:cs="SimSun" w:hint="eastAsia"/>
          <w:kern w:val="22"/>
          <w:sz w:val="24"/>
          <w:szCs w:val="24"/>
          <w:lang w:eastAsia="zh-CN"/>
        </w:rPr>
        <w:t>律上</w:t>
      </w:r>
      <w:r w:rsidR="00A11624" w:rsidRPr="00D77FBE">
        <w:rPr>
          <w:rFonts w:ascii="SimSun" w:hAnsi="SimSun" w:cs="SimSun" w:hint="eastAsia"/>
          <w:kern w:val="22"/>
          <w:sz w:val="24"/>
          <w:szCs w:val="24"/>
          <w:lang w:eastAsia="zh-CN"/>
        </w:rPr>
        <w:t>相关的环境和社会影响评估和战略环境评估</w:t>
      </w:r>
      <w:r w:rsidR="00066B58">
        <w:rPr>
          <w:rFonts w:ascii="SimSun" w:hAnsi="SimSun" w:cs="SimSun" w:hint="eastAsia"/>
          <w:kern w:val="22"/>
          <w:sz w:val="24"/>
          <w:szCs w:val="24"/>
          <w:lang w:eastAsia="zh-CN"/>
        </w:rPr>
        <w:t>的</w:t>
      </w:r>
      <w:r w:rsidR="00066B58" w:rsidRPr="00D77FBE">
        <w:rPr>
          <w:rFonts w:ascii="SimSun" w:hAnsi="SimSun" w:cs="SimSun" w:hint="eastAsia"/>
          <w:kern w:val="22"/>
          <w:sz w:val="24"/>
          <w:szCs w:val="24"/>
          <w:lang w:eastAsia="zh-CN"/>
        </w:rPr>
        <w:t>立法</w:t>
      </w:r>
      <w:r w:rsidR="00A11624" w:rsidRPr="00D77FBE">
        <w:rPr>
          <w:rFonts w:ascii="SimSun" w:hAnsi="SimSun" w:cs="SimSun" w:hint="eastAsia"/>
          <w:kern w:val="22"/>
          <w:sz w:val="24"/>
          <w:szCs w:val="24"/>
          <w:lang w:eastAsia="zh-CN"/>
        </w:rPr>
        <w:t>是</w:t>
      </w:r>
      <w:r>
        <w:rPr>
          <w:rFonts w:ascii="SimSun" w:hAnsi="SimSun" w:cs="SimSun" w:hint="eastAsia"/>
          <w:kern w:val="22"/>
          <w:sz w:val="24"/>
          <w:szCs w:val="24"/>
          <w:lang w:eastAsia="zh-CN"/>
        </w:rPr>
        <w:t>个</w:t>
      </w:r>
      <w:r w:rsidR="00A11624" w:rsidRPr="00D77FBE">
        <w:rPr>
          <w:rFonts w:ascii="SimSun" w:hAnsi="SimSun" w:cs="SimSun" w:hint="eastAsia"/>
          <w:kern w:val="22"/>
          <w:sz w:val="24"/>
          <w:szCs w:val="24"/>
          <w:lang w:eastAsia="zh-CN"/>
        </w:rPr>
        <w:t>关键。这些法律以及通过它们交付的国家和地区结构需要根据国情进行调整</w:t>
      </w:r>
      <w:r w:rsidR="00FD1FB8">
        <w:rPr>
          <w:rFonts w:ascii="SimSun" w:hAnsi="SimSun" w:cs="SimSun" w:hint="eastAsia"/>
          <w:kern w:val="22"/>
          <w:sz w:val="24"/>
          <w:szCs w:val="24"/>
          <w:lang w:eastAsia="zh-CN"/>
        </w:rPr>
        <w:t>。</w:t>
      </w:r>
    </w:p>
    <w:p w14:paraId="768C359A" w14:textId="77777777" w:rsidR="00B60FA8" w:rsidRPr="00B52A50" w:rsidRDefault="00A11624"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sidRPr="00D77FBE">
        <w:rPr>
          <w:rFonts w:ascii="SimSun" w:hAnsi="SimSun" w:cs="SimSun" w:hint="eastAsia"/>
          <w:kern w:val="22"/>
          <w:sz w:val="24"/>
          <w:szCs w:val="24"/>
          <w:lang w:eastAsia="zh-CN"/>
        </w:rPr>
        <w:t>许多国家都有保护区法</w:t>
      </w:r>
      <w:r w:rsidR="00FD1FB8">
        <w:rPr>
          <w:rFonts w:ascii="SimSun" w:hAnsi="SimSun" w:cs="SimSun" w:hint="eastAsia"/>
          <w:kern w:val="22"/>
          <w:sz w:val="24"/>
          <w:szCs w:val="24"/>
          <w:lang w:eastAsia="zh-CN"/>
        </w:rPr>
        <w:t>律</w:t>
      </w:r>
      <w:r w:rsidRPr="00D77FBE">
        <w:rPr>
          <w:rFonts w:ascii="SimSun" w:hAnsi="SimSun" w:cs="SimSun" w:hint="eastAsia"/>
          <w:kern w:val="22"/>
          <w:sz w:val="24"/>
          <w:szCs w:val="24"/>
          <w:lang w:eastAsia="zh-CN"/>
        </w:rPr>
        <w:t>，明</w:t>
      </w:r>
      <w:r w:rsidR="00600CAE">
        <w:rPr>
          <w:rFonts w:ascii="SimSun" w:hAnsi="SimSun" w:cs="SimSun" w:hint="eastAsia"/>
          <w:kern w:val="22"/>
          <w:sz w:val="24"/>
          <w:szCs w:val="24"/>
          <w:lang w:eastAsia="zh-CN"/>
        </w:rPr>
        <w:t>文</w:t>
      </w:r>
      <w:r w:rsidR="00FD1FB8">
        <w:rPr>
          <w:rFonts w:ascii="SimSun" w:hAnsi="SimSun" w:cs="SimSun" w:hint="eastAsia"/>
          <w:kern w:val="22"/>
          <w:sz w:val="24"/>
          <w:szCs w:val="24"/>
          <w:lang w:eastAsia="zh-CN"/>
        </w:rPr>
        <w:t>规</w:t>
      </w:r>
      <w:r w:rsidRPr="00D77FBE">
        <w:rPr>
          <w:rFonts w:ascii="SimSun" w:hAnsi="SimSun" w:cs="SimSun" w:hint="eastAsia"/>
          <w:kern w:val="22"/>
          <w:sz w:val="24"/>
          <w:szCs w:val="24"/>
          <w:lang w:eastAsia="zh-CN"/>
        </w:rPr>
        <w:t>定</w:t>
      </w:r>
      <w:r w:rsidR="00FD1FB8">
        <w:rPr>
          <w:rFonts w:ascii="SimSun" w:hAnsi="SimSun" w:cs="SimSun" w:hint="eastAsia"/>
          <w:kern w:val="22"/>
          <w:sz w:val="24"/>
          <w:szCs w:val="24"/>
          <w:lang w:eastAsia="zh-CN"/>
        </w:rPr>
        <w:t>不得在</w:t>
      </w:r>
      <w:r w:rsidR="0078499D">
        <w:rPr>
          <w:rFonts w:ascii="SimSun" w:hAnsi="SimSun" w:cs="SimSun" w:hint="eastAsia"/>
          <w:kern w:val="22"/>
          <w:sz w:val="24"/>
          <w:szCs w:val="24"/>
          <w:lang w:eastAsia="zh-CN"/>
        </w:rPr>
        <w:t>规</w:t>
      </w:r>
      <w:r w:rsidR="00FD1FB8">
        <w:rPr>
          <w:rFonts w:ascii="SimSun" w:hAnsi="SimSun" w:cs="SimSun" w:hint="eastAsia"/>
          <w:kern w:val="22"/>
          <w:sz w:val="24"/>
          <w:szCs w:val="24"/>
          <w:lang w:eastAsia="zh-CN"/>
        </w:rPr>
        <w:t>定</w:t>
      </w:r>
      <w:r w:rsidRPr="00D77FBE">
        <w:rPr>
          <w:rFonts w:ascii="SimSun" w:hAnsi="SimSun" w:cs="SimSun" w:hint="eastAsia"/>
          <w:kern w:val="22"/>
          <w:sz w:val="24"/>
          <w:szCs w:val="24"/>
          <w:lang w:eastAsia="zh-CN"/>
        </w:rPr>
        <w:t>地区</w:t>
      </w:r>
      <w:r w:rsidR="00FD1FB8">
        <w:rPr>
          <w:rFonts w:ascii="SimSun" w:hAnsi="SimSun" w:cs="SimSun" w:hint="eastAsia"/>
          <w:kern w:val="22"/>
          <w:sz w:val="24"/>
          <w:szCs w:val="24"/>
          <w:lang w:eastAsia="zh-CN"/>
        </w:rPr>
        <w:t>开发</w:t>
      </w:r>
      <w:r w:rsidRPr="00D77FBE">
        <w:rPr>
          <w:rFonts w:ascii="SimSun" w:hAnsi="SimSun" w:cs="SimSun" w:hint="eastAsia"/>
          <w:kern w:val="22"/>
          <w:sz w:val="24"/>
          <w:szCs w:val="24"/>
          <w:lang w:eastAsia="zh-CN"/>
        </w:rPr>
        <w:t>能源和</w:t>
      </w:r>
      <w:r w:rsidR="00600CAE">
        <w:rPr>
          <w:rFonts w:ascii="SimSun" w:hAnsi="SimSun" w:cs="SimSun" w:hint="eastAsia"/>
          <w:kern w:val="22"/>
          <w:sz w:val="24"/>
          <w:szCs w:val="24"/>
          <w:lang w:eastAsia="zh-CN"/>
        </w:rPr>
        <w:t>采</w:t>
      </w:r>
      <w:r w:rsidRPr="00D77FBE">
        <w:rPr>
          <w:rFonts w:ascii="SimSun" w:hAnsi="SimSun" w:cs="SimSun" w:hint="eastAsia"/>
          <w:kern w:val="22"/>
          <w:sz w:val="24"/>
          <w:szCs w:val="24"/>
          <w:lang w:eastAsia="zh-CN"/>
        </w:rPr>
        <w:t>矿。例如，</w:t>
      </w:r>
      <w:r w:rsidR="00600CAE">
        <w:rPr>
          <w:rFonts w:hint="eastAsia"/>
          <w:kern w:val="22"/>
          <w:sz w:val="24"/>
          <w:szCs w:val="24"/>
          <w:lang w:eastAsia="zh-CN"/>
        </w:rPr>
        <w:t>《</w:t>
      </w:r>
      <w:r w:rsidRPr="00D77FBE">
        <w:rPr>
          <w:rFonts w:ascii="SimSun" w:hAnsi="SimSun" w:cs="SimSun" w:hint="eastAsia"/>
          <w:kern w:val="22"/>
          <w:sz w:val="24"/>
          <w:szCs w:val="24"/>
          <w:lang w:eastAsia="zh-CN"/>
        </w:rPr>
        <w:t>南非国家环境管理保护区法</w:t>
      </w:r>
      <w:r w:rsidR="00600CAE">
        <w:rPr>
          <w:rFonts w:ascii="SimSun" w:hAnsi="SimSun" w:cs="SimSun" w:hint="eastAsia"/>
          <w:kern w:val="22"/>
          <w:sz w:val="24"/>
          <w:szCs w:val="24"/>
          <w:lang w:val="en-US" w:eastAsia="zh-CN"/>
        </w:rPr>
        <w:t>》</w:t>
      </w:r>
      <w:r w:rsidRPr="00D77FBE">
        <w:rPr>
          <w:rFonts w:ascii="SimSun" w:hAnsi="SimSun" w:cs="SimSun" w:hint="eastAsia"/>
          <w:kern w:val="22"/>
          <w:sz w:val="24"/>
          <w:szCs w:val="24"/>
          <w:lang w:eastAsia="zh-CN"/>
        </w:rPr>
        <w:t>（</w:t>
      </w:r>
      <w:r w:rsidRPr="00D77FBE">
        <w:rPr>
          <w:kern w:val="22"/>
          <w:sz w:val="24"/>
          <w:szCs w:val="24"/>
          <w:lang w:eastAsia="zh-CN"/>
        </w:rPr>
        <w:t>2003</w:t>
      </w:r>
      <w:r w:rsidRPr="00D77FBE">
        <w:rPr>
          <w:rFonts w:ascii="SimSun" w:hAnsi="SimSun" w:cs="SimSun" w:hint="eastAsia"/>
          <w:kern w:val="22"/>
          <w:sz w:val="24"/>
          <w:szCs w:val="24"/>
          <w:lang w:eastAsia="zh-CN"/>
        </w:rPr>
        <w:t>年第</w:t>
      </w:r>
      <w:r w:rsidRPr="00D77FBE">
        <w:rPr>
          <w:kern w:val="22"/>
          <w:sz w:val="24"/>
          <w:szCs w:val="24"/>
          <w:lang w:eastAsia="zh-CN"/>
        </w:rPr>
        <w:t>57</w:t>
      </w:r>
      <w:r w:rsidRPr="00D77FBE">
        <w:rPr>
          <w:rFonts w:ascii="SimSun" w:hAnsi="SimSun" w:cs="SimSun" w:hint="eastAsia"/>
          <w:kern w:val="22"/>
          <w:sz w:val="24"/>
          <w:szCs w:val="24"/>
          <w:lang w:eastAsia="zh-CN"/>
        </w:rPr>
        <w:t>号）禁止在保护区开采和勘探。乌克兰有一项法律禁止任何可能对保护区内造成有害影响的活动（包括地质勘探和采</w:t>
      </w:r>
      <w:r w:rsidR="00600CAE">
        <w:rPr>
          <w:rFonts w:ascii="SimSun" w:hAnsi="SimSun" w:cs="SimSun" w:hint="eastAsia"/>
          <w:kern w:val="22"/>
          <w:sz w:val="24"/>
          <w:szCs w:val="24"/>
          <w:lang w:eastAsia="zh-CN"/>
        </w:rPr>
        <w:t>矿</w:t>
      </w:r>
      <w:r w:rsidRPr="00D77FBE">
        <w:rPr>
          <w:rFonts w:ascii="SimSun" w:hAnsi="SimSun" w:cs="SimSun" w:hint="eastAsia"/>
          <w:kern w:val="22"/>
          <w:sz w:val="24"/>
          <w:szCs w:val="24"/>
          <w:lang w:eastAsia="zh-CN"/>
        </w:rPr>
        <w:t>）（</w:t>
      </w:r>
      <w:r w:rsidR="00FD1FB8">
        <w:rPr>
          <w:rFonts w:hint="eastAsia"/>
          <w:kern w:val="22"/>
          <w:sz w:val="24"/>
          <w:szCs w:val="24"/>
          <w:lang w:eastAsia="zh-CN"/>
        </w:rPr>
        <w:t>“</w:t>
      </w:r>
      <w:r w:rsidR="00FD1FB8" w:rsidRPr="00D77FBE">
        <w:rPr>
          <w:rFonts w:ascii="SimSun" w:hAnsi="SimSun" w:cs="SimSun" w:hint="eastAsia"/>
          <w:kern w:val="22"/>
          <w:sz w:val="24"/>
          <w:szCs w:val="24"/>
          <w:lang w:eastAsia="zh-CN"/>
        </w:rPr>
        <w:t>关于自然保护基金</w:t>
      </w:r>
      <w:r w:rsidR="00FD1FB8">
        <w:rPr>
          <w:rFonts w:ascii="SimSun" w:hAnsi="SimSun" w:cs="SimSun" w:hint="eastAsia"/>
          <w:kern w:val="22"/>
          <w:sz w:val="24"/>
          <w:szCs w:val="24"/>
          <w:lang w:eastAsia="zh-CN"/>
        </w:rPr>
        <w:t>”，</w:t>
      </w:r>
      <w:r w:rsidRPr="00D77FBE">
        <w:rPr>
          <w:kern w:val="22"/>
          <w:sz w:val="24"/>
          <w:szCs w:val="24"/>
          <w:lang w:eastAsia="zh-CN"/>
        </w:rPr>
        <w:t>1992</w:t>
      </w:r>
      <w:r w:rsidRPr="00D77FBE">
        <w:rPr>
          <w:rFonts w:ascii="SimSun" w:hAnsi="SimSun" w:cs="SimSun" w:hint="eastAsia"/>
          <w:kern w:val="22"/>
          <w:sz w:val="24"/>
          <w:szCs w:val="24"/>
          <w:lang w:eastAsia="zh-CN"/>
        </w:rPr>
        <w:t>年</w:t>
      </w:r>
      <w:r w:rsidRPr="00D77FBE">
        <w:rPr>
          <w:kern w:val="22"/>
          <w:sz w:val="24"/>
          <w:szCs w:val="24"/>
          <w:lang w:eastAsia="zh-CN"/>
        </w:rPr>
        <w:t>6</w:t>
      </w:r>
      <w:r w:rsidRPr="00D77FBE">
        <w:rPr>
          <w:rFonts w:ascii="SimSun" w:hAnsi="SimSun" w:cs="SimSun" w:hint="eastAsia"/>
          <w:kern w:val="22"/>
          <w:sz w:val="24"/>
          <w:szCs w:val="24"/>
          <w:lang w:eastAsia="zh-CN"/>
        </w:rPr>
        <w:t>月</w:t>
      </w:r>
      <w:r w:rsidRPr="00D77FBE">
        <w:rPr>
          <w:kern w:val="22"/>
          <w:sz w:val="24"/>
          <w:szCs w:val="24"/>
          <w:lang w:eastAsia="zh-CN"/>
        </w:rPr>
        <w:t>16</w:t>
      </w:r>
      <w:r w:rsidRPr="00D77FBE">
        <w:rPr>
          <w:rFonts w:ascii="SimSun" w:hAnsi="SimSun" w:cs="SimSun" w:hint="eastAsia"/>
          <w:kern w:val="22"/>
          <w:sz w:val="24"/>
          <w:szCs w:val="24"/>
          <w:lang w:eastAsia="zh-CN"/>
        </w:rPr>
        <w:t>日</w:t>
      </w:r>
      <w:r w:rsidR="00FD1FB8">
        <w:rPr>
          <w:rFonts w:ascii="SimSun" w:hAnsi="SimSun" w:cs="SimSun" w:hint="eastAsia"/>
          <w:kern w:val="22"/>
          <w:sz w:val="24"/>
          <w:szCs w:val="24"/>
          <w:lang w:eastAsia="zh-CN"/>
        </w:rPr>
        <w:t>，</w:t>
      </w:r>
      <w:r w:rsidR="00FD1FB8">
        <w:rPr>
          <w:rFonts w:hint="eastAsia"/>
          <w:kern w:val="22"/>
          <w:sz w:val="24"/>
          <w:szCs w:val="24"/>
          <w:lang w:eastAsia="zh-CN"/>
        </w:rPr>
        <w:t>第</w:t>
      </w:r>
      <w:r w:rsidRPr="00D77FBE">
        <w:rPr>
          <w:kern w:val="22"/>
          <w:sz w:val="24"/>
          <w:szCs w:val="24"/>
          <w:lang w:eastAsia="zh-CN"/>
        </w:rPr>
        <w:t>2456-XII</w:t>
      </w:r>
      <w:r w:rsidR="00FD1FB8">
        <w:rPr>
          <w:rFonts w:hint="eastAsia"/>
          <w:kern w:val="22"/>
          <w:sz w:val="24"/>
          <w:szCs w:val="24"/>
          <w:lang w:eastAsia="zh-CN"/>
        </w:rPr>
        <w:t>号</w:t>
      </w:r>
      <w:r w:rsidRPr="00D77FBE">
        <w:rPr>
          <w:rFonts w:ascii="SimSun" w:hAnsi="SimSun" w:cs="SimSun" w:hint="eastAsia"/>
          <w:kern w:val="22"/>
          <w:sz w:val="24"/>
          <w:szCs w:val="24"/>
          <w:lang w:eastAsia="zh-CN"/>
        </w:rPr>
        <w:t>）。</w:t>
      </w:r>
      <w:r w:rsidR="00FD1FB8" w:rsidRPr="00D77FBE">
        <w:rPr>
          <w:rFonts w:ascii="SimSun" w:hAnsi="SimSun" w:cs="SimSun" w:hint="eastAsia"/>
          <w:kern w:val="22"/>
          <w:sz w:val="24"/>
          <w:szCs w:val="24"/>
          <w:lang w:eastAsia="zh-CN"/>
        </w:rPr>
        <w:t>但是，重要的是</w:t>
      </w:r>
      <w:r w:rsidR="00FD1FB8">
        <w:rPr>
          <w:rFonts w:ascii="SimSun" w:hAnsi="SimSun" w:cs="SimSun" w:hint="eastAsia"/>
          <w:kern w:val="22"/>
          <w:sz w:val="24"/>
          <w:szCs w:val="24"/>
          <w:lang w:eastAsia="zh-CN"/>
        </w:rPr>
        <w:t>跨</w:t>
      </w:r>
      <w:r w:rsidR="00FD1FB8" w:rsidRPr="00D77FBE">
        <w:rPr>
          <w:rFonts w:ascii="SimSun" w:hAnsi="SimSun" w:cs="SimSun" w:hint="eastAsia"/>
          <w:kern w:val="22"/>
          <w:sz w:val="24"/>
          <w:szCs w:val="24"/>
          <w:lang w:eastAsia="zh-CN"/>
        </w:rPr>
        <w:t>政府部门的合作与协调机制和</w:t>
      </w:r>
      <w:r w:rsidR="00E56107">
        <w:rPr>
          <w:rFonts w:ascii="SimSun" w:hAnsi="SimSun" w:cs="SimSun" w:hint="eastAsia"/>
          <w:kern w:val="22"/>
          <w:sz w:val="24"/>
          <w:szCs w:val="24"/>
          <w:lang w:eastAsia="zh-CN"/>
        </w:rPr>
        <w:t>行业</w:t>
      </w:r>
      <w:r w:rsidR="00FD1FB8" w:rsidRPr="00D77FBE">
        <w:rPr>
          <w:rFonts w:ascii="SimSun" w:hAnsi="SimSun" w:cs="SimSun" w:hint="eastAsia"/>
          <w:kern w:val="22"/>
          <w:sz w:val="24"/>
          <w:szCs w:val="24"/>
          <w:lang w:eastAsia="zh-CN"/>
        </w:rPr>
        <w:t>政策已经到位，</w:t>
      </w:r>
      <w:r w:rsidR="00E56107">
        <w:rPr>
          <w:rFonts w:ascii="SimSun" w:hAnsi="SimSun" w:cs="SimSun" w:hint="eastAsia"/>
          <w:kern w:val="22"/>
          <w:sz w:val="24"/>
          <w:szCs w:val="24"/>
          <w:lang w:eastAsia="zh-CN"/>
        </w:rPr>
        <w:t>确保在决定</w:t>
      </w:r>
      <w:r w:rsidR="0078499D">
        <w:rPr>
          <w:rFonts w:ascii="SimSun" w:hAnsi="SimSun" w:cs="SimSun" w:hint="eastAsia"/>
          <w:kern w:val="22"/>
          <w:sz w:val="24"/>
          <w:szCs w:val="24"/>
          <w:lang w:eastAsia="zh-CN"/>
        </w:rPr>
        <w:t>准</w:t>
      </w:r>
      <w:r w:rsidR="00E56107">
        <w:rPr>
          <w:rFonts w:ascii="SimSun" w:hAnsi="SimSun" w:cs="SimSun" w:hint="eastAsia"/>
          <w:kern w:val="22"/>
          <w:sz w:val="24"/>
          <w:szCs w:val="24"/>
          <w:lang w:eastAsia="zh-CN"/>
        </w:rPr>
        <w:t>许能源或采矿活动时</w:t>
      </w:r>
      <w:r w:rsidR="00FD1FB8" w:rsidRPr="00D77FBE">
        <w:rPr>
          <w:rFonts w:ascii="SimSun" w:hAnsi="SimSun" w:cs="SimSun" w:hint="eastAsia"/>
          <w:kern w:val="22"/>
          <w:sz w:val="24"/>
          <w:szCs w:val="24"/>
          <w:lang w:eastAsia="zh-CN"/>
        </w:rPr>
        <w:t>考虑</w:t>
      </w:r>
      <w:r w:rsidR="00FD1FB8">
        <w:rPr>
          <w:rFonts w:ascii="SimSun" w:hAnsi="SimSun" w:cs="SimSun" w:hint="eastAsia"/>
          <w:kern w:val="22"/>
          <w:sz w:val="24"/>
          <w:szCs w:val="24"/>
          <w:lang w:eastAsia="zh-CN"/>
        </w:rPr>
        <w:t>到</w:t>
      </w:r>
      <w:r w:rsidR="00E56107">
        <w:rPr>
          <w:rFonts w:ascii="SimSun" w:hAnsi="SimSun" w:cs="SimSun" w:hint="eastAsia"/>
          <w:kern w:val="22"/>
          <w:sz w:val="24"/>
          <w:szCs w:val="24"/>
          <w:lang w:eastAsia="zh-CN"/>
        </w:rPr>
        <w:t>这种</w:t>
      </w:r>
      <w:r w:rsidR="00FD1FB8" w:rsidRPr="00D77FBE">
        <w:rPr>
          <w:rFonts w:ascii="SimSun" w:hAnsi="SimSun" w:cs="SimSun" w:hint="eastAsia"/>
          <w:kern w:val="22"/>
          <w:sz w:val="24"/>
          <w:szCs w:val="24"/>
          <w:lang w:eastAsia="zh-CN"/>
        </w:rPr>
        <w:t>法</w:t>
      </w:r>
      <w:r w:rsidR="00E56107">
        <w:rPr>
          <w:rFonts w:ascii="SimSun" w:hAnsi="SimSun" w:cs="SimSun" w:hint="eastAsia"/>
          <w:kern w:val="22"/>
          <w:sz w:val="24"/>
          <w:szCs w:val="24"/>
          <w:lang w:eastAsia="zh-CN"/>
        </w:rPr>
        <w:t>律。</w:t>
      </w:r>
    </w:p>
    <w:p w14:paraId="7BF14363" w14:textId="77777777" w:rsidR="00B60FA8" w:rsidRPr="00B52A50" w:rsidRDefault="00A11624"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sidRPr="00D77FBE">
        <w:rPr>
          <w:rFonts w:ascii="SimSun" w:hAnsi="SimSun" w:cs="SimSun" w:hint="eastAsia"/>
          <w:kern w:val="22"/>
          <w:sz w:val="24"/>
          <w:szCs w:val="24"/>
          <w:lang w:eastAsia="zh-CN"/>
        </w:rPr>
        <w:t>虽然</w:t>
      </w:r>
      <w:r w:rsidR="00E56107">
        <w:rPr>
          <w:rFonts w:ascii="SimSun" w:hAnsi="SimSun" w:cs="SimSun" w:hint="eastAsia"/>
          <w:kern w:val="22"/>
          <w:sz w:val="24"/>
          <w:szCs w:val="24"/>
          <w:lang w:eastAsia="zh-CN"/>
        </w:rPr>
        <w:t>办</w:t>
      </w:r>
      <w:r w:rsidRPr="00D77FBE">
        <w:rPr>
          <w:rFonts w:ascii="SimSun" w:hAnsi="SimSun" w:cs="SimSun" w:hint="eastAsia"/>
          <w:kern w:val="22"/>
          <w:sz w:val="24"/>
          <w:szCs w:val="24"/>
          <w:lang w:eastAsia="zh-CN"/>
        </w:rPr>
        <w:t>法仍在制定中，但通过</w:t>
      </w:r>
      <w:r w:rsidR="00E56107">
        <w:rPr>
          <w:rFonts w:hint="eastAsia"/>
          <w:kern w:val="22"/>
          <w:sz w:val="24"/>
          <w:szCs w:val="24"/>
          <w:lang w:eastAsia="zh-CN"/>
        </w:rPr>
        <w:t>《</w:t>
      </w:r>
      <w:r w:rsidRPr="00D77FBE">
        <w:rPr>
          <w:rFonts w:ascii="SimSun" w:hAnsi="SimSun" w:cs="SimSun" w:hint="eastAsia"/>
          <w:kern w:val="22"/>
          <w:sz w:val="24"/>
          <w:szCs w:val="24"/>
          <w:lang w:eastAsia="zh-CN"/>
        </w:rPr>
        <w:t>哈博罗内非洲可持续性宣言</w:t>
      </w:r>
      <w:r w:rsidR="00E56107">
        <w:rPr>
          <w:rFonts w:ascii="SimSun" w:hAnsi="SimSun" w:cs="SimSun" w:hint="eastAsia"/>
          <w:kern w:val="22"/>
          <w:sz w:val="24"/>
          <w:szCs w:val="24"/>
          <w:lang w:eastAsia="zh-CN"/>
        </w:rPr>
        <w:t>》，已</w:t>
      </w:r>
      <w:r w:rsidRPr="00D77FBE">
        <w:rPr>
          <w:rFonts w:ascii="SimSun" w:hAnsi="SimSun" w:cs="SimSun" w:hint="eastAsia"/>
          <w:kern w:val="22"/>
          <w:sz w:val="24"/>
          <w:szCs w:val="24"/>
          <w:lang w:eastAsia="zh-CN"/>
        </w:rPr>
        <w:t>采取了</w:t>
      </w:r>
      <w:r w:rsidR="00E56107" w:rsidRPr="00E56107">
        <w:rPr>
          <w:rFonts w:ascii="Arial" w:hAnsi="Arial" w:cs="Arial"/>
          <w:color w:val="333333"/>
          <w:sz w:val="24"/>
          <w:szCs w:val="24"/>
          <w:shd w:val="clear" w:color="auto" w:fill="FFFFFF"/>
          <w:lang w:eastAsia="zh-CN"/>
        </w:rPr>
        <w:t>国家整合</w:t>
      </w:r>
      <w:r w:rsidR="00E56107" w:rsidRPr="00877047">
        <w:rPr>
          <w:rFonts w:ascii="Arial" w:hAnsi="Arial" w:cs="Arial"/>
          <w:color w:val="333333"/>
          <w:sz w:val="24"/>
          <w:szCs w:val="24"/>
          <w:shd w:val="clear" w:color="auto" w:fill="FFFFFF"/>
          <w:lang w:eastAsia="zh-CN"/>
        </w:rPr>
        <w:t>自然资本</w:t>
      </w:r>
      <w:r w:rsidR="00C92962" w:rsidRPr="00877047">
        <w:rPr>
          <w:rFonts w:ascii="Arial" w:hAnsi="Arial" w:cs="Arial" w:hint="eastAsia"/>
          <w:color w:val="333333"/>
          <w:sz w:val="24"/>
          <w:szCs w:val="24"/>
          <w:shd w:val="clear" w:color="auto" w:fill="FFFFFF"/>
          <w:lang w:eastAsia="zh-CN"/>
        </w:rPr>
        <w:t>核算</w:t>
      </w:r>
      <w:r w:rsidRPr="00D77FBE">
        <w:rPr>
          <w:rFonts w:ascii="SimSun" w:hAnsi="SimSun" w:cs="SimSun" w:hint="eastAsia"/>
          <w:kern w:val="22"/>
          <w:sz w:val="24"/>
          <w:szCs w:val="24"/>
          <w:lang w:eastAsia="zh-CN"/>
        </w:rPr>
        <w:t>的步骤，该宣言呼吁各国政府和其他利益攸关方将</w:t>
      </w:r>
      <w:r w:rsidR="00E56107">
        <w:rPr>
          <w:rFonts w:hint="eastAsia"/>
          <w:kern w:val="22"/>
          <w:sz w:val="24"/>
          <w:szCs w:val="24"/>
          <w:lang w:eastAsia="zh-CN"/>
        </w:rPr>
        <w:t>“</w:t>
      </w:r>
      <w:r w:rsidRPr="00D77FBE">
        <w:rPr>
          <w:rFonts w:ascii="SimSun" w:hAnsi="SimSun" w:cs="SimSun" w:hint="eastAsia"/>
          <w:kern w:val="22"/>
          <w:sz w:val="24"/>
          <w:szCs w:val="24"/>
          <w:lang w:eastAsia="zh-CN"/>
        </w:rPr>
        <w:t>自然资本的价值纳入国家</w:t>
      </w:r>
      <w:r w:rsidR="00C92962">
        <w:rPr>
          <w:rFonts w:ascii="SimSun" w:hAnsi="SimSun" w:cs="SimSun" w:hint="eastAsia"/>
          <w:kern w:val="22"/>
          <w:sz w:val="24"/>
          <w:szCs w:val="24"/>
          <w:lang w:eastAsia="zh-CN"/>
        </w:rPr>
        <w:t>核算</w:t>
      </w:r>
      <w:r w:rsidRPr="00D77FBE">
        <w:rPr>
          <w:rFonts w:ascii="SimSun" w:hAnsi="SimSun" w:cs="SimSun" w:hint="eastAsia"/>
          <w:kern w:val="22"/>
          <w:sz w:val="24"/>
          <w:szCs w:val="24"/>
          <w:lang w:eastAsia="zh-CN"/>
        </w:rPr>
        <w:t>和企业规划和报告程</w:t>
      </w:r>
      <w:r w:rsidR="00E56107">
        <w:rPr>
          <w:rFonts w:ascii="SimSun" w:hAnsi="SimSun" w:cs="SimSun" w:hint="eastAsia"/>
          <w:kern w:val="22"/>
          <w:sz w:val="24"/>
          <w:szCs w:val="24"/>
          <w:lang w:eastAsia="zh-CN"/>
        </w:rPr>
        <w:t>序、</w:t>
      </w:r>
      <w:r w:rsidRPr="00D77FBE">
        <w:rPr>
          <w:rFonts w:ascii="SimSun" w:hAnsi="SimSun" w:cs="SimSun" w:hint="eastAsia"/>
          <w:kern w:val="22"/>
          <w:sz w:val="24"/>
          <w:szCs w:val="24"/>
          <w:lang w:eastAsia="zh-CN"/>
        </w:rPr>
        <w:t>政策和</w:t>
      </w:r>
      <w:r w:rsidR="00C92962">
        <w:rPr>
          <w:rFonts w:ascii="SimSun" w:hAnsi="SimSun" w:cs="SimSun" w:hint="eastAsia"/>
          <w:kern w:val="22"/>
          <w:sz w:val="24"/>
          <w:szCs w:val="24"/>
          <w:lang w:eastAsia="zh-CN"/>
        </w:rPr>
        <w:t>方案中</w:t>
      </w:r>
      <w:r w:rsidR="00E56107">
        <w:rPr>
          <w:rFonts w:hint="eastAsia"/>
          <w:kern w:val="22"/>
          <w:sz w:val="24"/>
          <w:szCs w:val="24"/>
          <w:lang w:eastAsia="zh-CN"/>
        </w:rPr>
        <w:t>”</w:t>
      </w:r>
      <w:r w:rsidR="00E56107" w:rsidRPr="00E56107">
        <w:rPr>
          <w:rStyle w:val="FootnoteReference"/>
          <w:kern w:val="22"/>
          <w:szCs w:val="24"/>
        </w:rPr>
        <w:footnoteReference w:id="16"/>
      </w:r>
      <w:r w:rsidRPr="00D77FBE">
        <w:rPr>
          <w:rFonts w:ascii="SimSun" w:hAnsi="SimSun" w:cs="SimSun" w:hint="eastAsia"/>
          <w:kern w:val="22"/>
          <w:sz w:val="24"/>
          <w:szCs w:val="24"/>
          <w:lang w:eastAsia="zh-CN"/>
        </w:rPr>
        <w:t>（以及其他行动）</w:t>
      </w:r>
      <w:r w:rsidR="00E56107">
        <w:rPr>
          <w:rFonts w:ascii="SimSun" w:hAnsi="SimSun" w:cs="SimSun" w:hint="eastAsia"/>
          <w:kern w:val="22"/>
          <w:sz w:val="24"/>
          <w:szCs w:val="24"/>
          <w:lang w:eastAsia="zh-CN"/>
        </w:rPr>
        <w:t>。</w:t>
      </w:r>
    </w:p>
    <w:p w14:paraId="71B32346" w14:textId="77777777" w:rsidR="00B60FA8" w:rsidRPr="00B52A50" w:rsidRDefault="00A11624"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sidRPr="00D77FBE">
        <w:rPr>
          <w:rFonts w:ascii="SimSun" w:hAnsi="SimSun" w:cs="SimSun" w:hint="eastAsia"/>
          <w:kern w:val="22"/>
          <w:sz w:val="24"/>
          <w:szCs w:val="24"/>
          <w:lang w:eastAsia="zh-CN"/>
        </w:rPr>
        <w:t>鉴于这些部门对地方社区的潜在影响，有关人权民事责任的立法和政策很重要。蒙古</w:t>
      </w:r>
      <w:r w:rsidR="0001009A">
        <w:rPr>
          <w:rFonts w:ascii="SimSun" w:hAnsi="SimSun" w:cs="SimSun" w:hint="eastAsia"/>
          <w:kern w:val="22"/>
          <w:sz w:val="24"/>
          <w:szCs w:val="24"/>
          <w:lang w:eastAsia="zh-CN"/>
        </w:rPr>
        <w:t>的</w:t>
      </w:r>
      <w:r w:rsidRPr="00D77FBE">
        <w:rPr>
          <w:rFonts w:ascii="SimSun" w:hAnsi="SimSun" w:cs="SimSun" w:hint="eastAsia"/>
          <w:kern w:val="22"/>
          <w:sz w:val="24"/>
          <w:szCs w:val="24"/>
          <w:lang w:eastAsia="zh-CN"/>
        </w:rPr>
        <w:t>国家矿</w:t>
      </w:r>
      <w:r w:rsidR="0001009A">
        <w:rPr>
          <w:rFonts w:ascii="SimSun" w:hAnsi="SimSun" w:cs="SimSun" w:hint="eastAsia"/>
          <w:kern w:val="22"/>
          <w:sz w:val="24"/>
          <w:szCs w:val="24"/>
          <w:lang w:eastAsia="zh-CN"/>
        </w:rPr>
        <w:t>业</w:t>
      </w:r>
      <w:r w:rsidRPr="00D77FBE">
        <w:rPr>
          <w:rFonts w:ascii="SimSun" w:hAnsi="SimSun" w:cs="SimSun" w:hint="eastAsia"/>
          <w:kern w:val="22"/>
          <w:sz w:val="24"/>
          <w:szCs w:val="24"/>
          <w:lang w:eastAsia="zh-CN"/>
        </w:rPr>
        <w:t>法</w:t>
      </w:r>
      <w:r w:rsidR="0001009A" w:rsidRPr="00D77FBE">
        <w:rPr>
          <w:rFonts w:ascii="SimSun" w:hAnsi="SimSun" w:cs="SimSun" w:hint="eastAsia"/>
          <w:kern w:val="22"/>
          <w:sz w:val="24"/>
          <w:szCs w:val="24"/>
          <w:lang w:eastAsia="zh-CN"/>
        </w:rPr>
        <w:t>基于人权</w:t>
      </w:r>
      <w:r w:rsidR="007014F5">
        <w:rPr>
          <w:rFonts w:ascii="SimSun" w:hAnsi="SimSun" w:cs="SimSun" w:hint="eastAsia"/>
          <w:kern w:val="22"/>
          <w:sz w:val="24"/>
          <w:szCs w:val="24"/>
          <w:lang w:eastAsia="zh-CN"/>
        </w:rPr>
        <w:t>使</w:t>
      </w:r>
      <w:r w:rsidRPr="00D77FBE">
        <w:rPr>
          <w:rFonts w:ascii="SimSun" w:hAnsi="SimSun" w:cs="SimSun" w:hint="eastAsia"/>
          <w:kern w:val="22"/>
          <w:sz w:val="24"/>
          <w:szCs w:val="24"/>
          <w:lang w:eastAsia="zh-CN"/>
        </w:rPr>
        <w:t>手工和小规模采矿</w:t>
      </w:r>
      <w:r w:rsidR="0001009A" w:rsidRPr="00D77FBE">
        <w:rPr>
          <w:rFonts w:ascii="SimSun" w:hAnsi="SimSun" w:cs="SimSun" w:hint="eastAsia"/>
          <w:kern w:val="22"/>
          <w:sz w:val="24"/>
          <w:szCs w:val="24"/>
          <w:lang w:eastAsia="zh-CN"/>
        </w:rPr>
        <w:t>正</w:t>
      </w:r>
      <w:r w:rsidR="00C92962">
        <w:rPr>
          <w:rFonts w:ascii="SimSun" w:hAnsi="SimSun" w:cs="SimSun" w:hint="eastAsia"/>
          <w:kern w:val="22"/>
          <w:sz w:val="24"/>
          <w:szCs w:val="24"/>
          <w:lang w:eastAsia="zh-CN"/>
        </w:rPr>
        <w:t>规</w:t>
      </w:r>
      <w:r w:rsidR="0001009A" w:rsidRPr="00D77FBE">
        <w:rPr>
          <w:rFonts w:ascii="SimSun" w:hAnsi="SimSun" w:cs="SimSun" w:hint="eastAsia"/>
          <w:kern w:val="22"/>
          <w:sz w:val="24"/>
          <w:szCs w:val="24"/>
          <w:lang w:eastAsia="zh-CN"/>
        </w:rPr>
        <w:t>化的</w:t>
      </w:r>
      <w:r w:rsidR="0001009A">
        <w:rPr>
          <w:rFonts w:ascii="SimSun" w:hAnsi="SimSun" w:cs="SimSun" w:hint="eastAsia"/>
          <w:kern w:val="22"/>
          <w:sz w:val="24"/>
          <w:szCs w:val="24"/>
          <w:lang w:eastAsia="zh-CN"/>
        </w:rPr>
        <w:t>办</w:t>
      </w:r>
      <w:r w:rsidRPr="00D77FBE">
        <w:rPr>
          <w:rFonts w:ascii="SimSun" w:hAnsi="SimSun" w:cs="SimSun" w:hint="eastAsia"/>
          <w:kern w:val="22"/>
          <w:sz w:val="24"/>
          <w:szCs w:val="24"/>
          <w:lang w:eastAsia="zh-CN"/>
        </w:rPr>
        <w:t>法</w:t>
      </w:r>
      <w:r w:rsidR="00326F6B">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有助于</w:t>
      </w:r>
      <w:r w:rsidR="0001009A">
        <w:rPr>
          <w:rFonts w:hint="eastAsia"/>
          <w:kern w:val="22"/>
          <w:sz w:val="24"/>
          <w:szCs w:val="24"/>
          <w:lang w:eastAsia="zh-CN"/>
        </w:rPr>
        <w:t>《</w:t>
      </w:r>
      <w:r w:rsidR="0001009A" w:rsidRPr="0001009A">
        <w:rPr>
          <w:rFonts w:ascii="Arial" w:hAnsi="Arial" w:cs="Arial"/>
          <w:color w:val="333333"/>
          <w:sz w:val="24"/>
          <w:szCs w:val="24"/>
          <w:shd w:val="clear" w:color="auto" w:fill="FFFFFF"/>
          <w:lang w:eastAsia="zh-CN"/>
        </w:rPr>
        <w:t>水俣公</w:t>
      </w:r>
      <w:r w:rsidR="0001009A" w:rsidRPr="0001009A">
        <w:rPr>
          <w:rFonts w:ascii="SimSun" w:hAnsi="SimSun" w:cs="SimSun" w:hint="eastAsia"/>
          <w:color w:val="333333"/>
          <w:sz w:val="24"/>
          <w:szCs w:val="24"/>
          <w:shd w:val="clear" w:color="auto" w:fill="FFFFFF"/>
          <w:lang w:eastAsia="zh-CN"/>
        </w:rPr>
        <w:t>约》</w:t>
      </w:r>
      <w:r w:rsidR="00326F6B">
        <w:rPr>
          <w:rFonts w:ascii="SimSun" w:hAnsi="SimSun" w:cs="SimSun" w:hint="eastAsia"/>
          <w:color w:val="333333"/>
          <w:sz w:val="24"/>
          <w:szCs w:val="24"/>
          <w:shd w:val="clear" w:color="auto" w:fill="FFFFFF"/>
          <w:lang w:eastAsia="zh-CN"/>
        </w:rPr>
        <w:t>下</w:t>
      </w:r>
      <w:r w:rsidR="007014F5">
        <w:rPr>
          <w:rFonts w:ascii="SimSun" w:hAnsi="SimSun" w:cs="SimSun" w:hint="eastAsia"/>
          <w:kern w:val="22"/>
          <w:sz w:val="24"/>
          <w:szCs w:val="24"/>
          <w:lang w:eastAsia="zh-CN"/>
        </w:rPr>
        <w:t>的</w:t>
      </w:r>
      <w:r w:rsidRPr="00D77FBE">
        <w:rPr>
          <w:rFonts w:ascii="SimSun" w:hAnsi="SimSun" w:cs="SimSun" w:hint="eastAsia"/>
          <w:kern w:val="22"/>
          <w:sz w:val="24"/>
          <w:szCs w:val="24"/>
          <w:lang w:eastAsia="zh-CN"/>
        </w:rPr>
        <w:t>承诺。在社区可以接受</w:t>
      </w:r>
      <w:r w:rsidR="000C04CE">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修</w:t>
      </w:r>
      <w:r w:rsidR="007014F5">
        <w:rPr>
          <w:rFonts w:ascii="SimSun" w:hAnsi="SimSun" w:cs="SimSun" w:hint="eastAsia"/>
          <w:kern w:val="22"/>
          <w:sz w:val="24"/>
          <w:szCs w:val="24"/>
          <w:lang w:eastAsia="zh-CN"/>
        </w:rPr>
        <w:t>正</w:t>
      </w:r>
      <w:r w:rsidRPr="00D77FBE">
        <w:rPr>
          <w:rFonts w:ascii="SimSun" w:hAnsi="SimSun" w:cs="SimSun" w:hint="eastAsia"/>
          <w:kern w:val="22"/>
          <w:sz w:val="24"/>
          <w:szCs w:val="24"/>
          <w:lang w:eastAsia="zh-CN"/>
        </w:rPr>
        <w:t>或拒绝提案的情况下，自由</w:t>
      </w:r>
      <w:r w:rsidR="00326F6B">
        <w:rPr>
          <w:rFonts w:ascii="SimSun" w:hAnsi="SimSun" w:cs="SimSun" w:hint="eastAsia"/>
          <w:kern w:val="22"/>
          <w:sz w:val="24"/>
          <w:szCs w:val="24"/>
          <w:lang w:eastAsia="zh-CN"/>
        </w:rPr>
        <w:t>、事</w:t>
      </w:r>
      <w:r w:rsidRPr="00D77FBE">
        <w:rPr>
          <w:rFonts w:ascii="SimSun" w:hAnsi="SimSun" w:cs="SimSun" w:hint="eastAsia"/>
          <w:kern w:val="22"/>
          <w:sz w:val="24"/>
          <w:szCs w:val="24"/>
          <w:lang w:eastAsia="zh-CN"/>
        </w:rPr>
        <w:t>先</w:t>
      </w:r>
      <w:r w:rsidR="007014F5">
        <w:rPr>
          <w:rFonts w:ascii="SimSun" w:hAnsi="SimSun" w:cs="SimSun" w:hint="eastAsia"/>
          <w:kern w:val="22"/>
          <w:sz w:val="24"/>
          <w:szCs w:val="24"/>
          <w:lang w:eastAsia="zh-CN"/>
        </w:rPr>
        <w:t>（和重要</w:t>
      </w:r>
      <w:r w:rsidR="001B38FD">
        <w:rPr>
          <w:rFonts w:ascii="SimSun" w:hAnsi="SimSun" w:cs="SimSun" w:hint="eastAsia"/>
          <w:kern w:val="22"/>
          <w:sz w:val="24"/>
          <w:szCs w:val="24"/>
          <w:lang w:eastAsia="zh-CN"/>
        </w:rPr>
        <w:t>的</w:t>
      </w:r>
      <w:r w:rsidR="007014F5">
        <w:rPr>
          <w:rFonts w:ascii="SimSun" w:hAnsi="SimSun" w:cs="SimSun"/>
          <w:kern w:val="22"/>
          <w:sz w:val="24"/>
          <w:szCs w:val="24"/>
          <w:lang w:eastAsia="zh-CN"/>
        </w:rPr>
        <w:t>）</w:t>
      </w:r>
      <w:r w:rsidRPr="00D77FBE">
        <w:rPr>
          <w:rFonts w:ascii="SimSun" w:hAnsi="SimSun" w:cs="SimSun" w:hint="eastAsia"/>
          <w:kern w:val="22"/>
          <w:sz w:val="24"/>
          <w:szCs w:val="24"/>
          <w:lang w:eastAsia="zh-CN"/>
        </w:rPr>
        <w:t>知情同意程序对于维护土地和自然资源获取权至关重要。</w:t>
      </w:r>
      <w:r w:rsidR="001B38FD">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联合国土著人民权利宣言</w:t>
      </w:r>
      <w:r w:rsidR="007014F5">
        <w:rPr>
          <w:rFonts w:ascii="SimSun" w:hAnsi="SimSun" w:cs="SimSun" w:hint="eastAsia"/>
          <w:kern w:val="22"/>
          <w:sz w:val="24"/>
          <w:szCs w:val="24"/>
          <w:lang w:eastAsia="zh-CN"/>
        </w:rPr>
        <w:t>》（</w:t>
      </w:r>
      <w:r w:rsidRPr="00D77FBE">
        <w:rPr>
          <w:kern w:val="22"/>
          <w:sz w:val="24"/>
          <w:szCs w:val="24"/>
          <w:lang w:eastAsia="zh-CN"/>
        </w:rPr>
        <w:t>2006</w:t>
      </w:r>
      <w:r w:rsidR="007014F5">
        <w:rPr>
          <w:rFonts w:hint="eastAsia"/>
          <w:kern w:val="22"/>
          <w:sz w:val="24"/>
          <w:szCs w:val="24"/>
          <w:lang w:eastAsia="zh-CN"/>
        </w:rPr>
        <w:t>年</w:t>
      </w:r>
      <w:r w:rsidRPr="00D77FBE">
        <w:rPr>
          <w:rFonts w:ascii="SimSun" w:hAnsi="SimSun" w:cs="SimSun" w:hint="eastAsia"/>
          <w:kern w:val="22"/>
          <w:sz w:val="24"/>
          <w:szCs w:val="24"/>
          <w:lang w:eastAsia="zh-CN"/>
        </w:rPr>
        <w:t>）</w:t>
      </w:r>
      <w:r w:rsidR="007014F5" w:rsidRPr="007014F5">
        <w:rPr>
          <w:rStyle w:val="FootnoteReference"/>
          <w:kern w:val="22"/>
          <w:szCs w:val="24"/>
        </w:rPr>
        <w:footnoteReference w:id="17"/>
      </w:r>
      <w:r w:rsidR="005C5493">
        <w:rPr>
          <w:rFonts w:ascii="SimSun" w:hAnsi="SimSun" w:cs="SimSun" w:hint="eastAsia"/>
          <w:kern w:val="22"/>
          <w:sz w:val="24"/>
          <w:szCs w:val="24"/>
          <w:lang w:eastAsia="zh-CN"/>
        </w:rPr>
        <w:t>，</w:t>
      </w:r>
      <w:r w:rsidR="007014F5">
        <w:rPr>
          <w:rFonts w:ascii="SimSun" w:hAnsi="SimSun" w:cs="SimSun" w:hint="eastAsia"/>
          <w:kern w:val="22"/>
          <w:sz w:val="24"/>
          <w:szCs w:val="24"/>
          <w:lang w:eastAsia="zh-CN"/>
        </w:rPr>
        <w:t xml:space="preserve"> </w:t>
      </w:r>
      <w:r w:rsidRPr="00D77FBE">
        <w:rPr>
          <w:rFonts w:ascii="SimSun" w:hAnsi="SimSun" w:cs="SimSun" w:hint="eastAsia"/>
          <w:kern w:val="22"/>
          <w:sz w:val="24"/>
          <w:szCs w:val="24"/>
          <w:lang w:eastAsia="zh-CN"/>
        </w:rPr>
        <w:t>国际劳工组织</w:t>
      </w:r>
      <w:r w:rsidR="001B38FD">
        <w:rPr>
          <w:lang w:eastAsia="zh-CN"/>
        </w:rPr>
        <w:t>《第</w:t>
      </w:r>
      <w:r w:rsidR="001B38FD">
        <w:rPr>
          <w:lang w:eastAsia="zh-CN"/>
        </w:rPr>
        <w:t>169</w:t>
      </w:r>
      <w:r w:rsidR="001B38FD">
        <w:rPr>
          <w:lang w:eastAsia="zh-CN"/>
        </w:rPr>
        <w:t>号公</w:t>
      </w:r>
      <w:r w:rsidR="001B38FD">
        <w:rPr>
          <w:rFonts w:ascii="SimSun" w:hAnsi="SimSun" w:cs="SimSun" w:hint="eastAsia"/>
          <w:lang w:eastAsia="zh-CN"/>
        </w:rPr>
        <w:t>约</w:t>
      </w:r>
      <w:r w:rsidR="001B38FD">
        <w:rPr>
          <w:rFonts w:hint="eastAsia"/>
          <w:kern w:val="22"/>
          <w:sz w:val="24"/>
          <w:szCs w:val="24"/>
          <w:lang w:eastAsia="zh-CN"/>
        </w:rPr>
        <w:t>》</w:t>
      </w:r>
      <w:r w:rsidRPr="00D77FBE">
        <w:rPr>
          <w:rFonts w:ascii="SimSun" w:hAnsi="SimSun" w:cs="SimSun" w:hint="eastAsia"/>
          <w:kern w:val="22"/>
          <w:sz w:val="24"/>
          <w:szCs w:val="24"/>
          <w:lang w:eastAsia="zh-CN"/>
        </w:rPr>
        <w:t>和各种国家法律将土著人民的自由事先知情同意定为国家义务和</w:t>
      </w:r>
      <w:r w:rsidRPr="00D77FBE">
        <w:rPr>
          <w:kern w:val="22"/>
          <w:sz w:val="24"/>
          <w:szCs w:val="24"/>
          <w:lang w:eastAsia="zh-CN"/>
        </w:rPr>
        <w:t>/</w:t>
      </w:r>
      <w:r w:rsidRPr="00D77FBE">
        <w:rPr>
          <w:rFonts w:ascii="SimSun" w:hAnsi="SimSun" w:cs="SimSun" w:hint="eastAsia"/>
          <w:kern w:val="22"/>
          <w:sz w:val="24"/>
          <w:szCs w:val="24"/>
          <w:lang w:eastAsia="zh-CN"/>
        </w:rPr>
        <w:t>或土著人民的权利。</w:t>
      </w:r>
      <w:r w:rsidR="001B38FD">
        <w:rPr>
          <w:rFonts w:hint="eastAsia"/>
          <w:kern w:val="22"/>
          <w:sz w:val="24"/>
          <w:szCs w:val="24"/>
          <w:lang w:eastAsia="zh-CN"/>
        </w:rPr>
        <w:t>在由</w:t>
      </w:r>
      <w:r w:rsidRPr="00D77FBE">
        <w:rPr>
          <w:rFonts w:ascii="SimSun" w:hAnsi="SimSun" w:cs="SimSun" w:hint="eastAsia"/>
          <w:kern w:val="22"/>
          <w:sz w:val="24"/>
          <w:szCs w:val="24"/>
          <w:lang w:eastAsia="zh-CN"/>
        </w:rPr>
        <w:t>社区领导时，此类进程可为维护与能源和采矿</w:t>
      </w:r>
      <w:r w:rsidR="001B38FD" w:rsidRPr="00D77FBE">
        <w:rPr>
          <w:rFonts w:ascii="SimSun" w:hAnsi="SimSun" w:cs="SimSun" w:hint="eastAsia"/>
          <w:kern w:val="22"/>
          <w:sz w:val="24"/>
          <w:szCs w:val="24"/>
          <w:lang w:eastAsia="zh-CN"/>
        </w:rPr>
        <w:t>项目</w:t>
      </w:r>
      <w:r w:rsidRPr="00D77FBE">
        <w:rPr>
          <w:rFonts w:ascii="SimSun" w:hAnsi="SimSun" w:cs="SimSun" w:hint="eastAsia"/>
          <w:kern w:val="22"/>
          <w:sz w:val="24"/>
          <w:szCs w:val="24"/>
          <w:lang w:eastAsia="zh-CN"/>
        </w:rPr>
        <w:t>有关的人权以及生物多样性和生态系统服务的可持续利用</w:t>
      </w:r>
      <w:proofErr w:type="gramStart"/>
      <w:r w:rsidR="001B38FD">
        <w:rPr>
          <w:rFonts w:ascii="SimSun" w:hAnsi="SimSun" w:cs="SimSun" w:hint="eastAsia"/>
          <w:kern w:val="22"/>
          <w:sz w:val="24"/>
          <w:szCs w:val="24"/>
          <w:lang w:eastAsia="zh-CN"/>
        </w:rPr>
        <w:t>两者</w:t>
      </w:r>
      <w:r w:rsidR="001B38FD" w:rsidRPr="00D77FBE">
        <w:rPr>
          <w:rFonts w:ascii="SimSun" w:hAnsi="SimSun" w:cs="SimSun" w:hint="eastAsia"/>
          <w:kern w:val="22"/>
          <w:sz w:val="24"/>
          <w:szCs w:val="24"/>
          <w:lang w:eastAsia="zh-CN"/>
        </w:rPr>
        <w:t>提供</w:t>
      </w:r>
      <w:proofErr w:type="gramEnd"/>
      <w:r w:rsidR="001B38FD" w:rsidRPr="00D77FBE">
        <w:rPr>
          <w:rFonts w:ascii="SimSun" w:hAnsi="SimSun" w:cs="SimSun" w:hint="eastAsia"/>
          <w:kern w:val="22"/>
          <w:sz w:val="24"/>
          <w:szCs w:val="24"/>
          <w:lang w:eastAsia="zh-CN"/>
        </w:rPr>
        <w:t>重要机制</w:t>
      </w:r>
      <w:r w:rsidRPr="00D77FBE">
        <w:rPr>
          <w:rFonts w:ascii="SimSun" w:hAnsi="SimSun" w:cs="SimSun" w:hint="eastAsia"/>
          <w:kern w:val="22"/>
          <w:sz w:val="24"/>
          <w:szCs w:val="24"/>
          <w:lang w:eastAsia="zh-CN"/>
        </w:rPr>
        <w:t>。但是，将自由的事</w:t>
      </w:r>
      <w:r w:rsidRPr="00D77FBE">
        <w:rPr>
          <w:rFonts w:ascii="SimSun" w:hAnsi="SimSun" w:cs="SimSun" w:hint="eastAsia"/>
          <w:kern w:val="22"/>
          <w:sz w:val="24"/>
          <w:szCs w:val="24"/>
          <w:lang w:eastAsia="zh-CN"/>
        </w:rPr>
        <w:lastRenderedPageBreak/>
        <w:t>先知情同意纳入法律法规及其</w:t>
      </w:r>
      <w:r w:rsidR="001B38FD">
        <w:rPr>
          <w:rFonts w:ascii="SimSun" w:hAnsi="SimSun" w:cs="SimSun" w:hint="eastAsia"/>
          <w:kern w:val="22"/>
          <w:sz w:val="24"/>
          <w:szCs w:val="24"/>
          <w:lang w:eastAsia="zh-CN"/>
        </w:rPr>
        <w:t>执行</w:t>
      </w:r>
      <w:r w:rsidRPr="00D77FBE">
        <w:rPr>
          <w:rFonts w:ascii="SimSun" w:hAnsi="SimSun" w:cs="SimSun" w:hint="eastAsia"/>
          <w:kern w:val="22"/>
          <w:sz w:val="24"/>
          <w:szCs w:val="24"/>
          <w:lang w:eastAsia="zh-CN"/>
        </w:rPr>
        <w:t>仍然相对有限。社区内部可能会有很多不同的观点，即使不是通过自由事先知情同意程序提出的，</w:t>
      </w:r>
      <w:r w:rsidR="001B38FD">
        <w:rPr>
          <w:rFonts w:ascii="SimSun" w:hAnsi="SimSun" w:cs="SimSun" w:hint="eastAsia"/>
          <w:kern w:val="22"/>
          <w:sz w:val="24"/>
          <w:szCs w:val="24"/>
          <w:lang w:eastAsia="zh-CN"/>
        </w:rPr>
        <w:t>协商时</w:t>
      </w:r>
      <w:r w:rsidRPr="00D77FBE">
        <w:rPr>
          <w:rFonts w:ascii="SimSun" w:hAnsi="SimSun" w:cs="SimSun" w:hint="eastAsia"/>
          <w:kern w:val="22"/>
          <w:sz w:val="24"/>
          <w:szCs w:val="24"/>
          <w:lang w:eastAsia="zh-CN"/>
        </w:rPr>
        <w:t>也应</w:t>
      </w:r>
      <w:r w:rsidR="0078499D">
        <w:rPr>
          <w:rFonts w:ascii="SimSun" w:hAnsi="SimSun" w:cs="SimSun" w:hint="eastAsia"/>
          <w:kern w:val="22"/>
          <w:sz w:val="24"/>
          <w:szCs w:val="24"/>
          <w:lang w:eastAsia="zh-CN"/>
        </w:rPr>
        <w:t>加以</w:t>
      </w:r>
      <w:r w:rsidRPr="00D77FBE">
        <w:rPr>
          <w:rFonts w:ascii="SimSun" w:hAnsi="SimSun" w:cs="SimSun" w:hint="eastAsia"/>
          <w:kern w:val="22"/>
          <w:sz w:val="24"/>
          <w:szCs w:val="24"/>
          <w:lang w:eastAsia="zh-CN"/>
        </w:rPr>
        <w:t>考虑</w:t>
      </w:r>
      <w:r w:rsidR="000C04CE">
        <w:rPr>
          <w:rFonts w:hint="eastAsia"/>
          <w:kern w:val="22"/>
          <w:sz w:val="24"/>
          <w:szCs w:val="24"/>
          <w:lang w:eastAsia="zh-CN"/>
        </w:rPr>
        <w:t>。</w:t>
      </w:r>
    </w:p>
    <w:p w14:paraId="005D2D71" w14:textId="77777777" w:rsidR="00B60FA8" w:rsidRPr="00B52A50" w:rsidRDefault="000C04CE"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Pr>
          <w:rFonts w:ascii="SimSun" w:hAnsi="SimSun" w:cs="SimSun" w:hint="eastAsia"/>
          <w:kern w:val="22"/>
          <w:sz w:val="24"/>
          <w:szCs w:val="24"/>
          <w:lang w:eastAsia="zh-CN"/>
        </w:rPr>
        <w:t>众</w:t>
      </w:r>
      <w:r w:rsidR="00A11624" w:rsidRPr="00D77FBE">
        <w:rPr>
          <w:rFonts w:ascii="SimSun" w:hAnsi="SimSun" w:cs="SimSun" w:hint="eastAsia"/>
          <w:kern w:val="22"/>
          <w:sz w:val="24"/>
          <w:szCs w:val="24"/>
          <w:lang w:eastAsia="zh-CN"/>
        </w:rPr>
        <w:t>多国家成立了部际小组，以发展政策和计划之间的协同作用和一致性，其中包括尼泊尔国家生物多样性协调委员会和不丹国家工作队。</w:t>
      </w:r>
      <w:r w:rsidR="008E5F9B" w:rsidRPr="00D77FBE">
        <w:rPr>
          <w:rFonts w:ascii="SimSun" w:hAnsi="SimSun" w:cs="SimSun" w:hint="eastAsia"/>
          <w:kern w:val="22"/>
          <w:sz w:val="24"/>
          <w:szCs w:val="24"/>
          <w:lang w:eastAsia="zh-CN"/>
        </w:rPr>
        <w:t>非洲生物多样性主流</w:t>
      </w:r>
      <w:r w:rsidR="008E5F9B">
        <w:rPr>
          <w:rFonts w:ascii="SimSun" w:hAnsi="SimSun" w:cs="SimSun" w:hint="eastAsia"/>
          <w:kern w:val="22"/>
          <w:sz w:val="24"/>
          <w:szCs w:val="24"/>
          <w:lang w:eastAsia="zh-CN"/>
        </w:rPr>
        <w:t>化</w:t>
      </w:r>
      <w:r w:rsidR="008E5F9B" w:rsidRPr="00D77FBE">
        <w:rPr>
          <w:rFonts w:ascii="SimSun" w:hAnsi="SimSun" w:cs="SimSun" w:hint="eastAsia"/>
          <w:kern w:val="22"/>
          <w:sz w:val="24"/>
          <w:szCs w:val="24"/>
          <w:lang w:eastAsia="zh-CN"/>
        </w:rPr>
        <w:t>领导小组由来自博茨瓦纳</w:t>
      </w:r>
      <w:r w:rsidR="008E5F9B">
        <w:rPr>
          <w:rFonts w:ascii="SimSun" w:hAnsi="SimSun" w:cs="SimSun" w:hint="eastAsia"/>
          <w:kern w:val="22"/>
          <w:sz w:val="24"/>
          <w:szCs w:val="24"/>
          <w:lang w:eastAsia="zh-CN"/>
        </w:rPr>
        <w:t>、</w:t>
      </w:r>
      <w:r w:rsidR="008E5F9B" w:rsidRPr="00D77FBE">
        <w:rPr>
          <w:rFonts w:ascii="SimSun" w:hAnsi="SimSun" w:cs="SimSun" w:hint="eastAsia"/>
          <w:kern w:val="22"/>
          <w:sz w:val="24"/>
          <w:szCs w:val="24"/>
          <w:lang w:eastAsia="zh-CN"/>
        </w:rPr>
        <w:t>加纳</w:t>
      </w:r>
      <w:r w:rsidR="008E5F9B">
        <w:rPr>
          <w:rFonts w:ascii="SimSun" w:hAnsi="SimSun" w:cs="SimSun" w:hint="eastAsia"/>
          <w:kern w:val="22"/>
          <w:sz w:val="24"/>
          <w:szCs w:val="24"/>
          <w:lang w:eastAsia="zh-CN"/>
        </w:rPr>
        <w:t>、</w:t>
      </w:r>
      <w:r w:rsidR="008E5F9B" w:rsidRPr="00D77FBE">
        <w:rPr>
          <w:rFonts w:ascii="SimSun" w:hAnsi="SimSun" w:cs="SimSun" w:hint="eastAsia"/>
          <w:kern w:val="22"/>
          <w:sz w:val="24"/>
          <w:szCs w:val="24"/>
          <w:lang w:eastAsia="zh-CN"/>
        </w:rPr>
        <w:t>马拉维</w:t>
      </w:r>
      <w:r w:rsidR="008E5F9B">
        <w:rPr>
          <w:rFonts w:ascii="SimSun" w:hAnsi="SimSun" w:cs="SimSun" w:hint="eastAsia"/>
          <w:kern w:val="22"/>
          <w:sz w:val="24"/>
          <w:szCs w:val="24"/>
          <w:lang w:eastAsia="zh-CN"/>
        </w:rPr>
        <w:t>、</w:t>
      </w:r>
      <w:r w:rsidR="008E5F9B" w:rsidRPr="00D77FBE">
        <w:rPr>
          <w:rFonts w:ascii="SimSun" w:hAnsi="SimSun" w:cs="SimSun" w:hint="eastAsia"/>
          <w:kern w:val="22"/>
          <w:sz w:val="24"/>
          <w:szCs w:val="24"/>
          <w:lang w:eastAsia="zh-CN"/>
        </w:rPr>
        <w:t>纳米比亚</w:t>
      </w:r>
      <w:r w:rsidR="008E5F9B">
        <w:rPr>
          <w:rFonts w:ascii="SimSun" w:hAnsi="SimSun" w:cs="SimSun" w:hint="eastAsia"/>
          <w:kern w:val="22"/>
          <w:sz w:val="24"/>
          <w:szCs w:val="24"/>
          <w:lang w:eastAsia="zh-CN"/>
        </w:rPr>
        <w:t>、</w:t>
      </w:r>
      <w:r w:rsidR="008E5F9B" w:rsidRPr="00D77FBE">
        <w:rPr>
          <w:rFonts w:ascii="SimSun" w:hAnsi="SimSun" w:cs="SimSun" w:hint="eastAsia"/>
          <w:kern w:val="22"/>
          <w:sz w:val="24"/>
          <w:szCs w:val="24"/>
          <w:lang w:eastAsia="zh-CN"/>
        </w:rPr>
        <w:t>塞舌尔</w:t>
      </w:r>
      <w:r w:rsidR="008E5F9B">
        <w:rPr>
          <w:rFonts w:ascii="SimSun" w:hAnsi="SimSun" w:cs="SimSun" w:hint="eastAsia"/>
          <w:kern w:val="22"/>
          <w:sz w:val="24"/>
          <w:szCs w:val="24"/>
          <w:lang w:eastAsia="zh-CN"/>
        </w:rPr>
        <w:t>、</w:t>
      </w:r>
      <w:r w:rsidR="008E5F9B" w:rsidRPr="00D77FBE">
        <w:rPr>
          <w:rFonts w:ascii="SimSun" w:hAnsi="SimSun" w:cs="SimSun" w:hint="eastAsia"/>
          <w:kern w:val="22"/>
          <w:sz w:val="24"/>
          <w:szCs w:val="24"/>
          <w:lang w:eastAsia="zh-CN"/>
        </w:rPr>
        <w:t>乌干达</w:t>
      </w:r>
      <w:r w:rsidR="008E5F9B">
        <w:rPr>
          <w:rFonts w:ascii="SimSun" w:hAnsi="SimSun" w:cs="SimSun" w:hint="eastAsia"/>
          <w:kern w:val="22"/>
          <w:sz w:val="24"/>
          <w:szCs w:val="24"/>
          <w:lang w:eastAsia="zh-CN"/>
        </w:rPr>
        <w:t>、</w:t>
      </w:r>
      <w:r w:rsidR="008E5F9B" w:rsidRPr="00D77FBE">
        <w:rPr>
          <w:rFonts w:ascii="SimSun" w:hAnsi="SimSun" w:cs="SimSun" w:hint="eastAsia"/>
          <w:kern w:val="22"/>
          <w:sz w:val="24"/>
          <w:szCs w:val="24"/>
          <w:lang w:eastAsia="zh-CN"/>
        </w:rPr>
        <w:t>赞比亚和津巴布韦的环境</w:t>
      </w:r>
      <w:r w:rsidR="008E5F9B">
        <w:rPr>
          <w:rFonts w:ascii="SimSun" w:hAnsi="SimSun" w:cs="SimSun" w:hint="eastAsia"/>
          <w:kern w:val="22"/>
          <w:sz w:val="24"/>
          <w:szCs w:val="24"/>
          <w:lang w:eastAsia="zh-CN"/>
        </w:rPr>
        <w:t>、</w:t>
      </w:r>
      <w:r w:rsidR="008E5F9B" w:rsidRPr="00D77FBE">
        <w:rPr>
          <w:rFonts w:ascii="SimSun" w:hAnsi="SimSun" w:cs="SimSun" w:hint="eastAsia"/>
          <w:kern w:val="22"/>
          <w:sz w:val="24"/>
          <w:szCs w:val="24"/>
          <w:lang w:eastAsia="zh-CN"/>
        </w:rPr>
        <w:t>发展</w:t>
      </w:r>
      <w:r w:rsidR="008E5F9B">
        <w:rPr>
          <w:rFonts w:ascii="SimSun" w:hAnsi="SimSun" w:cs="SimSun" w:hint="eastAsia"/>
          <w:kern w:val="22"/>
          <w:sz w:val="24"/>
          <w:szCs w:val="24"/>
          <w:lang w:eastAsia="zh-CN"/>
        </w:rPr>
        <w:t>、</w:t>
      </w:r>
      <w:r w:rsidR="008E5F9B" w:rsidRPr="00D77FBE">
        <w:rPr>
          <w:rFonts w:ascii="SimSun" w:hAnsi="SimSun" w:cs="SimSun" w:hint="eastAsia"/>
          <w:kern w:val="22"/>
          <w:sz w:val="24"/>
          <w:szCs w:val="24"/>
          <w:lang w:eastAsia="zh-CN"/>
        </w:rPr>
        <w:t>规划</w:t>
      </w:r>
      <w:r w:rsidR="008E5F9B">
        <w:rPr>
          <w:rFonts w:ascii="SimSun" w:hAnsi="SimSun" w:cs="SimSun" w:hint="eastAsia"/>
          <w:kern w:val="22"/>
          <w:sz w:val="24"/>
          <w:szCs w:val="24"/>
          <w:lang w:eastAsia="zh-CN"/>
        </w:rPr>
        <w:t>、</w:t>
      </w:r>
      <w:r w:rsidR="008E5F9B" w:rsidRPr="00D77FBE">
        <w:rPr>
          <w:rFonts w:ascii="SimSun" w:hAnsi="SimSun" w:cs="SimSun" w:hint="eastAsia"/>
          <w:kern w:val="22"/>
          <w:sz w:val="24"/>
          <w:szCs w:val="24"/>
          <w:lang w:eastAsia="zh-CN"/>
        </w:rPr>
        <w:t>财政和</w:t>
      </w:r>
      <w:r w:rsidR="008E5F9B">
        <w:rPr>
          <w:rFonts w:ascii="SimSun" w:hAnsi="SimSun" w:cs="SimSun" w:hint="eastAsia"/>
          <w:kern w:val="22"/>
          <w:sz w:val="24"/>
          <w:szCs w:val="24"/>
          <w:lang w:eastAsia="zh-CN"/>
        </w:rPr>
        <w:t>部门</w:t>
      </w:r>
      <w:r w:rsidR="008E5F9B" w:rsidRPr="00D77FBE">
        <w:rPr>
          <w:rFonts w:ascii="SimSun" w:hAnsi="SimSun" w:cs="SimSun" w:hint="eastAsia"/>
          <w:kern w:val="22"/>
          <w:sz w:val="24"/>
          <w:szCs w:val="24"/>
          <w:lang w:eastAsia="zh-CN"/>
        </w:rPr>
        <w:t>政府官员组成。</w:t>
      </w:r>
      <w:r w:rsidRPr="00D77FBE">
        <w:rPr>
          <w:rFonts w:ascii="SimSun" w:hAnsi="SimSun" w:cs="SimSun" w:hint="eastAsia"/>
          <w:kern w:val="22"/>
          <w:sz w:val="24"/>
          <w:szCs w:val="24"/>
          <w:lang w:eastAsia="zh-CN"/>
        </w:rPr>
        <w:t>喀麦隆</w:t>
      </w:r>
      <w:r>
        <w:rPr>
          <w:rFonts w:ascii="SimSun" w:hAnsi="SimSun" w:cs="SimSun" w:hint="eastAsia"/>
          <w:kern w:val="22"/>
          <w:sz w:val="24"/>
          <w:szCs w:val="24"/>
          <w:lang w:eastAsia="zh-CN"/>
        </w:rPr>
        <w:t>为响应</w:t>
      </w:r>
      <w:r w:rsidRPr="00D77FBE">
        <w:rPr>
          <w:rFonts w:ascii="SimSun" w:hAnsi="SimSun" w:cs="SimSun" w:hint="eastAsia"/>
          <w:kern w:val="22"/>
          <w:sz w:val="24"/>
          <w:szCs w:val="24"/>
          <w:lang w:eastAsia="zh-CN"/>
        </w:rPr>
        <w:t>总统</w:t>
      </w:r>
      <w:r>
        <w:rPr>
          <w:rFonts w:ascii="SimSun" w:hAnsi="SimSun" w:cs="SimSun" w:hint="eastAsia"/>
          <w:kern w:val="22"/>
          <w:sz w:val="24"/>
          <w:szCs w:val="24"/>
          <w:lang w:eastAsia="zh-CN"/>
        </w:rPr>
        <w:t>表达的兼顾</w:t>
      </w:r>
      <w:r w:rsidRPr="00D77FBE">
        <w:rPr>
          <w:rFonts w:ascii="SimSun" w:hAnsi="SimSun" w:cs="SimSun" w:hint="eastAsia"/>
          <w:kern w:val="22"/>
          <w:sz w:val="24"/>
          <w:szCs w:val="24"/>
          <w:lang w:eastAsia="zh-CN"/>
        </w:rPr>
        <w:t>人民福祉和发展的愿景</w:t>
      </w:r>
      <w:r>
        <w:rPr>
          <w:rFonts w:ascii="SimSun" w:hAnsi="SimSun" w:cs="SimSun" w:hint="eastAsia"/>
          <w:kern w:val="22"/>
          <w:sz w:val="24"/>
          <w:szCs w:val="24"/>
          <w:lang w:eastAsia="zh-CN"/>
        </w:rPr>
        <w:t>，</w:t>
      </w:r>
      <w:r w:rsidR="008E5F9B" w:rsidRPr="00D77FBE">
        <w:rPr>
          <w:rFonts w:ascii="SimSun" w:hAnsi="SimSun" w:cs="SimSun" w:hint="eastAsia"/>
          <w:kern w:val="22"/>
          <w:sz w:val="24"/>
          <w:szCs w:val="24"/>
          <w:lang w:eastAsia="zh-CN"/>
        </w:rPr>
        <w:t>设有一个部际委员会，负责处理跨领域问题（包括保护自然和采矿部门）</w:t>
      </w:r>
      <w:r>
        <w:rPr>
          <w:rFonts w:ascii="SimSun" w:hAnsi="SimSun" w:cs="SimSun" w:hint="eastAsia"/>
          <w:kern w:val="22"/>
          <w:sz w:val="24"/>
          <w:szCs w:val="24"/>
          <w:lang w:eastAsia="zh-CN"/>
        </w:rPr>
        <w:t>。</w:t>
      </w:r>
    </w:p>
    <w:p w14:paraId="11A50904" w14:textId="77777777" w:rsidR="00B60FA8" w:rsidRPr="005C5493" w:rsidRDefault="00F03365" w:rsidP="00B66243">
      <w:pPr>
        <w:pStyle w:val="Heading3"/>
        <w:suppressLineNumbers/>
        <w:tabs>
          <w:tab w:val="clear" w:pos="567"/>
        </w:tabs>
        <w:suppressAutoHyphens/>
        <w:kinsoku w:val="0"/>
        <w:overflowPunct w:val="0"/>
        <w:autoSpaceDE w:val="0"/>
        <w:autoSpaceDN w:val="0"/>
        <w:adjustRightInd w:val="0"/>
        <w:spacing w:line="240" w:lineRule="atLeast"/>
        <w:rPr>
          <w:rFonts w:ascii="KaiTi" w:eastAsia="KaiTi" w:hAnsi="KaiTi"/>
          <w:kern w:val="22"/>
          <w:u w:val="none"/>
        </w:rPr>
      </w:pPr>
      <w:r w:rsidRPr="005C5493">
        <w:rPr>
          <w:rFonts w:ascii="KaiTi" w:eastAsia="KaiTi" w:hAnsi="KaiTi"/>
          <w:kern w:val="22"/>
          <w:u w:val="none"/>
        </w:rPr>
        <w:t>3.</w:t>
      </w:r>
      <w:r w:rsidRPr="005C5493">
        <w:rPr>
          <w:rFonts w:ascii="KaiTi" w:eastAsia="KaiTi" w:hAnsi="KaiTi" w:hint="eastAsia"/>
          <w:kern w:val="22"/>
          <w:u w:val="none"/>
        </w:rPr>
        <w:t xml:space="preserve"> </w:t>
      </w:r>
      <w:r w:rsidR="00A11624" w:rsidRPr="005C5493">
        <w:rPr>
          <w:rFonts w:ascii="KaiTi" w:eastAsia="KaiTi" w:hAnsi="KaiTi" w:cs="SimSun" w:hint="eastAsia"/>
          <w:kern w:val="22"/>
          <w:u w:val="none"/>
        </w:rPr>
        <w:t>与国家法律和政策</w:t>
      </w:r>
      <w:r w:rsidRPr="005C5493">
        <w:rPr>
          <w:rFonts w:ascii="KaiTi" w:eastAsia="KaiTi" w:hAnsi="KaiTi" w:cs="SimSun" w:hint="eastAsia"/>
          <w:kern w:val="22"/>
          <w:u w:val="none"/>
        </w:rPr>
        <w:t>有</w:t>
      </w:r>
      <w:r w:rsidR="00A11624" w:rsidRPr="005C5493">
        <w:rPr>
          <w:rFonts w:ascii="KaiTi" w:eastAsia="KaiTi" w:hAnsi="KaiTi" w:cs="SimSun" w:hint="eastAsia"/>
          <w:kern w:val="22"/>
          <w:u w:val="none"/>
        </w:rPr>
        <w:t>关的挑战</w:t>
      </w:r>
    </w:p>
    <w:p w14:paraId="0357A471" w14:textId="77777777" w:rsidR="00B60FA8" w:rsidRPr="00B52A50" w:rsidRDefault="00F03365"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eastAsia="zh-CN"/>
        </w:rPr>
      </w:pPr>
      <w:r>
        <w:rPr>
          <w:rFonts w:ascii="SimSun" w:hAnsi="SimSun" w:cs="SimSun" w:hint="eastAsia"/>
          <w:kern w:val="22"/>
          <w:sz w:val="24"/>
          <w:szCs w:val="24"/>
          <w:lang w:eastAsia="zh-CN"/>
        </w:rPr>
        <w:t>各种</w:t>
      </w:r>
      <w:r w:rsidR="00A11624" w:rsidRPr="00D77FBE">
        <w:rPr>
          <w:rFonts w:ascii="SimSun" w:hAnsi="SimSun" w:cs="SimSun" w:hint="eastAsia"/>
          <w:kern w:val="22"/>
          <w:sz w:val="24"/>
          <w:szCs w:val="24"/>
          <w:lang w:eastAsia="zh-CN"/>
        </w:rPr>
        <w:t>国家和</w:t>
      </w:r>
      <w:r w:rsidR="005A15CC">
        <w:rPr>
          <w:rFonts w:ascii="SimSun" w:hAnsi="SimSun" w:cs="SimSun" w:hint="eastAsia"/>
          <w:kern w:val="22"/>
          <w:sz w:val="24"/>
          <w:szCs w:val="24"/>
          <w:lang w:eastAsia="zh-CN"/>
        </w:rPr>
        <w:t>地方</w:t>
      </w:r>
      <w:r w:rsidR="00A11624" w:rsidRPr="00D77FBE">
        <w:rPr>
          <w:rFonts w:ascii="SimSun" w:hAnsi="SimSun" w:cs="SimSun" w:hint="eastAsia"/>
          <w:kern w:val="22"/>
          <w:sz w:val="24"/>
          <w:szCs w:val="24"/>
          <w:lang w:eastAsia="zh-CN"/>
        </w:rPr>
        <w:t>政策之间的一致性对于</w:t>
      </w:r>
      <w:r w:rsidR="005A15CC">
        <w:rPr>
          <w:rFonts w:ascii="SimSun" w:hAnsi="SimSun" w:cs="SimSun" w:hint="eastAsia"/>
          <w:kern w:val="22"/>
          <w:sz w:val="24"/>
          <w:szCs w:val="24"/>
          <w:lang w:eastAsia="zh-CN"/>
        </w:rPr>
        <w:t>执行十分</w:t>
      </w:r>
      <w:r w:rsidR="00A11624" w:rsidRPr="00D77FBE">
        <w:rPr>
          <w:rFonts w:ascii="SimSun" w:hAnsi="SimSun" w:cs="SimSun" w:hint="eastAsia"/>
          <w:kern w:val="22"/>
          <w:sz w:val="24"/>
          <w:szCs w:val="24"/>
          <w:lang w:eastAsia="zh-CN"/>
        </w:rPr>
        <w:t>重要。</w:t>
      </w:r>
      <w:r w:rsidR="005A15CC">
        <w:rPr>
          <w:rFonts w:ascii="SimSun" w:hAnsi="SimSun" w:cs="SimSun" w:hint="eastAsia"/>
          <w:kern w:val="22"/>
          <w:sz w:val="24"/>
          <w:szCs w:val="24"/>
          <w:lang w:eastAsia="zh-CN"/>
        </w:rPr>
        <w:t>在</w:t>
      </w:r>
      <w:r w:rsidR="00A11624" w:rsidRPr="00D77FBE">
        <w:rPr>
          <w:rFonts w:ascii="SimSun" w:hAnsi="SimSun" w:cs="SimSun" w:hint="eastAsia"/>
          <w:kern w:val="22"/>
          <w:sz w:val="24"/>
          <w:szCs w:val="24"/>
          <w:lang w:eastAsia="zh-CN"/>
        </w:rPr>
        <w:t>国家出现新的部门时，通常会有一个法律改革进程来适应该部门的需求。这需要以</w:t>
      </w:r>
      <w:r>
        <w:rPr>
          <w:rFonts w:ascii="SimSun" w:hAnsi="SimSun" w:cs="SimSun" w:hint="eastAsia"/>
          <w:kern w:val="22"/>
          <w:sz w:val="24"/>
          <w:szCs w:val="24"/>
          <w:lang w:eastAsia="zh-CN"/>
        </w:rPr>
        <w:t>对</w:t>
      </w:r>
      <w:r w:rsidR="00A11624" w:rsidRPr="00D77FBE">
        <w:rPr>
          <w:rFonts w:ascii="SimSun" w:hAnsi="SimSun" w:cs="SimSun" w:hint="eastAsia"/>
          <w:kern w:val="22"/>
          <w:sz w:val="24"/>
          <w:szCs w:val="24"/>
          <w:lang w:eastAsia="zh-CN"/>
        </w:rPr>
        <w:t>该部门的总体政策为基础。</w:t>
      </w:r>
      <w:r w:rsidR="005A15CC">
        <w:rPr>
          <w:rFonts w:ascii="SimSun" w:hAnsi="SimSun" w:cs="SimSun" w:hint="eastAsia"/>
          <w:kern w:val="22"/>
          <w:sz w:val="24"/>
          <w:szCs w:val="24"/>
          <w:lang w:eastAsia="zh-CN"/>
        </w:rPr>
        <w:t>在</w:t>
      </w:r>
      <w:r w:rsidR="005A15CC" w:rsidRPr="00D77FBE">
        <w:rPr>
          <w:rFonts w:ascii="SimSun" w:hAnsi="SimSun" w:cs="SimSun" w:hint="eastAsia"/>
          <w:kern w:val="22"/>
          <w:sz w:val="24"/>
          <w:szCs w:val="24"/>
          <w:lang w:eastAsia="zh-CN"/>
        </w:rPr>
        <w:t>缺乏</w:t>
      </w:r>
      <w:r w:rsidR="00A11624" w:rsidRPr="00D77FBE">
        <w:rPr>
          <w:rFonts w:ascii="SimSun" w:hAnsi="SimSun" w:cs="SimSun" w:hint="eastAsia"/>
          <w:kern w:val="22"/>
          <w:sz w:val="24"/>
          <w:szCs w:val="24"/>
          <w:lang w:eastAsia="zh-CN"/>
        </w:rPr>
        <w:t>这个行业</w:t>
      </w:r>
      <w:r w:rsidR="005A15CC">
        <w:rPr>
          <w:rFonts w:ascii="SimSun" w:hAnsi="SimSun" w:cs="SimSun" w:hint="eastAsia"/>
          <w:kern w:val="22"/>
          <w:sz w:val="24"/>
          <w:szCs w:val="24"/>
          <w:lang w:eastAsia="zh-CN"/>
        </w:rPr>
        <w:t>的</w:t>
      </w:r>
      <w:r w:rsidR="00A11624" w:rsidRPr="00D77FBE">
        <w:rPr>
          <w:rFonts w:ascii="SimSun" w:hAnsi="SimSun" w:cs="SimSun" w:hint="eastAsia"/>
          <w:kern w:val="22"/>
          <w:sz w:val="24"/>
          <w:szCs w:val="24"/>
          <w:lang w:eastAsia="zh-CN"/>
        </w:rPr>
        <w:t>专业知识时，这可</w:t>
      </w:r>
      <w:r w:rsidR="005A15CC">
        <w:rPr>
          <w:rFonts w:ascii="SimSun" w:hAnsi="SimSun" w:cs="SimSun" w:hint="eastAsia"/>
          <w:kern w:val="22"/>
          <w:sz w:val="24"/>
          <w:szCs w:val="24"/>
          <w:lang w:eastAsia="zh-CN"/>
        </w:rPr>
        <w:t>以是一</w:t>
      </w:r>
      <w:r w:rsidR="00C23DFA">
        <w:rPr>
          <w:rFonts w:ascii="SimSun" w:hAnsi="SimSun" w:cs="SimSun" w:hint="eastAsia"/>
          <w:kern w:val="22"/>
          <w:sz w:val="24"/>
          <w:szCs w:val="24"/>
          <w:lang w:eastAsia="zh-CN"/>
        </w:rPr>
        <w:t>种</w:t>
      </w:r>
      <w:r w:rsidR="00A11624" w:rsidRPr="00D77FBE">
        <w:rPr>
          <w:rFonts w:ascii="SimSun" w:hAnsi="SimSun" w:cs="SimSun" w:hint="eastAsia"/>
          <w:kern w:val="22"/>
          <w:sz w:val="24"/>
          <w:szCs w:val="24"/>
          <w:lang w:eastAsia="zh-CN"/>
        </w:rPr>
        <w:t>挑战。同样，在制定</w:t>
      </w:r>
      <w:r w:rsidR="005A15CC">
        <w:rPr>
          <w:rFonts w:ascii="SimSun" w:hAnsi="SimSun" w:cs="SimSun" w:hint="eastAsia"/>
          <w:kern w:val="22"/>
          <w:sz w:val="24"/>
          <w:szCs w:val="24"/>
          <w:lang w:eastAsia="zh-CN"/>
        </w:rPr>
        <w:t>地方</w:t>
      </w:r>
      <w:r w:rsidR="00A11624" w:rsidRPr="00D77FBE">
        <w:rPr>
          <w:rFonts w:ascii="SimSun" w:hAnsi="SimSun" w:cs="SimSun" w:hint="eastAsia"/>
          <w:kern w:val="22"/>
          <w:sz w:val="24"/>
          <w:szCs w:val="24"/>
          <w:lang w:eastAsia="zh-CN"/>
        </w:rPr>
        <w:t>立法方面可能存在一些问题，这些立法补充了联邦制度中仅覆盖最低标准或排除监测等</w:t>
      </w:r>
      <w:r w:rsidR="00B21C04">
        <w:rPr>
          <w:rFonts w:ascii="SimSun" w:hAnsi="SimSun" w:cs="SimSun" w:hint="eastAsia"/>
          <w:kern w:val="22"/>
          <w:sz w:val="24"/>
          <w:szCs w:val="24"/>
          <w:lang w:eastAsia="zh-CN"/>
        </w:rPr>
        <w:t>重要内容</w:t>
      </w:r>
      <w:r w:rsidR="00A11624" w:rsidRPr="00D77FBE">
        <w:rPr>
          <w:rFonts w:ascii="SimSun" w:hAnsi="SimSun" w:cs="SimSun" w:hint="eastAsia"/>
          <w:kern w:val="22"/>
          <w:sz w:val="24"/>
          <w:szCs w:val="24"/>
          <w:lang w:eastAsia="zh-CN"/>
        </w:rPr>
        <w:t>的国家法律。特别是</w:t>
      </w:r>
      <w:r>
        <w:rPr>
          <w:rFonts w:ascii="SimSun" w:hAnsi="SimSun" w:cs="SimSun" w:hint="eastAsia"/>
          <w:kern w:val="22"/>
          <w:sz w:val="24"/>
          <w:szCs w:val="24"/>
          <w:lang w:eastAsia="zh-CN"/>
        </w:rPr>
        <w:t>采</w:t>
      </w:r>
      <w:r w:rsidR="00A11624" w:rsidRPr="00D77FBE">
        <w:rPr>
          <w:rFonts w:ascii="SimSun" w:hAnsi="SimSun" w:cs="SimSun" w:hint="eastAsia"/>
          <w:kern w:val="22"/>
          <w:sz w:val="24"/>
          <w:szCs w:val="24"/>
          <w:lang w:eastAsia="zh-CN"/>
        </w:rPr>
        <w:t>矿项目的许可通常</w:t>
      </w:r>
      <w:r w:rsidR="00C23DFA">
        <w:rPr>
          <w:rFonts w:ascii="SimSun" w:hAnsi="SimSun" w:cs="SimSun" w:hint="eastAsia"/>
          <w:kern w:val="22"/>
          <w:sz w:val="24"/>
          <w:szCs w:val="24"/>
          <w:lang w:eastAsia="zh-CN"/>
        </w:rPr>
        <w:t>发生</w:t>
      </w:r>
      <w:r w:rsidR="00A11624" w:rsidRPr="00D77FBE">
        <w:rPr>
          <w:rFonts w:ascii="SimSun" w:hAnsi="SimSun" w:cs="SimSun" w:hint="eastAsia"/>
          <w:kern w:val="22"/>
          <w:sz w:val="24"/>
          <w:szCs w:val="24"/>
          <w:lang w:eastAsia="zh-CN"/>
        </w:rPr>
        <w:t>在</w:t>
      </w:r>
      <w:r w:rsidR="00B21C04">
        <w:rPr>
          <w:rFonts w:ascii="SimSun" w:hAnsi="SimSun" w:cs="SimSun" w:hint="eastAsia"/>
          <w:kern w:val="22"/>
          <w:sz w:val="24"/>
          <w:szCs w:val="24"/>
          <w:lang w:eastAsia="zh-CN"/>
        </w:rPr>
        <w:t>地方</w:t>
      </w:r>
      <w:r w:rsidR="00C23DFA">
        <w:rPr>
          <w:rFonts w:ascii="SimSun" w:hAnsi="SimSun" w:cs="SimSun" w:hint="eastAsia"/>
          <w:kern w:val="22"/>
          <w:sz w:val="24"/>
          <w:szCs w:val="24"/>
          <w:lang w:eastAsia="zh-CN"/>
        </w:rPr>
        <w:t>一</w:t>
      </w:r>
      <w:r w:rsidR="00A11624" w:rsidRPr="00D77FBE">
        <w:rPr>
          <w:rFonts w:ascii="SimSun" w:hAnsi="SimSun" w:cs="SimSun" w:hint="eastAsia"/>
          <w:kern w:val="22"/>
          <w:sz w:val="24"/>
          <w:szCs w:val="24"/>
          <w:lang w:eastAsia="zh-CN"/>
        </w:rPr>
        <w:t>级。</w:t>
      </w:r>
      <w:r w:rsidR="00B21C04">
        <w:rPr>
          <w:rFonts w:ascii="SimSun" w:hAnsi="SimSun" w:cs="SimSun" w:hint="eastAsia"/>
          <w:kern w:val="22"/>
          <w:sz w:val="24"/>
          <w:szCs w:val="24"/>
          <w:lang w:eastAsia="zh-CN"/>
        </w:rPr>
        <w:t>缺乏执行力</w:t>
      </w:r>
      <w:r w:rsidR="00B21C04" w:rsidRPr="00D77FBE">
        <w:rPr>
          <w:rFonts w:ascii="SimSun" w:hAnsi="SimSun" w:cs="SimSun" w:hint="eastAsia"/>
          <w:kern w:val="22"/>
          <w:sz w:val="24"/>
          <w:szCs w:val="24"/>
          <w:lang w:eastAsia="zh-CN"/>
        </w:rPr>
        <w:t>可能是</w:t>
      </w:r>
      <w:r w:rsidR="00B21C04">
        <w:rPr>
          <w:rFonts w:ascii="SimSun" w:hAnsi="SimSun" w:cs="SimSun" w:hint="eastAsia"/>
          <w:kern w:val="22"/>
          <w:sz w:val="24"/>
          <w:szCs w:val="24"/>
          <w:lang w:eastAsia="zh-CN"/>
        </w:rPr>
        <w:t>对</w:t>
      </w:r>
      <w:r w:rsidR="00B21C04" w:rsidRPr="00D77FBE">
        <w:rPr>
          <w:rFonts w:ascii="SimSun" w:hAnsi="SimSun" w:cs="SimSun" w:hint="eastAsia"/>
          <w:kern w:val="22"/>
          <w:sz w:val="24"/>
          <w:szCs w:val="24"/>
          <w:lang w:eastAsia="zh-CN"/>
        </w:rPr>
        <w:t>有效执行政策和立法的严峻挑战。例如，许多能源和矿</w:t>
      </w:r>
      <w:r w:rsidR="00C23DFA">
        <w:rPr>
          <w:rFonts w:ascii="SimSun" w:hAnsi="SimSun" w:cs="SimSun" w:hint="eastAsia"/>
          <w:kern w:val="22"/>
          <w:sz w:val="24"/>
          <w:szCs w:val="24"/>
          <w:lang w:eastAsia="zh-CN"/>
        </w:rPr>
        <w:t>产</w:t>
      </w:r>
      <w:r>
        <w:rPr>
          <w:rFonts w:ascii="SimSun" w:hAnsi="SimSun" w:cs="SimSun" w:hint="eastAsia"/>
          <w:kern w:val="22"/>
          <w:sz w:val="24"/>
          <w:szCs w:val="24"/>
          <w:lang w:eastAsia="zh-CN"/>
        </w:rPr>
        <w:t>丰</w:t>
      </w:r>
      <w:r w:rsidR="00B21C04" w:rsidRPr="00D77FBE">
        <w:rPr>
          <w:rFonts w:ascii="SimSun" w:hAnsi="SimSun" w:cs="SimSun" w:hint="eastAsia"/>
          <w:kern w:val="22"/>
          <w:sz w:val="24"/>
          <w:szCs w:val="24"/>
          <w:lang w:eastAsia="zh-CN"/>
        </w:rPr>
        <w:t>富</w:t>
      </w:r>
      <w:r>
        <w:rPr>
          <w:rFonts w:ascii="SimSun" w:hAnsi="SimSun" w:cs="SimSun" w:hint="eastAsia"/>
          <w:kern w:val="22"/>
          <w:sz w:val="24"/>
          <w:szCs w:val="24"/>
          <w:lang w:eastAsia="zh-CN"/>
        </w:rPr>
        <w:t>的</w:t>
      </w:r>
      <w:r w:rsidR="00B21C04" w:rsidRPr="00D77FBE">
        <w:rPr>
          <w:rFonts w:ascii="SimSun" w:hAnsi="SimSun" w:cs="SimSun" w:hint="eastAsia"/>
          <w:kern w:val="22"/>
          <w:sz w:val="24"/>
          <w:szCs w:val="24"/>
          <w:lang w:eastAsia="zh-CN"/>
        </w:rPr>
        <w:t>国</w:t>
      </w:r>
      <w:r>
        <w:rPr>
          <w:rFonts w:ascii="SimSun" w:hAnsi="SimSun" w:cs="SimSun" w:hint="eastAsia"/>
          <w:kern w:val="22"/>
          <w:sz w:val="24"/>
          <w:szCs w:val="24"/>
          <w:lang w:eastAsia="zh-CN"/>
        </w:rPr>
        <w:t>家</w:t>
      </w:r>
      <w:r w:rsidR="00B21C04" w:rsidRPr="00D77FBE">
        <w:rPr>
          <w:rFonts w:ascii="SimSun" w:hAnsi="SimSun" w:cs="SimSun" w:hint="eastAsia"/>
          <w:kern w:val="22"/>
          <w:sz w:val="24"/>
          <w:szCs w:val="24"/>
          <w:lang w:eastAsia="zh-CN"/>
        </w:rPr>
        <w:t>政府部门和机构资源不足，缺乏有效</w:t>
      </w:r>
      <w:r w:rsidR="00B21C04">
        <w:rPr>
          <w:rFonts w:ascii="SimSun" w:hAnsi="SimSun" w:cs="SimSun" w:hint="eastAsia"/>
          <w:kern w:val="22"/>
          <w:sz w:val="24"/>
          <w:szCs w:val="24"/>
          <w:lang w:eastAsia="zh-CN"/>
        </w:rPr>
        <w:t>执行</w:t>
      </w:r>
      <w:r w:rsidR="00B21C04" w:rsidRPr="00D77FBE">
        <w:rPr>
          <w:rFonts w:ascii="SimSun" w:hAnsi="SimSun" w:cs="SimSun" w:hint="eastAsia"/>
          <w:kern w:val="22"/>
          <w:sz w:val="24"/>
          <w:szCs w:val="24"/>
          <w:lang w:eastAsia="zh-CN"/>
        </w:rPr>
        <w:t>立法的专业知识。在</w:t>
      </w:r>
      <w:r w:rsidR="00B21C04">
        <w:rPr>
          <w:rFonts w:ascii="SimSun" w:hAnsi="SimSun" w:cs="SimSun" w:hint="eastAsia"/>
          <w:kern w:val="22"/>
          <w:sz w:val="24"/>
          <w:szCs w:val="24"/>
          <w:lang w:eastAsia="zh-CN"/>
        </w:rPr>
        <w:t>原来</w:t>
      </w:r>
      <w:r w:rsidR="00B21C04" w:rsidRPr="00D77FBE">
        <w:rPr>
          <w:rFonts w:ascii="SimSun" w:hAnsi="SimSun" w:cs="SimSun" w:hint="eastAsia"/>
          <w:kern w:val="22"/>
          <w:sz w:val="24"/>
          <w:szCs w:val="24"/>
          <w:lang w:eastAsia="zh-CN"/>
        </w:rPr>
        <w:t>很少或</w:t>
      </w:r>
      <w:r w:rsidR="00B21C04">
        <w:rPr>
          <w:rFonts w:ascii="SimSun" w:hAnsi="SimSun" w:cs="SimSun" w:hint="eastAsia"/>
          <w:kern w:val="22"/>
          <w:sz w:val="24"/>
          <w:szCs w:val="24"/>
          <w:lang w:eastAsia="zh-CN"/>
        </w:rPr>
        <w:t>不存在</w:t>
      </w:r>
      <w:r w:rsidR="00B21C04" w:rsidRPr="00D77FBE">
        <w:rPr>
          <w:rFonts w:ascii="SimSun" w:hAnsi="SimSun" w:cs="SimSun" w:hint="eastAsia"/>
          <w:kern w:val="22"/>
          <w:sz w:val="24"/>
          <w:szCs w:val="24"/>
          <w:lang w:eastAsia="zh-CN"/>
        </w:rPr>
        <w:t>新兴行业经验的情况下，缺乏技术能力</w:t>
      </w:r>
      <w:r w:rsidR="00B21C04">
        <w:rPr>
          <w:rFonts w:ascii="SimSun" w:hAnsi="SimSun" w:cs="SimSun" w:hint="eastAsia"/>
          <w:kern w:val="22"/>
          <w:sz w:val="24"/>
          <w:szCs w:val="24"/>
          <w:lang w:eastAsia="zh-CN"/>
        </w:rPr>
        <w:t>尤其显著。</w:t>
      </w:r>
      <w:bookmarkStart w:id="8" w:name="_PLANNING_AND_ASSESSMENT"/>
      <w:bookmarkEnd w:id="8"/>
    </w:p>
    <w:p w14:paraId="544C378E" w14:textId="77777777" w:rsidR="00B60FA8" w:rsidRDefault="00A11624" w:rsidP="00B66243">
      <w:pPr>
        <w:pStyle w:val="Heading2"/>
        <w:numPr>
          <w:ilvl w:val="0"/>
          <w:numId w:val="22"/>
        </w:numPr>
        <w:suppressLineNumbers/>
        <w:tabs>
          <w:tab w:val="clear" w:pos="720"/>
        </w:tabs>
        <w:suppressAutoHyphens/>
        <w:kinsoku w:val="0"/>
        <w:overflowPunct w:val="0"/>
        <w:autoSpaceDE w:val="0"/>
        <w:autoSpaceDN w:val="0"/>
        <w:adjustRightInd w:val="0"/>
        <w:spacing w:line="240" w:lineRule="atLeast"/>
        <w:ind w:left="1276" w:hanging="425"/>
        <w:rPr>
          <w:rFonts w:ascii="SimSun" w:hAnsi="SimSun" w:cs="SimSun"/>
          <w:i w:val="0"/>
          <w:kern w:val="22"/>
        </w:rPr>
      </w:pPr>
      <w:r w:rsidRPr="00581DE5">
        <w:rPr>
          <w:rFonts w:ascii="SimSun" w:hAnsi="SimSun" w:cs="SimSun" w:hint="eastAsia"/>
          <w:i w:val="0"/>
          <w:kern w:val="22"/>
        </w:rPr>
        <w:t>政策层面的规划和评估：空间规划和战略环境评估</w:t>
      </w:r>
    </w:p>
    <w:p w14:paraId="0AFC30F1" w14:textId="77777777" w:rsidR="008D1EFE" w:rsidRPr="005C5493" w:rsidRDefault="008D1EFE" w:rsidP="00B66243">
      <w:pPr>
        <w:pStyle w:val="Heading3"/>
        <w:suppressLineNumbers/>
        <w:tabs>
          <w:tab w:val="clear" w:pos="567"/>
        </w:tabs>
        <w:suppressAutoHyphens/>
        <w:kinsoku w:val="0"/>
        <w:overflowPunct w:val="0"/>
        <w:autoSpaceDE w:val="0"/>
        <w:autoSpaceDN w:val="0"/>
        <w:adjustRightInd w:val="0"/>
        <w:spacing w:line="240" w:lineRule="atLeast"/>
        <w:rPr>
          <w:rFonts w:ascii="KaiTi" w:eastAsia="KaiTi" w:hAnsi="KaiTi"/>
          <w:kern w:val="22"/>
          <w:u w:val="none"/>
        </w:rPr>
      </w:pPr>
      <w:r w:rsidRPr="005C5493">
        <w:rPr>
          <w:rFonts w:ascii="KaiTi" w:eastAsia="KaiTi" w:hAnsi="KaiTi" w:hint="eastAsia"/>
          <w:kern w:val="22"/>
          <w:u w:val="none"/>
        </w:rPr>
        <w:t xml:space="preserve">1. </w:t>
      </w:r>
      <w:r w:rsidR="00AA1624" w:rsidRPr="005C5493">
        <w:rPr>
          <w:rFonts w:ascii="KaiTi" w:eastAsia="KaiTi" w:hAnsi="KaiTi" w:hint="eastAsia"/>
          <w:kern w:val="22"/>
          <w:u w:val="none"/>
        </w:rPr>
        <w:t>引言</w:t>
      </w:r>
    </w:p>
    <w:p w14:paraId="07EE37E4" w14:textId="77777777" w:rsidR="003A5B23" w:rsidRDefault="00A11624"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rFonts w:ascii="SimSun" w:hAnsi="SimSun" w:cs="SimSun"/>
          <w:kern w:val="22"/>
          <w:lang w:eastAsia="zh-CN"/>
        </w:rPr>
      </w:pPr>
      <w:r w:rsidRPr="00D77FBE">
        <w:rPr>
          <w:rFonts w:ascii="SimSun" w:hAnsi="SimSun" w:cs="SimSun" w:hint="eastAsia"/>
          <w:kern w:val="22"/>
          <w:sz w:val="24"/>
          <w:szCs w:val="24"/>
          <w:lang w:eastAsia="zh-CN"/>
        </w:rPr>
        <w:t>能源和采矿业的发展可</w:t>
      </w:r>
      <w:r w:rsidR="008D1EFE">
        <w:rPr>
          <w:rFonts w:ascii="SimSun" w:hAnsi="SimSun" w:cs="SimSun" w:hint="eastAsia"/>
          <w:kern w:val="22"/>
          <w:sz w:val="24"/>
          <w:szCs w:val="24"/>
          <w:lang w:eastAsia="zh-CN"/>
        </w:rPr>
        <w:t>以</w:t>
      </w:r>
      <w:r w:rsidRPr="00D77FBE">
        <w:rPr>
          <w:rFonts w:ascii="SimSun" w:hAnsi="SimSun" w:cs="SimSun" w:hint="eastAsia"/>
          <w:kern w:val="22"/>
          <w:sz w:val="24"/>
          <w:szCs w:val="24"/>
          <w:lang w:eastAsia="zh-CN"/>
        </w:rPr>
        <w:t>对</w:t>
      </w:r>
      <w:r w:rsidR="00581DE5">
        <w:rPr>
          <w:rFonts w:ascii="SimSun" w:hAnsi="SimSun" w:cs="SimSun" w:hint="eastAsia"/>
          <w:kern w:val="22"/>
          <w:sz w:val="24"/>
          <w:szCs w:val="24"/>
          <w:lang w:eastAsia="zh-CN"/>
        </w:rPr>
        <w:t>陆地</w:t>
      </w:r>
      <w:r w:rsidRPr="00D77FBE">
        <w:rPr>
          <w:rFonts w:ascii="SimSun" w:hAnsi="SimSun" w:cs="SimSun" w:hint="eastAsia"/>
          <w:kern w:val="22"/>
          <w:sz w:val="24"/>
          <w:szCs w:val="24"/>
          <w:lang w:eastAsia="zh-CN"/>
        </w:rPr>
        <w:t>和海</w:t>
      </w:r>
      <w:r w:rsidR="00581DE5">
        <w:rPr>
          <w:rFonts w:ascii="SimSun" w:hAnsi="SimSun" w:cs="SimSun" w:hint="eastAsia"/>
          <w:kern w:val="22"/>
          <w:sz w:val="24"/>
          <w:szCs w:val="24"/>
          <w:lang w:eastAsia="zh-CN"/>
        </w:rPr>
        <w:t>洋</w:t>
      </w:r>
      <w:r w:rsidRPr="00D77FBE">
        <w:rPr>
          <w:rFonts w:ascii="SimSun" w:hAnsi="SimSun" w:cs="SimSun" w:hint="eastAsia"/>
          <w:kern w:val="22"/>
          <w:sz w:val="24"/>
          <w:szCs w:val="24"/>
          <w:lang w:eastAsia="zh-CN"/>
        </w:rPr>
        <w:t>景</w:t>
      </w:r>
      <w:r w:rsidR="00581DE5">
        <w:rPr>
          <w:rFonts w:ascii="SimSun" w:hAnsi="SimSun" w:cs="SimSun" w:hint="eastAsia"/>
          <w:kern w:val="22"/>
          <w:sz w:val="24"/>
          <w:szCs w:val="24"/>
          <w:lang w:eastAsia="zh-CN"/>
        </w:rPr>
        <w:t>观</w:t>
      </w:r>
      <w:r w:rsidRPr="00D77FBE">
        <w:rPr>
          <w:rFonts w:ascii="SimSun" w:hAnsi="SimSun" w:cs="SimSun" w:hint="eastAsia"/>
          <w:kern w:val="22"/>
          <w:sz w:val="24"/>
          <w:szCs w:val="24"/>
          <w:lang w:eastAsia="zh-CN"/>
        </w:rPr>
        <w:t>产生变革性影响，推动其他经济部门的增长和人口向相关地区的大</w:t>
      </w:r>
      <w:r w:rsidR="00581DE5">
        <w:rPr>
          <w:rFonts w:ascii="SimSun" w:hAnsi="SimSun" w:cs="SimSun" w:hint="eastAsia"/>
          <w:kern w:val="22"/>
          <w:sz w:val="24"/>
          <w:szCs w:val="24"/>
          <w:lang w:eastAsia="zh-CN"/>
        </w:rPr>
        <w:t>规模迁徙</w:t>
      </w:r>
      <w:r w:rsidRPr="00D77FBE">
        <w:rPr>
          <w:rFonts w:ascii="SimSun" w:hAnsi="SimSun" w:cs="SimSun" w:hint="eastAsia"/>
          <w:kern w:val="22"/>
          <w:sz w:val="24"/>
          <w:szCs w:val="24"/>
          <w:lang w:eastAsia="zh-CN"/>
        </w:rPr>
        <w:t>。</w:t>
      </w:r>
      <w:r w:rsidR="006E0E30" w:rsidRPr="00D77FBE">
        <w:rPr>
          <w:rFonts w:ascii="SimSun" w:hAnsi="SimSun" w:cs="SimSun" w:hint="eastAsia"/>
          <w:kern w:val="22"/>
          <w:sz w:val="24"/>
          <w:szCs w:val="24"/>
          <w:lang w:eastAsia="zh-CN"/>
        </w:rPr>
        <w:t>因此，</w:t>
      </w:r>
      <w:r w:rsidR="003A5B23">
        <w:rPr>
          <w:rFonts w:ascii="SimSun" w:hAnsi="SimSun" w:cs="SimSun" w:hint="eastAsia"/>
          <w:kern w:val="22"/>
          <w:sz w:val="24"/>
          <w:szCs w:val="24"/>
          <w:lang w:eastAsia="zh-CN"/>
        </w:rPr>
        <w:t>必须制定</w:t>
      </w:r>
      <w:r w:rsidR="008D1EFE">
        <w:rPr>
          <w:rFonts w:ascii="SimSun" w:hAnsi="SimSun" w:cs="SimSun" w:hint="eastAsia"/>
          <w:kern w:val="22"/>
          <w:sz w:val="24"/>
          <w:szCs w:val="24"/>
          <w:lang w:eastAsia="zh-CN"/>
        </w:rPr>
        <w:t>超越</w:t>
      </w:r>
      <w:r w:rsidR="008D1EFE" w:rsidRPr="00D77FBE">
        <w:rPr>
          <w:rFonts w:ascii="SimSun" w:hAnsi="SimSun" w:cs="SimSun" w:hint="eastAsia"/>
          <w:kern w:val="22"/>
          <w:sz w:val="24"/>
          <w:szCs w:val="24"/>
          <w:lang w:eastAsia="zh-CN"/>
        </w:rPr>
        <w:t>个别项目规模</w:t>
      </w:r>
      <w:r w:rsidR="008D1EFE">
        <w:rPr>
          <w:rFonts w:ascii="SimSun" w:hAnsi="SimSun" w:cs="SimSun" w:hint="eastAsia"/>
          <w:kern w:val="22"/>
          <w:sz w:val="24"/>
          <w:szCs w:val="24"/>
          <w:lang w:eastAsia="zh-CN"/>
        </w:rPr>
        <w:t>的</w:t>
      </w:r>
      <w:r w:rsidR="003A5B23" w:rsidRPr="00D77FBE">
        <w:rPr>
          <w:rFonts w:ascii="SimSun" w:hAnsi="SimSun" w:cs="SimSun" w:hint="eastAsia"/>
          <w:kern w:val="22"/>
          <w:sz w:val="24"/>
          <w:szCs w:val="24"/>
          <w:lang w:eastAsia="zh-CN"/>
        </w:rPr>
        <w:t>区域</w:t>
      </w:r>
      <w:r w:rsidR="003A5B23">
        <w:rPr>
          <w:rFonts w:ascii="SimSun" w:hAnsi="SimSun" w:cs="SimSun" w:hint="eastAsia"/>
          <w:kern w:val="22"/>
          <w:sz w:val="24"/>
          <w:szCs w:val="24"/>
          <w:lang w:eastAsia="zh-CN"/>
        </w:rPr>
        <w:t>性</w:t>
      </w:r>
      <w:r w:rsidR="003A5B23" w:rsidRPr="00D77FBE">
        <w:rPr>
          <w:rFonts w:ascii="SimSun" w:hAnsi="SimSun" w:cs="SimSun" w:hint="eastAsia"/>
          <w:kern w:val="22"/>
          <w:sz w:val="24"/>
          <w:szCs w:val="24"/>
          <w:lang w:eastAsia="zh-CN"/>
        </w:rPr>
        <w:t>战略规划，并在进行重大投资前确保该部门的整体发展考虑</w:t>
      </w:r>
      <w:r w:rsidR="003A5B23">
        <w:rPr>
          <w:rFonts w:ascii="SimSun" w:hAnsi="SimSun" w:cs="SimSun" w:hint="eastAsia"/>
          <w:kern w:val="22"/>
          <w:sz w:val="24"/>
          <w:szCs w:val="24"/>
          <w:lang w:eastAsia="zh-CN"/>
        </w:rPr>
        <w:t>到</w:t>
      </w:r>
      <w:r w:rsidR="003A5B23" w:rsidRPr="00D77FBE">
        <w:rPr>
          <w:rFonts w:ascii="SimSun" w:hAnsi="SimSun" w:cs="SimSun" w:hint="eastAsia"/>
          <w:kern w:val="22"/>
          <w:sz w:val="24"/>
          <w:szCs w:val="24"/>
          <w:lang w:eastAsia="zh-CN"/>
        </w:rPr>
        <w:t>生物多样性和生态系统服务成</w:t>
      </w:r>
      <w:r w:rsidR="003A5B23">
        <w:rPr>
          <w:rFonts w:ascii="SimSun" w:hAnsi="SimSun" w:cs="SimSun" w:hint="eastAsia"/>
          <w:kern w:val="22"/>
          <w:sz w:val="24"/>
          <w:szCs w:val="24"/>
          <w:lang w:eastAsia="zh-CN"/>
        </w:rPr>
        <w:t>果。</w:t>
      </w:r>
      <w:r w:rsidR="003A5B23" w:rsidRPr="00C64F18">
        <w:rPr>
          <w:kern w:val="22"/>
          <w:lang w:eastAsia="zh-CN"/>
        </w:rPr>
        <w:t xml:space="preserve"> </w:t>
      </w:r>
    </w:p>
    <w:p w14:paraId="58E2CAFE" w14:textId="77777777" w:rsidR="003A5B23" w:rsidRPr="005C5493" w:rsidRDefault="003A5B23" w:rsidP="00B66243">
      <w:pPr>
        <w:pStyle w:val="Heading3"/>
        <w:suppressLineNumbers/>
        <w:tabs>
          <w:tab w:val="clear" w:pos="567"/>
        </w:tabs>
        <w:suppressAutoHyphens/>
        <w:kinsoku w:val="0"/>
        <w:overflowPunct w:val="0"/>
        <w:autoSpaceDE w:val="0"/>
        <w:autoSpaceDN w:val="0"/>
        <w:adjustRightInd w:val="0"/>
        <w:spacing w:line="240" w:lineRule="atLeast"/>
        <w:rPr>
          <w:rFonts w:ascii="KaiTi" w:eastAsia="KaiTi" w:hAnsi="KaiTi"/>
          <w:kern w:val="22"/>
          <w:u w:val="none"/>
        </w:rPr>
      </w:pPr>
      <w:r w:rsidRPr="005C5493">
        <w:rPr>
          <w:rFonts w:ascii="KaiTi" w:eastAsia="KaiTi" w:hAnsi="KaiTi"/>
          <w:kern w:val="22"/>
          <w:u w:val="none"/>
        </w:rPr>
        <w:t>2.</w:t>
      </w:r>
      <w:r w:rsidR="008D1EFE" w:rsidRPr="005C5493">
        <w:rPr>
          <w:rFonts w:ascii="KaiTi" w:eastAsia="KaiTi" w:hAnsi="KaiTi" w:hint="eastAsia"/>
          <w:kern w:val="22"/>
          <w:u w:val="none"/>
        </w:rPr>
        <w:t xml:space="preserve"> </w:t>
      </w:r>
      <w:r w:rsidR="005C5493">
        <w:rPr>
          <w:rFonts w:ascii="KaiTi" w:eastAsia="KaiTi" w:hAnsi="KaiTi" w:hint="eastAsia"/>
          <w:kern w:val="22"/>
          <w:u w:val="none"/>
        </w:rPr>
        <w:t>部分现行方法</w:t>
      </w:r>
      <w:r w:rsidRPr="005C5493">
        <w:rPr>
          <w:rFonts w:ascii="KaiTi" w:eastAsia="KaiTi" w:hAnsi="KaiTi" w:cs="SimSun" w:hint="eastAsia"/>
          <w:kern w:val="22"/>
          <w:u w:val="none"/>
        </w:rPr>
        <w:t>、标准和良好做法</w:t>
      </w:r>
    </w:p>
    <w:p w14:paraId="0F924FB6" w14:textId="77777777" w:rsidR="00A11624" w:rsidRPr="003A5B23" w:rsidRDefault="00A11624"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lang w:eastAsia="zh-CN"/>
        </w:rPr>
      </w:pPr>
      <w:r w:rsidRPr="003A5B23">
        <w:rPr>
          <w:rFonts w:ascii="SimSun" w:hAnsi="SimSun" w:cs="SimSun" w:hint="eastAsia"/>
          <w:kern w:val="22"/>
          <w:sz w:val="24"/>
          <w:szCs w:val="24"/>
          <w:lang w:eastAsia="zh-CN"/>
        </w:rPr>
        <w:t>在这方面的一个关键工具是采矿和能源政策</w:t>
      </w:r>
      <w:r w:rsidR="001C172A" w:rsidRPr="003A5B23">
        <w:rPr>
          <w:rFonts w:ascii="SimSun" w:hAnsi="SimSun" w:cs="SimSun" w:hint="eastAsia"/>
          <w:kern w:val="22"/>
          <w:sz w:val="24"/>
          <w:szCs w:val="24"/>
          <w:lang w:eastAsia="zh-CN"/>
        </w:rPr>
        <w:t>、</w:t>
      </w:r>
      <w:r w:rsidRPr="003A5B23">
        <w:rPr>
          <w:rFonts w:ascii="SimSun" w:hAnsi="SimSun" w:cs="SimSun" w:hint="eastAsia"/>
          <w:kern w:val="22"/>
          <w:sz w:val="24"/>
          <w:szCs w:val="24"/>
          <w:lang w:eastAsia="zh-CN"/>
        </w:rPr>
        <w:t>计划和方案的战略环境评估。这些评估有助于解决累积影响并指导</w:t>
      </w:r>
      <w:r w:rsidR="00A65DCE">
        <w:rPr>
          <w:rFonts w:ascii="SimSun" w:hAnsi="SimSun" w:cs="SimSun" w:hint="eastAsia"/>
          <w:kern w:val="22"/>
          <w:sz w:val="24"/>
          <w:szCs w:val="24"/>
          <w:lang w:eastAsia="zh-CN"/>
        </w:rPr>
        <w:t>开</w:t>
      </w:r>
      <w:r w:rsidRPr="003A5B23">
        <w:rPr>
          <w:rFonts w:ascii="SimSun" w:hAnsi="SimSun" w:cs="SimSun" w:hint="eastAsia"/>
          <w:kern w:val="22"/>
          <w:sz w:val="24"/>
          <w:szCs w:val="24"/>
          <w:lang w:eastAsia="zh-CN"/>
        </w:rPr>
        <w:t>发的许可程序，例如授予采矿特许权或确定</w:t>
      </w:r>
      <w:r w:rsidR="00C23DFA">
        <w:rPr>
          <w:rFonts w:ascii="SimSun" w:hAnsi="SimSun" w:cs="SimSun" w:hint="eastAsia"/>
          <w:kern w:val="22"/>
          <w:sz w:val="24"/>
          <w:szCs w:val="24"/>
          <w:lang w:eastAsia="zh-CN"/>
        </w:rPr>
        <w:t>规</w:t>
      </w:r>
      <w:r w:rsidRPr="003A5B23">
        <w:rPr>
          <w:rFonts w:ascii="SimSun" w:hAnsi="SimSun" w:cs="SimSun" w:hint="eastAsia"/>
          <w:kern w:val="22"/>
          <w:sz w:val="24"/>
          <w:szCs w:val="24"/>
          <w:lang w:eastAsia="zh-CN"/>
        </w:rPr>
        <w:t>定的手工和小规模采矿区。</w:t>
      </w:r>
      <w:r w:rsidR="00C23DFA">
        <w:rPr>
          <w:rFonts w:ascii="SimSun" w:hAnsi="SimSun" w:cs="SimSun" w:hint="eastAsia"/>
          <w:kern w:val="22"/>
          <w:sz w:val="24"/>
          <w:szCs w:val="24"/>
          <w:lang w:eastAsia="zh-CN"/>
        </w:rPr>
        <w:t>对</w:t>
      </w:r>
      <w:r w:rsidR="001C172A" w:rsidRPr="003A5B23">
        <w:rPr>
          <w:rFonts w:ascii="SimSun" w:hAnsi="SimSun" w:cs="SimSun" w:hint="eastAsia"/>
          <w:kern w:val="22"/>
          <w:sz w:val="24"/>
          <w:szCs w:val="24"/>
          <w:lang w:eastAsia="zh-CN"/>
        </w:rPr>
        <w:t>规划</w:t>
      </w:r>
      <w:r w:rsidR="00C23DFA">
        <w:rPr>
          <w:rFonts w:ascii="SimSun" w:hAnsi="SimSun" w:cs="SimSun" w:hint="eastAsia"/>
          <w:kern w:val="22"/>
          <w:sz w:val="24"/>
          <w:szCs w:val="24"/>
          <w:lang w:eastAsia="zh-CN"/>
        </w:rPr>
        <w:t>的</w:t>
      </w:r>
      <w:r w:rsidR="001C172A" w:rsidRPr="003A5B23">
        <w:rPr>
          <w:rFonts w:ascii="SimSun" w:hAnsi="SimSun" w:cs="SimSun" w:hint="eastAsia"/>
          <w:kern w:val="22"/>
          <w:sz w:val="24"/>
          <w:szCs w:val="24"/>
          <w:lang w:eastAsia="zh-CN"/>
        </w:rPr>
        <w:t>投资允许考虑替代品，以便从一开始就更好地避免或减轻影响。它还有助于确定可持续</w:t>
      </w:r>
      <w:r w:rsidR="00A65DCE">
        <w:rPr>
          <w:rFonts w:ascii="SimSun" w:hAnsi="SimSun" w:cs="SimSun" w:hint="eastAsia"/>
          <w:kern w:val="22"/>
          <w:sz w:val="24"/>
          <w:szCs w:val="24"/>
          <w:lang w:eastAsia="zh-CN"/>
        </w:rPr>
        <w:t>的</w:t>
      </w:r>
      <w:r w:rsidR="001C172A" w:rsidRPr="003A5B23">
        <w:rPr>
          <w:rFonts w:ascii="SimSun" w:hAnsi="SimSun" w:cs="SimSun" w:hint="eastAsia"/>
          <w:kern w:val="22"/>
          <w:sz w:val="24"/>
          <w:szCs w:val="24"/>
          <w:lang w:eastAsia="zh-CN"/>
        </w:rPr>
        <w:t>和影响较小的替代方案，例如考虑</w:t>
      </w:r>
      <w:r w:rsidR="001C172A" w:rsidRPr="003A5B23">
        <w:rPr>
          <w:rFonts w:ascii="Arial" w:hAnsi="Arial" w:cs="Arial"/>
          <w:color w:val="333333"/>
          <w:sz w:val="24"/>
          <w:szCs w:val="24"/>
          <w:shd w:val="clear" w:color="auto" w:fill="FFFFFF"/>
          <w:lang w:eastAsia="zh-CN"/>
        </w:rPr>
        <w:t>在一个河段</w:t>
      </w:r>
      <w:r w:rsidR="001C172A" w:rsidRPr="003A5B23">
        <w:rPr>
          <w:rFonts w:ascii="Arial" w:hAnsi="Arial" w:cs="Arial" w:hint="eastAsia"/>
          <w:color w:val="333333"/>
          <w:sz w:val="24"/>
          <w:szCs w:val="24"/>
          <w:shd w:val="clear" w:color="auto" w:fill="FFFFFF"/>
          <w:lang w:eastAsia="zh-CN"/>
        </w:rPr>
        <w:t>的</w:t>
      </w:r>
      <w:r w:rsidR="001C172A" w:rsidRPr="003A5B23">
        <w:rPr>
          <w:rFonts w:ascii="Arial" w:hAnsi="Arial" w:cs="Arial"/>
          <w:color w:val="333333"/>
          <w:sz w:val="24"/>
          <w:szCs w:val="24"/>
          <w:shd w:val="clear" w:color="auto" w:fill="FFFFFF"/>
          <w:lang w:eastAsia="zh-CN"/>
        </w:rPr>
        <w:t>一系列水电项</w:t>
      </w:r>
      <w:r w:rsidR="001C172A" w:rsidRPr="003A5B23">
        <w:rPr>
          <w:rFonts w:ascii="SimSun" w:hAnsi="SimSun" w:cs="SimSun" w:hint="eastAsia"/>
          <w:color w:val="333333"/>
          <w:sz w:val="24"/>
          <w:szCs w:val="24"/>
          <w:shd w:val="clear" w:color="auto" w:fill="FFFFFF"/>
          <w:lang w:eastAsia="zh-CN"/>
        </w:rPr>
        <w:t>目</w:t>
      </w:r>
      <w:r w:rsidR="001C172A" w:rsidRPr="003A5B23">
        <w:rPr>
          <w:rFonts w:ascii="SimSun" w:hAnsi="SimSun" w:cs="SimSun" w:hint="eastAsia"/>
          <w:kern w:val="22"/>
          <w:sz w:val="24"/>
          <w:szCs w:val="24"/>
          <w:lang w:eastAsia="zh-CN"/>
        </w:rPr>
        <w:t>的</w:t>
      </w:r>
      <w:r w:rsidR="008D1EFE">
        <w:rPr>
          <w:rFonts w:ascii="SimSun" w:hAnsi="SimSun" w:cs="SimSun" w:hint="eastAsia"/>
          <w:kern w:val="22"/>
          <w:sz w:val="24"/>
          <w:szCs w:val="24"/>
          <w:lang w:eastAsia="zh-CN"/>
        </w:rPr>
        <w:t>组</w:t>
      </w:r>
      <w:r w:rsidR="001C172A" w:rsidRPr="003A5B23">
        <w:rPr>
          <w:rFonts w:ascii="SimSun" w:hAnsi="SimSun" w:cs="SimSun" w:hint="eastAsia"/>
          <w:kern w:val="22"/>
          <w:sz w:val="24"/>
          <w:szCs w:val="24"/>
          <w:lang w:eastAsia="zh-CN"/>
        </w:rPr>
        <w:t>合能源</w:t>
      </w:r>
      <w:r w:rsidR="008D1EFE">
        <w:rPr>
          <w:rFonts w:hint="eastAsia"/>
          <w:kern w:val="22"/>
          <w:lang w:eastAsia="zh-CN"/>
        </w:rPr>
        <w:t>。</w:t>
      </w:r>
    </w:p>
    <w:p w14:paraId="7B08BFFF" w14:textId="77777777" w:rsidR="00A11624" w:rsidRPr="00C64F18" w:rsidRDefault="00A11624"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lang w:eastAsia="zh-CN"/>
        </w:rPr>
      </w:pPr>
      <w:r w:rsidRPr="00D77FBE">
        <w:rPr>
          <w:rFonts w:ascii="SimSun" w:hAnsi="SimSun" w:cs="SimSun" w:hint="eastAsia"/>
          <w:kern w:val="22"/>
          <w:sz w:val="24"/>
          <w:szCs w:val="24"/>
          <w:lang w:eastAsia="zh-CN"/>
        </w:rPr>
        <w:t>战略环境评估的一个重要部分是</w:t>
      </w:r>
      <w:r w:rsidR="008D1EFE">
        <w:rPr>
          <w:rFonts w:ascii="SimSun" w:hAnsi="SimSun" w:cs="SimSun" w:hint="eastAsia"/>
          <w:kern w:val="22"/>
          <w:sz w:val="24"/>
          <w:szCs w:val="24"/>
          <w:lang w:eastAsia="zh-CN"/>
        </w:rPr>
        <w:t>同</w:t>
      </w:r>
      <w:r w:rsidRPr="00D77FBE">
        <w:rPr>
          <w:rFonts w:ascii="SimSun" w:hAnsi="SimSun" w:cs="SimSun" w:hint="eastAsia"/>
          <w:kern w:val="22"/>
          <w:sz w:val="24"/>
          <w:szCs w:val="24"/>
          <w:lang w:eastAsia="zh-CN"/>
        </w:rPr>
        <w:t>包括土著人民</w:t>
      </w:r>
      <w:r w:rsidR="009C508C">
        <w:rPr>
          <w:rFonts w:ascii="SimSun" w:hAnsi="SimSun" w:cs="SimSun" w:hint="eastAsia"/>
          <w:kern w:val="22"/>
          <w:sz w:val="24"/>
          <w:szCs w:val="24"/>
          <w:lang w:eastAsia="zh-CN"/>
        </w:rPr>
        <w:t>和</w:t>
      </w:r>
      <w:r w:rsidRPr="00D77FBE">
        <w:rPr>
          <w:rFonts w:ascii="SimSun" w:hAnsi="SimSun" w:cs="SimSun" w:hint="eastAsia"/>
          <w:kern w:val="22"/>
          <w:sz w:val="24"/>
          <w:szCs w:val="24"/>
          <w:lang w:eastAsia="zh-CN"/>
        </w:rPr>
        <w:t>地方社区</w:t>
      </w:r>
      <w:r w:rsidR="009C508C">
        <w:rPr>
          <w:rFonts w:ascii="SimSun" w:hAnsi="SimSun" w:cs="SimSun" w:hint="eastAsia"/>
          <w:kern w:val="22"/>
          <w:sz w:val="24"/>
          <w:szCs w:val="24"/>
          <w:lang w:eastAsia="zh-CN"/>
        </w:rPr>
        <w:t>以及</w:t>
      </w:r>
      <w:r w:rsidRPr="00D77FBE">
        <w:rPr>
          <w:rFonts w:ascii="SimSun" w:hAnsi="SimSun" w:cs="SimSun" w:hint="eastAsia"/>
          <w:kern w:val="22"/>
          <w:sz w:val="24"/>
          <w:szCs w:val="24"/>
          <w:lang w:eastAsia="zh-CN"/>
        </w:rPr>
        <w:t>私营部门在内的利益</w:t>
      </w:r>
      <w:r w:rsidR="009C508C">
        <w:rPr>
          <w:rFonts w:ascii="SimSun" w:hAnsi="SimSun" w:cs="SimSun" w:hint="eastAsia"/>
          <w:kern w:val="22"/>
          <w:sz w:val="24"/>
          <w:szCs w:val="24"/>
          <w:lang w:eastAsia="zh-CN"/>
        </w:rPr>
        <w:t>悠</w:t>
      </w:r>
      <w:r w:rsidRPr="00D77FBE">
        <w:rPr>
          <w:rFonts w:ascii="SimSun" w:hAnsi="SimSun" w:cs="SimSun" w:hint="eastAsia"/>
          <w:kern w:val="22"/>
          <w:sz w:val="24"/>
          <w:szCs w:val="24"/>
          <w:lang w:eastAsia="zh-CN"/>
        </w:rPr>
        <w:t>关</w:t>
      </w:r>
      <w:r w:rsidR="009C508C">
        <w:rPr>
          <w:rFonts w:ascii="SimSun" w:hAnsi="SimSun" w:cs="SimSun" w:hint="eastAsia"/>
          <w:kern w:val="22"/>
          <w:sz w:val="24"/>
          <w:szCs w:val="24"/>
          <w:lang w:eastAsia="zh-CN"/>
        </w:rPr>
        <w:t>方</w:t>
      </w:r>
      <w:r w:rsidRPr="00D77FBE">
        <w:rPr>
          <w:rFonts w:ascii="SimSun" w:hAnsi="SimSun" w:cs="SimSun" w:hint="eastAsia"/>
          <w:kern w:val="22"/>
          <w:sz w:val="24"/>
          <w:szCs w:val="24"/>
          <w:lang w:eastAsia="zh-CN"/>
        </w:rPr>
        <w:t>进行磋商。</w:t>
      </w:r>
      <w:r w:rsidR="009C508C" w:rsidRPr="00D77FBE">
        <w:rPr>
          <w:rFonts w:ascii="SimSun" w:hAnsi="SimSun" w:cs="SimSun" w:hint="eastAsia"/>
          <w:kern w:val="22"/>
          <w:sz w:val="24"/>
          <w:szCs w:val="24"/>
          <w:lang w:eastAsia="zh-CN"/>
        </w:rPr>
        <w:t>因此，管理取决于绘制不同地</w:t>
      </w:r>
      <w:r w:rsidR="009C508C">
        <w:rPr>
          <w:rFonts w:ascii="SimSun" w:hAnsi="SimSun" w:cs="SimSun" w:hint="eastAsia"/>
          <w:kern w:val="22"/>
          <w:sz w:val="24"/>
          <w:szCs w:val="24"/>
          <w:lang w:eastAsia="zh-CN"/>
        </w:rPr>
        <w:t>方</w:t>
      </w:r>
      <w:r w:rsidR="009C508C" w:rsidRPr="00D77FBE">
        <w:rPr>
          <w:rFonts w:ascii="SimSun" w:hAnsi="SimSun" w:cs="SimSun" w:hint="eastAsia"/>
          <w:kern w:val="22"/>
          <w:sz w:val="24"/>
          <w:szCs w:val="24"/>
          <w:lang w:eastAsia="zh-CN"/>
        </w:rPr>
        <w:t>生态系统服务的用途和用户图，</w:t>
      </w:r>
      <w:r w:rsidR="00A32FA6">
        <w:rPr>
          <w:rFonts w:ascii="SimSun" w:hAnsi="SimSun" w:cs="SimSun" w:hint="eastAsia"/>
          <w:kern w:val="22"/>
          <w:sz w:val="24"/>
          <w:szCs w:val="24"/>
          <w:lang w:eastAsia="zh-CN"/>
        </w:rPr>
        <w:t>说明由</w:t>
      </w:r>
      <w:r w:rsidR="009C508C" w:rsidRPr="00D77FBE">
        <w:rPr>
          <w:rFonts w:ascii="SimSun" w:hAnsi="SimSun" w:cs="SimSun" w:hint="eastAsia"/>
          <w:kern w:val="22"/>
          <w:sz w:val="24"/>
          <w:szCs w:val="24"/>
          <w:lang w:eastAsia="zh-CN"/>
        </w:rPr>
        <w:t>气候变化和人口增长</w:t>
      </w:r>
      <w:r w:rsidR="00A32FA6">
        <w:rPr>
          <w:rFonts w:ascii="SimSun" w:hAnsi="SimSun" w:cs="SimSun" w:hint="eastAsia"/>
          <w:kern w:val="22"/>
          <w:sz w:val="24"/>
          <w:szCs w:val="24"/>
          <w:lang w:eastAsia="zh-CN"/>
        </w:rPr>
        <w:t>造成的</w:t>
      </w:r>
      <w:r w:rsidR="009C508C" w:rsidRPr="00D77FBE">
        <w:rPr>
          <w:rFonts w:ascii="SimSun" w:hAnsi="SimSun" w:cs="SimSun" w:hint="eastAsia"/>
          <w:kern w:val="22"/>
          <w:sz w:val="24"/>
          <w:szCs w:val="24"/>
          <w:lang w:eastAsia="zh-CN"/>
        </w:rPr>
        <w:t>生态系统服务</w:t>
      </w:r>
      <w:r w:rsidR="00A32FA6" w:rsidRPr="00D77FBE">
        <w:rPr>
          <w:rFonts w:ascii="SimSun" w:hAnsi="SimSun" w:cs="SimSun" w:hint="eastAsia"/>
          <w:kern w:val="22"/>
          <w:sz w:val="24"/>
          <w:szCs w:val="24"/>
          <w:lang w:eastAsia="zh-CN"/>
        </w:rPr>
        <w:t>未来</w:t>
      </w:r>
      <w:r w:rsidR="009C508C" w:rsidRPr="00D77FBE">
        <w:rPr>
          <w:rFonts w:ascii="SimSun" w:hAnsi="SimSun" w:cs="SimSun" w:hint="eastAsia"/>
          <w:kern w:val="22"/>
          <w:sz w:val="24"/>
          <w:szCs w:val="24"/>
          <w:lang w:eastAsia="zh-CN"/>
        </w:rPr>
        <w:t>的</w:t>
      </w:r>
      <w:r w:rsidR="00A32FA6" w:rsidRPr="00D77FBE">
        <w:rPr>
          <w:rFonts w:ascii="SimSun" w:hAnsi="SimSun" w:cs="SimSun" w:hint="eastAsia"/>
          <w:kern w:val="22"/>
          <w:sz w:val="24"/>
          <w:szCs w:val="24"/>
          <w:lang w:eastAsia="zh-CN"/>
        </w:rPr>
        <w:t>供</w:t>
      </w:r>
      <w:r w:rsidR="009C508C" w:rsidRPr="00D77FBE">
        <w:rPr>
          <w:rFonts w:ascii="SimSun" w:hAnsi="SimSun" w:cs="SimSun" w:hint="eastAsia"/>
          <w:kern w:val="22"/>
          <w:sz w:val="24"/>
          <w:szCs w:val="24"/>
          <w:lang w:eastAsia="zh-CN"/>
        </w:rPr>
        <w:t>求变化。例如，应考虑</w:t>
      </w:r>
      <w:r w:rsidR="00392EA2">
        <w:rPr>
          <w:rFonts w:ascii="SimSun" w:hAnsi="SimSun" w:cs="SimSun" w:hint="eastAsia"/>
          <w:kern w:val="22"/>
          <w:sz w:val="24"/>
          <w:szCs w:val="24"/>
          <w:lang w:eastAsia="zh-CN"/>
        </w:rPr>
        <w:t>到采矿的</w:t>
      </w:r>
      <w:r w:rsidR="00392EA2" w:rsidRPr="00D77FBE">
        <w:rPr>
          <w:rFonts w:ascii="SimSun" w:hAnsi="SimSun" w:cs="SimSun" w:hint="eastAsia"/>
          <w:kern w:val="22"/>
          <w:sz w:val="24"/>
          <w:szCs w:val="24"/>
          <w:lang w:eastAsia="zh-CN"/>
        </w:rPr>
        <w:t>道路</w:t>
      </w:r>
      <w:r w:rsidR="007F5D8A" w:rsidRPr="00D77FBE">
        <w:rPr>
          <w:rFonts w:ascii="SimSun" w:hAnsi="SimSun" w:cs="SimSun" w:hint="eastAsia"/>
          <w:kern w:val="22"/>
          <w:sz w:val="24"/>
          <w:szCs w:val="24"/>
          <w:lang w:eastAsia="zh-CN"/>
        </w:rPr>
        <w:t>改造</w:t>
      </w:r>
      <w:r w:rsidR="00392EA2">
        <w:rPr>
          <w:rFonts w:ascii="SimSun" w:hAnsi="SimSun" w:cs="SimSun" w:hint="eastAsia"/>
          <w:kern w:val="22"/>
          <w:sz w:val="24"/>
          <w:szCs w:val="24"/>
          <w:lang w:eastAsia="zh-CN"/>
        </w:rPr>
        <w:t>以及</w:t>
      </w:r>
      <w:r w:rsidR="00A32FA6" w:rsidRPr="00A32FA6">
        <w:rPr>
          <w:rFonts w:ascii="Arial" w:hAnsi="Arial" w:cs="Arial"/>
          <w:color w:val="333333"/>
          <w:sz w:val="24"/>
          <w:szCs w:val="24"/>
          <w:shd w:val="clear" w:color="auto" w:fill="FFFFFF"/>
          <w:lang w:eastAsia="zh-CN"/>
        </w:rPr>
        <w:t>高能源需求所需的水电站大</w:t>
      </w:r>
      <w:r w:rsidR="00A32FA6" w:rsidRPr="00A32FA6">
        <w:rPr>
          <w:rFonts w:ascii="SimSun" w:hAnsi="SimSun" w:cs="SimSun" w:hint="eastAsia"/>
          <w:color w:val="333333"/>
          <w:sz w:val="24"/>
          <w:szCs w:val="24"/>
          <w:shd w:val="clear" w:color="auto" w:fill="FFFFFF"/>
          <w:lang w:eastAsia="zh-CN"/>
        </w:rPr>
        <w:t>坝</w:t>
      </w:r>
      <w:r w:rsidR="00392EA2">
        <w:rPr>
          <w:rFonts w:ascii="SimSun" w:hAnsi="SimSun" w:cs="SimSun" w:hint="eastAsia"/>
          <w:color w:val="333333"/>
          <w:sz w:val="24"/>
          <w:szCs w:val="24"/>
          <w:shd w:val="clear" w:color="auto" w:fill="FFFFFF"/>
          <w:lang w:eastAsia="zh-CN"/>
        </w:rPr>
        <w:t>。</w:t>
      </w:r>
    </w:p>
    <w:p w14:paraId="19BA9366" w14:textId="77777777" w:rsidR="00A11624" w:rsidRPr="00C64F18" w:rsidRDefault="00A11624"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lang w:eastAsia="zh-CN"/>
        </w:rPr>
      </w:pPr>
      <w:r w:rsidRPr="00D77FBE">
        <w:rPr>
          <w:rFonts w:ascii="SimSun" w:hAnsi="SimSun" w:cs="SimSun" w:hint="eastAsia"/>
          <w:kern w:val="22"/>
          <w:sz w:val="24"/>
          <w:szCs w:val="24"/>
          <w:lang w:eastAsia="zh-CN"/>
        </w:rPr>
        <w:t>良好做法的战略环境评估应考虑</w:t>
      </w:r>
      <w:r w:rsidR="00A65DCE">
        <w:rPr>
          <w:rFonts w:ascii="SimSun" w:hAnsi="SimSun" w:cs="SimSun" w:hint="eastAsia"/>
          <w:kern w:val="22"/>
          <w:sz w:val="24"/>
          <w:szCs w:val="24"/>
          <w:lang w:eastAsia="zh-CN"/>
        </w:rPr>
        <w:t>到</w:t>
      </w:r>
      <w:r w:rsidRPr="00D77FBE">
        <w:rPr>
          <w:rFonts w:ascii="SimSun" w:hAnsi="SimSun" w:cs="SimSun" w:hint="eastAsia"/>
          <w:kern w:val="22"/>
          <w:sz w:val="24"/>
          <w:szCs w:val="24"/>
          <w:lang w:eastAsia="zh-CN"/>
        </w:rPr>
        <w:t>可持续发展的各种情景</w:t>
      </w:r>
      <w:r w:rsidR="000F4618">
        <w:rPr>
          <w:rFonts w:ascii="SimSun" w:hAnsi="SimSun" w:cs="SimSun" w:hint="eastAsia"/>
          <w:kern w:val="22"/>
          <w:sz w:val="24"/>
          <w:szCs w:val="24"/>
          <w:lang w:eastAsia="zh-CN"/>
        </w:rPr>
        <w:t>设想</w:t>
      </w:r>
      <w:r w:rsidRPr="00D77FBE">
        <w:rPr>
          <w:rFonts w:ascii="SimSun" w:hAnsi="SimSun" w:cs="SimSun" w:hint="eastAsia"/>
          <w:kern w:val="22"/>
          <w:sz w:val="24"/>
          <w:szCs w:val="24"/>
          <w:lang w:eastAsia="zh-CN"/>
        </w:rPr>
        <w:t>（包括能源和采矿项目），并就首选方案寻求共识（通过协商）。然后可以通过新的或修订的政策</w:t>
      </w:r>
      <w:r w:rsidR="00A65DCE">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计划或方案</w:t>
      </w:r>
      <w:r w:rsidR="00392EA2">
        <w:rPr>
          <w:rFonts w:ascii="SimSun" w:hAnsi="SimSun" w:cs="SimSun" w:hint="eastAsia"/>
          <w:kern w:val="22"/>
          <w:sz w:val="24"/>
          <w:szCs w:val="24"/>
          <w:lang w:eastAsia="zh-CN"/>
        </w:rPr>
        <w:t>体现</w:t>
      </w:r>
      <w:r w:rsidRPr="00D77FBE">
        <w:rPr>
          <w:rFonts w:ascii="SimSun" w:hAnsi="SimSun" w:cs="SimSun" w:hint="eastAsia"/>
          <w:kern w:val="22"/>
          <w:sz w:val="24"/>
          <w:szCs w:val="24"/>
          <w:lang w:eastAsia="zh-CN"/>
        </w:rPr>
        <w:t>商定的未来发展战略，并为将要</w:t>
      </w:r>
      <w:r w:rsidR="00A65DCE">
        <w:rPr>
          <w:rFonts w:ascii="SimSun" w:hAnsi="SimSun" w:cs="SimSun" w:hint="eastAsia"/>
          <w:kern w:val="22"/>
          <w:sz w:val="24"/>
          <w:szCs w:val="24"/>
          <w:lang w:eastAsia="zh-CN"/>
        </w:rPr>
        <w:t>执行</w:t>
      </w:r>
      <w:r w:rsidRPr="00D77FBE">
        <w:rPr>
          <w:rFonts w:ascii="SimSun" w:hAnsi="SimSun" w:cs="SimSun" w:hint="eastAsia"/>
          <w:kern w:val="22"/>
          <w:sz w:val="24"/>
          <w:szCs w:val="24"/>
          <w:lang w:eastAsia="zh-CN"/>
        </w:rPr>
        <w:t>的战略环境评估提供框架。例如，这可能包括</w:t>
      </w:r>
      <w:r w:rsidR="00A65DCE">
        <w:rPr>
          <w:rFonts w:ascii="SimSun" w:hAnsi="SimSun" w:cs="SimSun" w:hint="eastAsia"/>
          <w:kern w:val="22"/>
          <w:sz w:val="24"/>
          <w:szCs w:val="24"/>
          <w:lang w:eastAsia="zh-CN"/>
        </w:rPr>
        <w:t>禁止</w:t>
      </w:r>
      <w:r w:rsidRPr="00D77FBE">
        <w:rPr>
          <w:rFonts w:ascii="SimSun" w:hAnsi="SimSun" w:cs="SimSun" w:hint="eastAsia"/>
          <w:kern w:val="22"/>
          <w:sz w:val="24"/>
          <w:szCs w:val="24"/>
          <w:lang w:eastAsia="zh-CN"/>
        </w:rPr>
        <w:t>采矿的地区，或者所有能源项目都需要</w:t>
      </w:r>
      <w:r w:rsidR="00F80CC6">
        <w:rPr>
          <w:rFonts w:ascii="SimSun" w:hAnsi="SimSun" w:cs="SimSun" w:hint="eastAsia"/>
          <w:kern w:val="22"/>
          <w:sz w:val="24"/>
          <w:szCs w:val="24"/>
          <w:lang w:eastAsia="zh-CN"/>
        </w:rPr>
        <w:t>具有并</w:t>
      </w:r>
      <w:r w:rsidRPr="00D77FBE">
        <w:rPr>
          <w:rFonts w:ascii="SimSun" w:hAnsi="SimSun" w:cs="SimSun" w:hint="eastAsia"/>
          <w:kern w:val="22"/>
          <w:sz w:val="24"/>
          <w:szCs w:val="24"/>
          <w:lang w:eastAsia="zh-CN"/>
        </w:rPr>
        <w:t>执行</w:t>
      </w:r>
      <w:r w:rsidR="00F80CC6">
        <w:rPr>
          <w:rFonts w:hint="eastAsia"/>
          <w:kern w:val="22"/>
          <w:sz w:val="24"/>
          <w:szCs w:val="24"/>
          <w:lang w:eastAsia="zh-CN"/>
        </w:rPr>
        <w:t>“</w:t>
      </w:r>
      <w:r w:rsidRPr="00D77FBE">
        <w:rPr>
          <w:rFonts w:ascii="SimSun" w:hAnsi="SimSun" w:cs="SimSun" w:hint="eastAsia"/>
          <w:kern w:val="22"/>
          <w:sz w:val="24"/>
          <w:szCs w:val="24"/>
          <w:lang w:eastAsia="zh-CN"/>
        </w:rPr>
        <w:t>生物多样性行动计划</w:t>
      </w:r>
      <w:r w:rsidR="00F80CC6">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w:t>
      </w:r>
      <w:r w:rsidR="000F4618">
        <w:rPr>
          <w:rFonts w:ascii="SimSun" w:hAnsi="SimSun" w:cs="SimSun" w:hint="eastAsia"/>
          <w:kern w:val="22"/>
          <w:sz w:val="24"/>
          <w:szCs w:val="24"/>
          <w:lang w:eastAsia="zh-CN"/>
        </w:rPr>
        <w:t>而</w:t>
      </w:r>
      <w:r w:rsidR="00F80CC6" w:rsidRPr="00D77FBE">
        <w:rPr>
          <w:rFonts w:ascii="SimSun" w:hAnsi="SimSun" w:cs="SimSun" w:hint="eastAsia"/>
          <w:kern w:val="22"/>
          <w:sz w:val="24"/>
          <w:szCs w:val="24"/>
          <w:lang w:eastAsia="zh-CN"/>
        </w:rPr>
        <w:t>后，</w:t>
      </w:r>
      <w:r w:rsidR="007F5D8A">
        <w:rPr>
          <w:rFonts w:ascii="SimSun" w:hAnsi="SimSun" w:cs="SimSun" w:hint="eastAsia"/>
          <w:kern w:val="22"/>
          <w:sz w:val="24"/>
          <w:szCs w:val="24"/>
          <w:lang w:eastAsia="zh-CN"/>
        </w:rPr>
        <w:lastRenderedPageBreak/>
        <w:t>应以</w:t>
      </w:r>
      <w:r w:rsidR="00F80CC6" w:rsidRPr="00D77FBE">
        <w:rPr>
          <w:rFonts w:ascii="SimSun" w:hAnsi="SimSun" w:cs="SimSun" w:hint="eastAsia"/>
          <w:kern w:val="22"/>
          <w:sz w:val="24"/>
          <w:szCs w:val="24"/>
          <w:lang w:eastAsia="zh-CN"/>
        </w:rPr>
        <w:t>战略环境影响评估指导环境和社会影响评估</w:t>
      </w:r>
      <w:r w:rsidR="00F80CC6">
        <w:rPr>
          <w:rFonts w:ascii="SimSun" w:hAnsi="SimSun" w:cs="SimSun" w:hint="eastAsia"/>
          <w:kern w:val="22"/>
          <w:sz w:val="24"/>
          <w:szCs w:val="24"/>
          <w:lang w:eastAsia="zh-CN"/>
        </w:rPr>
        <w:t>进</w:t>
      </w:r>
      <w:r w:rsidR="00F80CC6" w:rsidRPr="00D77FBE">
        <w:rPr>
          <w:rFonts w:ascii="SimSun" w:hAnsi="SimSun" w:cs="SimSun" w:hint="eastAsia"/>
          <w:kern w:val="22"/>
          <w:sz w:val="24"/>
          <w:szCs w:val="24"/>
          <w:lang w:eastAsia="zh-CN"/>
        </w:rPr>
        <w:t>程。战略环境评估</w:t>
      </w:r>
      <w:r w:rsidR="007F5D8A">
        <w:rPr>
          <w:rFonts w:ascii="SimSun" w:hAnsi="SimSun" w:cs="SimSun" w:hint="eastAsia"/>
          <w:kern w:val="22"/>
          <w:sz w:val="24"/>
          <w:szCs w:val="24"/>
          <w:lang w:eastAsia="zh-CN"/>
        </w:rPr>
        <w:t>便利</w:t>
      </w:r>
      <w:r w:rsidR="00F80CC6" w:rsidRPr="00D77FBE">
        <w:rPr>
          <w:rFonts w:ascii="SimSun" w:hAnsi="SimSun" w:cs="SimSun" w:hint="eastAsia"/>
          <w:kern w:val="22"/>
          <w:sz w:val="24"/>
          <w:szCs w:val="24"/>
          <w:lang w:eastAsia="zh-CN"/>
        </w:rPr>
        <w:t>利益攸关方就生物多样性对生计和经济发展的价值进行公开和透明的社会辩论，因此战略环境评估的过程和结果都很重要</w:t>
      </w:r>
      <w:r w:rsidR="00F80CC6">
        <w:rPr>
          <w:rFonts w:ascii="SimSun" w:hAnsi="SimSun" w:cs="SimSun" w:hint="eastAsia"/>
          <w:kern w:val="22"/>
          <w:sz w:val="24"/>
          <w:szCs w:val="24"/>
          <w:lang w:eastAsia="zh-CN"/>
        </w:rPr>
        <w:t>。</w:t>
      </w:r>
    </w:p>
    <w:p w14:paraId="25B569FA" w14:textId="77777777" w:rsidR="00A11624" w:rsidRPr="00C64F18" w:rsidRDefault="00A11624"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lang w:eastAsia="zh-CN"/>
        </w:rPr>
      </w:pPr>
      <w:r w:rsidRPr="00D77FBE">
        <w:rPr>
          <w:rFonts w:ascii="SimSun" w:hAnsi="SimSun" w:cs="SimSun" w:hint="eastAsia"/>
          <w:kern w:val="22"/>
          <w:sz w:val="24"/>
          <w:szCs w:val="24"/>
          <w:lang w:eastAsia="zh-CN"/>
        </w:rPr>
        <w:t>这些评估需要包</w:t>
      </w:r>
      <w:r w:rsidR="007F5D8A">
        <w:rPr>
          <w:rFonts w:ascii="SimSun" w:hAnsi="SimSun" w:cs="SimSun" w:hint="eastAsia"/>
          <w:kern w:val="22"/>
          <w:sz w:val="24"/>
          <w:szCs w:val="24"/>
          <w:lang w:eastAsia="zh-CN"/>
        </w:rPr>
        <w:t>含</w:t>
      </w:r>
      <w:r w:rsidRPr="00D77FBE">
        <w:rPr>
          <w:rFonts w:ascii="SimSun" w:hAnsi="SimSun" w:cs="SimSun" w:hint="eastAsia"/>
          <w:kern w:val="22"/>
          <w:sz w:val="24"/>
          <w:szCs w:val="24"/>
          <w:lang w:eastAsia="zh-CN"/>
        </w:rPr>
        <w:t>生物多样性以及一系列环境</w:t>
      </w:r>
      <w:r w:rsidR="00F80CC6">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社会和经济考虑因素（包括累积影响），并以科学</w:t>
      </w:r>
      <w:r w:rsidR="007F5D8A">
        <w:rPr>
          <w:rFonts w:ascii="SimSun" w:hAnsi="SimSun" w:cs="SimSun" w:hint="eastAsia"/>
          <w:kern w:val="22"/>
          <w:sz w:val="24"/>
          <w:szCs w:val="24"/>
          <w:lang w:eastAsia="zh-CN"/>
        </w:rPr>
        <w:t>上</w:t>
      </w:r>
      <w:r w:rsidRPr="00D77FBE">
        <w:rPr>
          <w:rFonts w:ascii="SimSun" w:hAnsi="SimSun" w:cs="SimSun" w:hint="eastAsia"/>
          <w:kern w:val="22"/>
          <w:sz w:val="24"/>
          <w:szCs w:val="24"/>
          <w:lang w:eastAsia="zh-CN"/>
        </w:rPr>
        <w:t>严谨</w:t>
      </w:r>
      <w:r w:rsidR="007F5D8A">
        <w:rPr>
          <w:rFonts w:ascii="SimSun" w:hAnsi="SimSun" w:cs="SimSun" w:hint="eastAsia"/>
          <w:kern w:val="22"/>
          <w:sz w:val="24"/>
          <w:szCs w:val="24"/>
          <w:lang w:eastAsia="zh-CN"/>
        </w:rPr>
        <w:t>、</w:t>
      </w:r>
      <w:r w:rsidR="007F5D8A" w:rsidRPr="007F5D8A">
        <w:rPr>
          <w:rFonts w:ascii="Arial" w:hAnsi="Arial" w:cs="Arial"/>
          <w:color w:val="333333"/>
          <w:sz w:val="24"/>
          <w:szCs w:val="24"/>
          <w:shd w:val="clear" w:color="auto" w:fill="FFFFFF"/>
          <w:lang w:eastAsia="zh-CN"/>
        </w:rPr>
        <w:t>连贯、一致的方</w:t>
      </w:r>
      <w:r w:rsidR="007F5D8A" w:rsidRPr="007F5D8A">
        <w:rPr>
          <w:rFonts w:ascii="SimSun" w:hAnsi="SimSun" w:cs="SimSun" w:hint="eastAsia"/>
          <w:color w:val="333333"/>
          <w:sz w:val="24"/>
          <w:szCs w:val="24"/>
          <w:shd w:val="clear" w:color="auto" w:fill="FFFFFF"/>
          <w:lang w:eastAsia="zh-CN"/>
        </w:rPr>
        <w:t>式</w:t>
      </w:r>
      <w:r w:rsidRPr="007F5D8A">
        <w:rPr>
          <w:rFonts w:ascii="SimSun" w:hAnsi="SimSun" w:cs="SimSun" w:hint="eastAsia"/>
          <w:kern w:val="22"/>
          <w:sz w:val="24"/>
          <w:szCs w:val="24"/>
          <w:lang w:eastAsia="zh-CN"/>
        </w:rPr>
        <w:t>进行</w:t>
      </w:r>
      <w:r w:rsidRPr="00D77FBE">
        <w:rPr>
          <w:rFonts w:ascii="SimSun" w:hAnsi="SimSun" w:cs="SimSun" w:hint="eastAsia"/>
          <w:kern w:val="22"/>
          <w:sz w:val="24"/>
          <w:szCs w:val="24"/>
          <w:lang w:eastAsia="zh-CN"/>
        </w:rPr>
        <w:t>。</w:t>
      </w:r>
      <w:r w:rsidR="007F5D8A">
        <w:rPr>
          <w:rFonts w:ascii="SimSun" w:hAnsi="SimSun" w:cs="SimSun" w:hint="eastAsia"/>
          <w:kern w:val="22"/>
          <w:sz w:val="24"/>
          <w:szCs w:val="24"/>
          <w:lang w:eastAsia="zh-CN"/>
        </w:rPr>
        <w:t>评估</w:t>
      </w:r>
      <w:r w:rsidRPr="00D77FBE">
        <w:rPr>
          <w:rFonts w:ascii="SimSun" w:hAnsi="SimSun" w:cs="SimSun" w:hint="eastAsia"/>
          <w:kern w:val="22"/>
          <w:sz w:val="24"/>
          <w:szCs w:val="24"/>
          <w:lang w:eastAsia="zh-CN"/>
        </w:rPr>
        <w:t>还需要</w:t>
      </w:r>
      <w:r w:rsidR="007F5D8A">
        <w:rPr>
          <w:rFonts w:ascii="SimSun" w:hAnsi="SimSun" w:cs="SimSun" w:hint="eastAsia"/>
          <w:kern w:val="22"/>
          <w:sz w:val="24"/>
          <w:szCs w:val="24"/>
          <w:lang w:eastAsia="zh-CN"/>
        </w:rPr>
        <w:t>以</w:t>
      </w:r>
      <w:r w:rsidR="00F80CC6">
        <w:rPr>
          <w:rFonts w:ascii="SimSun" w:hAnsi="SimSun" w:cs="SimSun" w:hint="eastAsia"/>
          <w:kern w:val="22"/>
          <w:sz w:val="24"/>
          <w:szCs w:val="24"/>
          <w:lang w:eastAsia="zh-CN"/>
        </w:rPr>
        <w:t>有</w:t>
      </w:r>
      <w:r w:rsidRPr="00D77FBE">
        <w:rPr>
          <w:rFonts w:ascii="SimSun" w:hAnsi="SimSun" w:cs="SimSun" w:hint="eastAsia"/>
          <w:kern w:val="22"/>
          <w:sz w:val="24"/>
          <w:szCs w:val="24"/>
          <w:lang w:eastAsia="zh-CN"/>
        </w:rPr>
        <w:t>计划的迭代过程进行并定期更新。其中重要的部分是社区</w:t>
      </w:r>
      <w:r w:rsidR="00F80CC6">
        <w:rPr>
          <w:rFonts w:ascii="SimSun" w:hAnsi="SimSun" w:cs="SimSun" w:hint="eastAsia"/>
          <w:kern w:val="22"/>
          <w:sz w:val="24"/>
          <w:szCs w:val="24"/>
          <w:lang w:eastAsia="zh-CN"/>
        </w:rPr>
        <w:t>磋商</w:t>
      </w:r>
      <w:r w:rsidRPr="00D77FBE">
        <w:rPr>
          <w:rFonts w:ascii="SimSun" w:hAnsi="SimSun" w:cs="SimSun" w:hint="eastAsia"/>
          <w:kern w:val="22"/>
          <w:sz w:val="24"/>
          <w:szCs w:val="24"/>
          <w:lang w:eastAsia="zh-CN"/>
        </w:rPr>
        <w:t>。为了有效</w:t>
      </w:r>
      <w:r w:rsidR="007F5D8A">
        <w:rPr>
          <w:rFonts w:ascii="SimSun" w:hAnsi="SimSun" w:cs="SimSun" w:hint="eastAsia"/>
          <w:kern w:val="22"/>
          <w:sz w:val="24"/>
          <w:szCs w:val="24"/>
          <w:lang w:eastAsia="zh-CN"/>
        </w:rPr>
        <w:t>起见</w:t>
      </w:r>
      <w:r w:rsidRPr="00D77FBE">
        <w:rPr>
          <w:rFonts w:ascii="SimSun" w:hAnsi="SimSun" w:cs="SimSun" w:hint="eastAsia"/>
          <w:kern w:val="22"/>
          <w:sz w:val="24"/>
          <w:szCs w:val="24"/>
          <w:lang w:eastAsia="zh-CN"/>
        </w:rPr>
        <w:t>，应该</w:t>
      </w:r>
      <w:r w:rsidR="00F80CC6">
        <w:rPr>
          <w:rFonts w:ascii="SimSun" w:hAnsi="SimSun" w:cs="SimSun" w:hint="eastAsia"/>
          <w:kern w:val="22"/>
          <w:sz w:val="24"/>
          <w:szCs w:val="24"/>
          <w:lang w:eastAsia="zh-CN"/>
        </w:rPr>
        <w:t>有</w:t>
      </w:r>
      <w:r w:rsidRPr="00D77FBE">
        <w:rPr>
          <w:rFonts w:ascii="SimSun" w:hAnsi="SimSun" w:cs="SimSun" w:hint="eastAsia"/>
          <w:kern w:val="22"/>
          <w:sz w:val="24"/>
          <w:szCs w:val="24"/>
          <w:lang w:eastAsia="zh-CN"/>
        </w:rPr>
        <w:t>其他国家机构</w:t>
      </w:r>
      <w:r w:rsidR="007F5D8A">
        <w:rPr>
          <w:rFonts w:ascii="SimSun" w:hAnsi="SimSun" w:cs="SimSun" w:hint="eastAsia"/>
          <w:kern w:val="22"/>
          <w:sz w:val="24"/>
          <w:szCs w:val="24"/>
          <w:lang w:eastAsia="zh-CN"/>
        </w:rPr>
        <w:t>加入</w:t>
      </w:r>
      <w:r w:rsidRPr="00D77FBE">
        <w:rPr>
          <w:rFonts w:ascii="SimSun" w:hAnsi="SimSun" w:cs="SimSun" w:hint="eastAsia"/>
          <w:kern w:val="22"/>
          <w:sz w:val="24"/>
          <w:szCs w:val="24"/>
          <w:lang w:eastAsia="zh-CN"/>
        </w:rPr>
        <w:t>，特别是国家规划</w:t>
      </w:r>
      <w:r w:rsidR="00DC4B97">
        <w:rPr>
          <w:rFonts w:ascii="SimSun" w:hAnsi="SimSun" w:cs="SimSun" w:hint="eastAsia"/>
          <w:kern w:val="22"/>
          <w:sz w:val="24"/>
          <w:szCs w:val="24"/>
          <w:lang w:eastAsia="zh-CN"/>
        </w:rPr>
        <w:t>人员</w:t>
      </w:r>
      <w:r w:rsidRPr="00D77FBE">
        <w:rPr>
          <w:rFonts w:ascii="SimSun" w:hAnsi="SimSun" w:cs="SimSun" w:hint="eastAsia"/>
          <w:kern w:val="22"/>
          <w:sz w:val="24"/>
          <w:szCs w:val="24"/>
          <w:lang w:eastAsia="zh-CN"/>
        </w:rPr>
        <w:t>和财政部门</w:t>
      </w:r>
      <w:r w:rsidR="007F5D8A">
        <w:rPr>
          <w:rFonts w:ascii="SimSun" w:hAnsi="SimSun" w:cs="SimSun" w:hint="eastAsia"/>
          <w:kern w:val="22"/>
          <w:sz w:val="24"/>
          <w:szCs w:val="24"/>
          <w:lang w:eastAsia="zh-CN"/>
        </w:rPr>
        <w:t>。</w:t>
      </w:r>
    </w:p>
    <w:p w14:paraId="3BAF5EF5" w14:textId="77777777" w:rsidR="00A11624" w:rsidRPr="00C64F18" w:rsidRDefault="00A11624"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lang w:val="en-US" w:eastAsia="zh-CN"/>
        </w:rPr>
      </w:pPr>
      <w:r w:rsidRPr="00D77FBE">
        <w:rPr>
          <w:rFonts w:ascii="SimSun" w:hAnsi="SimSun" w:cs="SimSun" w:hint="eastAsia"/>
          <w:kern w:val="22"/>
          <w:sz w:val="24"/>
          <w:szCs w:val="24"/>
          <w:lang w:eastAsia="zh-CN"/>
        </w:rPr>
        <w:t>埃斯波公约战略环境评估基辅议定书认识到评估计划和方案的潜在影响的重要</w:t>
      </w:r>
      <w:r w:rsidR="007F5D8A">
        <w:rPr>
          <w:rFonts w:ascii="SimSun" w:hAnsi="SimSun" w:cs="SimSun" w:hint="eastAsia"/>
          <w:kern w:val="22"/>
          <w:sz w:val="24"/>
          <w:szCs w:val="24"/>
          <w:lang w:eastAsia="zh-CN"/>
        </w:rPr>
        <w:t>意义</w:t>
      </w:r>
      <w:r w:rsidRPr="00D77FBE">
        <w:rPr>
          <w:rFonts w:ascii="SimSun" w:hAnsi="SimSun" w:cs="SimSun" w:hint="eastAsia"/>
          <w:kern w:val="22"/>
          <w:sz w:val="24"/>
          <w:szCs w:val="24"/>
          <w:lang w:eastAsia="zh-CN"/>
        </w:rPr>
        <w:t>，要求签署国这样做。迄今为止，世界银行已经在矿</w:t>
      </w:r>
      <w:r w:rsidR="000F4618">
        <w:rPr>
          <w:rFonts w:ascii="SimSun" w:hAnsi="SimSun" w:cs="SimSun" w:hint="eastAsia"/>
          <w:kern w:val="22"/>
          <w:sz w:val="24"/>
          <w:szCs w:val="24"/>
          <w:lang w:eastAsia="zh-CN"/>
        </w:rPr>
        <w:t>物</w:t>
      </w:r>
      <w:r w:rsidRPr="00D77FBE">
        <w:rPr>
          <w:rFonts w:ascii="SimSun" w:hAnsi="SimSun" w:cs="SimSun" w:hint="eastAsia"/>
          <w:kern w:val="22"/>
          <w:sz w:val="24"/>
          <w:szCs w:val="24"/>
          <w:lang w:eastAsia="zh-CN"/>
        </w:rPr>
        <w:t>丰富的国家支持了一些战略环境和社会评估</w:t>
      </w:r>
      <w:r w:rsidR="007F5D8A">
        <w:rPr>
          <w:rFonts w:ascii="SimSun" w:hAnsi="SimSun" w:cs="SimSun" w:hint="eastAsia"/>
          <w:kern w:val="22"/>
          <w:sz w:val="24"/>
          <w:szCs w:val="24"/>
          <w:lang w:eastAsia="zh-CN"/>
        </w:rPr>
        <w:t>。</w:t>
      </w:r>
    </w:p>
    <w:p w14:paraId="51DAAD40" w14:textId="77777777" w:rsidR="00A11624" w:rsidRPr="00C64F18" w:rsidRDefault="00CA2724"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lang w:eastAsia="zh-CN"/>
        </w:rPr>
      </w:pPr>
      <w:r w:rsidRPr="00D77FBE">
        <w:rPr>
          <w:rFonts w:ascii="SimSun" w:hAnsi="SimSun" w:cs="SimSun" w:hint="eastAsia"/>
          <w:kern w:val="22"/>
          <w:sz w:val="24"/>
          <w:szCs w:val="24"/>
          <w:lang w:eastAsia="zh-CN"/>
        </w:rPr>
        <w:t>政府领导的</w:t>
      </w:r>
      <w:r w:rsidR="004030E0">
        <w:rPr>
          <w:rFonts w:ascii="SimSun" w:hAnsi="SimSun" w:cs="SimSun" w:hint="eastAsia"/>
          <w:kern w:val="22"/>
          <w:sz w:val="24"/>
          <w:szCs w:val="24"/>
          <w:lang w:eastAsia="zh-CN"/>
        </w:rPr>
        <w:t>跨行业的</w:t>
      </w:r>
      <w:r>
        <w:rPr>
          <w:rFonts w:ascii="SimSun" w:hAnsi="SimSun" w:cs="SimSun" w:hint="eastAsia"/>
          <w:kern w:val="22"/>
          <w:sz w:val="24"/>
          <w:szCs w:val="24"/>
          <w:lang w:eastAsia="zh-CN"/>
        </w:rPr>
        <w:t>陆地</w:t>
      </w:r>
      <w:r w:rsidR="00A11624" w:rsidRPr="00D77FBE">
        <w:rPr>
          <w:rFonts w:ascii="SimSun" w:hAnsi="SimSun" w:cs="SimSun" w:hint="eastAsia"/>
          <w:kern w:val="22"/>
          <w:sz w:val="24"/>
          <w:szCs w:val="24"/>
          <w:lang w:eastAsia="zh-CN"/>
        </w:rPr>
        <w:t>和</w:t>
      </w:r>
      <w:r w:rsidR="00A11624" w:rsidRPr="00D77FBE">
        <w:rPr>
          <w:kern w:val="22"/>
          <w:sz w:val="24"/>
          <w:szCs w:val="24"/>
          <w:lang w:eastAsia="zh-CN"/>
        </w:rPr>
        <w:t>/</w:t>
      </w:r>
      <w:r w:rsidR="00A11624" w:rsidRPr="00D77FBE">
        <w:rPr>
          <w:rFonts w:ascii="SimSun" w:hAnsi="SimSun" w:cs="SimSun" w:hint="eastAsia"/>
          <w:kern w:val="22"/>
          <w:sz w:val="24"/>
          <w:szCs w:val="24"/>
          <w:lang w:eastAsia="zh-CN"/>
        </w:rPr>
        <w:t>或</w:t>
      </w:r>
      <w:proofErr w:type="gramStart"/>
      <w:r w:rsidR="00A11624" w:rsidRPr="00D77FBE">
        <w:rPr>
          <w:rFonts w:ascii="SimSun" w:hAnsi="SimSun" w:cs="SimSun" w:hint="eastAsia"/>
          <w:kern w:val="22"/>
          <w:sz w:val="24"/>
          <w:szCs w:val="24"/>
          <w:lang w:eastAsia="zh-CN"/>
        </w:rPr>
        <w:t>海</w:t>
      </w:r>
      <w:r>
        <w:rPr>
          <w:rFonts w:ascii="SimSun" w:hAnsi="SimSun" w:cs="SimSun" w:hint="eastAsia"/>
          <w:kern w:val="22"/>
          <w:sz w:val="24"/>
          <w:szCs w:val="24"/>
          <w:lang w:eastAsia="zh-CN"/>
        </w:rPr>
        <w:t>洋</w:t>
      </w:r>
      <w:r w:rsidRPr="00D77FBE">
        <w:rPr>
          <w:rFonts w:ascii="SimSun" w:hAnsi="SimSun" w:cs="SimSun" w:hint="eastAsia"/>
          <w:kern w:val="22"/>
          <w:sz w:val="24"/>
          <w:szCs w:val="24"/>
          <w:lang w:eastAsia="zh-CN"/>
        </w:rPr>
        <w:t>级</w:t>
      </w:r>
      <w:proofErr w:type="gramEnd"/>
      <w:r w:rsidR="00A11624" w:rsidRPr="00D77FBE">
        <w:rPr>
          <w:rFonts w:ascii="SimSun" w:hAnsi="SimSun" w:cs="SimSun" w:hint="eastAsia"/>
          <w:kern w:val="22"/>
          <w:sz w:val="24"/>
          <w:szCs w:val="24"/>
          <w:lang w:eastAsia="zh-CN"/>
        </w:rPr>
        <w:t>景</w:t>
      </w:r>
      <w:r>
        <w:rPr>
          <w:rFonts w:ascii="SimSun" w:hAnsi="SimSun" w:cs="SimSun" w:hint="eastAsia"/>
          <w:kern w:val="22"/>
          <w:sz w:val="24"/>
          <w:szCs w:val="24"/>
          <w:lang w:eastAsia="zh-CN"/>
        </w:rPr>
        <w:t>观区域</w:t>
      </w:r>
      <w:r w:rsidR="00A11624" w:rsidRPr="00D77FBE">
        <w:rPr>
          <w:rFonts w:ascii="SimSun" w:hAnsi="SimSun" w:cs="SimSun" w:hint="eastAsia"/>
          <w:kern w:val="22"/>
          <w:sz w:val="24"/>
          <w:szCs w:val="24"/>
          <w:lang w:eastAsia="zh-CN"/>
        </w:rPr>
        <w:t>规划，将生物多样性和生态系统服务价值</w:t>
      </w:r>
      <w:r>
        <w:rPr>
          <w:rFonts w:ascii="SimSun" w:hAnsi="SimSun" w:cs="SimSun" w:hint="eastAsia"/>
          <w:kern w:val="22"/>
          <w:sz w:val="24"/>
          <w:szCs w:val="24"/>
          <w:lang w:eastAsia="zh-CN"/>
        </w:rPr>
        <w:t>纳入</w:t>
      </w:r>
      <w:r w:rsidR="00A11624" w:rsidRPr="00D77FBE">
        <w:rPr>
          <w:rFonts w:ascii="SimSun" w:hAnsi="SimSun" w:cs="SimSun" w:hint="eastAsia"/>
          <w:kern w:val="22"/>
          <w:sz w:val="24"/>
          <w:szCs w:val="24"/>
          <w:lang w:eastAsia="zh-CN"/>
        </w:rPr>
        <w:t>国家和</w:t>
      </w:r>
      <w:r>
        <w:rPr>
          <w:rFonts w:ascii="SimSun" w:hAnsi="SimSun" w:cs="SimSun" w:hint="eastAsia"/>
          <w:kern w:val="22"/>
          <w:sz w:val="24"/>
          <w:szCs w:val="24"/>
          <w:lang w:eastAsia="zh-CN"/>
        </w:rPr>
        <w:t>地方</w:t>
      </w:r>
      <w:r w:rsidR="00A11624" w:rsidRPr="00D77FBE">
        <w:rPr>
          <w:rFonts w:ascii="SimSun" w:hAnsi="SimSun" w:cs="SimSun" w:hint="eastAsia"/>
          <w:kern w:val="22"/>
          <w:sz w:val="24"/>
          <w:szCs w:val="24"/>
          <w:lang w:eastAsia="zh-CN"/>
        </w:rPr>
        <w:t>各级规划机制和政策</w:t>
      </w:r>
      <w:r w:rsidR="00A92B0E">
        <w:rPr>
          <w:rFonts w:ascii="SimSun" w:hAnsi="SimSun" w:cs="SimSun" w:hint="eastAsia"/>
          <w:kern w:val="22"/>
          <w:sz w:val="24"/>
          <w:szCs w:val="24"/>
          <w:lang w:eastAsia="zh-CN"/>
        </w:rPr>
        <w:t>并与之</w:t>
      </w:r>
      <w:r w:rsidR="00590D7E">
        <w:rPr>
          <w:rFonts w:ascii="SimSun" w:hAnsi="SimSun" w:cs="SimSun" w:hint="eastAsia"/>
          <w:kern w:val="22"/>
          <w:sz w:val="24"/>
          <w:szCs w:val="24"/>
          <w:lang w:eastAsia="zh-CN"/>
        </w:rPr>
        <w:t>相链接</w:t>
      </w:r>
      <w:r w:rsidR="00A11624" w:rsidRPr="00D77FBE">
        <w:rPr>
          <w:rFonts w:ascii="SimSun" w:hAnsi="SimSun" w:cs="SimSun" w:hint="eastAsia"/>
          <w:kern w:val="22"/>
          <w:sz w:val="24"/>
          <w:szCs w:val="24"/>
          <w:lang w:eastAsia="zh-CN"/>
        </w:rPr>
        <w:t>，是这项工作的一个关键部分。陆地和海洋领域的空间规划对于将多个部门整合到单一空间并避免</w:t>
      </w:r>
      <w:r w:rsidR="004030E0">
        <w:rPr>
          <w:rFonts w:ascii="SimSun" w:hAnsi="SimSun" w:cs="SimSun" w:hint="eastAsia"/>
          <w:kern w:val="22"/>
          <w:sz w:val="24"/>
          <w:szCs w:val="24"/>
          <w:lang w:eastAsia="zh-CN"/>
        </w:rPr>
        <w:t>同</w:t>
      </w:r>
      <w:r w:rsidR="00A11624" w:rsidRPr="00D77FBE">
        <w:rPr>
          <w:rFonts w:ascii="SimSun" w:hAnsi="SimSun" w:cs="SimSun" w:hint="eastAsia"/>
          <w:kern w:val="22"/>
          <w:sz w:val="24"/>
          <w:szCs w:val="24"/>
          <w:lang w:eastAsia="zh-CN"/>
        </w:rPr>
        <w:t>保护和社会考虑</w:t>
      </w:r>
      <w:r w:rsidR="00590D7E">
        <w:rPr>
          <w:rFonts w:ascii="SimSun" w:hAnsi="SimSun" w:cs="SimSun" w:hint="eastAsia"/>
          <w:kern w:val="22"/>
          <w:sz w:val="24"/>
          <w:szCs w:val="24"/>
          <w:lang w:eastAsia="zh-CN"/>
        </w:rPr>
        <w:t>因素</w:t>
      </w:r>
      <w:r w:rsidR="00A11624" w:rsidRPr="00D77FBE">
        <w:rPr>
          <w:rFonts w:ascii="SimSun" w:hAnsi="SimSun" w:cs="SimSun" w:hint="eastAsia"/>
          <w:kern w:val="22"/>
          <w:sz w:val="24"/>
          <w:szCs w:val="24"/>
          <w:lang w:eastAsia="zh-CN"/>
        </w:rPr>
        <w:t>（通常称为综合土地用</w:t>
      </w:r>
      <w:r w:rsidR="00590D7E">
        <w:rPr>
          <w:rFonts w:ascii="SimSun" w:hAnsi="SimSun" w:cs="SimSun" w:hint="eastAsia"/>
          <w:kern w:val="22"/>
          <w:sz w:val="24"/>
          <w:szCs w:val="24"/>
          <w:lang w:eastAsia="zh-CN"/>
        </w:rPr>
        <w:t>途</w:t>
      </w:r>
      <w:r w:rsidR="00A11624" w:rsidRPr="00D77FBE">
        <w:rPr>
          <w:rFonts w:ascii="SimSun" w:hAnsi="SimSun" w:cs="SimSun" w:hint="eastAsia"/>
          <w:kern w:val="22"/>
          <w:sz w:val="24"/>
          <w:szCs w:val="24"/>
          <w:lang w:eastAsia="zh-CN"/>
        </w:rPr>
        <w:t>和</w:t>
      </w:r>
      <w:r w:rsidR="00A11624" w:rsidRPr="00D77FBE">
        <w:rPr>
          <w:kern w:val="22"/>
          <w:sz w:val="24"/>
          <w:szCs w:val="24"/>
          <w:lang w:eastAsia="zh-CN"/>
        </w:rPr>
        <w:t>/</w:t>
      </w:r>
      <w:r w:rsidR="00A11624" w:rsidRPr="00D77FBE">
        <w:rPr>
          <w:rFonts w:ascii="SimSun" w:hAnsi="SimSun" w:cs="SimSun" w:hint="eastAsia"/>
          <w:kern w:val="22"/>
          <w:sz w:val="24"/>
          <w:szCs w:val="24"/>
          <w:lang w:eastAsia="zh-CN"/>
        </w:rPr>
        <w:t>或资源规划）</w:t>
      </w:r>
      <w:r w:rsidR="00545F6F">
        <w:rPr>
          <w:rFonts w:ascii="SimSun" w:hAnsi="SimSun" w:cs="SimSun" w:hint="eastAsia"/>
          <w:kern w:val="22"/>
          <w:sz w:val="24"/>
          <w:szCs w:val="24"/>
          <w:lang w:eastAsia="zh-CN"/>
        </w:rPr>
        <w:t>发生</w:t>
      </w:r>
      <w:proofErr w:type="gramStart"/>
      <w:r w:rsidR="00A11624" w:rsidRPr="00D77FBE">
        <w:rPr>
          <w:rFonts w:ascii="SimSun" w:hAnsi="SimSun" w:cs="SimSun" w:hint="eastAsia"/>
          <w:kern w:val="22"/>
          <w:sz w:val="24"/>
          <w:szCs w:val="24"/>
          <w:lang w:eastAsia="zh-CN"/>
        </w:rPr>
        <w:t>冲突</w:t>
      </w:r>
      <w:r w:rsidR="00545F6F">
        <w:rPr>
          <w:rFonts w:ascii="SimSun" w:hAnsi="SimSun" w:cs="SimSun" w:hint="eastAsia"/>
          <w:kern w:val="22"/>
          <w:sz w:val="24"/>
          <w:szCs w:val="24"/>
          <w:lang w:eastAsia="zh-CN"/>
        </w:rPr>
        <w:t>极</w:t>
      </w:r>
      <w:proofErr w:type="gramEnd"/>
      <w:r w:rsidR="00A11624" w:rsidRPr="00D77FBE">
        <w:rPr>
          <w:rFonts w:ascii="SimSun" w:hAnsi="SimSun" w:cs="SimSun" w:hint="eastAsia"/>
          <w:kern w:val="22"/>
          <w:sz w:val="24"/>
          <w:szCs w:val="24"/>
          <w:lang w:eastAsia="zh-CN"/>
        </w:rPr>
        <w:t>有价值。例如，一项分析表明，非洲</w:t>
      </w:r>
      <w:r w:rsidR="00A11624" w:rsidRPr="00D77FBE">
        <w:rPr>
          <w:kern w:val="22"/>
          <w:sz w:val="24"/>
          <w:szCs w:val="24"/>
          <w:lang w:eastAsia="zh-CN"/>
        </w:rPr>
        <w:t>20</w:t>
      </w:r>
      <w:r w:rsidR="00A11624" w:rsidRPr="00D77FBE">
        <w:rPr>
          <w:rFonts w:ascii="SimSun" w:hAnsi="SimSun" w:cs="SimSun" w:hint="eastAsia"/>
          <w:kern w:val="22"/>
          <w:sz w:val="24"/>
          <w:szCs w:val="24"/>
          <w:lang w:eastAsia="zh-CN"/>
        </w:rPr>
        <w:t>％的保护区和重要生物多样性区</w:t>
      </w:r>
      <w:r w:rsidR="00545F6F">
        <w:rPr>
          <w:rFonts w:ascii="SimSun" w:hAnsi="SimSun" w:cs="SimSun" w:hint="eastAsia"/>
          <w:kern w:val="22"/>
          <w:sz w:val="24"/>
          <w:szCs w:val="24"/>
          <w:lang w:eastAsia="zh-CN"/>
        </w:rPr>
        <w:t>域</w:t>
      </w:r>
      <w:r w:rsidR="00A11624" w:rsidRPr="00D77FBE">
        <w:rPr>
          <w:rFonts w:ascii="SimSun" w:hAnsi="SimSun" w:cs="SimSun" w:hint="eastAsia"/>
          <w:kern w:val="22"/>
          <w:sz w:val="24"/>
          <w:szCs w:val="24"/>
          <w:lang w:eastAsia="zh-CN"/>
        </w:rPr>
        <w:t>与石油和天然气合同区块重叠</w:t>
      </w:r>
      <w:r w:rsidR="00590D7E" w:rsidRPr="00590D7E">
        <w:rPr>
          <w:rStyle w:val="FootnoteReference"/>
          <w:kern w:val="22"/>
          <w:szCs w:val="24"/>
        </w:rPr>
        <w:footnoteReference w:id="18"/>
      </w:r>
      <w:r w:rsidR="008033F9">
        <w:rPr>
          <w:rFonts w:ascii="SimSun" w:hAnsi="SimSun" w:cs="SimSun" w:hint="eastAsia"/>
          <w:kern w:val="22"/>
          <w:sz w:val="24"/>
          <w:szCs w:val="24"/>
          <w:lang w:eastAsia="zh-CN"/>
        </w:rPr>
        <w:t>。</w:t>
      </w:r>
      <w:r w:rsidR="00A11624" w:rsidRPr="00C64F18">
        <w:rPr>
          <w:kern w:val="22"/>
          <w:lang w:eastAsia="zh-CN"/>
        </w:rPr>
        <w:t xml:space="preserve"> </w:t>
      </w:r>
    </w:p>
    <w:p w14:paraId="4D355EB2" w14:textId="77777777" w:rsidR="00A11624" w:rsidRPr="00C64F18" w:rsidRDefault="00590D7E"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b/>
          <w:kern w:val="22"/>
          <w:lang w:eastAsia="zh-CN"/>
        </w:rPr>
      </w:pPr>
      <w:r>
        <w:rPr>
          <w:rFonts w:ascii="SimSun" w:hAnsi="SimSun" w:cs="SimSun" w:hint="eastAsia"/>
          <w:kern w:val="22"/>
          <w:sz w:val="24"/>
          <w:szCs w:val="24"/>
          <w:lang w:eastAsia="zh-CN"/>
        </w:rPr>
        <w:t>禁止</w:t>
      </w:r>
      <w:r w:rsidR="00A11624" w:rsidRPr="00D77FBE">
        <w:rPr>
          <w:rFonts w:ascii="SimSun" w:hAnsi="SimSun" w:cs="SimSun" w:hint="eastAsia"/>
          <w:kern w:val="22"/>
          <w:sz w:val="24"/>
          <w:szCs w:val="24"/>
          <w:lang w:eastAsia="zh-CN"/>
        </w:rPr>
        <w:t>采矿或能源项目的领域</w:t>
      </w:r>
      <w:r w:rsidR="00545F6F" w:rsidRPr="00D77FBE">
        <w:rPr>
          <w:rFonts w:ascii="SimSun" w:hAnsi="SimSun" w:cs="SimSun" w:hint="eastAsia"/>
          <w:kern w:val="22"/>
          <w:sz w:val="24"/>
          <w:szCs w:val="24"/>
          <w:lang w:eastAsia="zh-CN"/>
        </w:rPr>
        <w:t>可以</w:t>
      </w:r>
      <w:r>
        <w:rPr>
          <w:rFonts w:ascii="SimSun" w:hAnsi="SimSun" w:cs="SimSun" w:hint="eastAsia"/>
          <w:kern w:val="22"/>
          <w:sz w:val="24"/>
          <w:szCs w:val="24"/>
          <w:lang w:eastAsia="zh-CN"/>
        </w:rPr>
        <w:t>根据</w:t>
      </w:r>
      <w:r w:rsidR="00A11624" w:rsidRPr="00D77FBE">
        <w:rPr>
          <w:rFonts w:ascii="SimSun" w:hAnsi="SimSun" w:cs="SimSun" w:hint="eastAsia"/>
          <w:kern w:val="22"/>
          <w:sz w:val="24"/>
          <w:szCs w:val="24"/>
          <w:lang w:eastAsia="zh-CN"/>
        </w:rPr>
        <w:t>一个地区的极度敏感</w:t>
      </w:r>
      <w:r>
        <w:rPr>
          <w:rFonts w:ascii="SimSun" w:hAnsi="SimSun" w:cs="SimSun" w:hint="eastAsia"/>
          <w:kern w:val="22"/>
          <w:sz w:val="24"/>
          <w:szCs w:val="24"/>
          <w:lang w:eastAsia="zh-CN"/>
        </w:rPr>
        <w:t>性</w:t>
      </w:r>
      <w:r w:rsidR="00A11624" w:rsidRPr="00D77FBE">
        <w:rPr>
          <w:rFonts w:ascii="SimSun" w:hAnsi="SimSun" w:cs="SimSun" w:hint="eastAsia"/>
          <w:kern w:val="22"/>
          <w:sz w:val="24"/>
          <w:szCs w:val="24"/>
          <w:lang w:eastAsia="zh-CN"/>
        </w:rPr>
        <w:t>或缺乏信息和</w:t>
      </w:r>
      <w:r w:rsidR="00A11624" w:rsidRPr="00D77FBE">
        <w:rPr>
          <w:kern w:val="22"/>
          <w:sz w:val="24"/>
          <w:szCs w:val="24"/>
          <w:lang w:eastAsia="zh-CN"/>
        </w:rPr>
        <w:t>/</w:t>
      </w:r>
      <w:r w:rsidR="00A11624" w:rsidRPr="00D77FBE">
        <w:rPr>
          <w:rFonts w:ascii="SimSun" w:hAnsi="SimSun" w:cs="SimSun" w:hint="eastAsia"/>
          <w:kern w:val="22"/>
          <w:sz w:val="24"/>
          <w:szCs w:val="24"/>
          <w:lang w:eastAsia="zh-CN"/>
        </w:rPr>
        <w:t>或有效管理以确保没有重大损失</w:t>
      </w:r>
      <w:r w:rsidR="00A92B0E">
        <w:rPr>
          <w:rFonts w:ascii="SimSun" w:hAnsi="SimSun" w:cs="SimSun" w:hint="eastAsia"/>
          <w:kern w:val="22"/>
          <w:sz w:val="24"/>
          <w:szCs w:val="24"/>
          <w:lang w:eastAsia="zh-CN"/>
        </w:rPr>
        <w:t>来</w:t>
      </w:r>
      <w:r w:rsidR="00A92B0E" w:rsidRPr="00D77FBE">
        <w:rPr>
          <w:rFonts w:ascii="SimSun" w:hAnsi="SimSun" w:cs="SimSun" w:hint="eastAsia"/>
          <w:kern w:val="22"/>
          <w:sz w:val="24"/>
          <w:szCs w:val="24"/>
          <w:lang w:eastAsia="zh-CN"/>
        </w:rPr>
        <w:t>确定</w:t>
      </w:r>
      <w:r w:rsidR="00A11624" w:rsidRPr="00D77FBE">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有些国家的法</w:t>
      </w:r>
      <w:r w:rsidR="00EB0CBE">
        <w:rPr>
          <w:rFonts w:ascii="SimSun" w:hAnsi="SimSun" w:cs="SimSun" w:hint="eastAsia"/>
          <w:kern w:val="22"/>
          <w:sz w:val="24"/>
          <w:szCs w:val="24"/>
          <w:lang w:eastAsia="zh-CN"/>
        </w:rPr>
        <w:t>律</w:t>
      </w:r>
      <w:r w:rsidRPr="00D77FBE">
        <w:rPr>
          <w:rFonts w:ascii="SimSun" w:hAnsi="SimSun" w:cs="SimSun" w:hint="eastAsia"/>
          <w:kern w:val="22"/>
          <w:sz w:val="24"/>
          <w:szCs w:val="24"/>
          <w:lang w:eastAsia="zh-CN"/>
        </w:rPr>
        <w:t>明</w:t>
      </w:r>
      <w:r>
        <w:rPr>
          <w:rFonts w:ascii="SimSun" w:hAnsi="SimSun" w:cs="SimSun" w:hint="eastAsia"/>
          <w:kern w:val="22"/>
          <w:sz w:val="24"/>
          <w:szCs w:val="24"/>
          <w:lang w:eastAsia="zh-CN"/>
        </w:rPr>
        <w:t>文</w:t>
      </w:r>
      <w:r w:rsidRPr="00D77FBE">
        <w:rPr>
          <w:rFonts w:ascii="SimSun" w:hAnsi="SimSun" w:cs="SimSun" w:hint="eastAsia"/>
          <w:kern w:val="22"/>
          <w:sz w:val="24"/>
          <w:szCs w:val="24"/>
          <w:lang w:eastAsia="zh-CN"/>
        </w:rPr>
        <w:t>禁止某些</w:t>
      </w:r>
      <w:r>
        <w:rPr>
          <w:rFonts w:ascii="SimSun" w:hAnsi="SimSun" w:cs="SimSun" w:hint="eastAsia"/>
          <w:kern w:val="22"/>
          <w:sz w:val="24"/>
          <w:szCs w:val="24"/>
          <w:lang w:eastAsia="zh-CN"/>
        </w:rPr>
        <w:t>指定</w:t>
      </w:r>
      <w:r w:rsidRPr="00D77FBE">
        <w:rPr>
          <w:rFonts w:ascii="SimSun" w:hAnsi="SimSun" w:cs="SimSun" w:hint="eastAsia"/>
          <w:kern w:val="22"/>
          <w:sz w:val="24"/>
          <w:szCs w:val="24"/>
          <w:lang w:eastAsia="zh-CN"/>
        </w:rPr>
        <w:t>保护区内的工业采掘活动。如果</w:t>
      </w:r>
      <w:r w:rsidR="00EB0CBE">
        <w:rPr>
          <w:rFonts w:ascii="SimSun" w:hAnsi="SimSun" w:cs="SimSun" w:hint="eastAsia"/>
          <w:kern w:val="22"/>
          <w:sz w:val="24"/>
          <w:szCs w:val="24"/>
          <w:lang w:eastAsia="zh-CN"/>
        </w:rPr>
        <w:t>付诸</w:t>
      </w:r>
      <w:r w:rsidR="00545F6F">
        <w:rPr>
          <w:rFonts w:ascii="SimSun" w:hAnsi="SimSun" w:cs="SimSun" w:hint="eastAsia"/>
          <w:kern w:val="22"/>
          <w:sz w:val="24"/>
          <w:szCs w:val="24"/>
          <w:lang w:eastAsia="zh-CN"/>
        </w:rPr>
        <w:t>执行</w:t>
      </w:r>
      <w:r w:rsidRPr="00D77FBE">
        <w:rPr>
          <w:rFonts w:ascii="SimSun" w:hAnsi="SimSun" w:cs="SimSun" w:hint="eastAsia"/>
          <w:kern w:val="22"/>
          <w:sz w:val="24"/>
          <w:szCs w:val="24"/>
          <w:lang w:eastAsia="zh-CN"/>
        </w:rPr>
        <w:t>以影响</w:t>
      </w:r>
      <w:r w:rsidR="00EB0CBE">
        <w:rPr>
          <w:rFonts w:ascii="SimSun" w:hAnsi="SimSun" w:cs="SimSun" w:hint="eastAsia"/>
          <w:kern w:val="22"/>
          <w:sz w:val="24"/>
          <w:szCs w:val="24"/>
          <w:lang w:eastAsia="zh-CN"/>
        </w:rPr>
        <w:t>何处可</w:t>
      </w:r>
      <w:r w:rsidRPr="00D77FBE">
        <w:rPr>
          <w:rFonts w:ascii="SimSun" w:hAnsi="SimSun" w:cs="SimSun" w:hint="eastAsia"/>
          <w:kern w:val="22"/>
          <w:sz w:val="24"/>
          <w:szCs w:val="24"/>
          <w:lang w:eastAsia="zh-CN"/>
        </w:rPr>
        <w:t>提供和授予特许权，这种立法可</w:t>
      </w:r>
      <w:r w:rsidR="00EB0CBE">
        <w:rPr>
          <w:rFonts w:ascii="SimSun" w:hAnsi="SimSun" w:cs="SimSun" w:hint="eastAsia"/>
          <w:kern w:val="22"/>
          <w:sz w:val="24"/>
          <w:szCs w:val="24"/>
          <w:lang w:eastAsia="zh-CN"/>
        </w:rPr>
        <w:t>以</w:t>
      </w:r>
      <w:r w:rsidRPr="00D77FBE">
        <w:rPr>
          <w:rFonts w:ascii="SimSun" w:hAnsi="SimSun" w:cs="SimSun" w:hint="eastAsia"/>
          <w:kern w:val="22"/>
          <w:sz w:val="24"/>
          <w:szCs w:val="24"/>
          <w:lang w:eastAsia="zh-CN"/>
        </w:rPr>
        <w:t>是保护这些</w:t>
      </w:r>
      <w:r w:rsidR="00EB0CBE">
        <w:rPr>
          <w:rFonts w:ascii="SimSun" w:hAnsi="SimSun" w:cs="SimSun" w:hint="eastAsia"/>
          <w:kern w:val="22"/>
          <w:sz w:val="24"/>
          <w:szCs w:val="24"/>
          <w:lang w:eastAsia="zh-CN"/>
        </w:rPr>
        <w:t>区域</w:t>
      </w:r>
      <w:r w:rsidRPr="00D77FBE">
        <w:rPr>
          <w:rFonts w:ascii="SimSun" w:hAnsi="SimSun" w:cs="SimSun" w:hint="eastAsia"/>
          <w:kern w:val="22"/>
          <w:sz w:val="24"/>
          <w:szCs w:val="24"/>
          <w:lang w:eastAsia="zh-CN"/>
        </w:rPr>
        <w:t>的有效</w:t>
      </w:r>
      <w:r w:rsidR="00EB0CBE">
        <w:rPr>
          <w:rFonts w:ascii="SimSun" w:hAnsi="SimSun" w:cs="SimSun" w:hint="eastAsia"/>
          <w:kern w:val="22"/>
          <w:sz w:val="24"/>
          <w:szCs w:val="24"/>
          <w:lang w:eastAsia="zh-CN"/>
        </w:rPr>
        <w:t>办</w:t>
      </w:r>
      <w:r w:rsidRPr="00D77FBE">
        <w:rPr>
          <w:rFonts w:ascii="SimSun" w:hAnsi="SimSun" w:cs="SimSun" w:hint="eastAsia"/>
          <w:kern w:val="22"/>
          <w:sz w:val="24"/>
          <w:szCs w:val="24"/>
          <w:lang w:eastAsia="zh-CN"/>
        </w:rPr>
        <w:t>法。例如在南非，所有保护区都禁止采矿和勘探。这将补充一些公司</w:t>
      </w:r>
      <w:r w:rsidR="00EB0CBE">
        <w:rPr>
          <w:rFonts w:ascii="SimSun" w:hAnsi="SimSun" w:cs="SimSun" w:hint="eastAsia"/>
          <w:kern w:val="22"/>
          <w:sz w:val="24"/>
          <w:szCs w:val="24"/>
          <w:lang w:eastAsia="zh-CN"/>
        </w:rPr>
        <w:t>不</w:t>
      </w:r>
      <w:r w:rsidRPr="00D77FBE">
        <w:rPr>
          <w:rFonts w:ascii="SimSun" w:hAnsi="SimSun" w:cs="SimSun" w:hint="eastAsia"/>
          <w:kern w:val="22"/>
          <w:sz w:val="24"/>
          <w:szCs w:val="24"/>
          <w:lang w:eastAsia="zh-CN"/>
        </w:rPr>
        <w:t>在某些</w:t>
      </w:r>
      <w:r w:rsidR="00EB0CBE">
        <w:rPr>
          <w:rFonts w:ascii="SimSun" w:hAnsi="SimSun" w:cs="SimSun" w:hint="eastAsia"/>
          <w:kern w:val="22"/>
          <w:sz w:val="24"/>
          <w:szCs w:val="24"/>
          <w:lang w:eastAsia="zh-CN"/>
        </w:rPr>
        <w:t>指定</w:t>
      </w:r>
      <w:r w:rsidRPr="00D77FBE">
        <w:rPr>
          <w:rFonts w:ascii="SimSun" w:hAnsi="SimSun" w:cs="SimSun" w:hint="eastAsia"/>
          <w:kern w:val="22"/>
          <w:sz w:val="24"/>
          <w:szCs w:val="24"/>
          <w:lang w:eastAsia="zh-CN"/>
        </w:rPr>
        <w:t>保护区（例如世界遗产</w:t>
      </w:r>
      <w:r w:rsidR="00EB0CBE">
        <w:rPr>
          <w:rFonts w:ascii="SimSun" w:hAnsi="SimSun" w:cs="SimSun" w:hint="eastAsia"/>
          <w:kern w:val="22"/>
          <w:sz w:val="24"/>
          <w:szCs w:val="24"/>
          <w:lang w:eastAsia="zh-CN"/>
        </w:rPr>
        <w:t>所在地</w:t>
      </w:r>
      <w:r w:rsidRPr="00D77FBE">
        <w:rPr>
          <w:rFonts w:ascii="SimSun" w:hAnsi="SimSun" w:cs="SimSun" w:hint="eastAsia"/>
          <w:kern w:val="22"/>
          <w:sz w:val="24"/>
          <w:szCs w:val="24"/>
          <w:lang w:eastAsia="zh-CN"/>
        </w:rPr>
        <w:t>）</w:t>
      </w:r>
      <w:r w:rsidR="00EB0CBE">
        <w:rPr>
          <w:rFonts w:ascii="SimSun" w:hAnsi="SimSun" w:cs="SimSun" w:hint="eastAsia"/>
          <w:kern w:val="22"/>
          <w:sz w:val="24"/>
          <w:szCs w:val="24"/>
          <w:lang w:eastAsia="zh-CN"/>
        </w:rPr>
        <w:t>进行开采</w:t>
      </w:r>
      <w:r w:rsidRPr="00D77FBE">
        <w:rPr>
          <w:rFonts w:ascii="SimSun" w:hAnsi="SimSun" w:cs="SimSun" w:hint="eastAsia"/>
          <w:kern w:val="22"/>
          <w:sz w:val="24"/>
          <w:szCs w:val="24"/>
          <w:lang w:eastAsia="zh-CN"/>
        </w:rPr>
        <w:t>的现有承诺。然而，重要的是这种</w:t>
      </w:r>
      <w:r w:rsidR="00E52D92">
        <w:rPr>
          <w:rFonts w:ascii="SimSun" w:hAnsi="SimSun" w:cs="SimSun" w:hint="eastAsia"/>
          <w:kern w:val="22"/>
          <w:sz w:val="24"/>
          <w:szCs w:val="24"/>
          <w:lang w:eastAsia="zh-CN"/>
        </w:rPr>
        <w:t>办</w:t>
      </w:r>
      <w:r w:rsidRPr="00D77FBE">
        <w:rPr>
          <w:rFonts w:ascii="SimSun" w:hAnsi="SimSun" w:cs="SimSun" w:hint="eastAsia"/>
          <w:kern w:val="22"/>
          <w:sz w:val="24"/>
          <w:szCs w:val="24"/>
          <w:lang w:eastAsia="zh-CN"/>
        </w:rPr>
        <w:t>法</w:t>
      </w:r>
      <w:proofErr w:type="gramStart"/>
      <w:r w:rsidRPr="00D77FBE">
        <w:rPr>
          <w:rFonts w:ascii="SimSun" w:hAnsi="SimSun" w:cs="SimSun" w:hint="eastAsia"/>
          <w:kern w:val="22"/>
          <w:sz w:val="24"/>
          <w:szCs w:val="24"/>
          <w:lang w:eastAsia="zh-CN"/>
        </w:rPr>
        <w:t>不</w:t>
      </w:r>
      <w:proofErr w:type="gramEnd"/>
      <w:r w:rsidRPr="00D77FBE">
        <w:rPr>
          <w:rFonts w:ascii="SimSun" w:hAnsi="SimSun" w:cs="SimSun" w:hint="eastAsia"/>
          <w:kern w:val="22"/>
          <w:sz w:val="24"/>
          <w:szCs w:val="24"/>
          <w:lang w:eastAsia="zh-CN"/>
        </w:rPr>
        <w:t>导致保护区</w:t>
      </w:r>
      <w:r w:rsidR="00EC62AD">
        <w:rPr>
          <w:rFonts w:ascii="SimSun" w:hAnsi="SimSun" w:cs="SimSun" w:hint="eastAsia"/>
          <w:kern w:val="22"/>
          <w:sz w:val="24"/>
          <w:szCs w:val="24"/>
          <w:lang w:eastAsia="zh-CN"/>
        </w:rPr>
        <w:t>降格</w:t>
      </w:r>
      <w:r w:rsidRPr="00D77FBE">
        <w:rPr>
          <w:rFonts w:ascii="SimSun" w:hAnsi="SimSun" w:cs="SimSun" w:hint="eastAsia"/>
          <w:kern w:val="22"/>
          <w:sz w:val="24"/>
          <w:szCs w:val="24"/>
          <w:lang w:eastAsia="zh-CN"/>
        </w:rPr>
        <w:t>，或</w:t>
      </w:r>
      <w:r w:rsidR="00E52D92">
        <w:rPr>
          <w:rFonts w:ascii="SimSun" w:hAnsi="SimSun" w:cs="SimSun" w:hint="eastAsia"/>
          <w:kern w:val="22"/>
          <w:sz w:val="24"/>
          <w:szCs w:val="24"/>
          <w:lang w:eastAsia="zh-CN"/>
        </w:rPr>
        <w:t>阻止</w:t>
      </w:r>
      <w:r w:rsidR="00EC62AD" w:rsidRPr="00D77FBE">
        <w:rPr>
          <w:rFonts w:ascii="SimSun" w:hAnsi="SimSun" w:cs="SimSun" w:hint="eastAsia"/>
          <w:kern w:val="22"/>
          <w:sz w:val="24"/>
          <w:szCs w:val="24"/>
          <w:lang w:eastAsia="zh-CN"/>
        </w:rPr>
        <w:t>对保护区的</w:t>
      </w:r>
      <w:r w:rsidR="00EC62AD">
        <w:rPr>
          <w:rFonts w:ascii="SimSun" w:hAnsi="SimSun" w:cs="SimSun" w:hint="eastAsia"/>
          <w:kern w:val="22"/>
          <w:sz w:val="24"/>
          <w:szCs w:val="24"/>
          <w:lang w:eastAsia="zh-CN"/>
        </w:rPr>
        <w:t>潜在</w:t>
      </w:r>
      <w:r w:rsidRPr="00D77FBE">
        <w:rPr>
          <w:rFonts w:ascii="SimSun" w:hAnsi="SimSun" w:cs="SimSun" w:hint="eastAsia"/>
          <w:kern w:val="22"/>
          <w:sz w:val="24"/>
          <w:szCs w:val="24"/>
          <w:lang w:eastAsia="zh-CN"/>
        </w:rPr>
        <w:t>商业运作投资</w:t>
      </w:r>
      <w:r w:rsidR="00E52D92">
        <w:rPr>
          <w:rFonts w:ascii="SimSun" w:hAnsi="SimSun" w:cs="SimSun" w:hint="eastAsia"/>
          <w:kern w:val="22"/>
          <w:sz w:val="24"/>
          <w:szCs w:val="24"/>
          <w:lang w:eastAsia="zh-CN"/>
        </w:rPr>
        <w:t>。</w:t>
      </w:r>
      <w:r w:rsidR="00A11624" w:rsidRPr="00C64F18">
        <w:rPr>
          <w:kern w:val="22"/>
          <w:lang w:eastAsia="zh-CN"/>
        </w:rPr>
        <w:t xml:space="preserve"> </w:t>
      </w:r>
    </w:p>
    <w:p w14:paraId="137EA277" w14:textId="77777777" w:rsidR="00A11624" w:rsidRPr="005C5493" w:rsidRDefault="00545F6F" w:rsidP="00B66243">
      <w:pPr>
        <w:pStyle w:val="Heading3"/>
        <w:suppressLineNumbers/>
        <w:tabs>
          <w:tab w:val="clear" w:pos="567"/>
        </w:tabs>
        <w:suppressAutoHyphens/>
        <w:kinsoku w:val="0"/>
        <w:overflowPunct w:val="0"/>
        <w:autoSpaceDE w:val="0"/>
        <w:autoSpaceDN w:val="0"/>
        <w:adjustRightInd w:val="0"/>
        <w:spacing w:line="240" w:lineRule="atLeast"/>
        <w:rPr>
          <w:rFonts w:ascii="KaiTi" w:eastAsia="KaiTi" w:hAnsi="KaiTi"/>
          <w:kern w:val="22"/>
          <w:u w:val="none"/>
        </w:rPr>
      </w:pPr>
      <w:r w:rsidRPr="005C5493">
        <w:rPr>
          <w:rFonts w:ascii="KaiTi" w:eastAsia="KaiTi" w:hAnsi="KaiTi"/>
          <w:kern w:val="22"/>
          <w:u w:val="none"/>
        </w:rPr>
        <w:t>3.</w:t>
      </w:r>
      <w:r w:rsidRPr="005C5493">
        <w:rPr>
          <w:rFonts w:ascii="KaiTi" w:eastAsia="KaiTi" w:hAnsi="KaiTi" w:hint="eastAsia"/>
          <w:kern w:val="22"/>
          <w:u w:val="none"/>
        </w:rPr>
        <w:t xml:space="preserve">  </w:t>
      </w:r>
      <w:r w:rsidR="00EC62AD" w:rsidRPr="005C5493">
        <w:rPr>
          <w:rFonts w:ascii="KaiTi" w:eastAsia="KaiTi" w:hAnsi="KaiTi" w:cs="SimSun" w:hint="eastAsia"/>
          <w:kern w:val="22"/>
          <w:u w:val="none"/>
        </w:rPr>
        <w:t>政策层面</w:t>
      </w:r>
      <w:r w:rsidR="00E52D92" w:rsidRPr="005C5493">
        <w:rPr>
          <w:rFonts w:ascii="KaiTi" w:eastAsia="KaiTi" w:hAnsi="KaiTi" w:cs="SimSun" w:hint="eastAsia"/>
          <w:kern w:val="22"/>
          <w:u w:val="none"/>
        </w:rPr>
        <w:t>规划和评估</w:t>
      </w:r>
      <w:r w:rsidR="00CA5D52">
        <w:rPr>
          <w:rFonts w:ascii="KaiTi" w:eastAsia="KaiTi" w:hAnsi="KaiTi" w:cs="SimSun" w:hint="eastAsia"/>
          <w:kern w:val="22"/>
          <w:u w:val="none"/>
        </w:rPr>
        <w:t>方面</w:t>
      </w:r>
      <w:r w:rsidR="00E52D92" w:rsidRPr="005C5493">
        <w:rPr>
          <w:rFonts w:ascii="KaiTi" w:eastAsia="KaiTi" w:hAnsi="KaiTi" w:cs="SimSun" w:hint="eastAsia"/>
          <w:kern w:val="22"/>
          <w:u w:val="none"/>
        </w:rPr>
        <w:t>的</w:t>
      </w:r>
      <w:r w:rsidR="00B8531F" w:rsidRPr="005C5493">
        <w:rPr>
          <w:rFonts w:ascii="KaiTi" w:eastAsia="KaiTi" w:hAnsi="KaiTi" w:cs="SimSun" w:hint="eastAsia"/>
          <w:kern w:val="22"/>
          <w:u w:val="none"/>
        </w:rPr>
        <w:t>挑战</w:t>
      </w:r>
    </w:p>
    <w:p w14:paraId="7C2B73DD" w14:textId="77777777" w:rsidR="00A11624" w:rsidRPr="00C64F18" w:rsidRDefault="00EC62AD"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lang w:eastAsia="zh-CN"/>
        </w:rPr>
      </w:pPr>
      <w:r>
        <w:rPr>
          <w:rFonts w:ascii="SimSun" w:hAnsi="SimSun" w:cs="SimSun" w:hint="eastAsia"/>
          <w:kern w:val="22"/>
          <w:sz w:val="24"/>
          <w:szCs w:val="24"/>
          <w:lang w:eastAsia="zh-CN"/>
        </w:rPr>
        <w:t>采用</w:t>
      </w:r>
      <w:r w:rsidR="00B8531F" w:rsidRPr="00D77FBE">
        <w:rPr>
          <w:rFonts w:ascii="SimSun" w:hAnsi="SimSun" w:cs="SimSun" w:hint="eastAsia"/>
          <w:kern w:val="22"/>
          <w:sz w:val="24"/>
          <w:szCs w:val="24"/>
          <w:lang w:eastAsia="zh-CN"/>
        </w:rPr>
        <w:t>空间规划和战略环境评估的不断增加，并取得了</w:t>
      </w:r>
      <w:r w:rsidR="00545F6F">
        <w:rPr>
          <w:rFonts w:ascii="SimSun" w:hAnsi="SimSun" w:cs="SimSun" w:hint="eastAsia"/>
          <w:kern w:val="22"/>
          <w:sz w:val="24"/>
          <w:szCs w:val="24"/>
          <w:lang w:eastAsia="zh-CN"/>
        </w:rPr>
        <w:t>很有希望</w:t>
      </w:r>
      <w:r w:rsidR="00B8531F" w:rsidRPr="00D77FBE">
        <w:rPr>
          <w:rFonts w:ascii="SimSun" w:hAnsi="SimSun" w:cs="SimSun" w:hint="eastAsia"/>
          <w:kern w:val="22"/>
          <w:sz w:val="24"/>
          <w:szCs w:val="24"/>
          <w:lang w:eastAsia="zh-CN"/>
        </w:rPr>
        <w:t>的初步成果，但尚未</w:t>
      </w:r>
      <w:r w:rsidRPr="00EC62AD">
        <w:rPr>
          <w:rFonts w:ascii="SimSun" w:hAnsi="SimSun" w:cs="SimSun" w:hint="eastAsia"/>
          <w:color w:val="333333"/>
          <w:sz w:val="24"/>
          <w:szCs w:val="24"/>
          <w:shd w:val="clear" w:color="auto" w:fill="FFFFFF"/>
          <w:lang w:eastAsia="zh-CN"/>
        </w:rPr>
        <w:t>嵌</w:t>
      </w:r>
      <w:r w:rsidR="00B8531F" w:rsidRPr="00D77FBE">
        <w:rPr>
          <w:rFonts w:ascii="SimSun" w:hAnsi="SimSun" w:cs="SimSun" w:hint="eastAsia"/>
          <w:kern w:val="22"/>
          <w:sz w:val="24"/>
          <w:szCs w:val="24"/>
          <w:lang w:eastAsia="zh-CN"/>
        </w:rPr>
        <w:t>入</w:t>
      </w:r>
      <w:r w:rsidRPr="00D77FBE">
        <w:rPr>
          <w:rFonts w:ascii="SimSun" w:hAnsi="SimSun" w:cs="SimSun" w:hint="eastAsia"/>
          <w:kern w:val="22"/>
          <w:sz w:val="24"/>
          <w:szCs w:val="24"/>
          <w:lang w:eastAsia="zh-CN"/>
        </w:rPr>
        <w:t>所有国家的</w:t>
      </w:r>
      <w:r w:rsidR="00B8531F" w:rsidRPr="00D77FBE">
        <w:rPr>
          <w:rFonts w:ascii="SimSun" w:hAnsi="SimSun" w:cs="SimSun" w:hint="eastAsia"/>
          <w:kern w:val="22"/>
          <w:sz w:val="24"/>
          <w:szCs w:val="24"/>
          <w:lang w:eastAsia="zh-CN"/>
        </w:rPr>
        <w:t>决策和法律框架。所有高收入国家（包括中国和印度尼西亚）以及</w:t>
      </w:r>
      <w:r w:rsidR="00844240" w:rsidRPr="00D77FBE">
        <w:rPr>
          <w:rFonts w:ascii="SimSun" w:hAnsi="SimSun" w:cs="SimSun" w:hint="eastAsia"/>
          <w:kern w:val="22"/>
          <w:sz w:val="24"/>
          <w:szCs w:val="24"/>
          <w:lang w:eastAsia="zh-CN"/>
        </w:rPr>
        <w:t>许多</w:t>
      </w:r>
      <w:r w:rsidR="00B8531F" w:rsidRPr="00D77FBE">
        <w:rPr>
          <w:rFonts w:ascii="SimSun" w:hAnsi="SimSun" w:cs="SimSun" w:hint="eastAsia"/>
          <w:kern w:val="22"/>
          <w:sz w:val="24"/>
          <w:szCs w:val="24"/>
          <w:lang w:eastAsia="zh-CN"/>
        </w:rPr>
        <w:t>非洲国家都制定了有关战略环境评估的立法。但是</w:t>
      </w:r>
      <w:r w:rsidR="006F7865">
        <w:rPr>
          <w:rFonts w:ascii="SimSun" w:hAnsi="SimSun" w:cs="SimSun" w:hint="eastAsia"/>
          <w:kern w:val="22"/>
          <w:sz w:val="24"/>
          <w:szCs w:val="24"/>
          <w:lang w:eastAsia="zh-CN"/>
        </w:rPr>
        <w:t>执行的缺失往往是</w:t>
      </w:r>
      <w:r w:rsidR="006F7865" w:rsidRPr="00D77FBE">
        <w:rPr>
          <w:rFonts w:ascii="SimSun" w:hAnsi="SimSun" w:cs="SimSun" w:hint="eastAsia"/>
          <w:kern w:val="22"/>
          <w:sz w:val="24"/>
          <w:szCs w:val="24"/>
          <w:lang w:eastAsia="zh-CN"/>
        </w:rPr>
        <w:t>关键</w:t>
      </w:r>
      <w:r w:rsidR="006F7865">
        <w:rPr>
          <w:rFonts w:ascii="SimSun" w:hAnsi="SimSun" w:cs="SimSun" w:hint="eastAsia"/>
          <w:kern w:val="22"/>
          <w:sz w:val="24"/>
          <w:szCs w:val="24"/>
          <w:lang w:eastAsia="zh-CN"/>
        </w:rPr>
        <w:t>的</w:t>
      </w:r>
      <w:r w:rsidR="006F7865" w:rsidRPr="00D77FBE">
        <w:rPr>
          <w:rFonts w:ascii="SimSun" w:hAnsi="SimSun" w:cs="SimSun" w:hint="eastAsia"/>
          <w:kern w:val="22"/>
          <w:sz w:val="24"/>
          <w:szCs w:val="24"/>
          <w:lang w:eastAsia="zh-CN"/>
        </w:rPr>
        <w:t>挑战</w:t>
      </w:r>
      <w:r w:rsidR="00B8531F" w:rsidRPr="00D77FBE">
        <w:rPr>
          <w:rFonts w:ascii="SimSun" w:hAnsi="SimSun" w:cs="SimSun" w:hint="eastAsia"/>
          <w:kern w:val="22"/>
          <w:sz w:val="24"/>
          <w:szCs w:val="24"/>
          <w:lang w:eastAsia="zh-CN"/>
        </w:rPr>
        <w:t>。由于许多</w:t>
      </w:r>
      <w:proofErr w:type="gramStart"/>
      <w:r w:rsidR="00B8531F" w:rsidRPr="00D77FBE">
        <w:rPr>
          <w:rFonts w:ascii="SimSun" w:hAnsi="SimSun" w:cs="SimSun" w:hint="eastAsia"/>
          <w:kern w:val="22"/>
          <w:sz w:val="24"/>
          <w:szCs w:val="24"/>
          <w:lang w:eastAsia="zh-CN"/>
        </w:rPr>
        <w:t>评估仍</w:t>
      </w:r>
      <w:proofErr w:type="gramEnd"/>
      <w:r w:rsidR="00B8531F" w:rsidRPr="00D77FBE">
        <w:rPr>
          <w:rFonts w:ascii="SimSun" w:hAnsi="SimSun" w:cs="SimSun" w:hint="eastAsia"/>
          <w:kern w:val="22"/>
          <w:sz w:val="24"/>
          <w:szCs w:val="24"/>
          <w:lang w:eastAsia="zh-CN"/>
        </w:rPr>
        <w:t>处于早期阶段，因此</w:t>
      </w:r>
      <w:r w:rsidR="00844240">
        <w:rPr>
          <w:rFonts w:ascii="SimSun" w:hAnsi="SimSun" w:cs="SimSun" w:hint="eastAsia"/>
          <w:kern w:val="22"/>
          <w:sz w:val="24"/>
          <w:szCs w:val="24"/>
          <w:lang w:eastAsia="zh-CN"/>
        </w:rPr>
        <w:t>制定</w:t>
      </w:r>
      <w:r w:rsidR="00B8531F" w:rsidRPr="00D77FBE">
        <w:rPr>
          <w:rFonts w:ascii="SimSun" w:hAnsi="SimSun" w:cs="SimSun" w:hint="eastAsia"/>
          <w:kern w:val="22"/>
          <w:sz w:val="24"/>
          <w:szCs w:val="24"/>
          <w:lang w:eastAsia="zh-CN"/>
        </w:rPr>
        <w:t>一致的</w:t>
      </w:r>
      <w:r w:rsidR="00844240">
        <w:rPr>
          <w:rFonts w:ascii="SimSun" w:hAnsi="SimSun" w:cs="SimSun" w:hint="eastAsia"/>
          <w:kern w:val="22"/>
          <w:sz w:val="24"/>
          <w:szCs w:val="24"/>
          <w:lang w:eastAsia="zh-CN"/>
        </w:rPr>
        <w:t>执行办</w:t>
      </w:r>
      <w:r w:rsidR="00B8531F" w:rsidRPr="00D77FBE">
        <w:rPr>
          <w:rFonts w:ascii="SimSun" w:hAnsi="SimSun" w:cs="SimSun" w:hint="eastAsia"/>
          <w:kern w:val="22"/>
          <w:sz w:val="24"/>
          <w:szCs w:val="24"/>
          <w:lang w:eastAsia="zh-CN"/>
        </w:rPr>
        <w:t>法是成功的关键。海洋空间规划也是如此，虽然势头</w:t>
      </w:r>
      <w:r w:rsidR="00844240">
        <w:rPr>
          <w:rFonts w:ascii="SimSun" w:hAnsi="SimSun" w:cs="SimSun" w:hint="eastAsia"/>
          <w:kern w:val="22"/>
          <w:sz w:val="24"/>
          <w:szCs w:val="24"/>
          <w:lang w:eastAsia="zh-CN"/>
        </w:rPr>
        <w:t>增大</w:t>
      </w:r>
      <w:r w:rsidR="00B8531F" w:rsidRPr="00D77FBE">
        <w:rPr>
          <w:rFonts w:ascii="SimSun" w:hAnsi="SimSun" w:cs="SimSun" w:hint="eastAsia"/>
          <w:kern w:val="22"/>
          <w:sz w:val="24"/>
          <w:szCs w:val="24"/>
          <w:lang w:eastAsia="zh-CN"/>
        </w:rPr>
        <w:t>，但</w:t>
      </w:r>
      <w:r w:rsidR="00844240">
        <w:rPr>
          <w:rFonts w:ascii="SimSun" w:hAnsi="SimSun" w:cs="SimSun" w:hint="eastAsia"/>
          <w:kern w:val="22"/>
          <w:sz w:val="24"/>
          <w:szCs w:val="24"/>
          <w:lang w:eastAsia="zh-CN"/>
        </w:rPr>
        <w:t>是</w:t>
      </w:r>
      <w:r w:rsidR="00B8531F" w:rsidRPr="00D77FBE">
        <w:rPr>
          <w:rFonts w:ascii="SimSun" w:hAnsi="SimSun" w:cs="SimSun" w:hint="eastAsia"/>
          <w:kern w:val="22"/>
          <w:sz w:val="24"/>
          <w:szCs w:val="24"/>
          <w:lang w:eastAsia="zh-CN"/>
        </w:rPr>
        <w:t>很少</w:t>
      </w:r>
      <w:r w:rsidR="00844240">
        <w:rPr>
          <w:rFonts w:ascii="SimSun" w:hAnsi="SimSun" w:cs="SimSun" w:hint="eastAsia"/>
          <w:kern w:val="22"/>
          <w:sz w:val="24"/>
          <w:szCs w:val="24"/>
          <w:lang w:eastAsia="zh-CN"/>
        </w:rPr>
        <w:t>执行</w:t>
      </w:r>
      <w:r w:rsidR="00844240" w:rsidRPr="00844240">
        <w:rPr>
          <w:rStyle w:val="FootnoteReference"/>
          <w:kern w:val="22"/>
          <w:sz w:val="22"/>
        </w:rPr>
        <w:footnoteReference w:id="19"/>
      </w:r>
      <w:r w:rsidR="008033F9">
        <w:rPr>
          <w:rFonts w:ascii="SimSun" w:hAnsi="SimSun" w:cs="SimSun" w:hint="eastAsia"/>
          <w:kern w:val="22"/>
          <w:sz w:val="24"/>
          <w:szCs w:val="24"/>
          <w:lang w:eastAsia="zh-CN"/>
        </w:rPr>
        <w:t>。</w:t>
      </w:r>
      <w:r w:rsidR="006F7865">
        <w:rPr>
          <w:rFonts w:hint="eastAsia"/>
          <w:kern w:val="22"/>
          <w:lang w:eastAsia="zh-CN"/>
        </w:rPr>
        <w:t xml:space="preserve"> </w:t>
      </w:r>
    </w:p>
    <w:p w14:paraId="2A08CDD0" w14:textId="77777777" w:rsidR="00A11624" w:rsidRPr="00C64F18" w:rsidRDefault="00B8531F"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lang w:eastAsia="zh-CN"/>
        </w:rPr>
      </w:pPr>
      <w:r w:rsidRPr="00D77FBE">
        <w:rPr>
          <w:rFonts w:ascii="SimSun" w:hAnsi="SimSun" w:cs="SimSun" w:hint="eastAsia"/>
          <w:kern w:val="22"/>
          <w:sz w:val="24"/>
          <w:szCs w:val="24"/>
          <w:lang w:eastAsia="zh-CN"/>
        </w:rPr>
        <w:t>缺乏利益攸关方</w:t>
      </w:r>
      <w:r w:rsidR="00844240" w:rsidRPr="00D77FBE">
        <w:rPr>
          <w:rFonts w:ascii="SimSun" w:hAnsi="SimSun" w:cs="SimSun" w:hint="eastAsia"/>
          <w:kern w:val="22"/>
          <w:sz w:val="24"/>
          <w:szCs w:val="24"/>
          <w:lang w:eastAsia="zh-CN"/>
        </w:rPr>
        <w:t>有效</w:t>
      </w:r>
      <w:r w:rsidRPr="00D77FBE">
        <w:rPr>
          <w:rFonts w:ascii="SimSun" w:hAnsi="SimSun" w:cs="SimSun" w:hint="eastAsia"/>
          <w:kern w:val="22"/>
          <w:sz w:val="24"/>
          <w:szCs w:val="24"/>
          <w:lang w:eastAsia="zh-CN"/>
        </w:rPr>
        <w:t>参与</w:t>
      </w:r>
      <w:r w:rsidR="00844240">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准确和全面的数据和工具</w:t>
      </w:r>
      <w:r w:rsidR="00844240">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政府的领导和能力</w:t>
      </w:r>
      <w:r w:rsidR="00844240">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充足的财政资源和强制执行的法律框架（以及其他因素）被</w:t>
      </w:r>
      <w:r w:rsidR="006F7865">
        <w:rPr>
          <w:rFonts w:ascii="SimSun" w:hAnsi="SimSun" w:cs="SimSun" w:hint="eastAsia"/>
          <w:kern w:val="22"/>
          <w:sz w:val="24"/>
          <w:szCs w:val="24"/>
          <w:lang w:eastAsia="zh-CN"/>
        </w:rPr>
        <w:t>确定为</w:t>
      </w:r>
      <w:r w:rsidRPr="00D77FBE">
        <w:rPr>
          <w:rFonts w:ascii="SimSun" w:hAnsi="SimSun" w:cs="SimSun" w:hint="eastAsia"/>
          <w:kern w:val="22"/>
          <w:sz w:val="24"/>
          <w:szCs w:val="24"/>
          <w:lang w:eastAsia="zh-CN"/>
        </w:rPr>
        <w:t>制定和</w:t>
      </w:r>
      <w:r w:rsidR="00844240">
        <w:rPr>
          <w:rFonts w:ascii="SimSun" w:hAnsi="SimSun" w:cs="SimSun" w:hint="eastAsia"/>
          <w:kern w:val="22"/>
          <w:sz w:val="24"/>
          <w:szCs w:val="24"/>
          <w:lang w:eastAsia="zh-CN"/>
        </w:rPr>
        <w:t>执行</w:t>
      </w:r>
      <w:r w:rsidR="006F7865" w:rsidRPr="00D77FBE">
        <w:rPr>
          <w:rFonts w:ascii="SimSun" w:hAnsi="SimSun" w:cs="SimSun" w:hint="eastAsia"/>
          <w:kern w:val="22"/>
          <w:sz w:val="24"/>
          <w:szCs w:val="24"/>
          <w:lang w:eastAsia="zh-CN"/>
        </w:rPr>
        <w:t>地区</w:t>
      </w:r>
      <w:r w:rsidRPr="00D77FBE">
        <w:rPr>
          <w:rFonts w:ascii="SimSun" w:hAnsi="SimSun" w:cs="SimSun" w:hint="eastAsia"/>
          <w:kern w:val="22"/>
          <w:sz w:val="24"/>
          <w:szCs w:val="24"/>
          <w:lang w:eastAsia="zh-CN"/>
        </w:rPr>
        <w:t>战略规划的关键挑战，导致</w:t>
      </w:r>
      <w:r w:rsidR="00844240">
        <w:rPr>
          <w:rFonts w:ascii="SimSun" w:hAnsi="SimSun" w:cs="SimSun" w:hint="eastAsia"/>
          <w:kern w:val="22"/>
          <w:sz w:val="24"/>
          <w:szCs w:val="24"/>
          <w:lang w:eastAsia="zh-CN"/>
        </w:rPr>
        <w:t>执行</w:t>
      </w:r>
      <w:r w:rsidR="00A92B0E">
        <w:rPr>
          <w:rFonts w:ascii="SimSun" w:hAnsi="SimSun" w:cs="SimSun" w:hint="eastAsia"/>
          <w:kern w:val="22"/>
          <w:sz w:val="24"/>
          <w:szCs w:val="24"/>
          <w:lang w:eastAsia="zh-CN"/>
        </w:rPr>
        <w:t>有</w:t>
      </w:r>
      <w:r w:rsidRPr="00D77FBE">
        <w:rPr>
          <w:rFonts w:ascii="SimSun" w:hAnsi="SimSun" w:cs="SimSun" w:hint="eastAsia"/>
          <w:kern w:val="22"/>
          <w:sz w:val="24"/>
          <w:szCs w:val="24"/>
          <w:lang w:eastAsia="zh-CN"/>
        </w:rPr>
        <w:t>差距（也称为赤字</w:t>
      </w:r>
      <w:r w:rsidR="001F6A46">
        <w:rPr>
          <w:rFonts w:ascii="SimSun" w:hAnsi="SimSun" w:cs="SimSun" w:hint="eastAsia"/>
          <w:kern w:val="22"/>
          <w:sz w:val="24"/>
          <w:szCs w:val="24"/>
          <w:lang w:eastAsia="zh-CN"/>
        </w:rPr>
        <w:t>）。</w:t>
      </w:r>
    </w:p>
    <w:p w14:paraId="2ECC6706" w14:textId="77777777" w:rsidR="00A11624" w:rsidRPr="00C64F18" w:rsidRDefault="00B8531F"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lang w:eastAsia="zh-CN"/>
        </w:rPr>
      </w:pPr>
      <w:r w:rsidRPr="00D77FBE">
        <w:rPr>
          <w:rFonts w:ascii="SimSun" w:hAnsi="SimSun" w:cs="SimSun" w:hint="eastAsia"/>
          <w:kern w:val="22"/>
          <w:sz w:val="24"/>
          <w:szCs w:val="24"/>
          <w:lang w:eastAsia="zh-CN"/>
        </w:rPr>
        <w:t>土著人民和地方社区的参与将生物多样性和生态系统服务的经济</w:t>
      </w:r>
      <w:r w:rsidR="001F6A46">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社会和文化重要性</w:t>
      </w:r>
      <w:r w:rsidR="001F6A46">
        <w:rPr>
          <w:rFonts w:ascii="SimSun" w:hAnsi="SimSun" w:cs="SimSun" w:hint="eastAsia"/>
          <w:kern w:val="22"/>
          <w:sz w:val="24"/>
          <w:szCs w:val="24"/>
          <w:lang w:eastAsia="zh-CN"/>
        </w:rPr>
        <w:t>带入了</w:t>
      </w:r>
      <w:r w:rsidRPr="00D77FBE">
        <w:rPr>
          <w:rFonts w:ascii="SimSun" w:hAnsi="SimSun" w:cs="SimSun" w:hint="eastAsia"/>
          <w:kern w:val="22"/>
          <w:sz w:val="24"/>
          <w:szCs w:val="24"/>
          <w:lang w:eastAsia="zh-CN"/>
        </w:rPr>
        <w:t>这一进程，这对于战略层面的规划</w:t>
      </w:r>
      <w:r w:rsidR="006F7865">
        <w:rPr>
          <w:rFonts w:ascii="SimSun" w:hAnsi="SimSun" w:cs="SimSun" w:hint="eastAsia"/>
          <w:kern w:val="22"/>
          <w:sz w:val="24"/>
          <w:szCs w:val="24"/>
          <w:lang w:eastAsia="zh-CN"/>
        </w:rPr>
        <w:t>十分</w:t>
      </w:r>
      <w:r w:rsidRPr="00D77FBE">
        <w:rPr>
          <w:rFonts w:ascii="SimSun" w:hAnsi="SimSun" w:cs="SimSun" w:hint="eastAsia"/>
          <w:kern w:val="22"/>
          <w:sz w:val="24"/>
          <w:szCs w:val="24"/>
          <w:lang w:eastAsia="zh-CN"/>
        </w:rPr>
        <w:t>重要。同时，他们是最常受到计划不周和</w:t>
      </w:r>
      <w:r w:rsidRPr="00D77FBE">
        <w:rPr>
          <w:rFonts w:ascii="SimSun" w:hAnsi="SimSun" w:cs="SimSun" w:hint="eastAsia"/>
          <w:kern w:val="22"/>
          <w:sz w:val="24"/>
          <w:szCs w:val="24"/>
          <w:lang w:eastAsia="zh-CN"/>
        </w:rPr>
        <w:lastRenderedPageBreak/>
        <w:t>缺乏咨询</w:t>
      </w:r>
      <w:r w:rsidR="00A92B0E">
        <w:rPr>
          <w:rFonts w:ascii="SimSun" w:hAnsi="SimSun" w:cs="SimSun" w:hint="eastAsia"/>
          <w:kern w:val="22"/>
          <w:sz w:val="24"/>
          <w:szCs w:val="24"/>
          <w:lang w:eastAsia="zh-CN"/>
        </w:rPr>
        <w:t>的</w:t>
      </w:r>
      <w:r w:rsidRPr="00D77FBE">
        <w:rPr>
          <w:rFonts w:ascii="SimSun" w:hAnsi="SimSun" w:cs="SimSun" w:hint="eastAsia"/>
          <w:kern w:val="22"/>
          <w:sz w:val="24"/>
          <w:szCs w:val="24"/>
          <w:lang w:eastAsia="zh-CN"/>
        </w:rPr>
        <w:t>影响的群体。主要利益</w:t>
      </w:r>
      <w:r w:rsidR="001F6A46">
        <w:rPr>
          <w:rFonts w:ascii="SimSun" w:hAnsi="SimSun" w:cs="SimSun" w:hint="eastAsia"/>
          <w:kern w:val="22"/>
          <w:sz w:val="24"/>
          <w:szCs w:val="24"/>
          <w:lang w:eastAsia="zh-CN"/>
        </w:rPr>
        <w:t>悠</w:t>
      </w:r>
      <w:r w:rsidRPr="00D77FBE">
        <w:rPr>
          <w:rFonts w:ascii="SimSun" w:hAnsi="SimSun" w:cs="SimSun" w:hint="eastAsia"/>
          <w:kern w:val="22"/>
          <w:sz w:val="24"/>
          <w:szCs w:val="24"/>
          <w:lang w:eastAsia="zh-CN"/>
        </w:rPr>
        <w:t>关方的积极和建设性参与对发展能力，加强伙伴关系，分享知识和克服障碍至关重要</w:t>
      </w:r>
      <w:r w:rsidR="001F6A46">
        <w:rPr>
          <w:rFonts w:ascii="SimSun" w:hAnsi="SimSun" w:cs="SimSun" w:hint="eastAsia"/>
          <w:kern w:val="22"/>
          <w:sz w:val="24"/>
          <w:szCs w:val="24"/>
          <w:lang w:eastAsia="zh-CN"/>
        </w:rPr>
        <w:t>。</w:t>
      </w:r>
    </w:p>
    <w:p w14:paraId="72992F70" w14:textId="77777777" w:rsidR="00A11624" w:rsidRPr="00C64F18" w:rsidRDefault="00B8531F"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lang w:eastAsia="zh-CN"/>
        </w:rPr>
      </w:pPr>
      <w:r w:rsidRPr="00D77FBE">
        <w:rPr>
          <w:rFonts w:ascii="SimSun" w:hAnsi="SimSun" w:cs="SimSun" w:hint="eastAsia"/>
          <w:kern w:val="22"/>
          <w:sz w:val="24"/>
          <w:szCs w:val="24"/>
          <w:lang w:eastAsia="zh-CN"/>
        </w:rPr>
        <w:t>虽然关于有效参与和获取信息的指导日益增多（例如，世界银行</w:t>
      </w:r>
      <w:r w:rsidR="00111834">
        <w:rPr>
          <w:rFonts w:ascii="SimSun" w:hAnsi="SimSun" w:cs="SimSun" w:hint="eastAsia"/>
          <w:kern w:val="22"/>
          <w:sz w:val="24"/>
          <w:szCs w:val="24"/>
          <w:lang w:eastAsia="zh-CN"/>
        </w:rPr>
        <w:t>、</w:t>
      </w:r>
      <w:r w:rsidR="001F6A46">
        <w:rPr>
          <w:lang w:eastAsia="zh-CN"/>
        </w:rPr>
        <w:t>国际采矿和金属理事</w:t>
      </w:r>
      <w:r w:rsidR="001F6A46">
        <w:rPr>
          <w:rFonts w:ascii="SimSun" w:hAnsi="SimSun" w:cs="SimSun" w:hint="eastAsia"/>
          <w:lang w:eastAsia="zh-CN"/>
        </w:rPr>
        <w:t>会</w:t>
      </w:r>
      <w:r w:rsidRPr="00D77FBE">
        <w:rPr>
          <w:rFonts w:ascii="SimSun" w:hAnsi="SimSun" w:cs="SimSun" w:hint="eastAsia"/>
          <w:kern w:val="22"/>
          <w:sz w:val="24"/>
          <w:szCs w:val="24"/>
          <w:lang w:eastAsia="zh-CN"/>
        </w:rPr>
        <w:t>和其他机构编制了有关社区参与和采矿</w:t>
      </w:r>
      <w:r w:rsidR="001F6A46">
        <w:rPr>
          <w:rFonts w:ascii="SimSun" w:hAnsi="SimSun" w:cs="SimSun" w:hint="eastAsia"/>
          <w:kern w:val="22"/>
          <w:sz w:val="24"/>
          <w:szCs w:val="24"/>
          <w:lang w:eastAsia="zh-CN"/>
        </w:rPr>
        <w:t>业</w:t>
      </w:r>
      <w:r w:rsidRPr="00D77FBE">
        <w:rPr>
          <w:rFonts w:ascii="SimSun" w:hAnsi="SimSun" w:cs="SimSun" w:hint="eastAsia"/>
          <w:kern w:val="22"/>
          <w:sz w:val="24"/>
          <w:szCs w:val="24"/>
          <w:lang w:eastAsia="zh-CN"/>
        </w:rPr>
        <w:t>发展的手册和工具包），但</w:t>
      </w:r>
      <w:r w:rsidR="00A92B0E">
        <w:rPr>
          <w:rFonts w:ascii="SimSun" w:hAnsi="SimSun" w:cs="SimSun" w:hint="eastAsia"/>
          <w:kern w:val="22"/>
          <w:sz w:val="24"/>
          <w:szCs w:val="24"/>
          <w:lang w:eastAsia="zh-CN"/>
        </w:rPr>
        <w:t>没有</w:t>
      </w:r>
      <w:r w:rsidR="004E2B4E">
        <w:rPr>
          <w:rFonts w:ascii="SimSun" w:hAnsi="SimSun" w:cs="SimSun" w:hint="eastAsia"/>
          <w:kern w:val="22"/>
          <w:sz w:val="24"/>
          <w:szCs w:val="24"/>
          <w:lang w:eastAsia="zh-CN"/>
        </w:rPr>
        <w:t>始终</w:t>
      </w:r>
      <w:r w:rsidRPr="00D77FBE">
        <w:rPr>
          <w:rFonts w:ascii="SimSun" w:hAnsi="SimSun" w:cs="SimSun" w:hint="eastAsia"/>
          <w:kern w:val="22"/>
          <w:sz w:val="24"/>
          <w:szCs w:val="24"/>
          <w:lang w:eastAsia="zh-CN"/>
        </w:rPr>
        <w:t>贯彻执行</w:t>
      </w:r>
      <w:r w:rsidR="001F6A46">
        <w:rPr>
          <w:rFonts w:ascii="SimSun" w:hAnsi="SimSun" w:cs="SimSun" w:hint="eastAsia"/>
          <w:kern w:val="22"/>
          <w:sz w:val="24"/>
          <w:szCs w:val="24"/>
          <w:lang w:eastAsia="zh-CN"/>
        </w:rPr>
        <w:t>。</w:t>
      </w:r>
    </w:p>
    <w:p w14:paraId="79BDC8DB" w14:textId="77777777" w:rsidR="00A11624" w:rsidRPr="005C5493" w:rsidRDefault="00B8531F" w:rsidP="00B66243">
      <w:pPr>
        <w:pStyle w:val="Heading2"/>
        <w:numPr>
          <w:ilvl w:val="0"/>
          <w:numId w:val="22"/>
        </w:numPr>
        <w:suppressLineNumbers/>
        <w:tabs>
          <w:tab w:val="clear" w:pos="720"/>
        </w:tabs>
        <w:suppressAutoHyphens/>
        <w:kinsoku w:val="0"/>
        <w:overflowPunct w:val="0"/>
        <w:autoSpaceDE w:val="0"/>
        <w:autoSpaceDN w:val="0"/>
        <w:adjustRightInd w:val="0"/>
        <w:spacing w:line="240" w:lineRule="atLeast"/>
        <w:rPr>
          <w:rFonts w:ascii="SimSun" w:hAnsi="SimSun" w:cs="SimSun"/>
          <w:i w:val="0"/>
          <w:kern w:val="22"/>
        </w:rPr>
      </w:pPr>
      <w:bookmarkStart w:id="9" w:name="_UNDERSTANDING_AND_MINIMISING"/>
      <w:bookmarkEnd w:id="9"/>
      <w:r w:rsidRPr="005C5493">
        <w:rPr>
          <w:rFonts w:ascii="SimSun" w:hAnsi="SimSun" w:cs="SimSun" w:hint="eastAsia"/>
          <w:i w:val="0"/>
          <w:kern w:val="22"/>
        </w:rPr>
        <w:t>项目</w:t>
      </w:r>
      <w:r w:rsidR="005C5493">
        <w:rPr>
          <w:rFonts w:ascii="SimSun" w:hAnsi="SimSun" w:cs="SimSun" w:hint="eastAsia"/>
          <w:i w:val="0"/>
          <w:kern w:val="22"/>
        </w:rPr>
        <w:t>层面</w:t>
      </w:r>
      <w:r w:rsidRPr="005C5493">
        <w:rPr>
          <w:rFonts w:ascii="SimSun" w:hAnsi="SimSun" w:cs="SimSun" w:hint="eastAsia"/>
          <w:i w:val="0"/>
          <w:kern w:val="22"/>
        </w:rPr>
        <w:t>的规划和评估：环境和社会影响评估</w:t>
      </w:r>
    </w:p>
    <w:p w14:paraId="00CF6C6E" w14:textId="77777777" w:rsidR="00111834" w:rsidRPr="005C5493" w:rsidRDefault="00111834" w:rsidP="00B66243">
      <w:pPr>
        <w:pStyle w:val="Heading3"/>
        <w:suppressLineNumbers/>
        <w:tabs>
          <w:tab w:val="clear" w:pos="567"/>
        </w:tabs>
        <w:suppressAutoHyphens/>
        <w:kinsoku w:val="0"/>
        <w:overflowPunct w:val="0"/>
        <w:autoSpaceDE w:val="0"/>
        <w:autoSpaceDN w:val="0"/>
        <w:adjustRightInd w:val="0"/>
        <w:spacing w:line="240" w:lineRule="atLeast"/>
        <w:rPr>
          <w:rFonts w:ascii="KaiTi" w:eastAsia="KaiTi" w:hAnsi="KaiTi"/>
          <w:kern w:val="22"/>
          <w:u w:val="none"/>
        </w:rPr>
      </w:pPr>
      <w:r w:rsidRPr="005C5493">
        <w:rPr>
          <w:rFonts w:ascii="KaiTi" w:eastAsia="KaiTi" w:hAnsi="KaiTi" w:hint="eastAsia"/>
          <w:kern w:val="22"/>
          <w:u w:val="none"/>
        </w:rPr>
        <w:t>1.</w:t>
      </w:r>
      <w:r w:rsidR="00AA1624" w:rsidRPr="005C5493">
        <w:rPr>
          <w:rFonts w:ascii="KaiTi" w:eastAsia="KaiTi" w:hAnsi="KaiTi" w:hint="eastAsia"/>
          <w:kern w:val="22"/>
          <w:u w:val="none"/>
        </w:rPr>
        <w:t>引言</w:t>
      </w:r>
    </w:p>
    <w:p w14:paraId="307F569C" w14:textId="77777777" w:rsidR="00A11624" w:rsidRPr="00C64F18" w:rsidRDefault="00B8531F"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lang w:eastAsia="zh-CN"/>
        </w:rPr>
      </w:pPr>
      <w:r w:rsidRPr="00D77FBE">
        <w:rPr>
          <w:rFonts w:ascii="SimSun" w:hAnsi="SimSun" w:cs="SimSun" w:hint="eastAsia"/>
          <w:kern w:val="22"/>
          <w:sz w:val="24"/>
          <w:szCs w:val="24"/>
          <w:lang w:eastAsia="zh-CN"/>
        </w:rPr>
        <w:t>环境和社会影响评估（和相关的环境管理计划</w:t>
      </w:r>
      <w:r w:rsidR="004E2B4E">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生物多样性行动计划和物种行动计划）</w:t>
      </w:r>
      <w:r w:rsidR="00111834">
        <w:rPr>
          <w:rFonts w:ascii="SimSun" w:hAnsi="SimSun" w:cs="SimSun" w:hint="eastAsia"/>
          <w:kern w:val="22"/>
          <w:sz w:val="24"/>
          <w:szCs w:val="24"/>
          <w:lang w:eastAsia="zh-CN"/>
        </w:rPr>
        <w:t>加之</w:t>
      </w:r>
      <w:r w:rsidRPr="00D77FBE">
        <w:rPr>
          <w:rFonts w:ascii="SimSun" w:hAnsi="SimSun" w:cs="SimSun" w:hint="eastAsia"/>
          <w:kern w:val="22"/>
          <w:sz w:val="24"/>
          <w:szCs w:val="24"/>
          <w:lang w:eastAsia="zh-CN"/>
        </w:rPr>
        <w:t>强有力的避免和缓解措施</w:t>
      </w:r>
      <w:r w:rsidR="00772254">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对于解决能源和矿业开发对生物多样性的潜在负面影响至关重要</w:t>
      </w:r>
      <w:r w:rsidR="004E2B4E">
        <w:rPr>
          <w:rFonts w:ascii="SimSun" w:hAnsi="SimSun" w:cs="SimSun" w:hint="eastAsia"/>
          <w:kern w:val="22"/>
          <w:sz w:val="24"/>
          <w:szCs w:val="24"/>
          <w:lang w:eastAsia="zh-CN"/>
        </w:rPr>
        <w:t>。</w:t>
      </w:r>
    </w:p>
    <w:p w14:paraId="202A5D51" w14:textId="77777777" w:rsidR="00A11624" w:rsidRPr="005C5493" w:rsidRDefault="00A11624" w:rsidP="00B66243">
      <w:pPr>
        <w:pStyle w:val="Heading3"/>
        <w:suppressLineNumbers/>
        <w:tabs>
          <w:tab w:val="clear" w:pos="567"/>
        </w:tabs>
        <w:suppressAutoHyphens/>
        <w:kinsoku w:val="0"/>
        <w:overflowPunct w:val="0"/>
        <w:autoSpaceDE w:val="0"/>
        <w:autoSpaceDN w:val="0"/>
        <w:adjustRightInd w:val="0"/>
        <w:spacing w:line="240" w:lineRule="atLeast"/>
        <w:rPr>
          <w:rFonts w:ascii="KaiTi" w:eastAsia="KaiTi" w:hAnsi="KaiTi"/>
          <w:kern w:val="22"/>
        </w:rPr>
      </w:pPr>
      <w:r w:rsidRPr="005C5493">
        <w:rPr>
          <w:rFonts w:ascii="KaiTi" w:eastAsia="KaiTi" w:hAnsi="KaiTi"/>
          <w:kern w:val="22"/>
          <w:u w:val="none"/>
        </w:rPr>
        <w:t>2.</w:t>
      </w:r>
      <w:r w:rsidR="005C5493" w:rsidRPr="005C5493">
        <w:rPr>
          <w:rFonts w:ascii="KaiTi" w:eastAsia="KaiTi" w:hAnsi="KaiTi" w:hint="eastAsia"/>
          <w:kern w:val="22"/>
          <w:u w:val="none"/>
        </w:rPr>
        <w:t>部分现行</w:t>
      </w:r>
      <w:r w:rsidR="00B8531F" w:rsidRPr="005C5493">
        <w:rPr>
          <w:rFonts w:ascii="KaiTi" w:eastAsia="KaiTi" w:hAnsi="KaiTi" w:cs="SimSun" w:hint="eastAsia"/>
          <w:kern w:val="22"/>
          <w:u w:val="none"/>
        </w:rPr>
        <w:t>方法</w:t>
      </w:r>
      <w:r w:rsidR="004E2B4E" w:rsidRPr="005C5493">
        <w:rPr>
          <w:rFonts w:ascii="KaiTi" w:eastAsia="KaiTi" w:hAnsi="KaiTi" w:cs="SimSun" w:hint="eastAsia"/>
          <w:kern w:val="22"/>
          <w:u w:val="none"/>
        </w:rPr>
        <w:t>、</w:t>
      </w:r>
      <w:r w:rsidR="00B8531F" w:rsidRPr="005C5493">
        <w:rPr>
          <w:rFonts w:ascii="KaiTi" w:eastAsia="KaiTi" w:hAnsi="KaiTi" w:cs="SimSun" w:hint="eastAsia"/>
          <w:kern w:val="22"/>
          <w:u w:val="none"/>
        </w:rPr>
        <w:t>标准和良好做法</w:t>
      </w:r>
    </w:p>
    <w:p w14:paraId="144AA5B6" w14:textId="77777777" w:rsidR="00A11624" w:rsidRPr="00C64F18" w:rsidRDefault="004E2B4E"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lang w:eastAsia="zh-CN"/>
        </w:rPr>
      </w:pPr>
      <w:r>
        <w:rPr>
          <w:rFonts w:ascii="SimSun" w:hAnsi="SimSun" w:cs="SimSun" w:hint="eastAsia"/>
          <w:kern w:val="22"/>
          <w:sz w:val="24"/>
          <w:szCs w:val="24"/>
          <w:lang w:eastAsia="zh-CN"/>
        </w:rPr>
        <w:t>应当进行</w:t>
      </w:r>
      <w:r w:rsidR="00B8531F" w:rsidRPr="00D77FBE">
        <w:rPr>
          <w:rFonts w:ascii="SimSun" w:hAnsi="SimSun" w:cs="SimSun" w:hint="eastAsia"/>
          <w:kern w:val="22"/>
          <w:sz w:val="24"/>
          <w:szCs w:val="24"/>
          <w:lang w:eastAsia="zh-CN"/>
        </w:rPr>
        <w:t>良好做法的环境和社会影响评估</w:t>
      </w:r>
      <w:r>
        <w:rPr>
          <w:rFonts w:ascii="SimSun" w:hAnsi="SimSun" w:cs="SimSun" w:hint="eastAsia"/>
          <w:kern w:val="22"/>
          <w:sz w:val="24"/>
          <w:szCs w:val="24"/>
          <w:lang w:eastAsia="zh-CN"/>
        </w:rPr>
        <w:t>，</w:t>
      </w:r>
      <w:r w:rsidR="00B8531F" w:rsidRPr="00D77FBE">
        <w:rPr>
          <w:rFonts w:ascii="SimSun" w:hAnsi="SimSun" w:cs="SimSun" w:hint="eastAsia"/>
          <w:kern w:val="22"/>
          <w:sz w:val="24"/>
          <w:szCs w:val="24"/>
          <w:lang w:eastAsia="zh-CN"/>
        </w:rPr>
        <w:t>作为确保</w:t>
      </w:r>
      <w:r w:rsidR="00CC601B">
        <w:rPr>
          <w:rFonts w:ascii="SimSun" w:hAnsi="SimSun" w:cs="SimSun" w:hint="eastAsia"/>
          <w:kern w:val="22"/>
          <w:sz w:val="24"/>
          <w:szCs w:val="24"/>
          <w:lang w:eastAsia="zh-CN"/>
        </w:rPr>
        <w:t>获准</w:t>
      </w:r>
      <w:r w:rsidR="00CC601B" w:rsidRPr="00D77FBE">
        <w:rPr>
          <w:rFonts w:ascii="SimSun" w:hAnsi="SimSun" w:cs="SimSun" w:hint="eastAsia"/>
          <w:kern w:val="22"/>
          <w:sz w:val="24"/>
          <w:szCs w:val="24"/>
          <w:lang w:eastAsia="zh-CN"/>
        </w:rPr>
        <w:t>同意</w:t>
      </w:r>
      <w:r w:rsidR="00CC601B">
        <w:rPr>
          <w:rFonts w:ascii="SimSun" w:hAnsi="SimSun" w:cs="SimSun" w:hint="eastAsia"/>
          <w:kern w:val="22"/>
          <w:sz w:val="24"/>
          <w:szCs w:val="24"/>
          <w:lang w:eastAsia="zh-CN"/>
        </w:rPr>
        <w:t>进行</w:t>
      </w:r>
      <w:r w:rsidR="00CC601B" w:rsidRPr="00D77FBE">
        <w:rPr>
          <w:rFonts w:ascii="SimSun" w:hAnsi="SimSun" w:cs="SimSun" w:hint="eastAsia"/>
          <w:kern w:val="22"/>
          <w:sz w:val="24"/>
          <w:szCs w:val="24"/>
          <w:lang w:eastAsia="zh-CN"/>
        </w:rPr>
        <w:t>项目</w:t>
      </w:r>
      <w:r w:rsidR="00B8531F" w:rsidRPr="00D77FBE">
        <w:rPr>
          <w:rFonts w:ascii="SimSun" w:hAnsi="SimSun" w:cs="SimSun" w:hint="eastAsia"/>
          <w:kern w:val="22"/>
          <w:sz w:val="24"/>
          <w:szCs w:val="24"/>
          <w:lang w:eastAsia="zh-CN"/>
        </w:rPr>
        <w:t>的</w:t>
      </w:r>
      <w:r>
        <w:rPr>
          <w:rFonts w:ascii="SimSun" w:hAnsi="SimSun" w:cs="SimSun" w:hint="eastAsia"/>
          <w:kern w:val="22"/>
          <w:sz w:val="24"/>
          <w:szCs w:val="24"/>
          <w:lang w:eastAsia="zh-CN"/>
        </w:rPr>
        <w:t>进</w:t>
      </w:r>
      <w:r w:rsidR="00B8531F" w:rsidRPr="00D77FBE">
        <w:rPr>
          <w:rFonts w:ascii="SimSun" w:hAnsi="SimSun" w:cs="SimSun" w:hint="eastAsia"/>
          <w:kern w:val="22"/>
          <w:sz w:val="24"/>
          <w:szCs w:val="24"/>
          <w:lang w:eastAsia="zh-CN"/>
        </w:rPr>
        <w:t>程的一部分。</w:t>
      </w:r>
      <w:r>
        <w:rPr>
          <w:rFonts w:hint="eastAsia"/>
          <w:kern w:val="22"/>
          <w:lang w:eastAsia="zh-CN"/>
        </w:rPr>
        <w:t>办</w:t>
      </w:r>
      <w:r w:rsidR="00B8531F" w:rsidRPr="00D77FBE">
        <w:rPr>
          <w:rFonts w:ascii="SimSun" w:hAnsi="SimSun" w:cs="SimSun" w:hint="eastAsia"/>
          <w:kern w:val="22"/>
          <w:sz w:val="24"/>
          <w:szCs w:val="24"/>
          <w:lang w:eastAsia="zh-CN"/>
        </w:rPr>
        <w:t>法各不相同，但通常环境影响评估应</w:t>
      </w:r>
      <w:r>
        <w:rPr>
          <w:rFonts w:ascii="SimSun" w:hAnsi="SimSun" w:cs="SimSun" w:hint="eastAsia"/>
          <w:kern w:val="22"/>
          <w:sz w:val="24"/>
          <w:szCs w:val="24"/>
          <w:lang w:eastAsia="zh-CN"/>
        </w:rPr>
        <w:t>指明</w:t>
      </w:r>
      <w:r w:rsidR="00B8531F" w:rsidRPr="00D77FBE">
        <w:rPr>
          <w:rFonts w:ascii="SimSun" w:hAnsi="SimSun" w:cs="SimSun" w:hint="eastAsia"/>
          <w:kern w:val="22"/>
          <w:sz w:val="24"/>
          <w:szCs w:val="24"/>
          <w:lang w:eastAsia="zh-CN"/>
        </w:rPr>
        <w:t>所有潜在的直接</w:t>
      </w:r>
      <w:r>
        <w:rPr>
          <w:rFonts w:ascii="SimSun" w:hAnsi="SimSun" w:cs="SimSun" w:hint="eastAsia"/>
          <w:kern w:val="22"/>
          <w:sz w:val="24"/>
          <w:szCs w:val="24"/>
          <w:lang w:eastAsia="zh-CN"/>
        </w:rPr>
        <w:t>、</w:t>
      </w:r>
      <w:r w:rsidR="00B8531F" w:rsidRPr="00D77FBE">
        <w:rPr>
          <w:rFonts w:ascii="SimSun" w:hAnsi="SimSun" w:cs="SimSun" w:hint="eastAsia"/>
          <w:kern w:val="22"/>
          <w:sz w:val="24"/>
          <w:szCs w:val="24"/>
          <w:lang w:eastAsia="zh-CN"/>
        </w:rPr>
        <w:t>间接</w:t>
      </w:r>
      <w:r>
        <w:rPr>
          <w:rFonts w:ascii="SimSun" w:hAnsi="SimSun" w:cs="SimSun" w:hint="eastAsia"/>
          <w:kern w:val="22"/>
          <w:sz w:val="24"/>
          <w:szCs w:val="24"/>
          <w:lang w:eastAsia="zh-CN"/>
        </w:rPr>
        <w:t>、</w:t>
      </w:r>
      <w:r w:rsidR="00B8531F" w:rsidRPr="00D77FBE">
        <w:rPr>
          <w:rFonts w:ascii="SimSun" w:hAnsi="SimSun" w:cs="SimSun" w:hint="eastAsia"/>
          <w:kern w:val="22"/>
          <w:sz w:val="24"/>
          <w:szCs w:val="24"/>
          <w:lang w:eastAsia="zh-CN"/>
        </w:rPr>
        <w:t>诱发</w:t>
      </w:r>
      <w:r>
        <w:rPr>
          <w:rFonts w:ascii="SimSun" w:hAnsi="SimSun" w:cs="SimSun" w:hint="eastAsia"/>
          <w:kern w:val="22"/>
          <w:sz w:val="24"/>
          <w:szCs w:val="24"/>
          <w:lang w:eastAsia="zh-CN"/>
        </w:rPr>
        <w:t>的</w:t>
      </w:r>
      <w:r w:rsidR="00B8531F" w:rsidRPr="00D77FBE">
        <w:rPr>
          <w:rFonts w:ascii="SimSun" w:hAnsi="SimSun" w:cs="SimSun" w:hint="eastAsia"/>
          <w:kern w:val="22"/>
          <w:sz w:val="24"/>
          <w:szCs w:val="24"/>
          <w:lang w:eastAsia="zh-CN"/>
        </w:rPr>
        <w:t>和累积</w:t>
      </w:r>
      <w:r>
        <w:rPr>
          <w:rFonts w:ascii="SimSun" w:hAnsi="SimSun" w:cs="SimSun" w:hint="eastAsia"/>
          <w:kern w:val="22"/>
          <w:sz w:val="24"/>
          <w:szCs w:val="24"/>
          <w:lang w:eastAsia="zh-CN"/>
        </w:rPr>
        <w:t>的</w:t>
      </w:r>
      <w:r w:rsidR="00B8531F" w:rsidRPr="00D77FBE">
        <w:rPr>
          <w:rFonts w:ascii="SimSun" w:hAnsi="SimSun" w:cs="SimSun" w:hint="eastAsia"/>
          <w:kern w:val="22"/>
          <w:sz w:val="24"/>
          <w:szCs w:val="24"/>
          <w:lang w:eastAsia="zh-CN"/>
        </w:rPr>
        <w:t>影响，以及避免</w:t>
      </w:r>
      <w:r>
        <w:rPr>
          <w:rFonts w:ascii="SimSun" w:hAnsi="SimSun" w:cs="SimSun" w:hint="eastAsia"/>
          <w:kern w:val="22"/>
          <w:sz w:val="24"/>
          <w:szCs w:val="24"/>
          <w:lang w:eastAsia="zh-CN"/>
        </w:rPr>
        <w:t>、</w:t>
      </w:r>
      <w:r w:rsidR="00B8531F" w:rsidRPr="00D77FBE">
        <w:rPr>
          <w:rFonts w:ascii="SimSun" w:hAnsi="SimSun" w:cs="SimSun" w:hint="eastAsia"/>
          <w:kern w:val="22"/>
          <w:sz w:val="24"/>
          <w:szCs w:val="24"/>
          <w:lang w:eastAsia="zh-CN"/>
        </w:rPr>
        <w:t>减轻</w:t>
      </w:r>
      <w:r>
        <w:rPr>
          <w:rFonts w:ascii="SimSun" w:hAnsi="SimSun" w:cs="SimSun" w:hint="eastAsia"/>
          <w:kern w:val="22"/>
          <w:sz w:val="24"/>
          <w:szCs w:val="24"/>
          <w:lang w:eastAsia="zh-CN"/>
        </w:rPr>
        <w:t>、</w:t>
      </w:r>
      <w:r w:rsidR="00B8531F" w:rsidRPr="00D77FBE">
        <w:rPr>
          <w:rFonts w:ascii="SimSun" w:hAnsi="SimSun" w:cs="SimSun" w:hint="eastAsia"/>
          <w:kern w:val="22"/>
          <w:sz w:val="24"/>
          <w:szCs w:val="24"/>
          <w:lang w:eastAsia="zh-CN"/>
        </w:rPr>
        <w:t>恢复或抵消这些影响所需的行动。环境影响评估还应该</w:t>
      </w:r>
      <w:r w:rsidR="00CC601B">
        <w:rPr>
          <w:rFonts w:ascii="SimSun" w:hAnsi="SimSun" w:cs="SimSun" w:hint="eastAsia"/>
          <w:kern w:val="22"/>
          <w:sz w:val="24"/>
          <w:szCs w:val="24"/>
          <w:lang w:eastAsia="zh-CN"/>
        </w:rPr>
        <w:t>有</w:t>
      </w:r>
      <w:r w:rsidR="00B8531F" w:rsidRPr="00D77FBE">
        <w:rPr>
          <w:rFonts w:ascii="SimSun" w:hAnsi="SimSun" w:cs="SimSun" w:hint="eastAsia"/>
          <w:kern w:val="22"/>
          <w:sz w:val="24"/>
          <w:szCs w:val="24"/>
          <w:lang w:eastAsia="zh-CN"/>
        </w:rPr>
        <w:t>项目的环境管理计划</w:t>
      </w:r>
      <w:r w:rsidR="00CC601B">
        <w:rPr>
          <w:rFonts w:ascii="SimSun" w:hAnsi="SimSun" w:cs="SimSun" w:hint="eastAsia"/>
          <w:kern w:val="22"/>
          <w:sz w:val="24"/>
          <w:szCs w:val="24"/>
          <w:lang w:eastAsia="zh-CN"/>
        </w:rPr>
        <w:t>概要</w:t>
      </w:r>
      <w:r w:rsidR="00B8531F" w:rsidRPr="00D77FBE">
        <w:rPr>
          <w:rFonts w:ascii="SimSun" w:hAnsi="SimSun" w:cs="SimSun" w:hint="eastAsia"/>
          <w:kern w:val="22"/>
          <w:sz w:val="24"/>
          <w:szCs w:val="24"/>
          <w:lang w:eastAsia="zh-CN"/>
        </w:rPr>
        <w:t>。一旦批准，这些行动（及其相关的时间表）将成为</w:t>
      </w:r>
      <w:r w:rsidR="00CC601B">
        <w:rPr>
          <w:rFonts w:ascii="SimSun" w:hAnsi="SimSun" w:cs="SimSun" w:hint="eastAsia"/>
          <w:kern w:val="22"/>
          <w:sz w:val="24"/>
          <w:szCs w:val="24"/>
          <w:lang w:eastAsia="zh-CN"/>
        </w:rPr>
        <w:t>获取</w:t>
      </w:r>
      <w:r w:rsidR="00B8531F" w:rsidRPr="00D77FBE">
        <w:rPr>
          <w:rFonts w:ascii="SimSun" w:hAnsi="SimSun" w:cs="SimSun" w:hint="eastAsia"/>
          <w:kern w:val="22"/>
          <w:sz w:val="24"/>
          <w:szCs w:val="24"/>
          <w:lang w:eastAsia="zh-CN"/>
        </w:rPr>
        <w:t>项目进行许可证或</w:t>
      </w:r>
      <w:r w:rsidR="00A45630">
        <w:rPr>
          <w:rFonts w:ascii="SimSun" w:hAnsi="SimSun" w:cs="SimSun" w:hint="eastAsia"/>
          <w:kern w:val="22"/>
          <w:sz w:val="24"/>
          <w:szCs w:val="24"/>
          <w:lang w:eastAsia="zh-CN"/>
        </w:rPr>
        <w:t>执照</w:t>
      </w:r>
      <w:r w:rsidR="00B8531F" w:rsidRPr="00D77FBE">
        <w:rPr>
          <w:rFonts w:ascii="SimSun" w:hAnsi="SimSun" w:cs="SimSun" w:hint="eastAsia"/>
          <w:kern w:val="22"/>
          <w:sz w:val="24"/>
          <w:szCs w:val="24"/>
          <w:lang w:eastAsia="zh-CN"/>
        </w:rPr>
        <w:t>的条件。应该</w:t>
      </w:r>
      <w:r w:rsidR="00CC601B">
        <w:rPr>
          <w:rFonts w:ascii="SimSun" w:hAnsi="SimSun" w:cs="SimSun" w:hint="eastAsia"/>
          <w:kern w:val="22"/>
          <w:sz w:val="24"/>
          <w:szCs w:val="24"/>
          <w:lang w:eastAsia="zh-CN"/>
        </w:rPr>
        <w:t>将它们</w:t>
      </w:r>
      <w:r w:rsidR="00B8531F" w:rsidRPr="00D77FBE">
        <w:rPr>
          <w:rFonts w:ascii="SimSun" w:hAnsi="SimSun" w:cs="SimSun" w:hint="eastAsia"/>
          <w:kern w:val="22"/>
          <w:sz w:val="24"/>
          <w:szCs w:val="24"/>
          <w:lang w:eastAsia="zh-CN"/>
        </w:rPr>
        <w:t>列入合</w:t>
      </w:r>
      <w:proofErr w:type="gramStart"/>
      <w:r w:rsidR="00B8531F" w:rsidRPr="00D77FBE">
        <w:rPr>
          <w:rFonts w:ascii="SimSun" w:hAnsi="SimSun" w:cs="SimSun" w:hint="eastAsia"/>
          <w:kern w:val="22"/>
          <w:sz w:val="24"/>
          <w:szCs w:val="24"/>
          <w:lang w:eastAsia="zh-CN"/>
        </w:rPr>
        <w:t>规</w:t>
      </w:r>
      <w:proofErr w:type="gramEnd"/>
      <w:r w:rsidR="00B8531F" w:rsidRPr="00D77FBE">
        <w:rPr>
          <w:rFonts w:ascii="SimSun" w:hAnsi="SimSun" w:cs="SimSun" w:hint="eastAsia"/>
          <w:kern w:val="22"/>
          <w:sz w:val="24"/>
          <w:szCs w:val="24"/>
          <w:lang w:eastAsia="zh-CN"/>
        </w:rPr>
        <w:t>或承诺登记册</w:t>
      </w:r>
      <w:r w:rsidR="00EC292B">
        <w:rPr>
          <w:rFonts w:ascii="SimSun" w:hAnsi="SimSun" w:cs="SimSun" w:hint="eastAsia"/>
          <w:kern w:val="22"/>
          <w:sz w:val="24"/>
          <w:szCs w:val="24"/>
          <w:lang w:eastAsia="zh-CN"/>
        </w:rPr>
        <w:t>，并在整个项目周期内进行跟踪，理想情况下由独立审计员进行跟踪。</w:t>
      </w:r>
      <w:r w:rsidR="00B8531F" w:rsidRPr="00D77FBE">
        <w:rPr>
          <w:rFonts w:ascii="SimSun" w:hAnsi="SimSun" w:cs="SimSun" w:hint="eastAsia"/>
          <w:kern w:val="22"/>
          <w:sz w:val="24"/>
          <w:szCs w:val="24"/>
          <w:lang w:eastAsia="zh-CN"/>
        </w:rPr>
        <w:t>批准阶段</w:t>
      </w:r>
      <w:r w:rsidR="00EC292B">
        <w:rPr>
          <w:rFonts w:ascii="SimSun" w:hAnsi="SimSun" w:cs="SimSun" w:hint="eastAsia"/>
          <w:kern w:val="22"/>
          <w:sz w:val="24"/>
          <w:szCs w:val="24"/>
          <w:lang w:val="en-US" w:eastAsia="zh-CN"/>
        </w:rPr>
        <w:t>以</w:t>
      </w:r>
      <w:r w:rsidR="00B8531F" w:rsidRPr="00D77FBE">
        <w:rPr>
          <w:rFonts w:ascii="SimSun" w:hAnsi="SimSun" w:cs="SimSun" w:hint="eastAsia"/>
          <w:kern w:val="22"/>
          <w:sz w:val="24"/>
          <w:szCs w:val="24"/>
          <w:lang w:eastAsia="zh-CN"/>
        </w:rPr>
        <w:t>后，环境管理计划</w:t>
      </w:r>
      <w:r w:rsidR="00EC292B">
        <w:rPr>
          <w:rFonts w:ascii="SimSun" w:hAnsi="SimSun" w:cs="SimSun" w:hint="eastAsia"/>
          <w:kern w:val="22"/>
          <w:sz w:val="24"/>
          <w:szCs w:val="24"/>
          <w:lang w:eastAsia="zh-CN"/>
        </w:rPr>
        <w:t>可用于</w:t>
      </w:r>
      <w:r w:rsidR="00B8531F" w:rsidRPr="00D77FBE">
        <w:rPr>
          <w:rFonts w:ascii="SimSun" w:hAnsi="SimSun" w:cs="SimSun" w:hint="eastAsia"/>
          <w:kern w:val="22"/>
          <w:sz w:val="24"/>
          <w:szCs w:val="24"/>
          <w:lang w:eastAsia="zh-CN"/>
        </w:rPr>
        <w:t>指导项目。环境管理计划中将</w:t>
      </w:r>
      <w:r w:rsidR="00EC292B" w:rsidRPr="00D77FBE">
        <w:rPr>
          <w:rFonts w:ascii="SimSun" w:hAnsi="SimSun" w:cs="SimSun" w:hint="eastAsia"/>
          <w:kern w:val="22"/>
          <w:sz w:val="24"/>
          <w:szCs w:val="24"/>
          <w:lang w:eastAsia="zh-CN"/>
        </w:rPr>
        <w:t>包含</w:t>
      </w:r>
      <w:r w:rsidR="00B8531F" w:rsidRPr="00D77FBE">
        <w:rPr>
          <w:rFonts w:ascii="SimSun" w:hAnsi="SimSun" w:cs="SimSun" w:hint="eastAsia"/>
          <w:kern w:val="22"/>
          <w:sz w:val="24"/>
          <w:szCs w:val="24"/>
          <w:lang w:eastAsia="zh-CN"/>
        </w:rPr>
        <w:t>该项目的生物多样性行动计划，必要时还包括相关的物种行动计划。</w:t>
      </w:r>
      <w:r w:rsidR="00EC292B">
        <w:rPr>
          <w:rFonts w:ascii="SimSun" w:hAnsi="SimSun" w:cs="SimSun" w:hint="eastAsia"/>
          <w:kern w:val="22"/>
          <w:sz w:val="24"/>
          <w:szCs w:val="24"/>
          <w:lang w:eastAsia="zh-CN"/>
        </w:rPr>
        <w:t>虽然是</w:t>
      </w:r>
      <w:r w:rsidR="00B8531F" w:rsidRPr="00D77FBE">
        <w:rPr>
          <w:rFonts w:ascii="SimSun" w:hAnsi="SimSun" w:cs="SimSun" w:hint="eastAsia"/>
          <w:kern w:val="22"/>
          <w:sz w:val="24"/>
          <w:szCs w:val="24"/>
          <w:lang w:eastAsia="zh-CN"/>
        </w:rPr>
        <w:t>与国家生物多样性战略和行动计划分</w:t>
      </w:r>
      <w:r w:rsidR="00EC292B">
        <w:rPr>
          <w:rFonts w:ascii="SimSun" w:hAnsi="SimSun" w:cs="SimSun" w:hint="eastAsia"/>
          <w:kern w:val="22"/>
          <w:sz w:val="24"/>
          <w:szCs w:val="24"/>
          <w:lang w:eastAsia="zh-CN"/>
        </w:rPr>
        <w:t>离的</w:t>
      </w:r>
      <w:r w:rsidR="00B8531F" w:rsidRPr="00D77FBE">
        <w:rPr>
          <w:rFonts w:ascii="SimSun" w:hAnsi="SimSun" w:cs="SimSun" w:hint="eastAsia"/>
          <w:kern w:val="22"/>
          <w:sz w:val="24"/>
          <w:szCs w:val="24"/>
          <w:lang w:eastAsia="zh-CN"/>
        </w:rPr>
        <w:t>，</w:t>
      </w:r>
      <w:r w:rsidR="00CC601B">
        <w:rPr>
          <w:rFonts w:ascii="SimSun" w:hAnsi="SimSun" w:cs="SimSun" w:hint="eastAsia"/>
          <w:kern w:val="22"/>
          <w:sz w:val="24"/>
          <w:szCs w:val="24"/>
          <w:lang w:eastAsia="zh-CN"/>
        </w:rPr>
        <w:t>但是</w:t>
      </w:r>
      <w:r w:rsidR="00B8531F" w:rsidRPr="00D77FBE">
        <w:rPr>
          <w:rFonts w:ascii="SimSun" w:hAnsi="SimSun" w:cs="SimSun" w:hint="eastAsia"/>
          <w:kern w:val="22"/>
          <w:sz w:val="24"/>
          <w:szCs w:val="24"/>
          <w:lang w:eastAsia="zh-CN"/>
        </w:rPr>
        <w:t>项目级生物多样性行动计划应</w:t>
      </w:r>
      <w:r w:rsidR="00A45630">
        <w:rPr>
          <w:rFonts w:ascii="SimSun" w:hAnsi="SimSun" w:cs="SimSun" w:hint="eastAsia"/>
          <w:kern w:val="22"/>
          <w:sz w:val="24"/>
          <w:szCs w:val="24"/>
          <w:lang w:eastAsia="zh-CN"/>
        </w:rPr>
        <w:t>设法给予</w:t>
      </w:r>
      <w:r w:rsidR="00B8531F" w:rsidRPr="00D77FBE">
        <w:rPr>
          <w:rFonts w:ascii="SimSun" w:hAnsi="SimSun" w:cs="SimSun" w:hint="eastAsia"/>
          <w:kern w:val="22"/>
          <w:sz w:val="24"/>
          <w:szCs w:val="24"/>
          <w:lang w:eastAsia="zh-CN"/>
        </w:rPr>
        <w:t>支持</w:t>
      </w:r>
      <w:r w:rsidR="00CC601B">
        <w:rPr>
          <w:rFonts w:ascii="SimSun" w:hAnsi="SimSun" w:cs="SimSun" w:hint="eastAsia"/>
          <w:kern w:val="22"/>
          <w:sz w:val="24"/>
          <w:szCs w:val="24"/>
          <w:lang w:eastAsia="zh-CN"/>
        </w:rPr>
        <w:t>并</w:t>
      </w:r>
      <w:r w:rsidR="00A45630">
        <w:rPr>
          <w:rFonts w:ascii="SimSun" w:hAnsi="SimSun" w:cs="SimSun" w:hint="eastAsia"/>
          <w:kern w:val="22"/>
          <w:sz w:val="24"/>
          <w:szCs w:val="24"/>
          <w:lang w:eastAsia="zh-CN"/>
        </w:rPr>
        <w:t>执行。</w:t>
      </w:r>
    </w:p>
    <w:p w14:paraId="0EC3F892" w14:textId="7A89B679" w:rsidR="00A11624" w:rsidRPr="00AF2FF7" w:rsidRDefault="002674B3"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sz w:val="24"/>
          <w:szCs w:val="24"/>
          <w:lang w:val="en-US" w:eastAsia="zh-CN"/>
        </w:rPr>
      </w:pPr>
      <w:r w:rsidRPr="00AF2FF7">
        <w:rPr>
          <w:rFonts w:hint="eastAsia"/>
          <w:kern w:val="22"/>
          <w:sz w:val="24"/>
          <w:szCs w:val="24"/>
          <w:lang w:eastAsia="zh-CN"/>
        </w:rPr>
        <w:t>环境和社会影响评估的良好做法指导通常包括遵守</w:t>
      </w:r>
      <w:r w:rsidR="00877047" w:rsidRPr="00AF2FF7">
        <w:rPr>
          <w:rFonts w:hint="eastAsia"/>
          <w:kern w:val="22"/>
          <w:sz w:val="24"/>
          <w:szCs w:val="24"/>
          <w:lang w:eastAsia="zh-CN"/>
        </w:rPr>
        <w:t>减缓层次</w:t>
      </w:r>
      <w:r w:rsidR="00751680" w:rsidRPr="00AF2FF7">
        <w:rPr>
          <w:kern w:val="22"/>
          <w:sz w:val="24"/>
          <w:szCs w:val="24"/>
          <w:lang w:eastAsia="zh-CN"/>
        </w:rPr>
        <w:t>——</w:t>
      </w:r>
      <w:r w:rsidR="000E5FFA" w:rsidRPr="00AF2FF7">
        <w:rPr>
          <w:rFonts w:hint="eastAsia"/>
          <w:kern w:val="22"/>
          <w:sz w:val="24"/>
          <w:szCs w:val="24"/>
          <w:lang w:eastAsia="zh-CN"/>
        </w:rPr>
        <w:t>一个</w:t>
      </w:r>
      <w:r w:rsidR="002F7EE2" w:rsidRPr="00AF2FF7">
        <w:rPr>
          <w:rFonts w:hint="eastAsia"/>
          <w:kern w:val="22"/>
          <w:sz w:val="24"/>
          <w:szCs w:val="24"/>
          <w:lang w:eastAsia="zh-CN"/>
        </w:rPr>
        <w:t>战略优先排序进程，从</w:t>
      </w:r>
      <w:r w:rsidR="004802BF" w:rsidRPr="00AF2FF7">
        <w:rPr>
          <w:rFonts w:hint="eastAsia"/>
          <w:kern w:val="22"/>
          <w:sz w:val="24"/>
          <w:szCs w:val="24"/>
          <w:lang w:eastAsia="zh-CN"/>
        </w:rPr>
        <w:t>避免影响</w:t>
      </w:r>
      <w:r w:rsidRPr="00AF2FF7">
        <w:rPr>
          <w:rFonts w:hint="eastAsia"/>
          <w:kern w:val="22"/>
          <w:sz w:val="24"/>
          <w:szCs w:val="24"/>
          <w:lang w:eastAsia="zh-CN"/>
        </w:rPr>
        <w:t>，</w:t>
      </w:r>
      <w:r w:rsidR="002F7EE2" w:rsidRPr="00AF2FF7">
        <w:rPr>
          <w:rFonts w:hint="eastAsia"/>
          <w:kern w:val="22"/>
          <w:sz w:val="24"/>
          <w:szCs w:val="24"/>
          <w:lang w:eastAsia="zh-CN"/>
        </w:rPr>
        <w:t>到尽力缩小</w:t>
      </w:r>
      <w:r w:rsidR="009E01F1" w:rsidRPr="00AF2FF7">
        <w:rPr>
          <w:rFonts w:hint="eastAsia"/>
          <w:kern w:val="22"/>
          <w:sz w:val="24"/>
          <w:szCs w:val="24"/>
          <w:lang w:eastAsia="zh-CN"/>
        </w:rPr>
        <w:t>影响</w:t>
      </w:r>
      <w:r w:rsidR="002F7EE2" w:rsidRPr="00AF2FF7">
        <w:rPr>
          <w:rFonts w:hint="eastAsia"/>
          <w:kern w:val="22"/>
          <w:sz w:val="24"/>
          <w:szCs w:val="24"/>
          <w:lang w:eastAsia="zh-CN"/>
        </w:rPr>
        <w:t>，</w:t>
      </w:r>
      <w:r w:rsidRPr="00AF2FF7">
        <w:rPr>
          <w:rFonts w:hint="eastAsia"/>
          <w:kern w:val="22"/>
          <w:sz w:val="24"/>
          <w:szCs w:val="24"/>
          <w:lang w:eastAsia="zh-CN"/>
        </w:rPr>
        <w:t>复</w:t>
      </w:r>
      <w:r w:rsidR="002F7EE2" w:rsidRPr="00AF2FF7">
        <w:rPr>
          <w:rFonts w:hint="eastAsia"/>
          <w:kern w:val="22"/>
          <w:sz w:val="24"/>
          <w:szCs w:val="24"/>
          <w:lang w:eastAsia="zh-CN"/>
        </w:rPr>
        <w:t>原，</w:t>
      </w:r>
      <w:r w:rsidRPr="00AF2FF7">
        <w:rPr>
          <w:rFonts w:hint="eastAsia"/>
          <w:kern w:val="22"/>
          <w:sz w:val="24"/>
          <w:szCs w:val="24"/>
          <w:lang w:eastAsia="zh-CN"/>
        </w:rPr>
        <w:t>最</w:t>
      </w:r>
      <w:r w:rsidR="002F7EE2" w:rsidRPr="00AF2FF7">
        <w:rPr>
          <w:rFonts w:hint="eastAsia"/>
          <w:kern w:val="22"/>
          <w:sz w:val="24"/>
          <w:szCs w:val="24"/>
          <w:lang w:eastAsia="zh-CN"/>
        </w:rPr>
        <w:t>后则是补偿</w:t>
      </w:r>
      <w:r w:rsidRPr="00AF2FF7">
        <w:rPr>
          <w:rFonts w:hint="eastAsia"/>
          <w:kern w:val="22"/>
          <w:sz w:val="24"/>
          <w:szCs w:val="24"/>
          <w:lang w:eastAsia="zh-CN"/>
        </w:rPr>
        <w:t>或</w:t>
      </w:r>
      <w:r w:rsidR="002F7EE2" w:rsidRPr="00AF2FF7">
        <w:rPr>
          <w:rFonts w:hint="eastAsia"/>
          <w:kern w:val="22"/>
          <w:sz w:val="24"/>
          <w:szCs w:val="24"/>
          <w:lang w:eastAsia="zh-CN"/>
        </w:rPr>
        <w:t>赔偿</w:t>
      </w:r>
      <w:r w:rsidRPr="00AF2FF7">
        <w:rPr>
          <w:rFonts w:hint="eastAsia"/>
          <w:kern w:val="22"/>
          <w:sz w:val="24"/>
          <w:szCs w:val="24"/>
          <w:lang w:eastAsia="zh-CN"/>
        </w:rPr>
        <w:t>并</w:t>
      </w:r>
      <w:r w:rsidR="004802BF" w:rsidRPr="00AF2FF7">
        <w:rPr>
          <w:rFonts w:hint="eastAsia"/>
          <w:kern w:val="22"/>
          <w:sz w:val="24"/>
          <w:szCs w:val="24"/>
          <w:lang w:eastAsia="zh-CN"/>
        </w:rPr>
        <w:t>交付</w:t>
      </w:r>
      <w:r w:rsidRPr="00AF2FF7">
        <w:rPr>
          <w:rFonts w:hint="eastAsia"/>
          <w:kern w:val="22"/>
          <w:sz w:val="24"/>
          <w:szCs w:val="24"/>
          <w:lang w:eastAsia="zh-CN"/>
        </w:rPr>
        <w:t>收益</w:t>
      </w:r>
      <w:r w:rsidR="00751680" w:rsidRPr="00AF2FF7">
        <w:rPr>
          <w:kern w:val="22"/>
          <w:sz w:val="24"/>
          <w:szCs w:val="24"/>
          <w:lang w:eastAsia="zh-CN"/>
        </w:rPr>
        <w:t>——</w:t>
      </w:r>
      <w:r w:rsidRPr="00AF2FF7">
        <w:rPr>
          <w:rFonts w:hint="eastAsia"/>
          <w:kern w:val="22"/>
          <w:sz w:val="24"/>
          <w:szCs w:val="24"/>
          <w:lang w:eastAsia="zh-CN"/>
        </w:rPr>
        <w:t>努力实现</w:t>
      </w:r>
      <w:r w:rsidR="004802BF" w:rsidRPr="00AF2FF7">
        <w:rPr>
          <w:rFonts w:hint="eastAsia"/>
          <w:kern w:val="22"/>
          <w:sz w:val="24"/>
          <w:szCs w:val="24"/>
          <w:lang w:eastAsia="zh-CN"/>
        </w:rPr>
        <w:t>生物多样性无</w:t>
      </w:r>
      <w:r w:rsidRPr="00AF2FF7">
        <w:rPr>
          <w:rFonts w:hint="eastAsia"/>
          <w:kern w:val="22"/>
          <w:sz w:val="24"/>
          <w:szCs w:val="24"/>
          <w:lang w:eastAsia="zh-CN"/>
        </w:rPr>
        <w:t>净损失或</w:t>
      </w:r>
      <w:r w:rsidR="000E5FFA" w:rsidRPr="00AF2FF7">
        <w:rPr>
          <w:rFonts w:hint="eastAsia"/>
          <w:kern w:val="22"/>
          <w:sz w:val="24"/>
          <w:szCs w:val="24"/>
          <w:lang w:eastAsia="zh-CN"/>
        </w:rPr>
        <w:t>无</w:t>
      </w:r>
      <w:r w:rsidRPr="00AF2FF7">
        <w:rPr>
          <w:rFonts w:hint="eastAsia"/>
          <w:kern w:val="22"/>
          <w:sz w:val="24"/>
          <w:szCs w:val="24"/>
          <w:lang w:eastAsia="zh-CN"/>
        </w:rPr>
        <w:t>净收益</w:t>
      </w:r>
      <w:r w:rsidR="00721DB3" w:rsidRPr="00AF2FF7">
        <w:rPr>
          <w:rFonts w:hint="eastAsia"/>
          <w:kern w:val="22"/>
          <w:sz w:val="24"/>
          <w:szCs w:val="24"/>
          <w:lang w:eastAsia="zh-CN"/>
        </w:rPr>
        <w:t>等</w:t>
      </w:r>
      <w:r w:rsidR="004802BF" w:rsidRPr="00AF2FF7">
        <w:rPr>
          <w:rFonts w:hint="eastAsia"/>
          <w:kern w:val="22"/>
          <w:sz w:val="24"/>
          <w:szCs w:val="24"/>
          <w:lang w:eastAsia="zh-CN"/>
        </w:rPr>
        <w:t>目标</w:t>
      </w:r>
      <w:r w:rsidRPr="00AF2FF7">
        <w:rPr>
          <w:rFonts w:hint="eastAsia"/>
          <w:kern w:val="22"/>
          <w:sz w:val="24"/>
          <w:szCs w:val="24"/>
          <w:lang w:eastAsia="zh-CN"/>
        </w:rPr>
        <w:t>。这些原则经常被</w:t>
      </w:r>
      <w:r w:rsidR="009E01F1" w:rsidRPr="00AF2FF7">
        <w:rPr>
          <w:rFonts w:hint="eastAsia"/>
          <w:kern w:val="22"/>
          <w:sz w:val="24"/>
          <w:szCs w:val="24"/>
          <w:lang w:eastAsia="zh-CN"/>
        </w:rPr>
        <w:t>整合</w:t>
      </w:r>
      <w:proofErr w:type="gramStart"/>
      <w:r w:rsidR="009E01F1" w:rsidRPr="00AF2FF7">
        <w:rPr>
          <w:rFonts w:hint="eastAsia"/>
          <w:kern w:val="22"/>
          <w:sz w:val="24"/>
          <w:szCs w:val="24"/>
          <w:lang w:eastAsia="zh-CN"/>
        </w:rPr>
        <w:t>进</w:t>
      </w:r>
      <w:r w:rsidRPr="00AF2FF7">
        <w:rPr>
          <w:rFonts w:hint="eastAsia"/>
          <w:kern w:val="22"/>
          <w:sz w:val="24"/>
          <w:szCs w:val="24"/>
          <w:lang w:eastAsia="zh-CN"/>
        </w:rPr>
        <w:t>金融</w:t>
      </w:r>
      <w:proofErr w:type="gramEnd"/>
      <w:r w:rsidRPr="00AF2FF7">
        <w:rPr>
          <w:rFonts w:hint="eastAsia"/>
          <w:kern w:val="22"/>
          <w:sz w:val="24"/>
          <w:szCs w:val="24"/>
          <w:lang w:eastAsia="zh-CN"/>
        </w:rPr>
        <w:t>机构（包括世界银行和国际金融公司）制定的保障措施。</w:t>
      </w:r>
      <w:r w:rsidR="000E5FFA" w:rsidRPr="00AF2FF7">
        <w:rPr>
          <w:rFonts w:hint="eastAsia"/>
          <w:kern w:val="22"/>
          <w:sz w:val="24"/>
          <w:szCs w:val="24"/>
          <w:lang w:eastAsia="zh-CN"/>
        </w:rPr>
        <w:t>虽然在立法中越来越多地提到</w:t>
      </w:r>
      <w:r w:rsidR="00877047" w:rsidRPr="00AF2FF7">
        <w:rPr>
          <w:rFonts w:hint="eastAsia"/>
          <w:kern w:val="22"/>
          <w:sz w:val="24"/>
          <w:szCs w:val="24"/>
          <w:lang w:eastAsia="zh-CN"/>
        </w:rPr>
        <w:t>减缓层次</w:t>
      </w:r>
      <w:r w:rsidR="000E5FFA" w:rsidRPr="00AF2FF7">
        <w:rPr>
          <w:rFonts w:hint="eastAsia"/>
          <w:kern w:val="22"/>
          <w:sz w:val="24"/>
          <w:szCs w:val="24"/>
          <w:lang w:eastAsia="zh-CN"/>
        </w:rPr>
        <w:t>，但基本上仍然没有执行。已经制定了对手工和小规模采矿的环境评估和管理办法，例如加拿大国际资源和发展研究所</w:t>
      </w:r>
      <w:r w:rsidR="000E5FFA" w:rsidRPr="00AF2FF7">
        <w:rPr>
          <w:rStyle w:val="FootnoteReference"/>
          <w:kern w:val="22"/>
          <w:szCs w:val="24"/>
        </w:rPr>
        <w:footnoteReference w:id="20"/>
      </w:r>
      <w:r w:rsidR="000E5FFA" w:rsidRPr="00AF2FF7">
        <w:rPr>
          <w:rFonts w:hint="eastAsia"/>
          <w:kern w:val="22"/>
          <w:sz w:val="24"/>
          <w:szCs w:val="24"/>
          <w:lang w:eastAsia="zh-CN"/>
        </w:rPr>
        <w:t>和</w:t>
      </w:r>
      <w:r w:rsidR="00AF2FF7" w:rsidRPr="00AF2FF7">
        <w:rPr>
          <w:rStyle w:val="ng-binding"/>
          <w:sz w:val="24"/>
          <w:szCs w:val="24"/>
          <w:lang w:eastAsia="zh-CN"/>
        </w:rPr>
        <w:t>矿业、矿物、金属与可持续发展政府间论</w:t>
      </w:r>
      <w:r w:rsidR="00AF2FF7" w:rsidRPr="00AF2FF7">
        <w:rPr>
          <w:rStyle w:val="ng-binding"/>
          <w:rFonts w:ascii="SimSun" w:hAnsi="SimSun" w:cs="SimSun" w:hint="eastAsia"/>
          <w:sz w:val="24"/>
          <w:szCs w:val="24"/>
          <w:lang w:eastAsia="zh-CN"/>
        </w:rPr>
        <w:t>坛</w:t>
      </w:r>
      <w:r w:rsidR="000E5FFA" w:rsidRPr="00AF2FF7">
        <w:rPr>
          <w:rFonts w:hint="eastAsia"/>
          <w:kern w:val="22"/>
          <w:sz w:val="24"/>
          <w:szCs w:val="24"/>
          <w:lang w:eastAsia="zh-CN"/>
        </w:rPr>
        <w:t>制定的办法。德国</w:t>
      </w:r>
      <w:r w:rsidR="00BC7630" w:rsidRPr="00AF2FF7">
        <w:rPr>
          <w:rFonts w:hint="eastAsia"/>
          <w:kern w:val="22"/>
          <w:sz w:val="24"/>
          <w:szCs w:val="24"/>
          <w:lang w:eastAsia="zh-CN"/>
        </w:rPr>
        <w:t>国际合作机构</w:t>
      </w:r>
      <w:r w:rsidR="000E5FFA" w:rsidRPr="00AF2FF7">
        <w:rPr>
          <w:rFonts w:hint="eastAsia"/>
          <w:kern w:val="22"/>
          <w:sz w:val="24"/>
          <w:szCs w:val="24"/>
          <w:lang w:eastAsia="zh-CN"/>
        </w:rPr>
        <w:t>对非洲手工和小规模采矿作业的研究着眼于其作业，如何使该部门正规化，并鼓励小作业者遵守现行环境立法，避免或尽量减少对生物的</w:t>
      </w:r>
      <w:r w:rsidR="0050398E" w:rsidRPr="00AF2FF7">
        <w:rPr>
          <w:rFonts w:hint="eastAsia"/>
          <w:kern w:val="22"/>
          <w:sz w:val="24"/>
          <w:szCs w:val="24"/>
          <w:lang w:eastAsia="zh-CN"/>
        </w:rPr>
        <w:t>影响。</w:t>
      </w:r>
    </w:p>
    <w:p w14:paraId="0F23B2C6" w14:textId="77777777" w:rsidR="00A11624" w:rsidRPr="00C64F18" w:rsidRDefault="00B8531F"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lang w:eastAsia="zh-CN"/>
        </w:rPr>
      </w:pPr>
      <w:r w:rsidRPr="00D77FBE">
        <w:rPr>
          <w:rFonts w:ascii="SimSun" w:hAnsi="SimSun" w:cs="SimSun" w:hint="eastAsia"/>
          <w:kern w:val="22"/>
          <w:sz w:val="24"/>
          <w:szCs w:val="24"/>
          <w:lang w:eastAsia="zh-CN"/>
        </w:rPr>
        <w:t>尽管减</w:t>
      </w:r>
      <w:r w:rsidR="0050398E">
        <w:rPr>
          <w:rFonts w:ascii="SimSun" w:hAnsi="SimSun" w:cs="SimSun" w:hint="eastAsia"/>
          <w:kern w:val="22"/>
          <w:sz w:val="24"/>
          <w:szCs w:val="24"/>
          <w:lang w:eastAsia="zh-CN"/>
        </w:rPr>
        <w:t>轻</w:t>
      </w:r>
      <w:r w:rsidRPr="00D77FBE">
        <w:rPr>
          <w:rFonts w:ascii="SimSun" w:hAnsi="SimSun" w:cs="SimSun" w:hint="eastAsia"/>
          <w:kern w:val="22"/>
          <w:sz w:val="24"/>
          <w:szCs w:val="24"/>
          <w:lang w:eastAsia="zh-CN"/>
        </w:rPr>
        <w:t>影响是</w:t>
      </w:r>
      <w:r w:rsidR="0050398E" w:rsidRPr="0050398E">
        <w:rPr>
          <w:rFonts w:ascii="Arial" w:hAnsi="Arial" w:cs="Arial"/>
          <w:color w:val="333333"/>
          <w:sz w:val="24"/>
          <w:szCs w:val="24"/>
          <w:shd w:val="clear" w:color="auto" w:fill="FFFFFF"/>
          <w:lang w:eastAsia="zh-CN"/>
        </w:rPr>
        <w:t>贯穿项目生命周期的迭代过</w:t>
      </w:r>
      <w:r w:rsidR="0050398E" w:rsidRPr="0050398E">
        <w:rPr>
          <w:rFonts w:ascii="SimSun" w:hAnsi="SimSun" w:cs="SimSun" w:hint="eastAsia"/>
          <w:color w:val="333333"/>
          <w:sz w:val="24"/>
          <w:szCs w:val="24"/>
          <w:shd w:val="clear" w:color="auto" w:fill="FFFFFF"/>
          <w:lang w:eastAsia="zh-CN"/>
        </w:rPr>
        <w:t>程</w:t>
      </w:r>
      <w:r w:rsidRPr="00D77FBE">
        <w:rPr>
          <w:rFonts w:ascii="SimSun" w:hAnsi="SimSun" w:cs="SimSun" w:hint="eastAsia"/>
          <w:kern w:val="22"/>
          <w:sz w:val="24"/>
          <w:szCs w:val="24"/>
          <w:lang w:eastAsia="zh-CN"/>
        </w:rPr>
        <w:t>，</w:t>
      </w:r>
      <w:r w:rsidR="0050398E">
        <w:rPr>
          <w:rFonts w:ascii="SimSun" w:hAnsi="SimSun" w:cs="SimSun" w:hint="eastAsia"/>
          <w:kern w:val="22"/>
          <w:sz w:val="24"/>
          <w:szCs w:val="24"/>
          <w:lang w:eastAsia="zh-CN"/>
        </w:rPr>
        <w:t>但是</w:t>
      </w:r>
      <w:r w:rsidR="0050398E" w:rsidRPr="0050398E">
        <w:rPr>
          <w:rFonts w:hint="eastAsia"/>
          <w:kern w:val="22"/>
          <w:sz w:val="24"/>
          <w:szCs w:val="24"/>
          <w:lang w:eastAsia="zh-CN"/>
        </w:rPr>
        <w:t>在开发规划阶段避免影响的机</w:t>
      </w:r>
      <w:r w:rsidR="002F7EE2">
        <w:rPr>
          <w:rFonts w:hint="eastAsia"/>
          <w:kern w:val="22"/>
          <w:sz w:val="24"/>
          <w:szCs w:val="24"/>
          <w:lang w:eastAsia="zh-CN"/>
        </w:rPr>
        <w:t>遇</w:t>
      </w:r>
      <w:r w:rsidR="0050398E" w:rsidRPr="0050398E">
        <w:rPr>
          <w:rFonts w:hint="eastAsia"/>
          <w:kern w:val="22"/>
          <w:sz w:val="24"/>
          <w:szCs w:val="24"/>
          <w:lang w:eastAsia="zh-CN"/>
        </w:rPr>
        <w:t>要大得多</w:t>
      </w:r>
      <w:r w:rsidR="0050398E">
        <w:rPr>
          <w:rFonts w:hint="eastAsia"/>
          <w:kern w:val="22"/>
          <w:lang w:eastAsia="zh-CN"/>
        </w:rPr>
        <w:t>，</w:t>
      </w:r>
      <w:r w:rsidR="0050398E" w:rsidRPr="0050398E">
        <w:rPr>
          <w:rFonts w:hint="eastAsia"/>
          <w:kern w:val="22"/>
          <w:sz w:val="24"/>
          <w:szCs w:val="24"/>
          <w:lang w:eastAsia="zh-CN"/>
        </w:rPr>
        <w:t>它可以</w:t>
      </w:r>
      <w:r w:rsidRPr="00D77FBE">
        <w:rPr>
          <w:rFonts w:ascii="SimSun" w:hAnsi="SimSun" w:cs="SimSun" w:hint="eastAsia"/>
          <w:kern w:val="22"/>
          <w:sz w:val="24"/>
          <w:szCs w:val="24"/>
          <w:lang w:eastAsia="zh-CN"/>
        </w:rPr>
        <w:t>影响选址</w:t>
      </w:r>
      <w:r w:rsidR="0050398E">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场地布局和设计。这种</w:t>
      </w:r>
      <w:r w:rsidR="0050398E">
        <w:rPr>
          <w:rFonts w:ascii="SimSun" w:hAnsi="SimSun" w:cs="SimSun" w:hint="eastAsia"/>
          <w:kern w:val="22"/>
          <w:sz w:val="24"/>
          <w:szCs w:val="24"/>
          <w:lang w:eastAsia="zh-CN"/>
        </w:rPr>
        <w:t>办</w:t>
      </w:r>
      <w:r w:rsidRPr="00D77FBE">
        <w:rPr>
          <w:rFonts w:ascii="SimSun" w:hAnsi="SimSun" w:cs="SimSun" w:hint="eastAsia"/>
          <w:kern w:val="22"/>
          <w:sz w:val="24"/>
          <w:szCs w:val="24"/>
          <w:lang w:eastAsia="zh-CN"/>
        </w:rPr>
        <w:t>法</w:t>
      </w:r>
      <w:r w:rsidR="00721DB3">
        <w:rPr>
          <w:rFonts w:ascii="SimSun" w:hAnsi="SimSun" w:cs="SimSun" w:hint="eastAsia"/>
          <w:kern w:val="22"/>
          <w:sz w:val="24"/>
          <w:szCs w:val="24"/>
          <w:lang w:eastAsia="zh-CN"/>
        </w:rPr>
        <w:t>需要</w:t>
      </w:r>
      <w:r w:rsidR="0050398E">
        <w:rPr>
          <w:rFonts w:ascii="SimSun" w:hAnsi="SimSun" w:cs="SimSun" w:hint="eastAsia"/>
          <w:kern w:val="22"/>
          <w:sz w:val="24"/>
          <w:szCs w:val="24"/>
          <w:lang w:eastAsia="zh-CN"/>
        </w:rPr>
        <w:t>将</w:t>
      </w:r>
      <w:r w:rsidRPr="00D77FBE">
        <w:rPr>
          <w:rFonts w:ascii="SimSun" w:hAnsi="SimSun" w:cs="SimSun" w:hint="eastAsia"/>
          <w:kern w:val="22"/>
          <w:sz w:val="24"/>
          <w:szCs w:val="24"/>
          <w:lang w:eastAsia="zh-CN"/>
        </w:rPr>
        <w:t>生物多样性的损失和收益量化，并</w:t>
      </w:r>
      <w:r w:rsidR="0050398E">
        <w:rPr>
          <w:rFonts w:ascii="SimSun" w:hAnsi="SimSun" w:cs="SimSun" w:hint="eastAsia"/>
          <w:kern w:val="22"/>
          <w:sz w:val="24"/>
          <w:szCs w:val="24"/>
          <w:lang w:eastAsia="zh-CN"/>
        </w:rPr>
        <w:t>延伸到</w:t>
      </w:r>
      <w:r w:rsidRPr="00D77FBE">
        <w:rPr>
          <w:rFonts w:ascii="SimSun" w:hAnsi="SimSun" w:cs="SimSun" w:hint="eastAsia"/>
          <w:kern w:val="22"/>
          <w:sz w:val="24"/>
          <w:szCs w:val="24"/>
          <w:lang w:eastAsia="zh-CN"/>
        </w:rPr>
        <w:t>可以可靠地预测会发生的诱发性影响</w:t>
      </w:r>
      <w:r w:rsidR="00E4454E">
        <w:rPr>
          <w:rFonts w:ascii="SimSun" w:hAnsi="SimSun" w:cs="SimSun" w:hint="eastAsia"/>
          <w:kern w:val="22"/>
          <w:sz w:val="24"/>
          <w:szCs w:val="24"/>
          <w:lang w:eastAsia="zh-CN"/>
        </w:rPr>
        <w:t>。</w:t>
      </w:r>
    </w:p>
    <w:p w14:paraId="678E1AD3" w14:textId="77777777" w:rsidR="00226AAF" w:rsidRPr="00226AAF" w:rsidRDefault="00B8531F" w:rsidP="00CA5D52">
      <w:pPr>
        <w:pStyle w:val="Para1"/>
        <w:numPr>
          <w:ilvl w:val="0"/>
          <w:numId w:val="11"/>
        </w:numPr>
        <w:suppressLineNumbers/>
        <w:tabs>
          <w:tab w:val="clear" w:pos="360"/>
        </w:tabs>
        <w:suppressAutoHyphens/>
        <w:kinsoku w:val="0"/>
        <w:overflowPunct w:val="0"/>
        <w:autoSpaceDE w:val="0"/>
        <w:autoSpaceDN w:val="0"/>
        <w:adjustRightInd w:val="0"/>
        <w:spacing w:line="240" w:lineRule="atLeast"/>
        <w:mirrorIndents/>
        <w:rPr>
          <w:kern w:val="22"/>
          <w:lang w:eastAsia="zh-CN"/>
        </w:rPr>
      </w:pPr>
      <w:r w:rsidRPr="00226AAF">
        <w:rPr>
          <w:rFonts w:ascii="SimSun" w:hAnsi="SimSun" w:cs="SimSun" w:hint="eastAsia"/>
          <w:kern w:val="22"/>
          <w:sz w:val="24"/>
          <w:szCs w:val="24"/>
          <w:lang w:eastAsia="zh-CN"/>
        </w:rPr>
        <w:lastRenderedPageBreak/>
        <w:t>累积影响评估应作为环境和社会影响评估的一部分进行。</w:t>
      </w:r>
      <w:r w:rsidR="003B1E47" w:rsidRPr="00226AAF">
        <w:rPr>
          <w:rFonts w:hint="eastAsia"/>
          <w:kern w:val="22"/>
          <w:sz w:val="24"/>
          <w:szCs w:val="24"/>
          <w:lang w:eastAsia="zh-CN"/>
        </w:rPr>
        <w:t>评估</w:t>
      </w:r>
      <w:r w:rsidR="00721DB3" w:rsidRPr="00226AAF">
        <w:rPr>
          <w:rFonts w:hint="eastAsia"/>
          <w:kern w:val="22"/>
          <w:sz w:val="24"/>
          <w:szCs w:val="24"/>
          <w:lang w:eastAsia="zh-CN"/>
        </w:rPr>
        <w:t>应</w:t>
      </w:r>
      <w:r w:rsidR="003B1E47" w:rsidRPr="00226AAF">
        <w:rPr>
          <w:rFonts w:hint="eastAsia"/>
          <w:kern w:val="22"/>
          <w:sz w:val="24"/>
          <w:szCs w:val="24"/>
          <w:lang w:eastAsia="zh-CN"/>
        </w:rPr>
        <w:t>解决</w:t>
      </w:r>
      <w:r w:rsidR="002B00D3" w:rsidRPr="00226AAF">
        <w:rPr>
          <w:rFonts w:ascii="Arial" w:hAnsi="Arial" w:cs="Arial" w:hint="eastAsia"/>
          <w:color w:val="333333"/>
          <w:sz w:val="24"/>
          <w:szCs w:val="24"/>
          <w:shd w:val="clear" w:color="auto" w:fill="FFFFFF"/>
          <w:lang w:eastAsia="zh-CN"/>
        </w:rPr>
        <w:t>在</w:t>
      </w:r>
      <w:r w:rsidR="003B1E47" w:rsidRPr="00226AAF">
        <w:rPr>
          <w:rFonts w:ascii="Arial" w:hAnsi="Arial" w:cs="Arial"/>
          <w:color w:val="333333"/>
          <w:sz w:val="24"/>
          <w:szCs w:val="24"/>
          <w:shd w:val="clear" w:color="auto" w:fill="FFFFFF"/>
          <w:lang w:eastAsia="zh-CN"/>
        </w:rPr>
        <w:t>其他</w:t>
      </w:r>
      <w:r w:rsidR="003B1E47" w:rsidRPr="00226AAF">
        <w:rPr>
          <w:rFonts w:ascii="Arial" w:hAnsi="Arial" w:cs="Arial" w:hint="eastAsia"/>
          <w:color w:val="333333"/>
          <w:sz w:val="24"/>
          <w:szCs w:val="24"/>
          <w:shd w:val="clear" w:color="auto" w:fill="FFFFFF"/>
          <w:lang w:eastAsia="zh-CN"/>
        </w:rPr>
        <w:t>现有的、</w:t>
      </w:r>
      <w:r w:rsidR="003B1E47" w:rsidRPr="00226AAF">
        <w:rPr>
          <w:rFonts w:ascii="Arial" w:hAnsi="Arial" w:cs="Arial"/>
          <w:color w:val="333333"/>
          <w:sz w:val="24"/>
          <w:szCs w:val="24"/>
          <w:shd w:val="clear" w:color="auto" w:fill="FFFFFF"/>
          <w:lang w:eastAsia="zh-CN"/>
        </w:rPr>
        <w:t>计划的和</w:t>
      </w:r>
      <w:r w:rsidR="003B1E47" w:rsidRPr="00226AAF">
        <w:rPr>
          <w:rFonts w:ascii="Arial" w:hAnsi="Arial" w:cs="Arial"/>
          <w:color w:val="333333"/>
          <w:sz w:val="24"/>
          <w:szCs w:val="24"/>
          <w:shd w:val="clear" w:color="auto" w:fill="FFFFFF"/>
          <w:lang w:eastAsia="zh-CN"/>
        </w:rPr>
        <w:t>/</w:t>
      </w:r>
      <w:r w:rsidR="003B1E47" w:rsidRPr="00226AAF">
        <w:rPr>
          <w:rFonts w:ascii="Arial" w:hAnsi="Arial" w:cs="Arial"/>
          <w:color w:val="333333"/>
          <w:sz w:val="24"/>
          <w:szCs w:val="24"/>
          <w:shd w:val="clear" w:color="auto" w:fill="FFFFFF"/>
          <w:lang w:eastAsia="zh-CN"/>
        </w:rPr>
        <w:t>或合理预期的未来</w:t>
      </w:r>
      <w:r w:rsidR="003B1E47" w:rsidRPr="00226AAF">
        <w:rPr>
          <w:rFonts w:ascii="SimSun" w:hAnsi="SimSun" w:cs="SimSun" w:hint="eastAsia"/>
          <w:color w:val="333333"/>
          <w:sz w:val="24"/>
          <w:szCs w:val="24"/>
          <w:shd w:val="clear" w:color="auto" w:fill="FFFFFF"/>
          <w:lang w:eastAsia="zh-CN"/>
        </w:rPr>
        <w:t>的活动之上</w:t>
      </w:r>
      <w:r w:rsidR="002B00D3" w:rsidRPr="00226AAF">
        <w:rPr>
          <w:rFonts w:ascii="SimSun" w:hAnsi="SimSun" w:cs="SimSun" w:hint="eastAsia"/>
          <w:color w:val="333333"/>
          <w:sz w:val="24"/>
          <w:szCs w:val="24"/>
          <w:shd w:val="clear" w:color="auto" w:fill="FFFFFF"/>
          <w:lang w:eastAsia="zh-CN"/>
        </w:rPr>
        <w:t>增加</w:t>
      </w:r>
      <w:r w:rsidR="003B1E47" w:rsidRPr="00226AAF">
        <w:rPr>
          <w:rFonts w:hint="eastAsia"/>
          <w:kern w:val="22"/>
          <w:sz w:val="24"/>
          <w:szCs w:val="24"/>
          <w:lang w:eastAsia="zh-CN"/>
        </w:rPr>
        <w:t>一个行动、项目或活动的</w:t>
      </w:r>
      <w:r w:rsidR="003B1E47" w:rsidRPr="00226AAF">
        <w:rPr>
          <w:rFonts w:ascii="Arial" w:hAnsi="Arial" w:cs="Arial"/>
          <w:color w:val="333333"/>
          <w:sz w:val="24"/>
          <w:szCs w:val="24"/>
          <w:shd w:val="clear" w:color="auto" w:fill="FFFFFF"/>
          <w:lang w:eastAsia="zh-CN"/>
        </w:rPr>
        <w:t>连续的</w:t>
      </w:r>
      <w:r w:rsidR="003B1E47" w:rsidRPr="00226AAF">
        <w:rPr>
          <w:rFonts w:ascii="Arial" w:hAnsi="Arial" w:cs="Arial" w:hint="eastAsia"/>
          <w:color w:val="333333"/>
          <w:sz w:val="24"/>
          <w:szCs w:val="24"/>
          <w:shd w:val="clear" w:color="auto" w:fill="FFFFFF"/>
          <w:lang w:eastAsia="zh-CN"/>
        </w:rPr>
        <w:t>、</w:t>
      </w:r>
      <w:r w:rsidR="003B1E47" w:rsidRPr="00226AAF">
        <w:rPr>
          <w:rFonts w:ascii="Arial" w:hAnsi="Arial" w:cs="Arial"/>
          <w:color w:val="333333"/>
          <w:sz w:val="24"/>
          <w:szCs w:val="24"/>
          <w:shd w:val="clear" w:color="auto" w:fill="FFFFFF"/>
          <w:lang w:eastAsia="zh-CN"/>
        </w:rPr>
        <w:t>渐进的和</w:t>
      </w:r>
      <w:r w:rsidR="003B1E47" w:rsidRPr="00226AAF">
        <w:rPr>
          <w:rFonts w:ascii="Arial" w:hAnsi="Arial" w:cs="Arial"/>
          <w:color w:val="333333"/>
          <w:sz w:val="24"/>
          <w:szCs w:val="24"/>
          <w:shd w:val="clear" w:color="auto" w:fill="FFFFFF"/>
          <w:lang w:eastAsia="zh-CN"/>
        </w:rPr>
        <w:t>/</w:t>
      </w:r>
      <w:r w:rsidR="003B1E47" w:rsidRPr="00226AAF">
        <w:rPr>
          <w:rFonts w:ascii="Arial" w:hAnsi="Arial" w:cs="Arial"/>
          <w:color w:val="333333"/>
          <w:sz w:val="24"/>
          <w:szCs w:val="24"/>
          <w:shd w:val="clear" w:color="auto" w:fill="FFFFFF"/>
          <w:lang w:eastAsia="zh-CN"/>
        </w:rPr>
        <w:t>或联合</w:t>
      </w:r>
      <w:r w:rsidR="003B1E47" w:rsidRPr="00226AAF">
        <w:rPr>
          <w:rFonts w:ascii="Arial" w:hAnsi="Arial" w:cs="Arial" w:hint="eastAsia"/>
          <w:color w:val="333333"/>
          <w:sz w:val="24"/>
          <w:szCs w:val="24"/>
          <w:shd w:val="clear" w:color="auto" w:fill="FFFFFF"/>
          <w:lang w:eastAsia="zh-CN"/>
        </w:rPr>
        <w:t>效应</w:t>
      </w:r>
      <w:r w:rsidRPr="00226AAF">
        <w:rPr>
          <w:rFonts w:ascii="SimSun" w:hAnsi="SimSun" w:cs="SimSun" w:hint="eastAsia"/>
          <w:kern w:val="22"/>
          <w:sz w:val="24"/>
          <w:szCs w:val="24"/>
          <w:lang w:eastAsia="zh-CN"/>
        </w:rPr>
        <w:t>。这</w:t>
      </w:r>
      <w:r w:rsidR="003B1E47" w:rsidRPr="00226AAF">
        <w:rPr>
          <w:rFonts w:ascii="SimSun" w:hAnsi="SimSun" w:cs="SimSun" w:hint="eastAsia"/>
          <w:kern w:val="22"/>
          <w:sz w:val="24"/>
          <w:szCs w:val="24"/>
          <w:lang w:eastAsia="zh-CN"/>
        </w:rPr>
        <w:t>一进</w:t>
      </w:r>
      <w:r w:rsidRPr="00226AAF">
        <w:rPr>
          <w:rFonts w:ascii="SimSun" w:hAnsi="SimSun" w:cs="SimSun" w:hint="eastAsia"/>
          <w:kern w:val="22"/>
          <w:sz w:val="24"/>
          <w:szCs w:val="24"/>
          <w:lang w:eastAsia="zh-CN"/>
        </w:rPr>
        <w:t>程应该</w:t>
      </w:r>
      <w:r w:rsidR="003B1E47" w:rsidRPr="00226AAF">
        <w:rPr>
          <w:rFonts w:ascii="SimSun" w:hAnsi="SimSun" w:cs="SimSun" w:hint="eastAsia"/>
          <w:kern w:val="22"/>
          <w:sz w:val="24"/>
          <w:szCs w:val="24"/>
          <w:lang w:eastAsia="zh-CN"/>
        </w:rPr>
        <w:t>明确地与所在地的</w:t>
      </w:r>
      <w:r w:rsidRPr="00226AAF">
        <w:rPr>
          <w:rFonts w:ascii="SimSun" w:hAnsi="SimSun" w:cs="SimSun" w:hint="eastAsia"/>
          <w:kern w:val="22"/>
          <w:sz w:val="24"/>
          <w:szCs w:val="24"/>
          <w:lang w:eastAsia="zh-CN"/>
        </w:rPr>
        <w:t>战略环境评估</w:t>
      </w:r>
      <w:r w:rsidR="003B1E47" w:rsidRPr="00226AAF">
        <w:rPr>
          <w:rFonts w:ascii="SimSun" w:hAnsi="SimSun" w:cs="SimSun" w:hint="eastAsia"/>
          <w:kern w:val="22"/>
          <w:sz w:val="24"/>
          <w:szCs w:val="24"/>
          <w:lang w:eastAsia="zh-CN"/>
        </w:rPr>
        <w:t>相联系</w:t>
      </w:r>
      <w:r w:rsidRPr="00226AAF">
        <w:rPr>
          <w:rFonts w:ascii="SimSun" w:hAnsi="SimSun" w:cs="SimSun" w:hint="eastAsia"/>
          <w:kern w:val="22"/>
          <w:sz w:val="24"/>
          <w:szCs w:val="24"/>
          <w:lang w:eastAsia="zh-CN"/>
        </w:rPr>
        <w:t>，并且可以</w:t>
      </w:r>
      <w:r w:rsidR="003B1E47" w:rsidRPr="00226AAF">
        <w:rPr>
          <w:rFonts w:ascii="SimSun" w:hAnsi="SimSun" w:cs="SimSun" w:hint="eastAsia"/>
          <w:kern w:val="22"/>
          <w:sz w:val="24"/>
          <w:szCs w:val="24"/>
          <w:lang w:eastAsia="zh-CN"/>
        </w:rPr>
        <w:t>构</w:t>
      </w:r>
      <w:r w:rsidRPr="00226AAF">
        <w:rPr>
          <w:rFonts w:ascii="SimSun" w:hAnsi="SimSun" w:cs="SimSun" w:hint="eastAsia"/>
          <w:kern w:val="22"/>
          <w:sz w:val="24"/>
          <w:szCs w:val="24"/>
          <w:lang w:eastAsia="zh-CN"/>
        </w:rPr>
        <w:t>成两个评估之间的桥梁。</w:t>
      </w:r>
      <w:r w:rsidR="002F7EE2" w:rsidRPr="00226AAF">
        <w:rPr>
          <w:rFonts w:ascii="SimSun" w:hAnsi="SimSun" w:cs="SimSun" w:hint="eastAsia"/>
          <w:kern w:val="22"/>
          <w:sz w:val="24"/>
          <w:szCs w:val="24"/>
          <w:lang w:eastAsia="zh-CN"/>
        </w:rPr>
        <w:t>项目获准后，</w:t>
      </w:r>
      <w:r w:rsidR="00DF4D0D" w:rsidRPr="00226AAF">
        <w:rPr>
          <w:rFonts w:ascii="SimSun" w:hAnsi="SimSun" w:cs="SimSun" w:hint="eastAsia"/>
          <w:kern w:val="22"/>
          <w:sz w:val="24"/>
          <w:szCs w:val="24"/>
          <w:lang w:eastAsia="zh-CN"/>
        </w:rPr>
        <w:t>通过</w:t>
      </w:r>
      <w:r w:rsidR="00772254" w:rsidRPr="00226AAF">
        <w:rPr>
          <w:rFonts w:ascii="SimSun" w:hAnsi="SimSun" w:cs="SimSun" w:hint="eastAsia"/>
          <w:kern w:val="22"/>
          <w:sz w:val="24"/>
          <w:szCs w:val="24"/>
          <w:lang w:eastAsia="zh-CN"/>
        </w:rPr>
        <w:t>监测</w:t>
      </w:r>
      <w:r w:rsidR="00DF4D0D" w:rsidRPr="00226AAF">
        <w:rPr>
          <w:rFonts w:ascii="SimSun" w:hAnsi="SimSun" w:cs="SimSun" w:hint="eastAsia"/>
          <w:kern w:val="22"/>
          <w:sz w:val="24"/>
          <w:szCs w:val="24"/>
          <w:lang w:eastAsia="zh-CN"/>
        </w:rPr>
        <w:t>环境管理计划的影响和执行情况</w:t>
      </w:r>
      <w:r w:rsidR="002B00D3" w:rsidRPr="00226AAF">
        <w:rPr>
          <w:rFonts w:ascii="SimSun" w:hAnsi="SimSun" w:cs="SimSun" w:hint="eastAsia"/>
          <w:kern w:val="22"/>
          <w:sz w:val="24"/>
          <w:szCs w:val="24"/>
          <w:lang w:eastAsia="zh-CN"/>
        </w:rPr>
        <w:t>进行适应性管理，</w:t>
      </w:r>
      <w:r w:rsidR="00DF4D0D" w:rsidRPr="00226AAF">
        <w:rPr>
          <w:rFonts w:ascii="SimSun" w:hAnsi="SimSun" w:cs="SimSun" w:hint="eastAsia"/>
          <w:kern w:val="22"/>
          <w:sz w:val="24"/>
          <w:szCs w:val="24"/>
          <w:lang w:eastAsia="zh-CN"/>
        </w:rPr>
        <w:t>是成功进行影响评估的关键因素</w:t>
      </w:r>
      <w:r w:rsidRPr="00226AAF">
        <w:rPr>
          <w:rFonts w:ascii="SimSun" w:hAnsi="SimSun" w:cs="SimSun" w:hint="eastAsia"/>
          <w:kern w:val="22"/>
          <w:sz w:val="24"/>
          <w:szCs w:val="24"/>
          <w:lang w:eastAsia="zh-CN"/>
        </w:rPr>
        <w:t>。有效的环境和社会影响评估要求</w:t>
      </w:r>
      <w:r w:rsidR="00DF4D0D" w:rsidRPr="00226AAF">
        <w:rPr>
          <w:rFonts w:ascii="SimSun" w:hAnsi="SimSun" w:cs="SimSun" w:hint="eastAsia"/>
          <w:kern w:val="22"/>
          <w:sz w:val="24"/>
          <w:szCs w:val="24"/>
          <w:lang w:eastAsia="zh-CN"/>
        </w:rPr>
        <w:t>：</w:t>
      </w:r>
    </w:p>
    <w:p w14:paraId="51A7FE62" w14:textId="77777777" w:rsidR="00226AAF" w:rsidRPr="00226AAF" w:rsidRDefault="00226AAF" w:rsidP="00226AAF">
      <w:pPr>
        <w:pStyle w:val="Para1"/>
        <w:numPr>
          <w:ilvl w:val="0"/>
          <w:numId w:val="31"/>
        </w:numPr>
        <w:suppressLineNumbers/>
        <w:suppressAutoHyphens/>
        <w:kinsoku w:val="0"/>
        <w:overflowPunct w:val="0"/>
        <w:autoSpaceDE w:val="0"/>
        <w:autoSpaceDN w:val="0"/>
        <w:adjustRightInd w:val="0"/>
        <w:snapToGrid w:val="0"/>
        <w:spacing w:line="240" w:lineRule="atLeast"/>
        <w:ind w:firstLine="432"/>
        <w:mirrorIndents/>
        <w:rPr>
          <w:kern w:val="22"/>
          <w:lang w:eastAsia="zh-CN"/>
        </w:rPr>
      </w:pPr>
      <w:r>
        <w:rPr>
          <w:rFonts w:ascii="SimSun" w:hAnsi="SimSun" w:cs="SimSun" w:hint="eastAsia"/>
          <w:kern w:val="22"/>
          <w:sz w:val="24"/>
          <w:szCs w:val="24"/>
          <w:lang w:eastAsia="zh-CN"/>
        </w:rPr>
        <w:t xml:space="preserve"> </w:t>
      </w:r>
      <w:r>
        <w:rPr>
          <w:rFonts w:ascii="SimSun" w:hAnsi="SimSun" w:cs="SimSun"/>
          <w:kern w:val="22"/>
          <w:sz w:val="24"/>
          <w:szCs w:val="24"/>
          <w:lang w:eastAsia="zh-CN"/>
        </w:rPr>
        <w:t xml:space="preserve">   </w:t>
      </w:r>
      <w:r w:rsidR="00B8531F" w:rsidRPr="00226AAF">
        <w:rPr>
          <w:rFonts w:ascii="SimSun" w:hAnsi="SimSun" w:cs="SimSun" w:hint="eastAsia"/>
          <w:kern w:val="22"/>
          <w:sz w:val="24"/>
          <w:szCs w:val="24"/>
          <w:lang w:eastAsia="zh-CN"/>
        </w:rPr>
        <w:t>制定全面和</w:t>
      </w:r>
      <w:proofErr w:type="gramStart"/>
      <w:r w:rsidR="00B8531F" w:rsidRPr="00226AAF">
        <w:rPr>
          <w:rFonts w:ascii="SimSun" w:hAnsi="SimSun" w:cs="SimSun" w:hint="eastAsia"/>
          <w:kern w:val="22"/>
          <w:sz w:val="24"/>
          <w:szCs w:val="24"/>
          <w:lang w:eastAsia="zh-CN"/>
        </w:rPr>
        <w:t>可</w:t>
      </w:r>
      <w:proofErr w:type="gramEnd"/>
      <w:r w:rsidR="00B8531F" w:rsidRPr="00226AAF">
        <w:rPr>
          <w:rFonts w:ascii="SimSun" w:hAnsi="SimSun" w:cs="SimSun" w:hint="eastAsia"/>
          <w:kern w:val="22"/>
          <w:sz w:val="24"/>
          <w:szCs w:val="24"/>
          <w:lang w:eastAsia="zh-CN"/>
        </w:rPr>
        <w:t>执行的环境管理计划（必要时制定相关的生物多样性行动计划和物种行动计划）</w:t>
      </w:r>
      <w:r w:rsidR="00DF4D0D" w:rsidRPr="00226AAF">
        <w:rPr>
          <w:rFonts w:ascii="SimSun" w:hAnsi="SimSun" w:cs="SimSun" w:hint="eastAsia"/>
          <w:kern w:val="22"/>
          <w:sz w:val="24"/>
          <w:szCs w:val="24"/>
          <w:lang w:eastAsia="zh-CN"/>
        </w:rPr>
        <w:t>；</w:t>
      </w:r>
    </w:p>
    <w:p w14:paraId="34D6E326" w14:textId="77777777" w:rsidR="00226AAF" w:rsidRPr="00226AAF" w:rsidRDefault="00B8531F" w:rsidP="00226AAF">
      <w:pPr>
        <w:pStyle w:val="Para1"/>
        <w:numPr>
          <w:ilvl w:val="0"/>
          <w:numId w:val="31"/>
        </w:numPr>
        <w:suppressLineNumbers/>
        <w:suppressAutoHyphens/>
        <w:kinsoku w:val="0"/>
        <w:overflowPunct w:val="0"/>
        <w:autoSpaceDE w:val="0"/>
        <w:autoSpaceDN w:val="0"/>
        <w:adjustRightInd w:val="0"/>
        <w:snapToGrid w:val="0"/>
        <w:spacing w:line="240" w:lineRule="atLeast"/>
        <w:ind w:firstLine="432"/>
        <w:mirrorIndents/>
        <w:rPr>
          <w:kern w:val="22"/>
          <w:lang w:eastAsia="zh-CN"/>
        </w:rPr>
      </w:pPr>
      <w:r w:rsidRPr="00226AAF">
        <w:rPr>
          <w:rFonts w:ascii="SimSun" w:hAnsi="SimSun" w:cs="SimSun" w:hint="eastAsia"/>
          <w:kern w:val="22"/>
          <w:sz w:val="24"/>
          <w:szCs w:val="24"/>
          <w:lang w:eastAsia="zh-CN"/>
        </w:rPr>
        <w:t>确保在项目整个生命周期内定期提供足够信息的法律程序</w:t>
      </w:r>
      <w:r w:rsidR="00226AAF" w:rsidRPr="00226AAF">
        <w:rPr>
          <w:rFonts w:ascii="SimSun" w:hAnsi="SimSun" w:cs="SimSun" w:hint="eastAsia"/>
          <w:kern w:val="22"/>
          <w:sz w:val="24"/>
          <w:szCs w:val="24"/>
          <w:lang w:eastAsia="zh-CN"/>
        </w:rPr>
        <w:t>；</w:t>
      </w:r>
    </w:p>
    <w:p w14:paraId="32D4F1B6" w14:textId="77777777" w:rsidR="00226AAF" w:rsidRPr="00226AAF" w:rsidRDefault="00226AAF" w:rsidP="00226AAF">
      <w:pPr>
        <w:pStyle w:val="Para1"/>
        <w:numPr>
          <w:ilvl w:val="0"/>
          <w:numId w:val="31"/>
        </w:numPr>
        <w:suppressLineNumbers/>
        <w:suppressAutoHyphens/>
        <w:kinsoku w:val="0"/>
        <w:overflowPunct w:val="0"/>
        <w:autoSpaceDE w:val="0"/>
        <w:autoSpaceDN w:val="0"/>
        <w:adjustRightInd w:val="0"/>
        <w:snapToGrid w:val="0"/>
        <w:spacing w:line="240" w:lineRule="atLeast"/>
        <w:ind w:firstLine="432"/>
        <w:mirrorIndents/>
        <w:rPr>
          <w:kern w:val="22"/>
          <w:lang w:eastAsia="zh-CN"/>
        </w:rPr>
      </w:pPr>
      <w:r>
        <w:rPr>
          <w:rFonts w:ascii="SimSun" w:hAnsi="SimSun" w:cs="SimSun" w:hint="eastAsia"/>
          <w:kern w:val="22"/>
          <w:sz w:val="24"/>
          <w:szCs w:val="24"/>
          <w:lang w:eastAsia="zh-CN"/>
        </w:rPr>
        <w:t xml:space="preserve"> </w:t>
      </w:r>
      <w:r>
        <w:rPr>
          <w:rFonts w:ascii="SimSun" w:hAnsi="SimSun" w:cs="SimSun"/>
          <w:kern w:val="22"/>
          <w:sz w:val="24"/>
          <w:szCs w:val="24"/>
          <w:lang w:eastAsia="zh-CN"/>
        </w:rPr>
        <w:t xml:space="preserve">   </w:t>
      </w:r>
      <w:r w:rsidR="004058E9" w:rsidRPr="00226AAF">
        <w:rPr>
          <w:rFonts w:ascii="SimSun" w:hAnsi="SimSun" w:cs="SimSun" w:hint="eastAsia"/>
          <w:kern w:val="22"/>
          <w:sz w:val="24"/>
          <w:szCs w:val="24"/>
          <w:lang w:eastAsia="zh-CN"/>
        </w:rPr>
        <w:t>做出</w:t>
      </w:r>
      <w:r w:rsidR="00B8531F" w:rsidRPr="00226AAF">
        <w:rPr>
          <w:rFonts w:ascii="SimSun" w:hAnsi="SimSun" w:cs="SimSun" w:hint="eastAsia"/>
          <w:kern w:val="22"/>
          <w:sz w:val="24"/>
          <w:szCs w:val="24"/>
          <w:lang w:eastAsia="zh-CN"/>
        </w:rPr>
        <w:t>充分安排</w:t>
      </w:r>
      <w:r w:rsidR="004058E9" w:rsidRPr="00226AAF">
        <w:rPr>
          <w:rFonts w:ascii="SimSun" w:hAnsi="SimSun" w:cs="SimSun" w:hint="eastAsia"/>
          <w:kern w:val="22"/>
          <w:sz w:val="24"/>
          <w:szCs w:val="24"/>
          <w:lang w:eastAsia="zh-CN"/>
        </w:rPr>
        <w:t>，</w:t>
      </w:r>
      <w:r w:rsidR="00B8531F" w:rsidRPr="00226AAF">
        <w:rPr>
          <w:rFonts w:ascii="SimSun" w:hAnsi="SimSun" w:cs="SimSun" w:hint="eastAsia"/>
          <w:kern w:val="22"/>
          <w:sz w:val="24"/>
          <w:szCs w:val="24"/>
          <w:lang w:eastAsia="zh-CN"/>
        </w:rPr>
        <w:t>全面</w:t>
      </w:r>
      <w:r w:rsidR="002B00D3" w:rsidRPr="00226AAF">
        <w:rPr>
          <w:rFonts w:ascii="SimSun" w:hAnsi="SimSun" w:cs="SimSun" w:hint="eastAsia"/>
          <w:kern w:val="22"/>
          <w:sz w:val="24"/>
          <w:szCs w:val="24"/>
          <w:lang w:eastAsia="zh-CN"/>
        </w:rPr>
        <w:t>利</w:t>
      </w:r>
      <w:r w:rsidR="00B8531F" w:rsidRPr="00226AAF">
        <w:rPr>
          <w:rFonts w:ascii="SimSun" w:hAnsi="SimSun" w:cs="SimSun" w:hint="eastAsia"/>
          <w:kern w:val="22"/>
          <w:sz w:val="24"/>
          <w:szCs w:val="24"/>
          <w:lang w:eastAsia="zh-CN"/>
        </w:rPr>
        <w:t>用调查结果（即预防不利影响和执法措施）</w:t>
      </w:r>
      <w:r w:rsidR="00104F94" w:rsidRPr="00226AAF">
        <w:rPr>
          <w:rFonts w:ascii="SimSun" w:hAnsi="SimSun" w:cs="SimSun" w:hint="eastAsia"/>
          <w:kern w:val="22"/>
          <w:sz w:val="24"/>
          <w:szCs w:val="24"/>
          <w:lang w:eastAsia="zh-CN"/>
        </w:rPr>
        <w:t>；</w:t>
      </w:r>
    </w:p>
    <w:p w14:paraId="2E49A2D8" w14:textId="77777777" w:rsidR="00A11624" w:rsidRPr="00226AAF" w:rsidRDefault="00B8531F" w:rsidP="00226AAF">
      <w:pPr>
        <w:pStyle w:val="Para1"/>
        <w:numPr>
          <w:ilvl w:val="0"/>
          <w:numId w:val="31"/>
        </w:numPr>
        <w:suppressLineNumbers/>
        <w:tabs>
          <w:tab w:val="clear" w:pos="360"/>
        </w:tabs>
        <w:suppressAutoHyphens/>
        <w:kinsoku w:val="0"/>
        <w:overflowPunct w:val="0"/>
        <w:autoSpaceDE w:val="0"/>
        <w:autoSpaceDN w:val="0"/>
        <w:adjustRightInd w:val="0"/>
        <w:snapToGrid w:val="0"/>
        <w:spacing w:line="240" w:lineRule="atLeast"/>
        <w:ind w:firstLine="432"/>
        <w:mirrorIndents/>
        <w:rPr>
          <w:kern w:val="22"/>
          <w:lang w:eastAsia="zh-CN"/>
        </w:rPr>
      </w:pPr>
      <w:r w:rsidRPr="00226AAF">
        <w:rPr>
          <w:rFonts w:ascii="SimSun" w:hAnsi="SimSun" w:cs="SimSun" w:hint="eastAsia"/>
          <w:kern w:val="22"/>
          <w:sz w:val="24"/>
          <w:szCs w:val="24"/>
          <w:lang w:eastAsia="zh-CN"/>
        </w:rPr>
        <w:t>提供关于生物多样性和生态系统服务的准确和全面的数据，特别是</w:t>
      </w:r>
      <w:r w:rsidR="002B00D3" w:rsidRPr="00226AAF">
        <w:rPr>
          <w:rFonts w:ascii="SimSun" w:hAnsi="SimSun" w:cs="SimSun" w:hint="eastAsia"/>
          <w:kern w:val="22"/>
          <w:sz w:val="24"/>
          <w:szCs w:val="24"/>
          <w:lang w:eastAsia="zh-CN"/>
        </w:rPr>
        <w:t>为</w:t>
      </w:r>
      <w:r w:rsidRPr="00226AAF">
        <w:rPr>
          <w:rFonts w:ascii="SimSun" w:hAnsi="SimSun" w:cs="SimSun" w:hint="eastAsia"/>
          <w:kern w:val="22"/>
          <w:sz w:val="24"/>
          <w:szCs w:val="24"/>
          <w:lang w:eastAsia="zh-CN"/>
        </w:rPr>
        <w:t>新的部门活动或地点，如海底采矿</w:t>
      </w:r>
      <w:r w:rsidR="00104F94" w:rsidRPr="00226AAF">
        <w:rPr>
          <w:rFonts w:ascii="SimSun" w:hAnsi="SimSun" w:cs="SimSun" w:hint="eastAsia"/>
          <w:kern w:val="22"/>
          <w:sz w:val="24"/>
          <w:szCs w:val="24"/>
          <w:lang w:eastAsia="zh-CN"/>
        </w:rPr>
        <w:t>。</w:t>
      </w:r>
    </w:p>
    <w:p w14:paraId="59F8F622" w14:textId="77777777" w:rsidR="00A11624" w:rsidRPr="00C64F18" w:rsidRDefault="00B8531F"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lang w:eastAsia="zh-CN"/>
        </w:rPr>
      </w:pPr>
      <w:r w:rsidRPr="00D77FBE">
        <w:rPr>
          <w:rFonts w:ascii="SimSun" w:hAnsi="SimSun" w:cs="SimSun" w:hint="eastAsia"/>
          <w:kern w:val="22"/>
          <w:sz w:val="24"/>
          <w:szCs w:val="24"/>
          <w:lang w:eastAsia="zh-CN"/>
        </w:rPr>
        <w:t>正在制定准确评估和评</w:t>
      </w:r>
      <w:r w:rsidR="00104F94">
        <w:rPr>
          <w:rFonts w:ascii="SimSun" w:hAnsi="SimSun" w:cs="SimSun" w:hint="eastAsia"/>
          <w:kern w:val="22"/>
          <w:sz w:val="24"/>
          <w:szCs w:val="24"/>
          <w:lang w:eastAsia="zh-CN"/>
        </w:rPr>
        <w:t>价</w:t>
      </w:r>
      <w:r w:rsidRPr="00D77FBE">
        <w:rPr>
          <w:rFonts w:ascii="SimSun" w:hAnsi="SimSun" w:cs="SimSun" w:hint="eastAsia"/>
          <w:kern w:val="22"/>
          <w:sz w:val="24"/>
          <w:szCs w:val="24"/>
          <w:lang w:eastAsia="zh-CN"/>
        </w:rPr>
        <w:t>自然的良好做法，包括为</w:t>
      </w:r>
      <w:r w:rsidRPr="005C5493">
        <w:rPr>
          <w:rFonts w:ascii="SimSun" w:hAnsi="SimSun" w:cs="SimSun" w:hint="eastAsia"/>
          <w:kern w:val="22"/>
          <w:sz w:val="24"/>
          <w:szCs w:val="24"/>
          <w:lang w:eastAsia="zh-CN"/>
        </w:rPr>
        <w:t>生物多样性</w:t>
      </w:r>
      <w:r w:rsidR="004058E9" w:rsidRPr="005C5493">
        <w:rPr>
          <w:rFonts w:ascii="SimSun" w:hAnsi="SimSun" w:cs="SimSun" w:hint="eastAsia"/>
          <w:kern w:val="22"/>
          <w:sz w:val="24"/>
          <w:szCs w:val="24"/>
          <w:lang w:eastAsia="zh-CN"/>
        </w:rPr>
        <w:t>补偿</w:t>
      </w:r>
      <w:r w:rsidRPr="00D77FBE">
        <w:rPr>
          <w:rFonts w:ascii="SimSun" w:hAnsi="SimSun" w:cs="SimSun" w:hint="eastAsia"/>
          <w:kern w:val="22"/>
          <w:sz w:val="24"/>
          <w:szCs w:val="24"/>
          <w:lang w:eastAsia="zh-CN"/>
        </w:rPr>
        <w:t>和</w:t>
      </w:r>
      <w:r w:rsidRPr="005C5493">
        <w:rPr>
          <w:rFonts w:ascii="SimSun" w:hAnsi="SimSun" w:cs="SimSun" w:hint="eastAsia"/>
          <w:kern w:val="22"/>
          <w:sz w:val="24"/>
          <w:szCs w:val="24"/>
          <w:lang w:eastAsia="zh-CN"/>
        </w:rPr>
        <w:t>自然资本</w:t>
      </w:r>
      <w:r w:rsidR="00104F94" w:rsidRPr="005C5493">
        <w:rPr>
          <w:rFonts w:ascii="SimSun" w:hAnsi="SimSun" w:cs="SimSun" w:hint="eastAsia"/>
          <w:kern w:val="22"/>
          <w:sz w:val="24"/>
          <w:szCs w:val="24"/>
          <w:lang w:eastAsia="zh-CN"/>
        </w:rPr>
        <w:t>的</w:t>
      </w:r>
      <w:r w:rsidRPr="005C5493">
        <w:rPr>
          <w:rFonts w:ascii="SimSun" w:hAnsi="SimSun" w:cs="SimSun" w:hint="eastAsia"/>
          <w:kern w:val="22"/>
          <w:sz w:val="24"/>
          <w:szCs w:val="24"/>
          <w:lang w:eastAsia="zh-CN"/>
        </w:rPr>
        <w:t>评估和</w:t>
      </w:r>
      <w:r w:rsidR="004058E9" w:rsidRPr="005C5493">
        <w:rPr>
          <w:rFonts w:ascii="SimSun" w:hAnsi="SimSun" w:cs="SimSun" w:hint="eastAsia"/>
          <w:kern w:val="22"/>
          <w:sz w:val="24"/>
          <w:szCs w:val="24"/>
          <w:lang w:eastAsia="zh-CN"/>
        </w:rPr>
        <w:t>核算</w:t>
      </w:r>
      <w:r w:rsidR="00104F94">
        <w:rPr>
          <w:rFonts w:ascii="SimSun" w:hAnsi="SimSun" w:cs="SimSun" w:hint="eastAsia"/>
          <w:kern w:val="22"/>
          <w:sz w:val="24"/>
          <w:szCs w:val="24"/>
          <w:lang w:eastAsia="zh-CN"/>
        </w:rPr>
        <w:t>制定</w:t>
      </w:r>
      <w:r w:rsidRPr="00D77FBE">
        <w:rPr>
          <w:rFonts w:ascii="SimSun" w:hAnsi="SimSun" w:cs="SimSun" w:hint="eastAsia"/>
          <w:kern w:val="22"/>
          <w:sz w:val="24"/>
          <w:szCs w:val="24"/>
          <w:lang w:eastAsia="zh-CN"/>
        </w:rPr>
        <w:t>的做法。正如自然资本联盟提出的各种案例研究所证明的，</w:t>
      </w:r>
      <w:r w:rsidR="00104F94" w:rsidRPr="00B54EF9">
        <w:rPr>
          <w:rFonts w:ascii="Arial" w:hAnsi="Arial" w:cs="Arial"/>
          <w:color w:val="333333"/>
          <w:sz w:val="24"/>
          <w:szCs w:val="24"/>
          <w:shd w:val="clear" w:color="auto" w:fill="FFFFFF"/>
          <w:lang w:eastAsia="zh-CN"/>
        </w:rPr>
        <w:t>公司开始从事自然资本</w:t>
      </w:r>
      <w:r w:rsidR="00104F94" w:rsidRPr="005C5493">
        <w:rPr>
          <w:rFonts w:ascii="Arial" w:hAnsi="Arial" w:cs="Arial"/>
          <w:color w:val="333333"/>
          <w:sz w:val="24"/>
          <w:szCs w:val="24"/>
          <w:shd w:val="clear" w:color="auto" w:fill="FFFFFF"/>
          <w:lang w:eastAsia="zh-CN"/>
        </w:rPr>
        <w:t>核</w:t>
      </w:r>
      <w:r w:rsidR="00104F94" w:rsidRPr="005C5493">
        <w:rPr>
          <w:rFonts w:ascii="SimSun" w:hAnsi="SimSun" w:cs="SimSun" w:hint="eastAsia"/>
          <w:color w:val="333333"/>
          <w:sz w:val="24"/>
          <w:szCs w:val="24"/>
          <w:shd w:val="clear" w:color="auto" w:fill="FFFFFF"/>
          <w:lang w:eastAsia="zh-CN"/>
        </w:rPr>
        <w:t>算</w:t>
      </w:r>
      <w:r w:rsidRPr="00D77FBE">
        <w:rPr>
          <w:rFonts w:ascii="SimSun" w:hAnsi="SimSun" w:cs="SimSun" w:hint="eastAsia"/>
          <w:kern w:val="22"/>
          <w:sz w:val="24"/>
          <w:szCs w:val="24"/>
          <w:lang w:eastAsia="zh-CN"/>
        </w:rPr>
        <w:t>。学术界</w:t>
      </w:r>
      <w:r w:rsidR="00B54EF9">
        <w:rPr>
          <w:rFonts w:ascii="SimSun" w:hAnsi="SimSun" w:cs="SimSun" w:hint="eastAsia"/>
          <w:kern w:val="22"/>
          <w:sz w:val="24"/>
          <w:szCs w:val="24"/>
          <w:lang w:eastAsia="zh-CN"/>
        </w:rPr>
        <w:t>参与</w:t>
      </w:r>
      <w:r w:rsidRPr="00D77FBE">
        <w:rPr>
          <w:rFonts w:ascii="SimSun" w:hAnsi="SimSun" w:cs="SimSun" w:hint="eastAsia"/>
          <w:kern w:val="22"/>
          <w:sz w:val="24"/>
          <w:szCs w:val="24"/>
          <w:lang w:eastAsia="zh-CN"/>
        </w:rPr>
        <w:t>制定指标并了解生物多样性的影响</w:t>
      </w:r>
      <w:r w:rsidR="00B54EF9">
        <w:rPr>
          <w:rFonts w:ascii="SimSun" w:hAnsi="SimSun" w:cs="SimSun" w:hint="eastAsia"/>
          <w:kern w:val="22"/>
          <w:sz w:val="24"/>
          <w:szCs w:val="24"/>
          <w:lang w:eastAsia="zh-CN"/>
        </w:rPr>
        <w:t>、</w:t>
      </w:r>
      <w:r w:rsidR="00FF1A5E">
        <w:rPr>
          <w:rFonts w:ascii="SimSun" w:hAnsi="SimSun" w:cs="SimSun" w:hint="eastAsia"/>
          <w:kern w:val="22"/>
          <w:sz w:val="24"/>
          <w:szCs w:val="24"/>
          <w:lang w:eastAsia="zh-CN"/>
        </w:rPr>
        <w:t>新兴技术和办</w:t>
      </w:r>
      <w:r w:rsidRPr="00D77FBE">
        <w:rPr>
          <w:rFonts w:ascii="SimSun" w:hAnsi="SimSun" w:cs="SimSun" w:hint="eastAsia"/>
          <w:kern w:val="22"/>
          <w:sz w:val="24"/>
          <w:szCs w:val="24"/>
          <w:lang w:eastAsia="zh-CN"/>
        </w:rPr>
        <w:t>法（例如恢复栖息地的</w:t>
      </w:r>
      <w:r w:rsidR="00F225E0">
        <w:rPr>
          <w:rFonts w:ascii="SimSun" w:hAnsi="SimSun" w:cs="SimSun" w:hint="eastAsia"/>
          <w:kern w:val="22"/>
          <w:sz w:val="24"/>
          <w:szCs w:val="24"/>
          <w:lang w:eastAsia="zh-CN"/>
        </w:rPr>
        <w:t>成效</w:t>
      </w:r>
      <w:r w:rsidRPr="00D77FBE">
        <w:rPr>
          <w:rFonts w:ascii="SimSun" w:hAnsi="SimSun" w:cs="SimSun" w:hint="eastAsia"/>
          <w:kern w:val="22"/>
          <w:sz w:val="24"/>
          <w:szCs w:val="24"/>
          <w:lang w:eastAsia="zh-CN"/>
        </w:rPr>
        <w:t>）将</w:t>
      </w:r>
      <w:r w:rsidR="00FF1A5E">
        <w:rPr>
          <w:rFonts w:ascii="SimSun" w:hAnsi="SimSun" w:cs="SimSun" w:hint="eastAsia"/>
          <w:kern w:val="22"/>
          <w:sz w:val="24"/>
          <w:szCs w:val="24"/>
          <w:lang w:eastAsia="zh-CN"/>
        </w:rPr>
        <w:t>帮助</w:t>
      </w:r>
      <w:r w:rsidRPr="00D77FBE">
        <w:rPr>
          <w:rFonts w:ascii="SimSun" w:hAnsi="SimSun" w:cs="SimSun" w:hint="eastAsia"/>
          <w:kern w:val="22"/>
          <w:sz w:val="24"/>
          <w:szCs w:val="24"/>
          <w:lang w:eastAsia="zh-CN"/>
        </w:rPr>
        <w:t>增加证据基础并填补数据空白</w:t>
      </w:r>
      <w:r w:rsidR="00B54EF9">
        <w:rPr>
          <w:rFonts w:ascii="SimSun" w:hAnsi="SimSun" w:cs="SimSun" w:hint="eastAsia"/>
          <w:kern w:val="22"/>
          <w:sz w:val="24"/>
          <w:szCs w:val="24"/>
          <w:lang w:eastAsia="zh-CN"/>
        </w:rPr>
        <w:t>。</w:t>
      </w:r>
    </w:p>
    <w:p w14:paraId="3F0762FF" w14:textId="77777777" w:rsidR="00A11624" w:rsidRPr="00C64F18" w:rsidRDefault="00B8531F"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lang w:eastAsia="zh-CN"/>
        </w:rPr>
      </w:pPr>
      <w:r w:rsidRPr="00D77FBE">
        <w:rPr>
          <w:rFonts w:ascii="SimSun" w:hAnsi="SimSun" w:cs="SimSun" w:hint="eastAsia"/>
          <w:kern w:val="22"/>
          <w:sz w:val="24"/>
          <w:szCs w:val="24"/>
          <w:lang w:eastAsia="zh-CN"/>
        </w:rPr>
        <w:t>批准阶段</w:t>
      </w:r>
      <w:r w:rsidR="00F225E0">
        <w:rPr>
          <w:rFonts w:ascii="SimSun" w:hAnsi="SimSun" w:cs="SimSun" w:hint="eastAsia"/>
          <w:kern w:val="22"/>
          <w:sz w:val="24"/>
          <w:szCs w:val="24"/>
          <w:lang w:eastAsia="zh-CN"/>
        </w:rPr>
        <w:t>过</w:t>
      </w:r>
      <w:r w:rsidRPr="00D77FBE">
        <w:rPr>
          <w:rFonts w:ascii="SimSun" w:hAnsi="SimSun" w:cs="SimSun" w:hint="eastAsia"/>
          <w:kern w:val="22"/>
          <w:sz w:val="24"/>
          <w:szCs w:val="24"/>
          <w:lang w:eastAsia="zh-CN"/>
        </w:rPr>
        <w:t>后，加强</w:t>
      </w:r>
      <w:r w:rsidR="00B54EF9">
        <w:rPr>
          <w:rFonts w:ascii="SimSun" w:hAnsi="SimSun" w:cs="SimSun" w:hint="eastAsia"/>
          <w:kern w:val="22"/>
          <w:sz w:val="24"/>
          <w:szCs w:val="24"/>
          <w:lang w:eastAsia="zh-CN"/>
        </w:rPr>
        <w:t>执行</w:t>
      </w:r>
      <w:r w:rsidRPr="00D77FBE">
        <w:rPr>
          <w:rFonts w:ascii="SimSun" w:hAnsi="SimSun" w:cs="SimSun" w:hint="eastAsia"/>
          <w:kern w:val="22"/>
          <w:sz w:val="24"/>
          <w:szCs w:val="24"/>
          <w:lang w:eastAsia="zh-CN"/>
        </w:rPr>
        <w:t>环境管理行动有许多切入点，包括扩大执法机构权力</w:t>
      </w:r>
      <w:r w:rsidR="00B54EF9">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能力和独立性，与地方政府协调，建立区域监测网络</w:t>
      </w:r>
      <w:r w:rsidR="00B54EF9">
        <w:rPr>
          <w:rFonts w:ascii="SimSun" w:hAnsi="SimSun" w:cs="SimSun" w:hint="eastAsia"/>
          <w:kern w:val="22"/>
          <w:sz w:val="24"/>
          <w:szCs w:val="24"/>
          <w:lang w:eastAsia="zh-CN"/>
        </w:rPr>
        <w:t>并</w:t>
      </w:r>
      <w:r w:rsidRPr="00D77FBE">
        <w:rPr>
          <w:rFonts w:ascii="SimSun" w:hAnsi="SimSun" w:cs="SimSun" w:hint="eastAsia"/>
          <w:kern w:val="22"/>
          <w:sz w:val="24"/>
          <w:szCs w:val="24"/>
          <w:lang w:eastAsia="zh-CN"/>
        </w:rPr>
        <w:t>在项目批准之前</w:t>
      </w:r>
      <w:r w:rsidR="00B54EF9" w:rsidRPr="00D77FBE">
        <w:rPr>
          <w:rFonts w:ascii="SimSun" w:hAnsi="SimSun" w:cs="SimSun" w:hint="eastAsia"/>
          <w:kern w:val="22"/>
          <w:sz w:val="24"/>
          <w:szCs w:val="24"/>
          <w:lang w:eastAsia="zh-CN"/>
        </w:rPr>
        <w:t>要求</w:t>
      </w:r>
      <w:r w:rsidR="00B54EF9">
        <w:rPr>
          <w:rFonts w:ascii="SimSun" w:hAnsi="SimSun" w:cs="SimSun" w:hint="eastAsia"/>
          <w:kern w:val="22"/>
          <w:sz w:val="24"/>
          <w:szCs w:val="24"/>
          <w:lang w:eastAsia="zh-CN"/>
        </w:rPr>
        <w:t>执行</w:t>
      </w:r>
      <w:r w:rsidRPr="00D77FBE">
        <w:rPr>
          <w:rFonts w:ascii="SimSun" w:hAnsi="SimSun" w:cs="SimSun" w:hint="eastAsia"/>
          <w:kern w:val="22"/>
          <w:sz w:val="24"/>
          <w:szCs w:val="24"/>
          <w:lang w:eastAsia="zh-CN"/>
        </w:rPr>
        <w:t>后续措施</w:t>
      </w:r>
      <w:r w:rsidR="00B54EF9">
        <w:rPr>
          <w:rFonts w:ascii="SimSun" w:hAnsi="SimSun" w:cs="SimSun" w:hint="eastAsia"/>
          <w:kern w:val="22"/>
          <w:sz w:val="24"/>
          <w:szCs w:val="24"/>
          <w:lang w:eastAsia="zh-CN"/>
        </w:rPr>
        <w:t>的</w:t>
      </w:r>
      <w:r w:rsidR="00B54EF9" w:rsidRPr="00D77FBE">
        <w:rPr>
          <w:rFonts w:ascii="SimSun" w:hAnsi="SimSun" w:cs="SimSun" w:hint="eastAsia"/>
          <w:kern w:val="22"/>
          <w:sz w:val="24"/>
          <w:szCs w:val="24"/>
          <w:lang w:eastAsia="zh-CN"/>
        </w:rPr>
        <w:t>财</w:t>
      </w:r>
      <w:r w:rsidR="00B54EF9">
        <w:rPr>
          <w:rFonts w:ascii="SimSun" w:hAnsi="SimSun" w:cs="SimSun" w:hint="eastAsia"/>
          <w:kern w:val="22"/>
          <w:sz w:val="24"/>
          <w:szCs w:val="24"/>
          <w:lang w:eastAsia="zh-CN"/>
        </w:rPr>
        <w:t>务</w:t>
      </w:r>
      <w:r w:rsidR="00B54EF9" w:rsidRPr="00D77FBE">
        <w:rPr>
          <w:rFonts w:ascii="SimSun" w:hAnsi="SimSun" w:cs="SimSun" w:hint="eastAsia"/>
          <w:kern w:val="22"/>
          <w:sz w:val="24"/>
          <w:szCs w:val="24"/>
          <w:lang w:eastAsia="zh-CN"/>
        </w:rPr>
        <w:t>担保</w:t>
      </w:r>
      <w:r w:rsidR="00B54EF9">
        <w:rPr>
          <w:rFonts w:ascii="SimSun" w:hAnsi="SimSun" w:cs="SimSun" w:hint="eastAsia"/>
          <w:kern w:val="22"/>
          <w:sz w:val="24"/>
          <w:szCs w:val="24"/>
          <w:lang w:eastAsia="zh-CN"/>
        </w:rPr>
        <w:t>。</w:t>
      </w:r>
    </w:p>
    <w:p w14:paraId="196DB904" w14:textId="77777777" w:rsidR="00A11624" w:rsidRPr="00C64F18" w:rsidRDefault="00B8531F"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lang w:eastAsia="zh-CN"/>
        </w:rPr>
      </w:pPr>
      <w:r w:rsidRPr="00D77FBE">
        <w:rPr>
          <w:rFonts w:ascii="SimSun" w:hAnsi="SimSun" w:cs="SimSun" w:hint="eastAsia"/>
          <w:kern w:val="22"/>
          <w:sz w:val="24"/>
          <w:szCs w:val="24"/>
          <w:lang w:eastAsia="zh-CN"/>
        </w:rPr>
        <w:t>在欧洲，采掘业废物管理指令（</w:t>
      </w:r>
      <w:r w:rsidRPr="00D77FBE">
        <w:rPr>
          <w:kern w:val="22"/>
          <w:sz w:val="24"/>
          <w:szCs w:val="24"/>
          <w:lang w:eastAsia="zh-CN"/>
        </w:rPr>
        <w:t>2006/21/EC</w:t>
      </w:r>
      <w:r w:rsidRPr="00D77FBE">
        <w:rPr>
          <w:rFonts w:ascii="SimSun" w:hAnsi="SimSun" w:cs="SimSun" w:hint="eastAsia"/>
          <w:kern w:val="22"/>
          <w:sz w:val="24"/>
          <w:szCs w:val="24"/>
          <w:lang w:eastAsia="zh-CN"/>
        </w:rPr>
        <w:t>）制定了措施，要求提供财</w:t>
      </w:r>
      <w:r w:rsidR="00B54EF9">
        <w:rPr>
          <w:rFonts w:ascii="SimSun" w:hAnsi="SimSun" w:cs="SimSun" w:hint="eastAsia"/>
          <w:kern w:val="22"/>
          <w:sz w:val="24"/>
          <w:szCs w:val="24"/>
          <w:lang w:eastAsia="zh-CN"/>
        </w:rPr>
        <w:t>务</w:t>
      </w:r>
      <w:r w:rsidRPr="00D77FBE">
        <w:rPr>
          <w:rFonts w:ascii="SimSun" w:hAnsi="SimSun" w:cs="SimSun" w:hint="eastAsia"/>
          <w:kern w:val="22"/>
          <w:sz w:val="24"/>
          <w:szCs w:val="24"/>
          <w:lang w:eastAsia="zh-CN"/>
        </w:rPr>
        <w:t>担保，</w:t>
      </w:r>
      <w:r w:rsidR="00AD0AC8">
        <w:rPr>
          <w:rFonts w:ascii="SimSun" w:hAnsi="SimSun" w:cs="SimSun" w:hint="eastAsia"/>
          <w:kern w:val="22"/>
          <w:sz w:val="24"/>
          <w:szCs w:val="24"/>
          <w:lang w:eastAsia="zh-CN"/>
        </w:rPr>
        <w:t>使</w:t>
      </w:r>
      <w:r w:rsidRPr="00D77FBE">
        <w:rPr>
          <w:rFonts w:ascii="SimSun" w:hAnsi="SimSun" w:cs="SimSun" w:hint="eastAsia"/>
          <w:kern w:val="22"/>
          <w:sz w:val="24"/>
          <w:szCs w:val="24"/>
          <w:lang w:eastAsia="zh-CN"/>
        </w:rPr>
        <w:t>受影响土地的</w:t>
      </w:r>
      <w:r w:rsidR="00F225E0">
        <w:rPr>
          <w:rFonts w:ascii="SimSun" w:hAnsi="SimSun" w:cs="SimSun" w:hint="eastAsia"/>
          <w:kern w:val="22"/>
          <w:sz w:val="24"/>
          <w:szCs w:val="24"/>
          <w:lang w:eastAsia="zh-CN"/>
        </w:rPr>
        <w:t>复</w:t>
      </w:r>
      <w:r w:rsidRPr="00D77FBE">
        <w:rPr>
          <w:rFonts w:ascii="SimSun" w:hAnsi="SimSun" w:cs="SimSun" w:hint="eastAsia"/>
          <w:kern w:val="22"/>
          <w:sz w:val="24"/>
          <w:szCs w:val="24"/>
          <w:lang w:eastAsia="zh-CN"/>
        </w:rPr>
        <w:t>垦</w:t>
      </w:r>
      <w:r w:rsidR="00AD0AC8">
        <w:rPr>
          <w:rFonts w:ascii="SimSun" w:hAnsi="SimSun" w:cs="SimSun" w:hint="eastAsia"/>
          <w:kern w:val="22"/>
          <w:sz w:val="24"/>
          <w:szCs w:val="24"/>
          <w:lang w:eastAsia="zh-CN"/>
        </w:rPr>
        <w:t>具有现成</w:t>
      </w:r>
      <w:r w:rsidRPr="00D77FBE">
        <w:rPr>
          <w:rFonts w:ascii="SimSun" w:hAnsi="SimSun" w:cs="SimSun" w:hint="eastAsia"/>
          <w:kern w:val="22"/>
          <w:sz w:val="24"/>
          <w:szCs w:val="24"/>
          <w:lang w:eastAsia="zh-CN"/>
        </w:rPr>
        <w:t>的资金。</w:t>
      </w:r>
      <w:r w:rsidR="00AD0AC8">
        <w:rPr>
          <w:rFonts w:hint="eastAsia"/>
          <w:kern w:val="22"/>
          <w:sz w:val="24"/>
          <w:szCs w:val="24"/>
          <w:lang w:eastAsia="zh-CN"/>
        </w:rPr>
        <w:t>设</w:t>
      </w:r>
      <w:r w:rsidR="00F225E0" w:rsidRPr="00F225E0">
        <w:rPr>
          <w:rFonts w:hint="eastAsia"/>
          <w:kern w:val="22"/>
          <w:sz w:val="24"/>
          <w:szCs w:val="24"/>
          <w:lang w:eastAsia="zh-CN"/>
        </w:rPr>
        <w:t>立</w:t>
      </w:r>
      <w:r w:rsidR="00F225E0" w:rsidRPr="00D77FBE">
        <w:rPr>
          <w:rFonts w:ascii="SimSun" w:hAnsi="SimSun" w:cs="SimSun" w:hint="eastAsia"/>
          <w:kern w:val="22"/>
          <w:sz w:val="24"/>
          <w:szCs w:val="24"/>
          <w:lang w:eastAsia="zh-CN"/>
        </w:rPr>
        <w:t>财务担保的技术准则（</w:t>
      </w:r>
      <w:r w:rsidR="00F225E0" w:rsidRPr="00D77FBE">
        <w:rPr>
          <w:kern w:val="22"/>
          <w:sz w:val="24"/>
          <w:szCs w:val="24"/>
          <w:lang w:eastAsia="zh-CN"/>
        </w:rPr>
        <w:t>2009/335/EC</w:t>
      </w:r>
      <w:r w:rsidR="00F225E0" w:rsidRPr="00D77FBE">
        <w:rPr>
          <w:rFonts w:ascii="SimSun" w:hAnsi="SimSun" w:cs="SimSun" w:hint="eastAsia"/>
          <w:kern w:val="22"/>
          <w:sz w:val="24"/>
          <w:szCs w:val="24"/>
          <w:lang w:eastAsia="zh-CN"/>
        </w:rPr>
        <w:t>）中</w:t>
      </w:r>
      <w:r w:rsidR="00F225E0">
        <w:rPr>
          <w:rFonts w:ascii="SimSun" w:hAnsi="SimSun" w:cs="SimSun" w:hint="eastAsia"/>
          <w:kern w:val="22"/>
          <w:sz w:val="24"/>
          <w:szCs w:val="24"/>
          <w:lang w:eastAsia="zh-CN"/>
        </w:rPr>
        <w:t>具体</w:t>
      </w:r>
      <w:r w:rsidR="00F225E0" w:rsidRPr="00D77FBE">
        <w:rPr>
          <w:rFonts w:ascii="SimSun" w:hAnsi="SimSun" w:cs="SimSun" w:hint="eastAsia"/>
          <w:kern w:val="22"/>
          <w:sz w:val="24"/>
          <w:szCs w:val="24"/>
          <w:lang w:eastAsia="zh-CN"/>
        </w:rPr>
        <w:t>规定，确保土地</w:t>
      </w:r>
      <w:r w:rsidR="00F225E0">
        <w:rPr>
          <w:rFonts w:ascii="SimSun" w:hAnsi="SimSun" w:cs="SimSun" w:hint="eastAsia"/>
          <w:kern w:val="22"/>
          <w:sz w:val="24"/>
          <w:szCs w:val="24"/>
          <w:lang w:eastAsia="zh-CN"/>
        </w:rPr>
        <w:t>复</w:t>
      </w:r>
      <w:r w:rsidR="00F225E0" w:rsidRPr="00D77FBE">
        <w:rPr>
          <w:rFonts w:ascii="SimSun" w:hAnsi="SimSun" w:cs="SimSun" w:hint="eastAsia"/>
          <w:kern w:val="22"/>
          <w:sz w:val="24"/>
          <w:szCs w:val="24"/>
          <w:lang w:eastAsia="zh-CN"/>
        </w:rPr>
        <w:t>垦所需的费用</w:t>
      </w:r>
      <w:r w:rsidR="00A9409A" w:rsidRPr="00D77FBE">
        <w:rPr>
          <w:rFonts w:ascii="SimSun" w:hAnsi="SimSun" w:cs="SimSun" w:hint="eastAsia"/>
          <w:kern w:val="22"/>
          <w:sz w:val="24"/>
          <w:szCs w:val="24"/>
          <w:lang w:eastAsia="zh-CN"/>
        </w:rPr>
        <w:t>评估</w:t>
      </w:r>
      <w:r w:rsidR="00F225E0" w:rsidRPr="00D77FBE">
        <w:rPr>
          <w:rFonts w:ascii="SimSun" w:hAnsi="SimSun" w:cs="SimSun" w:hint="eastAsia"/>
          <w:kern w:val="22"/>
          <w:sz w:val="24"/>
          <w:szCs w:val="24"/>
          <w:lang w:eastAsia="zh-CN"/>
        </w:rPr>
        <w:t>中</w:t>
      </w:r>
      <w:r w:rsidR="00AD0AC8">
        <w:rPr>
          <w:rFonts w:ascii="SimSun" w:hAnsi="SimSun" w:cs="SimSun" w:hint="eastAsia"/>
          <w:kern w:val="22"/>
          <w:sz w:val="24"/>
          <w:szCs w:val="24"/>
          <w:lang w:eastAsia="zh-CN"/>
        </w:rPr>
        <w:t>，</w:t>
      </w:r>
      <w:r w:rsidR="00A9409A" w:rsidRPr="00D77FBE">
        <w:rPr>
          <w:rFonts w:ascii="SimSun" w:hAnsi="SimSun" w:cs="SimSun" w:hint="eastAsia"/>
          <w:kern w:val="22"/>
          <w:sz w:val="24"/>
          <w:szCs w:val="24"/>
          <w:lang w:eastAsia="zh-CN"/>
        </w:rPr>
        <w:t>应包括恢复生物多样性的措施（如果相关）</w:t>
      </w:r>
      <w:r w:rsidR="00F225E0" w:rsidRPr="00D77FBE">
        <w:rPr>
          <w:rFonts w:ascii="SimSun" w:hAnsi="SimSun" w:cs="SimSun" w:hint="eastAsia"/>
          <w:kern w:val="22"/>
          <w:sz w:val="24"/>
          <w:szCs w:val="24"/>
          <w:lang w:eastAsia="zh-CN"/>
        </w:rPr>
        <w:t>。新出现的生物多样性丧失民事责任标准也可以利用环境和社会影响评估结果以及相关的环境管理计划</w:t>
      </w:r>
      <w:r w:rsidR="00A9409A">
        <w:rPr>
          <w:rFonts w:ascii="SimSun" w:hAnsi="SimSun" w:cs="SimSun" w:hint="eastAsia"/>
          <w:kern w:val="22"/>
          <w:sz w:val="24"/>
          <w:szCs w:val="24"/>
          <w:lang w:eastAsia="zh-CN"/>
        </w:rPr>
        <w:t>。</w:t>
      </w:r>
    </w:p>
    <w:p w14:paraId="215F82E8" w14:textId="77777777" w:rsidR="00A11624" w:rsidRPr="00C64F18" w:rsidRDefault="00B8531F"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lang w:eastAsia="zh-CN"/>
        </w:rPr>
      </w:pPr>
      <w:r w:rsidRPr="00D77FBE">
        <w:rPr>
          <w:rFonts w:ascii="SimSun" w:hAnsi="SimSun" w:cs="SimSun" w:hint="eastAsia"/>
          <w:kern w:val="22"/>
          <w:sz w:val="24"/>
          <w:szCs w:val="24"/>
          <w:lang w:eastAsia="zh-CN"/>
        </w:rPr>
        <w:t>行业良好做法守则和包括</w:t>
      </w:r>
      <w:r w:rsidR="00A9409A" w:rsidRPr="00A9409A">
        <w:rPr>
          <w:sz w:val="24"/>
          <w:szCs w:val="24"/>
          <w:lang w:eastAsia="zh-CN"/>
        </w:rPr>
        <w:t>国际石油工业环境保护协</w:t>
      </w:r>
      <w:r w:rsidR="00A9409A" w:rsidRPr="00A9409A">
        <w:rPr>
          <w:rFonts w:ascii="SimSun" w:hAnsi="SimSun" w:cs="SimSun" w:hint="eastAsia"/>
          <w:sz w:val="24"/>
          <w:szCs w:val="24"/>
          <w:lang w:eastAsia="zh-CN"/>
        </w:rPr>
        <w:t>会</w:t>
      </w:r>
      <w:r w:rsidRPr="00D77FBE">
        <w:rPr>
          <w:rFonts w:ascii="SimSun" w:hAnsi="SimSun" w:cs="SimSun" w:hint="eastAsia"/>
          <w:kern w:val="22"/>
          <w:sz w:val="24"/>
          <w:szCs w:val="24"/>
          <w:lang w:eastAsia="zh-CN"/>
        </w:rPr>
        <w:t>生物多样性和生态系统服务基本原则</w:t>
      </w:r>
      <w:r w:rsidR="005A2612">
        <w:rPr>
          <w:rFonts w:ascii="SimSun" w:hAnsi="SimSun" w:cs="SimSun" w:hint="eastAsia"/>
          <w:kern w:val="22"/>
          <w:sz w:val="24"/>
          <w:szCs w:val="24"/>
          <w:lang w:eastAsia="zh-CN"/>
        </w:rPr>
        <w:t>的</w:t>
      </w:r>
      <w:r w:rsidR="005A2612" w:rsidRPr="00D77FBE">
        <w:rPr>
          <w:rFonts w:ascii="SimSun" w:hAnsi="SimSun" w:cs="SimSun" w:hint="eastAsia"/>
          <w:kern w:val="22"/>
          <w:sz w:val="24"/>
          <w:szCs w:val="24"/>
          <w:lang w:eastAsia="zh-CN"/>
        </w:rPr>
        <w:t>指导材料</w:t>
      </w:r>
      <w:r w:rsidR="005A2612" w:rsidRPr="005A2612">
        <w:rPr>
          <w:rStyle w:val="FootnoteReference"/>
          <w:kern w:val="22"/>
          <w:szCs w:val="24"/>
        </w:rPr>
        <w:footnoteReference w:id="21"/>
      </w:r>
      <w:r w:rsidRPr="00D77FBE">
        <w:rPr>
          <w:rFonts w:ascii="SimSun" w:hAnsi="SimSun" w:cs="SimSun" w:hint="eastAsia"/>
          <w:kern w:val="22"/>
          <w:sz w:val="24"/>
          <w:szCs w:val="24"/>
          <w:lang w:eastAsia="zh-CN"/>
        </w:rPr>
        <w:t>和自愿可持续</w:t>
      </w:r>
      <w:r w:rsidR="00B23AE0">
        <w:rPr>
          <w:rFonts w:ascii="SimSun" w:hAnsi="SimSun" w:cs="SimSun" w:hint="eastAsia"/>
          <w:kern w:val="22"/>
          <w:sz w:val="24"/>
          <w:szCs w:val="24"/>
          <w:lang w:eastAsia="zh-CN"/>
        </w:rPr>
        <w:t>性</w:t>
      </w:r>
      <w:r w:rsidRPr="00D77FBE">
        <w:rPr>
          <w:rFonts w:ascii="SimSun" w:hAnsi="SimSun" w:cs="SimSun" w:hint="eastAsia"/>
          <w:kern w:val="22"/>
          <w:sz w:val="24"/>
          <w:szCs w:val="24"/>
          <w:lang w:eastAsia="zh-CN"/>
        </w:rPr>
        <w:t>报告指南</w:t>
      </w:r>
      <w:r w:rsidR="005A2612" w:rsidRPr="005A2612">
        <w:rPr>
          <w:rStyle w:val="FootnoteReference"/>
          <w:kern w:val="22"/>
          <w:szCs w:val="24"/>
        </w:rPr>
        <w:footnoteReference w:id="22"/>
      </w:r>
      <w:r w:rsidR="005C5493">
        <w:rPr>
          <w:rFonts w:ascii="SimSun" w:hAnsi="SimSun" w:cs="SimSun" w:hint="eastAsia"/>
          <w:kern w:val="22"/>
          <w:sz w:val="24"/>
          <w:szCs w:val="24"/>
          <w:lang w:eastAsia="zh-CN"/>
        </w:rPr>
        <w:t>，</w:t>
      </w:r>
      <w:r w:rsidR="00383ACF" w:rsidRPr="00D77FBE">
        <w:rPr>
          <w:rFonts w:ascii="SimSun" w:hAnsi="SimSun" w:cs="SimSun" w:hint="eastAsia"/>
          <w:kern w:val="22"/>
          <w:sz w:val="24"/>
          <w:szCs w:val="24"/>
          <w:lang w:eastAsia="zh-CN"/>
        </w:rPr>
        <w:t>关于</w:t>
      </w:r>
      <w:r w:rsidR="00383ACF" w:rsidRPr="005C5493">
        <w:rPr>
          <w:rFonts w:ascii="Arial" w:hAnsi="Arial" w:cs="Arial"/>
          <w:color w:val="333333"/>
          <w:sz w:val="24"/>
          <w:szCs w:val="24"/>
          <w:shd w:val="clear" w:color="auto" w:fill="FFFFFF"/>
          <w:lang w:eastAsia="zh-CN"/>
        </w:rPr>
        <w:t>减缓层</w:t>
      </w:r>
      <w:r w:rsidR="005C5493" w:rsidRPr="005C5493">
        <w:rPr>
          <w:rFonts w:ascii="Arial" w:hAnsi="Arial" w:cs="Arial" w:hint="eastAsia"/>
          <w:color w:val="333333"/>
          <w:sz w:val="24"/>
          <w:szCs w:val="24"/>
          <w:shd w:val="clear" w:color="auto" w:fill="FFFFFF"/>
          <w:lang w:eastAsia="zh-CN"/>
        </w:rPr>
        <w:t>次</w:t>
      </w:r>
      <w:r w:rsidR="00383ACF" w:rsidRPr="00383ACF">
        <w:rPr>
          <w:rFonts w:ascii="Arial" w:hAnsi="Arial" w:cs="Arial" w:hint="eastAsia"/>
          <w:color w:val="333333"/>
          <w:sz w:val="24"/>
          <w:szCs w:val="24"/>
          <w:shd w:val="clear" w:color="auto" w:fill="FFFFFF"/>
          <w:lang w:eastAsia="zh-CN"/>
        </w:rPr>
        <w:t>的</w:t>
      </w:r>
      <w:r w:rsidR="00383ACF" w:rsidRPr="00383ACF">
        <w:rPr>
          <w:rFonts w:ascii="Arial" w:hAnsi="Arial" w:cs="Arial"/>
          <w:color w:val="333333"/>
          <w:sz w:val="24"/>
          <w:szCs w:val="24"/>
          <w:shd w:val="clear" w:color="auto" w:fill="FFFFFF"/>
          <w:lang w:eastAsia="zh-CN"/>
        </w:rPr>
        <w:t>跨部门生物多样性倡议指</w:t>
      </w:r>
      <w:r w:rsidR="00383ACF" w:rsidRPr="00383ACF">
        <w:rPr>
          <w:rFonts w:ascii="SimSun" w:hAnsi="SimSun" w:cs="SimSun" w:hint="eastAsia"/>
          <w:color w:val="333333"/>
          <w:sz w:val="24"/>
          <w:szCs w:val="24"/>
          <w:shd w:val="clear" w:color="auto" w:fill="FFFFFF"/>
          <w:lang w:eastAsia="zh-CN"/>
        </w:rPr>
        <w:t>南</w:t>
      </w:r>
      <w:r w:rsidR="005A2612" w:rsidRPr="005A2612">
        <w:rPr>
          <w:rStyle w:val="FootnoteReference"/>
          <w:kern w:val="22"/>
          <w:szCs w:val="24"/>
        </w:rPr>
        <w:footnoteReference w:id="23"/>
      </w:r>
      <w:r w:rsidRPr="00D77FBE">
        <w:rPr>
          <w:rFonts w:ascii="SimSun" w:hAnsi="SimSun" w:cs="SimSun" w:hint="eastAsia"/>
          <w:kern w:val="22"/>
          <w:sz w:val="24"/>
          <w:szCs w:val="24"/>
          <w:lang w:eastAsia="zh-CN"/>
        </w:rPr>
        <w:t>和</w:t>
      </w:r>
      <w:r w:rsidR="00383ACF">
        <w:rPr>
          <w:rFonts w:ascii="SimSun" w:hAnsi="SimSun" w:cs="SimSun" w:hint="eastAsia"/>
          <w:kern w:val="22"/>
          <w:sz w:val="24"/>
          <w:szCs w:val="24"/>
          <w:lang w:eastAsia="zh-CN"/>
        </w:rPr>
        <w:t>关于</w:t>
      </w:r>
      <w:r w:rsidRPr="005C5493">
        <w:rPr>
          <w:rFonts w:ascii="SimSun" w:hAnsi="SimSun" w:cs="SimSun" w:hint="eastAsia"/>
          <w:kern w:val="22"/>
          <w:sz w:val="24"/>
          <w:szCs w:val="24"/>
          <w:lang w:eastAsia="zh-CN"/>
        </w:rPr>
        <w:t>生物多样性</w:t>
      </w:r>
      <w:r w:rsidR="00383ACF" w:rsidRPr="005C5493">
        <w:rPr>
          <w:rFonts w:ascii="SimSun" w:hAnsi="SimSun" w:cs="SimSun" w:hint="eastAsia"/>
          <w:kern w:val="22"/>
          <w:sz w:val="24"/>
          <w:szCs w:val="24"/>
          <w:lang w:eastAsia="zh-CN"/>
        </w:rPr>
        <w:t>补偿</w:t>
      </w:r>
      <w:r w:rsidR="00383ACF">
        <w:rPr>
          <w:rFonts w:ascii="SimSun" w:hAnsi="SimSun" w:cs="SimSun" w:hint="eastAsia"/>
          <w:kern w:val="22"/>
          <w:sz w:val="24"/>
          <w:szCs w:val="24"/>
          <w:lang w:eastAsia="zh-CN"/>
        </w:rPr>
        <w:t>的</w:t>
      </w:r>
      <w:r w:rsidR="00383ACF" w:rsidRPr="00383ACF">
        <w:rPr>
          <w:rFonts w:ascii="Arial" w:hAnsi="Arial" w:cs="Arial"/>
          <w:color w:val="333333"/>
          <w:sz w:val="24"/>
          <w:szCs w:val="24"/>
          <w:shd w:val="clear" w:color="auto" w:fill="FFFFFF"/>
          <w:lang w:eastAsia="zh-CN"/>
        </w:rPr>
        <w:t>商业和</w:t>
      </w:r>
      <w:r w:rsidR="00383ACF" w:rsidRPr="005C5493">
        <w:rPr>
          <w:rFonts w:ascii="Arial" w:hAnsi="Arial" w:cs="Arial"/>
          <w:color w:val="333333"/>
          <w:sz w:val="24"/>
          <w:szCs w:val="24"/>
          <w:shd w:val="clear" w:color="auto" w:fill="FFFFFF"/>
          <w:lang w:eastAsia="zh-CN"/>
        </w:rPr>
        <w:t>生物多样性补偿</w:t>
      </w:r>
      <w:r w:rsidR="00383ACF">
        <w:rPr>
          <w:rFonts w:ascii="Arial" w:hAnsi="Arial" w:cs="Arial" w:hint="eastAsia"/>
          <w:color w:val="333333"/>
          <w:sz w:val="24"/>
          <w:szCs w:val="24"/>
          <w:shd w:val="clear" w:color="auto" w:fill="FFFFFF"/>
          <w:lang w:eastAsia="zh-CN"/>
        </w:rPr>
        <w:t>方案</w:t>
      </w:r>
      <w:r w:rsidR="00383ACF" w:rsidRPr="00383ACF">
        <w:rPr>
          <w:rFonts w:ascii="Arial" w:hAnsi="Arial" w:cs="Arial"/>
          <w:color w:val="333333"/>
          <w:sz w:val="24"/>
          <w:szCs w:val="24"/>
          <w:shd w:val="clear" w:color="auto" w:fill="FFFFFF"/>
          <w:lang w:eastAsia="zh-CN"/>
        </w:rPr>
        <w:t>标</w:t>
      </w:r>
      <w:r w:rsidR="00383ACF" w:rsidRPr="00383ACF">
        <w:rPr>
          <w:rFonts w:ascii="SimSun" w:hAnsi="SimSun" w:cs="SimSun" w:hint="eastAsia"/>
          <w:color w:val="333333"/>
          <w:sz w:val="24"/>
          <w:szCs w:val="24"/>
          <w:shd w:val="clear" w:color="auto" w:fill="FFFFFF"/>
          <w:lang w:eastAsia="zh-CN"/>
        </w:rPr>
        <w:t>准</w:t>
      </w:r>
      <w:r w:rsidR="005A2612" w:rsidRPr="005A2612">
        <w:rPr>
          <w:rStyle w:val="FootnoteReference"/>
          <w:kern w:val="22"/>
          <w:szCs w:val="24"/>
        </w:rPr>
        <w:footnoteReference w:id="24"/>
      </w:r>
      <w:r w:rsidR="005C5493">
        <w:rPr>
          <w:rFonts w:ascii="SimSun" w:hAnsi="SimSun" w:cs="SimSun" w:hint="eastAsia"/>
          <w:color w:val="333333"/>
          <w:sz w:val="24"/>
          <w:szCs w:val="24"/>
          <w:shd w:val="clear" w:color="auto" w:fill="FFFFFF"/>
          <w:lang w:eastAsia="zh-CN"/>
        </w:rPr>
        <w:t>。</w:t>
      </w:r>
      <w:r w:rsidRPr="00D77FBE">
        <w:rPr>
          <w:rFonts w:ascii="SimSun" w:hAnsi="SimSun" w:cs="SimSun" w:hint="eastAsia"/>
          <w:kern w:val="22"/>
          <w:sz w:val="24"/>
          <w:szCs w:val="24"/>
          <w:lang w:eastAsia="zh-CN"/>
        </w:rPr>
        <w:t>国际采矿和金属理事会</w:t>
      </w:r>
      <w:r w:rsidR="00B23AE0">
        <w:rPr>
          <w:rFonts w:ascii="SimSun" w:hAnsi="SimSun" w:cs="SimSun" w:hint="eastAsia"/>
          <w:kern w:val="22"/>
          <w:sz w:val="24"/>
          <w:szCs w:val="24"/>
          <w:lang w:eastAsia="zh-CN"/>
        </w:rPr>
        <w:t>也</w:t>
      </w:r>
      <w:r w:rsidRPr="00D77FBE">
        <w:rPr>
          <w:rFonts w:ascii="SimSun" w:hAnsi="SimSun" w:cs="SimSun" w:hint="eastAsia"/>
          <w:kern w:val="22"/>
          <w:sz w:val="24"/>
          <w:szCs w:val="24"/>
          <w:lang w:eastAsia="zh-CN"/>
        </w:rPr>
        <w:lastRenderedPageBreak/>
        <w:t>制定了一系列原则（包括关于生物多样性的一项原则和</w:t>
      </w:r>
      <w:r w:rsidR="004058E9" w:rsidRPr="00D77FBE">
        <w:rPr>
          <w:rFonts w:ascii="SimSun" w:hAnsi="SimSun" w:cs="SimSun" w:hint="eastAsia"/>
          <w:kern w:val="22"/>
          <w:sz w:val="24"/>
          <w:szCs w:val="24"/>
          <w:lang w:eastAsia="zh-CN"/>
        </w:rPr>
        <w:t>不</w:t>
      </w:r>
      <w:r w:rsidRPr="00D77FBE">
        <w:rPr>
          <w:rFonts w:ascii="SimSun" w:hAnsi="SimSun" w:cs="SimSun" w:hint="eastAsia"/>
          <w:kern w:val="22"/>
          <w:sz w:val="24"/>
          <w:szCs w:val="24"/>
          <w:lang w:eastAsia="zh-CN"/>
        </w:rPr>
        <w:t>在世界遗产地</w:t>
      </w:r>
      <w:r w:rsidR="0024793B">
        <w:rPr>
          <w:rFonts w:ascii="SimSun" w:hAnsi="SimSun" w:cs="SimSun" w:hint="eastAsia"/>
          <w:kern w:val="22"/>
          <w:sz w:val="24"/>
          <w:szCs w:val="24"/>
          <w:lang w:eastAsia="zh-CN"/>
        </w:rPr>
        <w:t>点</w:t>
      </w:r>
      <w:r w:rsidRPr="00D77FBE">
        <w:rPr>
          <w:rFonts w:ascii="SimSun" w:hAnsi="SimSun" w:cs="SimSun" w:hint="eastAsia"/>
          <w:kern w:val="22"/>
          <w:sz w:val="24"/>
          <w:szCs w:val="24"/>
          <w:lang w:eastAsia="zh-CN"/>
        </w:rPr>
        <w:t>开展业务的承诺），成员国</w:t>
      </w:r>
      <w:r w:rsidR="00B23AE0">
        <w:rPr>
          <w:rFonts w:ascii="SimSun" w:hAnsi="SimSun" w:cs="SimSun" w:hint="eastAsia"/>
          <w:kern w:val="22"/>
          <w:sz w:val="24"/>
          <w:szCs w:val="24"/>
          <w:lang w:eastAsia="zh-CN"/>
        </w:rPr>
        <w:t>被要求</w:t>
      </w:r>
      <w:r w:rsidR="0024793B">
        <w:rPr>
          <w:rFonts w:ascii="SimSun" w:hAnsi="SimSun" w:cs="SimSun" w:hint="eastAsia"/>
          <w:kern w:val="22"/>
          <w:sz w:val="24"/>
          <w:szCs w:val="24"/>
          <w:lang w:eastAsia="zh-CN"/>
        </w:rPr>
        <w:t>就此</w:t>
      </w:r>
      <w:r w:rsidRPr="00D77FBE">
        <w:rPr>
          <w:rFonts w:ascii="SimSun" w:hAnsi="SimSun" w:cs="SimSun" w:hint="eastAsia"/>
          <w:kern w:val="22"/>
          <w:sz w:val="24"/>
          <w:szCs w:val="24"/>
          <w:lang w:eastAsia="zh-CN"/>
        </w:rPr>
        <w:t>提</w:t>
      </w:r>
      <w:r w:rsidR="0024793B">
        <w:rPr>
          <w:rFonts w:ascii="SimSun" w:hAnsi="SimSun" w:cs="SimSun" w:hint="eastAsia"/>
          <w:kern w:val="22"/>
          <w:sz w:val="24"/>
          <w:szCs w:val="24"/>
          <w:lang w:eastAsia="zh-CN"/>
        </w:rPr>
        <w:t>出</w:t>
      </w:r>
      <w:r w:rsidRPr="00D77FBE">
        <w:rPr>
          <w:rFonts w:ascii="SimSun" w:hAnsi="SimSun" w:cs="SimSun" w:hint="eastAsia"/>
          <w:kern w:val="22"/>
          <w:sz w:val="24"/>
          <w:szCs w:val="24"/>
          <w:lang w:eastAsia="zh-CN"/>
        </w:rPr>
        <w:t>报告</w:t>
      </w:r>
      <w:r w:rsidR="0024793B">
        <w:rPr>
          <w:rFonts w:ascii="SimSun" w:hAnsi="SimSun" w:cs="SimSun" w:hint="eastAsia"/>
          <w:kern w:val="22"/>
          <w:sz w:val="24"/>
          <w:szCs w:val="24"/>
          <w:lang w:eastAsia="zh-CN"/>
        </w:rPr>
        <w:t>。</w:t>
      </w:r>
    </w:p>
    <w:p w14:paraId="682DB773" w14:textId="77777777" w:rsidR="00A11624" w:rsidRPr="00440DCE" w:rsidRDefault="00A11624" w:rsidP="00B66243">
      <w:pPr>
        <w:pStyle w:val="Heading3"/>
        <w:suppressLineNumbers/>
        <w:tabs>
          <w:tab w:val="clear" w:pos="567"/>
        </w:tabs>
        <w:suppressAutoHyphens/>
        <w:kinsoku w:val="0"/>
        <w:overflowPunct w:val="0"/>
        <w:autoSpaceDE w:val="0"/>
        <w:autoSpaceDN w:val="0"/>
        <w:adjustRightInd w:val="0"/>
        <w:spacing w:line="240" w:lineRule="atLeast"/>
        <w:rPr>
          <w:rFonts w:ascii="KaiTi" w:eastAsia="KaiTi" w:hAnsi="KaiTi"/>
          <w:kern w:val="22"/>
        </w:rPr>
      </w:pPr>
      <w:r w:rsidRPr="00440DCE">
        <w:rPr>
          <w:rFonts w:ascii="KaiTi" w:eastAsia="KaiTi" w:hAnsi="KaiTi"/>
          <w:kern w:val="22"/>
          <w:u w:val="none"/>
        </w:rPr>
        <w:t>3.</w:t>
      </w:r>
      <w:r w:rsidR="00B23AE0" w:rsidRPr="00440DCE">
        <w:rPr>
          <w:rFonts w:ascii="KaiTi" w:eastAsia="KaiTi" w:hAnsi="KaiTi" w:hint="eastAsia"/>
          <w:kern w:val="22"/>
          <w:u w:val="none"/>
        </w:rPr>
        <w:t>对</w:t>
      </w:r>
      <w:r w:rsidR="00B8531F" w:rsidRPr="00440DCE">
        <w:rPr>
          <w:rFonts w:ascii="KaiTi" w:eastAsia="KaiTi" w:hAnsi="KaiTi" w:cs="SimSun" w:hint="eastAsia"/>
          <w:kern w:val="22"/>
          <w:u w:val="none"/>
        </w:rPr>
        <w:t>项目层面的规划和评估的挑战</w:t>
      </w:r>
    </w:p>
    <w:p w14:paraId="3CE3A752" w14:textId="77777777" w:rsidR="00A11624" w:rsidRPr="00C64F18" w:rsidRDefault="00B8531F"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lang w:eastAsia="zh-CN"/>
        </w:rPr>
      </w:pPr>
      <w:r w:rsidRPr="00D77FBE">
        <w:rPr>
          <w:rFonts w:ascii="SimSun" w:hAnsi="SimSun" w:cs="SimSun" w:hint="eastAsia"/>
          <w:kern w:val="22"/>
          <w:sz w:val="24"/>
          <w:szCs w:val="24"/>
          <w:lang w:eastAsia="zh-CN"/>
        </w:rPr>
        <w:t>在项目规划阶段，影响</w:t>
      </w:r>
      <w:r w:rsidR="00B23AE0" w:rsidRPr="00D77FBE">
        <w:rPr>
          <w:rFonts w:ascii="SimSun" w:hAnsi="SimSun" w:cs="SimSun" w:hint="eastAsia"/>
          <w:kern w:val="22"/>
          <w:sz w:val="24"/>
          <w:szCs w:val="24"/>
          <w:lang w:eastAsia="zh-CN"/>
        </w:rPr>
        <w:t>评估</w:t>
      </w:r>
      <w:r w:rsidRPr="00D77FBE">
        <w:rPr>
          <w:rFonts w:ascii="SimSun" w:hAnsi="SimSun" w:cs="SimSun" w:hint="eastAsia"/>
          <w:kern w:val="22"/>
          <w:sz w:val="24"/>
          <w:szCs w:val="24"/>
          <w:lang w:eastAsia="zh-CN"/>
        </w:rPr>
        <w:t>程序可以确定避免影响的机会。</w:t>
      </w:r>
      <w:r w:rsidR="00B23AE0">
        <w:rPr>
          <w:rFonts w:ascii="SimSun" w:hAnsi="SimSun" w:cs="SimSun" w:hint="eastAsia"/>
          <w:kern w:val="22"/>
          <w:sz w:val="24"/>
          <w:szCs w:val="24"/>
          <w:lang w:eastAsia="zh-CN"/>
        </w:rPr>
        <w:t>不过</w:t>
      </w:r>
      <w:r w:rsidRPr="00D77FBE">
        <w:rPr>
          <w:rFonts w:ascii="SimSun" w:hAnsi="SimSun" w:cs="SimSun" w:hint="eastAsia"/>
          <w:kern w:val="22"/>
          <w:sz w:val="24"/>
          <w:szCs w:val="24"/>
          <w:lang w:eastAsia="zh-CN"/>
        </w:rPr>
        <w:t>，随着项目可行性的</w:t>
      </w:r>
      <w:r w:rsidR="0024793B">
        <w:rPr>
          <w:rFonts w:ascii="SimSun" w:hAnsi="SimSun" w:cs="SimSun" w:hint="eastAsia"/>
          <w:kern w:val="22"/>
          <w:sz w:val="24"/>
          <w:szCs w:val="24"/>
          <w:lang w:eastAsia="zh-CN"/>
        </w:rPr>
        <w:t>进</w:t>
      </w:r>
      <w:r w:rsidR="00C96D91">
        <w:rPr>
          <w:rFonts w:ascii="SimSun" w:hAnsi="SimSun" w:cs="SimSun" w:hint="eastAsia"/>
          <w:kern w:val="22"/>
          <w:sz w:val="24"/>
          <w:szCs w:val="24"/>
          <w:lang w:eastAsia="zh-CN"/>
        </w:rPr>
        <w:t>展</w:t>
      </w:r>
      <w:r w:rsidRPr="00D77FBE">
        <w:rPr>
          <w:rFonts w:ascii="SimSun" w:hAnsi="SimSun" w:cs="SimSun" w:hint="eastAsia"/>
          <w:kern w:val="22"/>
          <w:sz w:val="24"/>
          <w:szCs w:val="24"/>
          <w:lang w:eastAsia="zh-CN"/>
        </w:rPr>
        <w:t>和</w:t>
      </w:r>
      <w:r w:rsidR="0024793B">
        <w:rPr>
          <w:rFonts w:ascii="SimSun" w:hAnsi="SimSun" w:cs="SimSun" w:hint="eastAsia"/>
          <w:kern w:val="22"/>
          <w:sz w:val="24"/>
          <w:szCs w:val="24"/>
          <w:lang w:eastAsia="zh-CN"/>
        </w:rPr>
        <w:t>进行</w:t>
      </w:r>
      <w:r w:rsidRPr="00D77FBE">
        <w:rPr>
          <w:rFonts w:ascii="SimSun" w:hAnsi="SimSun" w:cs="SimSun" w:hint="eastAsia"/>
          <w:kern w:val="22"/>
          <w:sz w:val="24"/>
          <w:szCs w:val="24"/>
          <w:lang w:eastAsia="zh-CN"/>
        </w:rPr>
        <w:t>投资，重点</w:t>
      </w:r>
      <w:r w:rsidR="0024793B">
        <w:rPr>
          <w:rFonts w:ascii="SimSun" w:hAnsi="SimSun" w:cs="SimSun" w:hint="eastAsia"/>
          <w:kern w:val="22"/>
          <w:sz w:val="24"/>
          <w:szCs w:val="24"/>
          <w:lang w:eastAsia="zh-CN"/>
        </w:rPr>
        <w:t>趋于</w:t>
      </w:r>
      <w:r w:rsidRPr="00D77FBE">
        <w:rPr>
          <w:rFonts w:ascii="SimSun" w:hAnsi="SimSun" w:cs="SimSun" w:hint="eastAsia"/>
          <w:kern w:val="22"/>
          <w:sz w:val="24"/>
          <w:szCs w:val="24"/>
          <w:lang w:eastAsia="zh-CN"/>
        </w:rPr>
        <w:t>转向</w:t>
      </w:r>
      <w:r w:rsidR="00B23AE0">
        <w:rPr>
          <w:rFonts w:ascii="SimSun" w:hAnsi="SimSun" w:cs="SimSun" w:hint="eastAsia"/>
          <w:kern w:val="22"/>
          <w:sz w:val="24"/>
          <w:szCs w:val="24"/>
          <w:lang w:eastAsia="zh-CN"/>
        </w:rPr>
        <w:t>尽力缩小影响</w:t>
      </w:r>
      <w:r w:rsidR="001437F0">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复</w:t>
      </w:r>
      <w:r w:rsidR="00C96D91">
        <w:rPr>
          <w:rFonts w:ascii="SimSun" w:hAnsi="SimSun" w:cs="SimSun" w:hint="eastAsia"/>
          <w:kern w:val="22"/>
          <w:sz w:val="24"/>
          <w:szCs w:val="24"/>
          <w:lang w:eastAsia="zh-CN"/>
        </w:rPr>
        <w:t>原</w:t>
      </w:r>
      <w:r w:rsidR="00B23AE0">
        <w:rPr>
          <w:rFonts w:ascii="SimSun" w:hAnsi="SimSun" w:cs="SimSun" w:hint="eastAsia"/>
          <w:kern w:val="22"/>
          <w:sz w:val="24"/>
          <w:szCs w:val="24"/>
          <w:lang w:eastAsia="zh-CN"/>
        </w:rPr>
        <w:t>，</w:t>
      </w:r>
      <w:r w:rsidRPr="00D77FBE">
        <w:rPr>
          <w:rFonts w:ascii="SimSun" w:hAnsi="SimSun" w:cs="SimSun" w:hint="eastAsia"/>
          <w:kern w:val="22"/>
          <w:sz w:val="24"/>
          <w:szCs w:val="24"/>
          <w:lang w:eastAsia="zh-CN"/>
        </w:rPr>
        <w:t>最终</w:t>
      </w:r>
      <w:r w:rsidR="0024793B">
        <w:rPr>
          <w:rFonts w:ascii="SimSun" w:hAnsi="SimSun" w:cs="SimSun" w:hint="eastAsia"/>
          <w:kern w:val="22"/>
          <w:sz w:val="24"/>
          <w:szCs w:val="24"/>
          <w:lang w:eastAsia="zh-CN"/>
        </w:rPr>
        <w:t>则是重大</w:t>
      </w:r>
      <w:r w:rsidRPr="00D77FBE">
        <w:rPr>
          <w:rFonts w:ascii="SimSun" w:hAnsi="SimSun" w:cs="SimSun" w:hint="eastAsia"/>
          <w:kern w:val="22"/>
          <w:sz w:val="24"/>
          <w:szCs w:val="24"/>
          <w:lang w:eastAsia="zh-CN"/>
        </w:rPr>
        <w:t>剩余负面影响</w:t>
      </w:r>
      <w:r w:rsidR="0024793B">
        <w:rPr>
          <w:rFonts w:ascii="SimSun" w:hAnsi="SimSun" w:cs="SimSun" w:hint="eastAsia"/>
          <w:kern w:val="22"/>
          <w:sz w:val="24"/>
          <w:szCs w:val="24"/>
          <w:lang w:eastAsia="zh-CN"/>
        </w:rPr>
        <w:t>的</w:t>
      </w:r>
      <w:r w:rsidR="00B23AE0">
        <w:rPr>
          <w:rFonts w:ascii="SimSun" w:hAnsi="SimSun" w:cs="SimSun" w:hint="eastAsia"/>
          <w:kern w:val="22"/>
          <w:sz w:val="24"/>
          <w:szCs w:val="24"/>
          <w:lang w:eastAsia="zh-CN"/>
        </w:rPr>
        <w:t>可能</w:t>
      </w:r>
      <w:r w:rsidR="0024793B" w:rsidRPr="00440DCE">
        <w:rPr>
          <w:rFonts w:ascii="SimSun" w:hAnsi="SimSun" w:cs="SimSun" w:hint="eastAsia"/>
          <w:kern w:val="22"/>
          <w:sz w:val="24"/>
          <w:szCs w:val="24"/>
          <w:lang w:eastAsia="zh-CN"/>
        </w:rPr>
        <w:t>补偿</w:t>
      </w:r>
      <w:r w:rsidR="0024793B">
        <w:rPr>
          <w:rFonts w:ascii="SimSun" w:hAnsi="SimSun" w:cs="SimSun" w:hint="eastAsia"/>
          <w:kern w:val="22"/>
          <w:sz w:val="24"/>
          <w:szCs w:val="24"/>
          <w:lang w:eastAsia="zh-CN"/>
        </w:rPr>
        <w:t>。</w:t>
      </w:r>
    </w:p>
    <w:p w14:paraId="0496C7E3" w14:textId="77777777" w:rsidR="00A11624" w:rsidRPr="00C64F18" w:rsidRDefault="0024793B"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lang w:eastAsia="zh-CN"/>
        </w:rPr>
      </w:pPr>
      <w:r>
        <w:rPr>
          <w:rFonts w:ascii="SimSun" w:hAnsi="SimSun" w:cs="SimSun" w:hint="eastAsia"/>
          <w:kern w:val="22"/>
          <w:sz w:val="24"/>
          <w:szCs w:val="24"/>
          <w:lang w:eastAsia="zh-CN"/>
        </w:rPr>
        <w:t>进行</w:t>
      </w:r>
      <w:r w:rsidR="00B8531F" w:rsidRPr="00D77FBE">
        <w:rPr>
          <w:rFonts w:ascii="SimSun" w:hAnsi="SimSun" w:cs="SimSun" w:hint="eastAsia"/>
          <w:kern w:val="22"/>
          <w:sz w:val="24"/>
          <w:szCs w:val="24"/>
          <w:lang w:eastAsia="zh-CN"/>
        </w:rPr>
        <w:t>有效的环境和社会影响评估面临的一些关键挑战</w:t>
      </w:r>
      <w:r>
        <w:rPr>
          <w:rFonts w:ascii="SimSun" w:hAnsi="SimSun" w:cs="SimSun" w:hint="eastAsia"/>
          <w:kern w:val="22"/>
          <w:sz w:val="24"/>
          <w:szCs w:val="24"/>
          <w:lang w:eastAsia="zh-CN"/>
        </w:rPr>
        <w:t>，</w:t>
      </w:r>
      <w:r w:rsidR="00B8531F" w:rsidRPr="00D77FBE">
        <w:rPr>
          <w:rFonts w:ascii="SimSun" w:hAnsi="SimSun" w:cs="SimSun" w:hint="eastAsia"/>
          <w:kern w:val="22"/>
          <w:sz w:val="24"/>
          <w:szCs w:val="24"/>
          <w:lang w:eastAsia="zh-CN"/>
        </w:rPr>
        <w:t>涉及执行审查</w:t>
      </w:r>
      <w:r w:rsidR="00BF4E7A">
        <w:rPr>
          <w:rFonts w:ascii="SimSun" w:hAnsi="SimSun" w:cs="SimSun" w:hint="eastAsia"/>
          <w:kern w:val="22"/>
          <w:sz w:val="24"/>
          <w:szCs w:val="24"/>
          <w:lang w:eastAsia="zh-CN"/>
        </w:rPr>
        <w:t>程序</w:t>
      </w:r>
      <w:r w:rsidR="00B8531F" w:rsidRPr="00D77FBE">
        <w:rPr>
          <w:rFonts w:ascii="SimSun" w:hAnsi="SimSun" w:cs="SimSun" w:hint="eastAsia"/>
          <w:kern w:val="22"/>
          <w:sz w:val="24"/>
          <w:szCs w:val="24"/>
          <w:lang w:eastAsia="zh-CN"/>
        </w:rPr>
        <w:t>的能力和资源，以及政府部门和机构的监测和执行。缺乏财政手段和有效</w:t>
      </w:r>
      <w:r>
        <w:rPr>
          <w:rFonts w:ascii="SimSun" w:hAnsi="SimSun" w:cs="SimSun" w:hint="eastAsia"/>
          <w:kern w:val="22"/>
          <w:sz w:val="24"/>
          <w:szCs w:val="24"/>
          <w:lang w:eastAsia="zh-CN"/>
        </w:rPr>
        <w:t>、</w:t>
      </w:r>
      <w:r w:rsidR="00B8531F" w:rsidRPr="00D77FBE">
        <w:rPr>
          <w:rFonts w:ascii="SimSun" w:hAnsi="SimSun" w:cs="SimSun" w:hint="eastAsia"/>
          <w:kern w:val="22"/>
          <w:sz w:val="24"/>
          <w:szCs w:val="24"/>
          <w:lang w:eastAsia="zh-CN"/>
        </w:rPr>
        <w:t>透明</w:t>
      </w:r>
      <w:r>
        <w:rPr>
          <w:rFonts w:ascii="SimSun" w:hAnsi="SimSun" w:cs="SimSun" w:hint="eastAsia"/>
          <w:kern w:val="22"/>
          <w:sz w:val="24"/>
          <w:szCs w:val="24"/>
          <w:lang w:eastAsia="zh-CN"/>
        </w:rPr>
        <w:t>、</w:t>
      </w:r>
      <w:r w:rsidR="00B8531F" w:rsidRPr="00D77FBE">
        <w:rPr>
          <w:rFonts w:ascii="SimSun" w:hAnsi="SimSun" w:cs="SimSun" w:hint="eastAsia"/>
          <w:kern w:val="22"/>
          <w:sz w:val="24"/>
          <w:szCs w:val="24"/>
          <w:lang w:eastAsia="zh-CN"/>
        </w:rPr>
        <w:t>负责</w:t>
      </w:r>
      <w:r>
        <w:rPr>
          <w:rFonts w:ascii="SimSun" w:hAnsi="SimSun" w:cs="SimSun" w:hint="eastAsia"/>
          <w:kern w:val="22"/>
          <w:sz w:val="24"/>
          <w:szCs w:val="24"/>
          <w:lang w:eastAsia="zh-CN"/>
        </w:rPr>
        <w:t>的</w:t>
      </w:r>
      <w:r w:rsidR="00B8531F" w:rsidRPr="00D77FBE">
        <w:rPr>
          <w:rFonts w:ascii="SimSun" w:hAnsi="SimSun" w:cs="SimSun" w:hint="eastAsia"/>
          <w:kern w:val="22"/>
          <w:sz w:val="24"/>
          <w:szCs w:val="24"/>
          <w:lang w:eastAsia="zh-CN"/>
        </w:rPr>
        <w:t>和</w:t>
      </w:r>
      <w:r w:rsidR="00BF4E7A">
        <w:rPr>
          <w:rFonts w:ascii="SimSun" w:hAnsi="SimSun" w:cs="SimSun" w:hint="eastAsia"/>
          <w:kern w:val="22"/>
          <w:sz w:val="24"/>
          <w:szCs w:val="24"/>
          <w:lang w:eastAsia="zh-CN"/>
        </w:rPr>
        <w:t>易于接近</w:t>
      </w:r>
      <w:r w:rsidR="00B8531F" w:rsidRPr="00D77FBE">
        <w:rPr>
          <w:rFonts w:ascii="SimSun" w:hAnsi="SimSun" w:cs="SimSun" w:hint="eastAsia"/>
          <w:kern w:val="22"/>
          <w:sz w:val="24"/>
          <w:szCs w:val="24"/>
          <w:lang w:eastAsia="zh-CN"/>
        </w:rPr>
        <w:t>的体制安排可</w:t>
      </w:r>
      <w:r w:rsidR="00BF4E7A">
        <w:rPr>
          <w:rFonts w:ascii="SimSun" w:hAnsi="SimSun" w:cs="SimSun" w:hint="eastAsia"/>
          <w:kern w:val="22"/>
          <w:sz w:val="24"/>
          <w:szCs w:val="24"/>
          <w:lang w:eastAsia="zh-CN"/>
        </w:rPr>
        <w:t>以使之更加复杂化</w:t>
      </w:r>
      <w:r w:rsidR="00B8531F" w:rsidRPr="00D77FBE">
        <w:rPr>
          <w:rFonts w:ascii="SimSun" w:hAnsi="SimSun" w:cs="SimSun" w:hint="eastAsia"/>
          <w:kern w:val="22"/>
          <w:sz w:val="24"/>
          <w:szCs w:val="24"/>
          <w:lang w:eastAsia="zh-CN"/>
        </w:rPr>
        <w:t>。公共和政府机构</w:t>
      </w:r>
      <w:r w:rsidR="00BF4E7A">
        <w:rPr>
          <w:rFonts w:ascii="SimSun" w:hAnsi="SimSun" w:cs="SimSun" w:hint="eastAsia"/>
          <w:kern w:val="22"/>
          <w:sz w:val="24"/>
          <w:szCs w:val="24"/>
          <w:lang w:eastAsia="zh-CN"/>
        </w:rPr>
        <w:t>不能</w:t>
      </w:r>
      <w:r w:rsidR="00C95591">
        <w:rPr>
          <w:rFonts w:ascii="SimSun" w:hAnsi="SimSun" w:cs="SimSun" w:hint="eastAsia"/>
          <w:kern w:val="22"/>
          <w:sz w:val="24"/>
          <w:szCs w:val="24"/>
          <w:lang w:eastAsia="zh-CN"/>
        </w:rPr>
        <w:t>获得</w:t>
      </w:r>
      <w:r w:rsidR="00B8531F" w:rsidRPr="00D77FBE">
        <w:rPr>
          <w:rFonts w:ascii="SimSun" w:hAnsi="SimSun" w:cs="SimSun" w:hint="eastAsia"/>
          <w:kern w:val="22"/>
          <w:sz w:val="24"/>
          <w:szCs w:val="24"/>
          <w:lang w:eastAsia="zh-CN"/>
        </w:rPr>
        <w:t>环境和社会影响评估</w:t>
      </w:r>
      <w:r w:rsidR="00312E89">
        <w:rPr>
          <w:rFonts w:ascii="SimSun" w:hAnsi="SimSun" w:cs="SimSun" w:hint="eastAsia"/>
          <w:kern w:val="22"/>
          <w:sz w:val="24"/>
          <w:szCs w:val="24"/>
          <w:lang w:eastAsia="zh-CN"/>
        </w:rPr>
        <w:t>、</w:t>
      </w:r>
      <w:r w:rsidR="00B8531F" w:rsidRPr="00D77FBE">
        <w:rPr>
          <w:rFonts w:ascii="SimSun" w:hAnsi="SimSun" w:cs="SimSun" w:hint="eastAsia"/>
          <w:kern w:val="22"/>
          <w:sz w:val="24"/>
          <w:szCs w:val="24"/>
          <w:lang w:eastAsia="zh-CN"/>
        </w:rPr>
        <w:t>环境管理计划</w:t>
      </w:r>
      <w:r w:rsidR="00312E89">
        <w:rPr>
          <w:rFonts w:ascii="SimSun" w:hAnsi="SimSun" w:cs="SimSun" w:hint="eastAsia"/>
          <w:kern w:val="22"/>
          <w:sz w:val="24"/>
          <w:szCs w:val="24"/>
          <w:lang w:eastAsia="zh-CN"/>
        </w:rPr>
        <w:t>、</w:t>
      </w:r>
      <w:r w:rsidR="00B8531F" w:rsidRPr="00D77FBE">
        <w:rPr>
          <w:rFonts w:ascii="SimSun" w:hAnsi="SimSun" w:cs="SimSun" w:hint="eastAsia"/>
          <w:kern w:val="22"/>
          <w:sz w:val="24"/>
          <w:szCs w:val="24"/>
          <w:lang w:eastAsia="zh-CN"/>
        </w:rPr>
        <w:t>决策文件和许可</w:t>
      </w:r>
      <w:r w:rsidR="00BF4E7A">
        <w:rPr>
          <w:rFonts w:ascii="SimSun" w:hAnsi="SimSun" w:cs="SimSun" w:hint="eastAsia"/>
          <w:kern w:val="22"/>
          <w:sz w:val="24"/>
          <w:szCs w:val="24"/>
          <w:lang w:eastAsia="zh-CN"/>
        </w:rPr>
        <w:t>的</w:t>
      </w:r>
      <w:r w:rsidR="00B8531F" w:rsidRPr="00D77FBE">
        <w:rPr>
          <w:rFonts w:ascii="SimSun" w:hAnsi="SimSun" w:cs="SimSun" w:hint="eastAsia"/>
          <w:kern w:val="22"/>
          <w:sz w:val="24"/>
          <w:szCs w:val="24"/>
          <w:lang w:eastAsia="zh-CN"/>
        </w:rPr>
        <w:t>条件</w:t>
      </w:r>
      <w:r w:rsidR="00C95591">
        <w:rPr>
          <w:rFonts w:ascii="SimSun" w:hAnsi="SimSun" w:cs="SimSun" w:hint="eastAsia"/>
          <w:kern w:val="22"/>
          <w:sz w:val="24"/>
          <w:szCs w:val="24"/>
          <w:lang w:eastAsia="zh-CN"/>
        </w:rPr>
        <w:t>，</w:t>
      </w:r>
      <w:r w:rsidR="00B8531F" w:rsidRPr="00D77FBE">
        <w:rPr>
          <w:rFonts w:ascii="SimSun" w:hAnsi="SimSun" w:cs="SimSun" w:hint="eastAsia"/>
          <w:kern w:val="22"/>
          <w:sz w:val="24"/>
          <w:szCs w:val="24"/>
          <w:lang w:eastAsia="zh-CN"/>
        </w:rPr>
        <w:t>可</w:t>
      </w:r>
      <w:r w:rsidR="00BF4E7A">
        <w:rPr>
          <w:rFonts w:ascii="SimSun" w:hAnsi="SimSun" w:cs="SimSun" w:hint="eastAsia"/>
          <w:kern w:val="22"/>
          <w:sz w:val="24"/>
          <w:szCs w:val="24"/>
          <w:lang w:eastAsia="zh-CN"/>
        </w:rPr>
        <w:t>以</w:t>
      </w:r>
      <w:r w:rsidR="00B8531F" w:rsidRPr="00D77FBE">
        <w:rPr>
          <w:rFonts w:ascii="SimSun" w:hAnsi="SimSun" w:cs="SimSun" w:hint="eastAsia"/>
          <w:kern w:val="22"/>
          <w:sz w:val="24"/>
          <w:szCs w:val="24"/>
          <w:lang w:eastAsia="zh-CN"/>
        </w:rPr>
        <w:t>阻碍有效的后续措施（</w:t>
      </w:r>
      <w:proofErr w:type="gramStart"/>
      <w:r w:rsidR="00C95591">
        <w:rPr>
          <w:rFonts w:ascii="SimSun" w:hAnsi="SimSun" w:cs="SimSun" w:hint="eastAsia"/>
          <w:kern w:val="22"/>
          <w:sz w:val="24"/>
          <w:szCs w:val="24"/>
          <w:lang w:eastAsia="zh-CN"/>
        </w:rPr>
        <w:t>比</w:t>
      </w:r>
      <w:r w:rsidR="00B8531F" w:rsidRPr="00D77FBE">
        <w:rPr>
          <w:rFonts w:ascii="SimSun" w:hAnsi="SimSun" w:cs="SimSun" w:hint="eastAsia"/>
          <w:kern w:val="22"/>
          <w:sz w:val="24"/>
          <w:szCs w:val="24"/>
          <w:lang w:eastAsia="zh-CN"/>
        </w:rPr>
        <w:t>如促进</w:t>
      </w:r>
      <w:proofErr w:type="gramEnd"/>
      <w:r w:rsidR="00B8531F" w:rsidRPr="00D77FBE">
        <w:rPr>
          <w:rFonts w:ascii="SimSun" w:hAnsi="SimSun" w:cs="SimSun" w:hint="eastAsia"/>
          <w:kern w:val="22"/>
          <w:sz w:val="24"/>
          <w:szCs w:val="24"/>
          <w:lang w:eastAsia="zh-CN"/>
        </w:rPr>
        <w:t>社区监测</w:t>
      </w:r>
      <w:r w:rsidR="00BF4E7A">
        <w:rPr>
          <w:rFonts w:ascii="SimSun" w:hAnsi="SimSun" w:cs="SimSun" w:hint="eastAsia"/>
          <w:kern w:val="22"/>
          <w:sz w:val="24"/>
          <w:szCs w:val="24"/>
          <w:lang w:eastAsia="zh-CN"/>
        </w:rPr>
        <w:t>方案</w:t>
      </w:r>
      <w:r w:rsidR="00B8531F" w:rsidRPr="00D77FBE">
        <w:rPr>
          <w:rFonts w:ascii="SimSun" w:hAnsi="SimSun" w:cs="SimSun" w:hint="eastAsia"/>
          <w:kern w:val="22"/>
          <w:sz w:val="24"/>
          <w:szCs w:val="24"/>
          <w:lang w:eastAsia="zh-CN"/>
        </w:rPr>
        <w:t>或</w:t>
      </w:r>
      <w:r w:rsidR="00BF4E7A">
        <w:rPr>
          <w:rFonts w:ascii="SimSun" w:hAnsi="SimSun" w:cs="SimSun" w:hint="eastAsia"/>
          <w:kern w:val="22"/>
          <w:sz w:val="24"/>
          <w:szCs w:val="24"/>
          <w:lang w:eastAsia="zh-CN"/>
        </w:rPr>
        <w:t>遇</w:t>
      </w:r>
      <w:r w:rsidR="00B8531F" w:rsidRPr="00D77FBE">
        <w:rPr>
          <w:rFonts w:ascii="SimSun" w:hAnsi="SimSun" w:cs="SimSun" w:hint="eastAsia"/>
          <w:kern w:val="22"/>
          <w:sz w:val="24"/>
          <w:szCs w:val="24"/>
          <w:lang w:eastAsia="zh-CN"/>
        </w:rPr>
        <w:t>违规</w:t>
      </w:r>
      <w:r w:rsidR="00CA04E5">
        <w:rPr>
          <w:rFonts w:ascii="SimSun" w:hAnsi="SimSun" w:cs="SimSun" w:hint="eastAsia"/>
          <w:kern w:val="22"/>
          <w:sz w:val="24"/>
          <w:szCs w:val="24"/>
          <w:lang w:eastAsia="zh-CN"/>
        </w:rPr>
        <w:t>时</w:t>
      </w:r>
      <w:r w:rsidR="00B8531F" w:rsidRPr="00D77FBE">
        <w:rPr>
          <w:rFonts w:ascii="SimSun" w:hAnsi="SimSun" w:cs="SimSun" w:hint="eastAsia"/>
          <w:kern w:val="22"/>
          <w:sz w:val="24"/>
          <w:szCs w:val="24"/>
          <w:lang w:eastAsia="zh-CN"/>
        </w:rPr>
        <w:t>执法）和适应性管理</w:t>
      </w:r>
      <w:r w:rsidR="00C95591" w:rsidRPr="00C95591">
        <w:rPr>
          <w:rStyle w:val="FootnoteReference"/>
          <w:kern w:val="22"/>
          <w:szCs w:val="24"/>
        </w:rPr>
        <w:footnoteReference w:id="25"/>
      </w:r>
      <w:r w:rsidR="00440DCE">
        <w:rPr>
          <w:rFonts w:ascii="SimSun" w:hAnsi="SimSun" w:cs="SimSun" w:hint="eastAsia"/>
          <w:kern w:val="22"/>
          <w:sz w:val="24"/>
          <w:szCs w:val="24"/>
          <w:lang w:eastAsia="zh-CN"/>
        </w:rPr>
        <w:t>。</w:t>
      </w:r>
      <w:r w:rsidR="00B8531F" w:rsidRPr="00D77FBE">
        <w:rPr>
          <w:rFonts w:ascii="SimSun" w:hAnsi="SimSun" w:cs="SimSun" w:hint="eastAsia"/>
          <w:kern w:val="22"/>
          <w:sz w:val="24"/>
          <w:szCs w:val="24"/>
          <w:lang w:eastAsia="zh-CN"/>
        </w:rPr>
        <w:t>缺乏能力和技术</w:t>
      </w:r>
      <w:r w:rsidR="00BF4E7A">
        <w:rPr>
          <w:rFonts w:ascii="SimSun" w:hAnsi="SimSun" w:cs="SimSun" w:hint="eastAsia"/>
          <w:kern w:val="22"/>
          <w:sz w:val="24"/>
          <w:szCs w:val="24"/>
          <w:lang w:eastAsia="zh-CN"/>
        </w:rPr>
        <w:t>了</w:t>
      </w:r>
      <w:r w:rsidR="00B8531F" w:rsidRPr="00D77FBE">
        <w:rPr>
          <w:rFonts w:ascii="SimSun" w:hAnsi="SimSun" w:cs="SimSun" w:hint="eastAsia"/>
          <w:kern w:val="22"/>
          <w:sz w:val="24"/>
          <w:szCs w:val="24"/>
          <w:lang w:eastAsia="zh-CN"/>
        </w:rPr>
        <w:t>解也会阻碍</w:t>
      </w:r>
      <w:r w:rsidR="00CA04E5">
        <w:rPr>
          <w:rFonts w:ascii="SimSun" w:hAnsi="SimSun" w:cs="SimSun" w:hint="eastAsia"/>
          <w:kern w:val="22"/>
          <w:sz w:val="24"/>
          <w:szCs w:val="24"/>
          <w:lang w:eastAsia="zh-CN"/>
        </w:rPr>
        <w:t>有关的</w:t>
      </w:r>
      <w:r w:rsidR="00B8531F" w:rsidRPr="00D77FBE">
        <w:rPr>
          <w:rFonts w:ascii="SimSun" w:hAnsi="SimSun" w:cs="SimSun" w:hint="eastAsia"/>
          <w:kern w:val="22"/>
          <w:sz w:val="24"/>
          <w:szCs w:val="24"/>
          <w:lang w:eastAsia="zh-CN"/>
        </w:rPr>
        <w:t>利益</w:t>
      </w:r>
      <w:r w:rsidR="00C95591">
        <w:rPr>
          <w:rFonts w:ascii="SimSun" w:hAnsi="SimSun" w:cs="SimSun" w:hint="eastAsia"/>
          <w:kern w:val="22"/>
          <w:sz w:val="24"/>
          <w:szCs w:val="24"/>
          <w:lang w:eastAsia="zh-CN"/>
        </w:rPr>
        <w:t>悠</w:t>
      </w:r>
      <w:r w:rsidR="00B8531F" w:rsidRPr="00D77FBE">
        <w:rPr>
          <w:rFonts w:ascii="SimSun" w:hAnsi="SimSun" w:cs="SimSun" w:hint="eastAsia"/>
          <w:kern w:val="22"/>
          <w:sz w:val="24"/>
          <w:szCs w:val="24"/>
          <w:lang w:eastAsia="zh-CN"/>
        </w:rPr>
        <w:t>关方参与相关</w:t>
      </w:r>
      <w:r w:rsidR="00BF4E7A">
        <w:rPr>
          <w:rFonts w:ascii="SimSun" w:hAnsi="SimSun" w:cs="SimSun" w:hint="eastAsia"/>
          <w:kern w:val="22"/>
          <w:sz w:val="24"/>
          <w:szCs w:val="24"/>
          <w:lang w:eastAsia="zh-CN"/>
        </w:rPr>
        <w:t>进</w:t>
      </w:r>
      <w:r w:rsidR="00B8531F" w:rsidRPr="00D77FBE">
        <w:rPr>
          <w:rFonts w:ascii="SimSun" w:hAnsi="SimSun" w:cs="SimSun" w:hint="eastAsia"/>
          <w:kern w:val="22"/>
          <w:sz w:val="24"/>
          <w:szCs w:val="24"/>
          <w:lang w:eastAsia="zh-CN"/>
        </w:rPr>
        <w:t>程。环境和社会影响评估往往</w:t>
      </w:r>
      <w:r w:rsidR="000D0F7D">
        <w:rPr>
          <w:rFonts w:ascii="SimSun" w:hAnsi="SimSun" w:cs="SimSun" w:hint="eastAsia"/>
          <w:kern w:val="22"/>
          <w:sz w:val="24"/>
          <w:szCs w:val="24"/>
          <w:lang w:eastAsia="zh-CN"/>
        </w:rPr>
        <w:t>很</w:t>
      </w:r>
      <w:r w:rsidR="00B8531F" w:rsidRPr="00D77FBE">
        <w:rPr>
          <w:rFonts w:ascii="SimSun" w:hAnsi="SimSun" w:cs="SimSun" w:hint="eastAsia"/>
          <w:kern w:val="22"/>
          <w:sz w:val="24"/>
          <w:szCs w:val="24"/>
          <w:lang w:eastAsia="zh-CN"/>
        </w:rPr>
        <w:t>长</w:t>
      </w:r>
      <w:r w:rsidR="000D0F7D">
        <w:rPr>
          <w:rFonts w:ascii="SimSun" w:hAnsi="SimSun" w:cs="SimSun" w:hint="eastAsia"/>
          <w:kern w:val="22"/>
          <w:sz w:val="24"/>
          <w:szCs w:val="24"/>
          <w:lang w:eastAsia="zh-CN"/>
        </w:rPr>
        <w:t>而</w:t>
      </w:r>
      <w:r w:rsidR="00B8531F" w:rsidRPr="00D77FBE">
        <w:rPr>
          <w:rFonts w:ascii="SimSun" w:hAnsi="SimSun" w:cs="SimSun" w:hint="eastAsia"/>
          <w:kern w:val="22"/>
          <w:sz w:val="24"/>
          <w:szCs w:val="24"/>
          <w:lang w:eastAsia="zh-CN"/>
        </w:rPr>
        <w:t>且难以获得的文件，</w:t>
      </w:r>
      <w:r w:rsidR="00CA04E5">
        <w:rPr>
          <w:rFonts w:ascii="SimSun" w:hAnsi="SimSun" w:cs="SimSun" w:hint="eastAsia"/>
          <w:kern w:val="22"/>
          <w:sz w:val="24"/>
          <w:szCs w:val="24"/>
          <w:lang w:eastAsia="zh-CN"/>
        </w:rPr>
        <w:t>使</w:t>
      </w:r>
      <w:r w:rsidR="00B8531F" w:rsidRPr="00D77FBE">
        <w:rPr>
          <w:rFonts w:ascii="SimSun" w:hAnsi="SimSun" w:cs="SimSun" w:hint="eastAsia"/>
          <w:kern w:val="22"/>
          <w:sz w:val="24"/>
          <w:szCs w:val="24"/>
          <w:lang w:eastAsia="zh-CN"/>
        </w:rPr>
        <w:t>政府内部和公众之间围绕理解调查结果和建议的能力</w:t>
      </w:r>
      <w:r w:rsidR="00CA04E5">
        <w:rPr>
          <w:rFonts w:ascii="SimSun" w:hAnsi="SimSun" w:cs="SimSun" w:hint="eastAsia"/>
          <w:kern w:val="22"/>
          <w:sz w:val="24"/>
          <w:szCs w:val="24"/>
          <w:lang w:eastAsia="zh-CN"/>
        </w:rPr>
        <w:t>问题更加复杂化。</w:t>
      </w:r>
    </w:p>
    <w:p w14:paraId="277F13CD" w14:textId="77777777" w:rsidR="00A11624" w:rsidRPr="00C64F18" w:rsidRDefault="00B8531F"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lang w:eastAsia="zh-CN"/>
        </w:rPr>
      </w:pPr>
      <w:r w:rsidRPr="00D77FBE">
        <w:rPr>
          <w:rFonts w:ascii="SimSun" w:hAnsi="SimSun" w:cs="SimSun" w:hint="eastAsia"/>
          <w:kern w:val="22"/>
          <w:sz w:val="24"/>
          <w:szCs w:val="24"/>
          <w:lang w:eastAsia="zh-CN"/>
        </w:rPr>
        <w:t>有效的影响评估存在一些技术挑战，包括</w:t>
      </w:r>
      <w:r w:rsidR="00312E89" w:rsidRPr="00312E89">
        <w:rPr>
          <w:rFonts w:ascii="Arial" w:hAnsi="Arial" w:cs="Arial"/>
          <w:color w:val="333333"/>
          <w:sz w:val="24"/>
          <w:szCs w:val="24"/>
          <w:shd w:val="clear" w:color="auto" w:fill="FFFFFF"/>
          <w:lang w:eastAsia="zh-CN"/>
        </w:rPr>
        <w:t>缺乏严格的生态系统服务指</w:t>
      </w:r>
      <w:r w:rsidR="00312E89" w:rsidRPr="00312E89">
        <w:rPr>
          <w:rFonts w:ascii="SimSun" w:hAnsi="SimSun" w:cs="SimSun" w:hint="eastAsia"/>
          <w:color w:val="333333"/>
          <w:sz w:val="24"/>
          <w:szCs w:val="24"/>
          <w:shd w:val="clear" w:color="auto" w:fill="FFFFFF"/>
          <w:lang w:eastAsia="zh-CN"/>
        </w:rPr>
        <w:t>标</w:t>
      </w:r>
      <w:r w:rsidR="000710B0">
        <w:rPr>
          <w:rFonts w:ascii="SimSun" w:hAnsi="SimSun" w:cs="SimSun" w:hint="eastAsia"/>
          <w:color w:val="333333"/>
          <w:sz w:val="24"/>
          <w:szCs w:val="24"/>
          <w:shd w:val="clear" w:color="auto" w:fill="FFFFFF"/>
          <w:lang w:eastAsia="zh-CN"/>
        </w:rPr>
        <w:t>，</w:t>
      </w:r>
      <w:r w:rsidRPr="00D77FBE">
        <w:rPr>
          <w:rFonts w:ascii="SimSun" w:hAnsi="SimSun" w:cs="SimSun" w:hint="eastAsia"/>
          <w:kern w:val="22"/>
          <w:sz w:val="24"/>
          <w:szCs w:val="24"/>
          <w:lang w:eastAsia="zh-CN"/>
        </w:rPr>
        <w:t>以及生物多样性</w:t>
      </w:r>
      <w:r w:rsidR="000710B0">
        <w:rPr>
          <w:rFonts w:ascii="SimSun" w:hAnsi="SimSun" w:cs="SimSun" w:hint="eastAsia"/>
          <w:kern w:val="22"/>
          <w:sz w:val="24"/>
          <w:szCs w:val="24"/>
          <w:lang w:eastAsia="zh-CN"/>
        </w:rPr>
        <w:t>补偿</w:t>
      </w:r>
      <w:r w:rsidRPr="00D77FBE">
        <w:rPr>
          <w:rFonts w:ascii="SimSun" w:hAnsi="SimSun" w:cs="SimSun" w:hint="eastAsia"/>
          <w:kern w:val="22"/>
          <w:sz w:val="24"/>
          <w:szCs w:val="24"/>
          <w:lang w:eastAsia="zh-CN"/>
        </w:rPr>
        <w:t>的等</w:t>
      </w:r>
      <w:r w:rsidR="000710B0">
        <w:rPr>
          <w:rFonts w:ascii="SimSun" w:hAnsi="SimSun" w:cs="SimSun" w:hint="eastAsia"/>
          <w:kern w:val="22"/>
          <w:sz w:val="24"/>
          <w:szCs w:val="24"/>
          <w:lang w:eastAsia="zh-CN"/>
        </w:rPr>
        <w:t>值</w:t>
      </w:r>
      <w:r w:rsidR="000710B0" w:rsidRPr="00D77FBE">
        <w:rPr>
          <w:rFonts w:ascii="SimSun" w:hAnsi="SimSun" w:cs="SimSun" w:hint="eastAsia"/>
          <w:kern w:val="22"/>
          <w:sz w:val="24"/>
          <w:szCs w:val="24"/>
          <w:lang w:eastAsia="zh-CN"/>
        </w:rPr>
        <w:t>计算</w:t>
      </w:r>
      <w:r w:rsidR="000710B0">
        <w:rPr>
          <w:rFonts w:ascii="SimSun" w:hAnsi="SimSun" w:cs="SimSun" w:hint="eastAsia"/>
          <w:kern w:val="22"/>
          <w:sz w:val="24"/>
          <w:szCs w:val="24"/>
          <w:lang w:eastAsia="zh-CN"/>
        </w:rPr>
        <w:t>。</w:t>
      </w:r>
    </w:p>
    <w:p w14:paraId="51276C20" w14:textId="77777777" w:rsidR="00A11624" w:rsidRPr="00C64F18" w:rsidRDefault="000710B0" w:rsidP="00B66243">
      <w:pPr>
        <w:pStyle w:val="Para1"/>
        <w:numPr>
          <w:ilvl w:val="0"/>
          <w:numId w:val="11"/>
        </w:numPr>
        <w:suppressLineNumbers/>
        <w:tabs>
          <w:tab w:val="clear" w:pos="360"/>
        </w:tabs>
        <w:suppressAutoHyphens/>
        <w:kinsoku w:val="0"/>
        <w:overflowPunct w:val="0"/>
        <w:autoSpaceDE w:val="0"/>
        <w:autoSpaceDN w:val="0"/>
        <w:adjustRightInd w:val="0"/>
        <w:spacing w:line="240" w:lineRule="atLeast"/>
        <w:rPr>
          <w:kern w:val="22"/>
          <w:lang w:eastAsia="zh-CN"/>
        </w:rPr>
      </w:pPr>
      <w:r>
        <w:rPr>
          <w:rFonts w:ascii="SimSun" w:hAnsi="SimSun" w:cs="SimSun" w:hint="eastAsia"/>
          <w:kern w:val="22"/>
          <w:sz w:val="24"/>
          <w:szCs w:val="24"/>
          <w:lang w:eastAsia="zh-CN"/>
        </w:rPr>
        <w:t>在</w:t>
      </w:r>
      <w:r w:rsidR="00B8531F" w:rsidRPr="00D77FBE">
        <w:rPr>
          <w:rFonts w:ascii="SimSun" w:hAnsi="SimSun" w:cs="SimSun" w:hint="eastAsia"/>
          <w:kern w:val="22"/>
          <w:sz w:val="24"/>
          <w:szCs w:val="24"/>
          <w:lang w:eastAsia="zh-CN"/>
        </w:rPr>
        <w:t>国家环境和社会影响评估要求不那么严格，或与国际良好做法有</w:t>
      </w:r>
      <w:r w:rsidR="000D0F7D">
        <w:rPr>
          <w:rFonts w:ascii="SimSun" w:hAnsi="SimSun" w:cs="SimSun" w:hint="eastAsia"/>
          <w:kern w:val="22"/>
          <w:sz w:val="24"/>
          <w:szCs w:val="24"/>
          <w:lang w:eastAsia="zh-CN"/>
        </w:rPr>
        <w:t>显著</w:t>
      </w:r>
      <w:r w:rsidR="00B8531F" w:rsidRPr="00D77FBE">
        <w:rPr>
          <w:rFonts w:ascii="SimSun" w:hAnsi="SimSun" w:cs="SimSun" w:hint="eastAsia"/>
          <w:kern w:val="22"/>
          <w:sz w:val="24"/>
          <w:szCs w:val="24"/>
          <w:lang w:eastAsia="zh-CN"/>
        </w:rPr>
        <w:t>差异时，就会出现冲突。在某些情况下，国际贷款</w:t>
      </w:r>
      <w:r w:rsidR="001437F0">
        <w:rPr>
          <w:rFonts w:ascii="SimSun" w:hAnsi="SimSun" w:cs="SimSun" w:hint="eastAsia"/>
          <w:kern w:val="22"/>
          <w:sz w:val="24"/>
          <w:szCs w:val="24"/>
          <w:lang w:eastAsia="zh-CN"/>
        </w:rPr>
        <w:t>规定有</w:t>
      </w:r>
      <w:r w:rsidR="00B8531F" w:rsidRPr="00D77FBE">
        <w:rPr>
          <w:rFonts w:ascii="SimSun" w:hAnsi="SimSun" w:cs="SimSun" w:hint="eastAsia"/>
          <w:kern w:val="22"/>
          <w:sz w:val="24"/>
          <w:szCs w:val="24"/>
          <w:lang w:eastAsia="zh-CN"/>
        </w:rPr>
        <w:t>要求</w:t>
      </w:r>
      <w:r w:rsidR="000D0F7D">
        <w:rPr>
          <w:rFonts w:ascii="SimSun" w:hAnsi="SimSun" w:cs="SimSun" w:hint="eastAsia"/>
          <w:kern w:val="22"/>
          <w:sz w:val="24"/>
          <w:szCs w:val="24"/>
          <w:lang w:eastAsia="zh-CN"/>
        </w:rPr>
        <w:t>可帮助</w:t>
      </w:r>
      <w:r w:rsidR="00B8531F" w:rsidRPr="00D77FBE">
        <w:rPr>
          <w:rFonts w:ascii="SimSun" w:hAnsi="SimSun" w:cs="SimSun" w:hint="eastAsia"/>
          <w:kern w:val="22"/>
          <w:sz w:val="24"/>
          <w:szCs w:val="24"/>
          <w:lang w:eastAsia="zh-CN"/>
        </w:rPr>
        <w:t>填补国家立法的空白，但这需要有效的监督来确保合</w:t>
      </w:r>
      <w:proofErr w:type="gramStart"/>
      <w:r w:rsidR="00B8531F" w:rsidRPr="00D77FBE">
        <w:rPr>
          <w:rFonts w:ascii="SimSun" w:hAnsi="SimSun" w:cs="SimSun" w:hint="eastAsia"/>
          <w:kern w:val="22"/>
          <w:sz w:val="24"/>
          <w:szCs w:val="24"/>
          <w:lang w:eastAsia="zh-CN"/>
        </w:rPr>
        <w:t>规</w:t>
      </w:r>
      <w:proofErr w:type="gramEnd"/>
      <w:r w:rsidR="00B8531F" w:rsidRPr="00D77FBE">
        <w:rPr>
          <w:rFonts w:ascii="SimSun" w:hAnsi="SimSun" w:cs="SimSun" w:hint="eastAsia"/>
          <w:kern w:val="22"/>
          <w:sz w:val="24"/>
          <w:szCs w:val="24"/>
          <w:lang w:eastAsia="zh-CN"/>
        </w:rPr>
        <w:t>性，</w:t>
      </w:r>
      <w:r>
        <w:rPr>
          <w:rFonts w:ascii="SimSun" w:hAnsi="SimSun" w:cs="SimSun" w:hint="eastAsia"/>
          <w:kern w:val="22"/>
          <w:sz w:val="24"/>
          <w:szCs w:val="24"/>
          <w:lang w:eastAsia="zh-CN"/>
        </w:rPr>
        <w:t>而</w:t>
      </w:r>
      <w:r w:rsidR="00B8531F" w:rsidRPr="00D77FBE">
        <w:rPr>
          <w:rFonts w:ascii="SimSun" w:hAnsi="SimSun" w:cs="SimSun" w:hint="eastAsia"/>
          <w:kern w:val="22"/>
          <w:sz w:val="24"/>
          <w:szCs w:val="24"/>
          <w:lang w:eastAsia="zh-CN"/>
        </w:rPr>
        <w:t>许多项目不受此限制</w:t>
      </w:r>
      <w:r>
        <w:rPr>
          <w:rFonts w:ascii="SimSun" w:hAnsi="SimSun" w:cs="SimSun" w:hint="eastAsia"/>
          <w:kern w:val="22"/>
          <w:sz w:val="24"/>
          <w:szCs w:val="24"/>
          <w:lang w:eastAsia="zh-CN"/>
        </w:rPr>
        <w:t>。</w:t>
      </w:r>
    </w:p>
    <w:p w14:paraId="706BDA7E" w14:textId="77777777" w:rsidR="00CB01D6" w:rsidRPr="00CB01D6" w:rsidRDefault="00CB01D6" w:rsidP="00CB01D6">
      <w:pPr>
        <w:widowControl w:val="0"/>
        <w:overflowPunct w:val="0"/>
        <w:autoSpaceDE w:val="0"/>
        <w:autoSpaceDN w:val="0"/>
        <w:adjustRightInd w:val="0"/>
        <w:spacing w:before="120" w:after="120" w:line="240" w:lineRule="atLeast"/>
        <w:jc w:val="center"/>
        <w:textAlignment w:val="baseline"/>
        <w:rPr>
          <w:b/>
        </w:rPr>
      </w:pPr>
      <w:r w:rsidRPr="00CB01D6">
        <w:rPr>
          <w:rFonts w:hint="eastAsia"/>
          <w:b/>
        </w:rPr>
        <w:t>D.</w:t>
      </w:r>
      <w:r w:rsidRPr="00CB01D6">
        <w:rPr>
          <w:b/>
        </w:rPr>
        <w:t xml:space="preserve"> </w:t>
      </w:r>
      <w:r w:rsidR="00440DCE">
        <w:rPr>
          <w:b/>
        </w:rPr>
        <w:t xml:space="preserve"> </w:t>
      </w:r>
      <w:r w:rsidRPr="00CB01D6">
        <w:rPr>
          <w:rFonts w:hint="eastAsia"/>
          <w:b/>
        </w:rPr>
        <w:t>机构：执行、透明度、问责制、包容性、协调和协商</w:t>
      </w:r>
    </w:p>
    <w:p w14:paraId="74AA0FED" w14:textId="77777777" w:rsidR="00CB01D6" w:rsidRPr="00CB01D6" w:rsidRDefault="00CB01D6" w:rsidP="00CB01D6">
      <w:pPr>
        <w:widowControl w:val="0"/>
        <w:overflowPunct w:val="0"/>
        <w:autoSpaceDE w:val="0"/>
        <w:autoSpaceDN w:val="0"/>
        <w:adjustRightInd w:val="0"/>
        <w:spacing w:before="120" w:after="120" w:line="240" w:lineRule="atLeast"/>
        <w:jc w:val="center"/>
        <w:textAlignment w:val="baseline"/>
        <w:rPr>
          <w:rFonts w:ascii="KaiTi" w:eastAsia="KaiTi" w:hAnsi="KaiTi"/>
        </w:rPr>
      </w:pPr>
      <w:r w:rsidRPr="00CB01D6">
        <w:rPr>
          <w:rFonts w:ascii="KaiTi" w:eastAsia="KaiTi" w:hAnsi="KaiTi" w:hint="eastAsia"/>
        </w:rPr>
        <w:t>1.</w:t>
      </w:r>
      <w:r w:rsidRPr="00CB01D6">
        <w:rPr>
          <w:rFonts w:ascii="KaiTi" w:eastAsia="KaiTi" w:hAnsi="KaiTi"/>
        </w:rPr>
        <w:t xml:space="preserve"> </w:t>
      </w:r>
      <w:r w:rsidR="00AA1624">
        <w:rPr>
          <w:rFonts w:ascii="KaiTi" w:eastAsia="KaiTi" w:hAnsi="KaiTi" w:hint="eastAsia"/>
        </w:rPr>
        <w:t>引言</w:t>
      </w:r>
    </w:p>
    <w:p w14:paraId="3B31F68D"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在资源丰富的国家，要依靠能源和采矿项目促进可持续发展，机构必须有效、负责、包容、透明。具备了这些条件，就能制定和执行政策、法律、法规，建立公众参与机制，加强环境数据和信息的可获性。这在政府部门和私营部门都很重要。</w:t>
      </w:r>
    </w:p>
    <w:p w14:paraId="06CC5804" w14:textId="77777777" w:rsidR="00CB01D6" w:rsidRPr="00CB01D6" w:rsidRDefault="00CB01D6" w:rsidP="00CB01D6">
      <w:pPr>
        <w:widowControl w:val="0"/>
        <w:overflowPunct w:val="0"/>
        <w:autoSpaceDE w:val="0"/>
        <w:autoSpaceDN w:val="0"/>
        <w:adjustRightInd w:val="0"/>
        <w:spacing w:before="120" w:after="120" w:line="240" w:lineRule="atLeast"/>
        <w:jc w:val="center"/>
        <w:textAlignment w:val="baseline"/>
        <w:rPr>
          <w:rFonts w:ascii="KaiTi" w:eastAsia="KaiTi" w:hAnsi="KaiTi"/>
        </w:rPr>
      </w:pPr>
      <w:r w:rsidRPr="00CB01D6">
        <w:rPr>
          <w:rFonts w:ascii="KaiTi" w:eastAsia="KaiTi" w:hAnsi="KaiTi" w:hint="eastAsia"/>
        </w:rPr>
        <w:t>2.</w:t>
      </w:r>
      <w:r w:rsidRPr="00CB01D6">
        <w:rPr>
          <w:rFonts w:ascii="KaiTi" w:eastAsia="KaiTi" w:hAnsi="KaiTi"/>
        </w:rPr>
        <w:t xml:space="preserve"> </w:t>
      </w:r>
      <w:r w:rsidRPr="00CB01D6">
        <w:rPr>
          <w:rFonts w:ascii="KaiTi" w:eastAsia="KaiTi" w:hAnsi="KaiTi" w:hint="eastAsia"/>
        </w:rPr>
        <w:t>部分现行方法、标准和良好做法</w:t>
      </w:r>
    </w:p>
    <w:p w14:paraId="68594E4B"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世界银行的“采矿部门诊断器”是一个</w:t>
      </w:r>
      <w:bookmarkStart w:id="10" w:name="_GoBack"/>
      <w:bookmarkEnd w:id="10"/>
      <w:r w:rsidR="00177EB8">
        <w:rPr>
          <w:rFonts w:hint="eastAsia"/>
        </w:rPr>
        <w:t>有助于</w:t>
      </w:r>
      <w:r w:rsidRPr="00CB01D6">
        <w:rPr>
          <w:rFonts w:hint="eastAsia"/>
        </w:rPr>
        <w:t>各国了解采矿部门的治理以及如何加强治理的工具，迄今已</w:t>
      </w:r>
      <w:r w:rsidR="00177EB8">
        <w:rPr>
          <w:rFonts w:hint="eastAsia"/>
        </w:rPr>
        <w:t>有</w:t>
      </w:r>
      <w:r w:rsidR="00177EB8">
        <w:rPr>
          <w:rFonts w:hint="eastAsia"/>
        </w:rPr>
        <w:t>7</w:t>
      </w:r>
      <w:r w:rsidRPr="00CB01D6">
        <w:rPr>
          <w:rFonts w:hint="eastAsia"/>
        </w:rPr>
        <w:t>个国家使用：博茨瓦纳、刚果民主共和国、加纳、肯尼亚、莫桑比克、秘鲁、赞比亚。自然资源治理研究所的《自然资源宪章》</w:t>
      </w:r>
      <w:r w:rsidRPr="00CB01D6">
        <w:rPr>
          <w:rFonts w:ascii="SimSun" w:hAnsi="SimSun"/>
          <w:vertAlign w:val="superscript"/>
        </w:rPr>
        <w:footnoteReference w:id="26"/>
      </w:r>
      <w:r w:rsidRPr="00CB01D6">
        <w:rPr>
          <w:rFonts w:hint="eastAsia"/>
        </w:rPr>
        <w:t>提供了一套原则，指导如何利用自然资源支持可持续发展，</w:t>
      </w:r>
      <w:proofErr w:type="gramStart"/>
      <w:r w:rsidRPr="00CB01D6">
        <w:rPr>
          <w:rFonts w:hint="eastAsia"/>
        </w:rPr>
        <w:t>既针对</w:t>
      </w:r>
      <w:proofErr w:type="gramEnd"/>
      <w:r w:rsidRPr="00CB01D6">
        <w:rPr>
          <w:rFonts w:hint="eastAsia"/>
        </w:rPr>
        <w:t>政府也针对社会。“非洲矿业愿景”以及由此产生的</w:t>
      </w:r>
      <w:proofErr w:type="gramStart"/>
      <w:r w:rsidRPr="00CB01D6">
        <w:rPr>
          <w:rFonts w:hint="eastAsia"/>
        </w:rPr>
        <w:t>国家愿景等</w:t>
      </w:r>
      <w:proofErr w:type="gramEnd"/>
      <w:r w:rsidRPr="00CB01D6">
        <w:rPr>
          <w:rFonts w:hint="eastAsia"/>
        </w:rPr>
        <w:t>举措有助于将生物多样性和生态系统服务考虑因素纳入具体部门的长期战略。“采掘业透明度倡议”促进了支付的透明度（并正朝许可证和投资协议透明度方</w:t>
      </w:r>
      <w:r w:rsidRPr="00CB01D6">
        <w:rPr>
          <w:rFonts w:hint="eastAsia"/>
        </w:rPr>
        <w:lastRenderedPageBreak/>
        <w:t>向发展），</w:t>
      </w:r>
      <w:proofErr w:type="gramStart"/>
      <w:r w:rsidRPr="00CB01D6">
        <w:rPr>
          <w:rFonts w:hint="eastAsia"/>
        </w:rPr>
        <w:t>既针对</w:t>
      </w:r>
      <w:proofErr w:type="gramEnd"/>
      <w:r w:rsidRPr="00CB01D6">
        <w:rPr>
          <w:rFonts w:hint="eastAsia"/>
        </w:rPr>
        <w:t>政府</w:t>
      </w:r>
      <w:r w:rsidR="00177EB8">
        <w:rPr>
          <w:rFonts w:hint="eastAsia"/>
        </w:rPr>
        <w:t>也</w:t>
      </w:r>
      <w:r w:rsidRPr="00CB01D6">
        <w:rPr>
          <w:rFonts w:hint="eastAsia"/>
        </w:rPr>
        <w:t>针对私营部门。虽然没有针对生物多样性或生态系统服务，但可帮助各国查明关键的改进领域。例如了解哪些地方没有遵守许可程序，特别是利用了解的情况重新审视全球治理框架，以提高部门绩效而不仅仅是标准的运作。</w:t>
      </w:r>
    </w:p>
    <w:p w14:paraId="451D7FF8"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行业协会，如国际采矿和金属理事会和石环协会，可以帮助指导私营部门</w:t>
      </w:r>
      <w:r w:rsidR="00973D5A">
        <w:rPr>
          <w:rFonts w:hint="eastAsia"/>
        </w:rPr>
        <w:t>的</w:t>
      </w:r>
      <w:r w:rsidRPr="00CB01D6">
        <w:rPr>
          <w:rFonts w:hint="eastAsia"/>
        </w:rPr>
        <w:t>生物多样性和生态系统服务做法。国际采矿和金属理事会成员包括</w:t>
      </w:r>
      <w:r w:rsidRPr="00CB01D6">
        <w:rPr>
          <w:rFonts w:hint="eastAsia"/>
        </w:rPr>
        <w:t>25</w:t>
      </w:r>
      <w:r w:rsidRPr="00CB01D6">
        <w:rPr>
          <w:rFonts w:hint="eastAsia"/>
        </w:rPr>
        <w:t>个采矿和金属公司以及</w:t>
      </w:r>
      <w:r w:rsidRPr="00CB01D6">
        <w:rPr>
          <w:rFonts w:hint="eastAsia"/>
        </w:rPr>
        <w:t>30</w:t>
      </w:r>
      <w:r w:rsidRPr="00CB01D6">
        <w:rPr>
          <w:rFonts w:hint="eastAsia"/>
        </w:rPr>
        <w:t>多个采矿协会，问责制和透明度是理事会的十项原则之一。</w:t>
      </w:r>
    </w:p>
    <w:p w14:paraId="17C31614"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许多企业和金融机构在将生物多样性纳入能源和采矿部门主流方面具有相当丰富的经验。同行间互学可以成为部门能力建设的有力工具，包括中小型企业或国有企业。行业和其他利益攸关方有机会支持国家政府，建立更广泛的结构来支持主流化工作。现有很多企业</w:t>
      </w:r>
      <w:proofErr w:type="gramStart"/>
      <w:r w:rsidRPr="00CB01D6">
        <w:rPr>
          <w:rFonts w:hint="eastAsia"/>
        </w:rPr>
        <w:t>养护伙伴</w:t>
      </w:r>
      <w:proofErr w:type="gramEnd"/>
      <w:r w:rsidRPr="00CB01D6">
        <w:rPr>
          <w:rFonts w:hint="eastAsia"/>
        </w:rPr>
        <w:t>关系的范例。</w:t>
      </w:r>
    </w:p>
    <w:p w14:paraId="3232AD98"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侧重于手工和小规模采矿的举措和工具也</w:t>
      </w:r>
      <w:r w:rsidR="00973D5A">
        <w:rPr>
          <w:rFonts w:hint="eastAsia"/>
        </w:rPr>
        <w:t>有助于</w:t>
      </w:r>
      <w:r w:rsidRPr="00CB01D6">
        <w:rPr>
          <w:rFonts w:hint="eastAsia"/>
        </w:rPr>
        <w:t>建设能力，使全部门的行为方参与进来。</w:t>
      </w:r>
    </w:p>
    <w:p w14:paraId="5D3A8020"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各国在能源和采矿部门以及在生物多样性主流化概念方面有不同程度的经验。各国有很多机会与新兴油气国家分享经验（例如通过采矿、矿产、金属和可持续发展政府间论坛）。这对于在同一地区和相同背景的国家之间交流信息和经验尤其有用。例如，“石油促进发展计划”同发展中国家分享挪威的经验，帮助它们建立有效、透明、负责任、包容性的机构和能力。由瑞典国际开发合作署（瑞典开发署）资助的联合国开发署</w:t>
      </w:r>
      <w:r w:rsidRPr="00CB01D6">
        <w:rPr>
          <w:rFonts w:hint="eastAsia"/>
        </w:rPr>
        <w:t>-</w:t>
      </w:r>
      <w:r w:rsidRPr="00CB01D6">
        <w:rPr>
          <w:rFonts w:hint="eastAsia"/>
        </w:rPr>
        <w:t>瑞典环境保护署采矿环境治理计划帮助分享知识，制定指南，加强主管公共机构的环境治理能力。这个举措还对主管采矿的环境公共行政部门的法治情况进行评估，这有助于评估这些机构的成效。有一些进行区域努力分享知识和制定指南的例子，例如由南非发展共同体成员国制定的“关于将生物多样性和生态系统服务纳入采掘业主流的指导方针”。</w:t>
      </w:r>
    </w:p>
    <w:p w14:paraId="285238A6"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由于能源和采矿部门的活动与不少部委有关，确保各部委之间的对话和协调对于将生物多样性纳入各部门主流至关重要。机构机制和协调机制对于进行协调一致努力促进生物多样性在能源和采矿部门的主流化和执行可持续发展目标是必不可少的</w:t>
      </w:r>
      <w:r w:rsidRPr="00CB01D6">
        <w:rPr>
          <w:rFonts w:ascii="SimSun" w:hAnsi="SimSun"/>
          <w:vertAlign w:val="superscript"/>
        </w:rPr>
        <w:footnoteReference w:id="27"/>
      </w:r>
      <w:r w:rsidRPr="00CB01D6">
        <w:rPr>
          <w:rFonts w:hint="eastAsia"/>
        </w:rPr>
        <w:t>。</w:t>
      </w:r>
    </w:p>
    <w:p w14:paraId="7553F6CB"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t>《养护野生动物移栖物种公约</w:t>
      </w:r>
      <w:r w:rsidRPr="00CB01D6">
        <w:rPr>
          <w:rFonts w:ascii="SimSun" w:hAnsi="SimSun" w:cs="SimSun" w:hint="eastAsia"/>
        </w:rPr>
        <w:t>》</w:t>
      </w:r>
      <w:r w:rsidRPr="00CB01D6">
        <w:rPr>
          <w:rFonts w:hint="eastAsia"/>
        </w:rPr>
        <w:t>2015</w:t>
      </w:r>
      <w:r w:rsidRPr="00CB01D6">
        <w:rPr>
          <w:rFonts w:hint="eastAsia"/>
        </w:rPr>
        <w:t>年（关于可再生能源和</w:t>
      </w:r>
      <w:proofErr w:type="gramStart"/>
      <w:r w:rsidRPr="00CB01D6">
        <w:rPr>
          <w:rFonts w:hint="eastAsia"/>
        </w:rPr>
        <w:t>移栖</w:t>
      </w:r>
      <w:proofErr w:type="gramEnd"/>
      <w:r w:rsidRPr="00CB01D6">
        <w:rPr>
          <w:rFonts w:hint="eastAsia"/>
        </w:rPr>
        <w:t>物种的第</w:t>
      </w:r>
      <w:r w:rsidRPr="00CB01D6">
        <w:rPr>
          <w:rFonts w:hint="eastAsia"/>
        </w:rPr>
        <w:t>11.27</w:t>
      </w:r>
      <w:r w:rsidRPr="00CB01D6">
        <w:rPr>
          <w:rFonts w:hint="eastAsia"/>
        </w:rPr>
        <w:t>号决议）发起的能源问题工作队是一个</w:t>
      </w:r>
      <w:proofErr w:type="gramStart"/>
      <w:r w:rsidRPr="00CB01D6">
        <w:rPr>
          <w:rFonts w:hint="eastAsia"/>
        </w:rPr>
        <w:t>多利</w:t>
      </w:r>
      <w:proofErr w:type="gramEnd"/>
      <w:r w:rsidRPr="00CB01D6">
        <w:rPr>
          <w:rFonts w:hint="eastAsia"/>
        </w:rPr>
        <w:t>益攸关方平台，旨在协调可再生能源发展与保护移栖物种的工作。工作队与政府、多边环境协定、投资人、学术界和非政府组织合作，通过国际和国家层面的伙伴关系推动现有指南和工具的应用，提出建议，弥补知识空白。</w:t>
      </w:r>
    </w:p>
    <w:p w14:paraId="312FB652" w14:textId="77777777" w:rsidR="00CB01D6" w:rsidRPr="00CB01D6" w:rsidRDefault="00CB01D6" w:rsidP="00CB01D6">
      <w:pPr>
        <w:widowControl w:val="0"/>
        <w:overflowPunct w:val="0"/>
        <w:autoSpaceDE w:val="0"/>
        <w:autoSpaceDN w:val="0"/>
        <w:adjustRightInd w:val="0"/>
        <w:spacing w:before="120" w:after="120" w:line="240" w:lineRule="atLeast"/>
        <w:jc w:val="center"/>
        <w:textAlignment w:val="baseline"/>
        <w:rPr>
          <w:rFonts w:ascii="KaiTi" w:eastAsia="KaiTi" w:hAnsi="KaiTi"/>
        </w:rPr>
      </w:pPr>
      <w:r w:rsidRPr="00CB01D6">
        <w:rPr>
          <w:rFonts w:ascii="KaiTi" w:eastAsia="KaiTi" w:hAnsi="KaiTi" w:hint="eastAsia"/>
        </w:rPr>
        <w:t>3.</w:t>
      </w:r>
      <w:r w:rsidRPr="00CB01D6">
        <w:rPr>
          <w:rFonts w:ascii="KaiTi" w:eastAsia="KaiTi" w:hAnsi="KaiTi"/>
        </w:rPr>
        <w:t xml:space="preserve"> </w:t>
      </w:r>
      <w:r w:rsidRPr="00CB01D6">
        <w:rPr>
          <w:rFonts w:ascii="KaiTi" w:eastAsia="KaiTi" w:hAnsi="KaiTi" w:hint="eastAsia"/>
        </w:rPr>
        <w:t>建立有效机构</w:t>
      </w:r>
      <w:r w:rsidR="00CA5D52">
        <w:rPr>
          <w:rFonts w:ascii="KaiTi" w:eastAsia="KaiTi" w:hAnsi="KaiTi" w:hint="eastAsia"/>
        </w:rPr>
        <w:t>方面</w:t>
      </w:r>
      <w:r w:rsidRPr="00CB01D6">
        <w:rPr>
          <w:rFonts w:ascii="KaiTi" w:eastAsia="KaiTi" w:hAnsi="KaiTi" w:hint="eastAsia"/>
        </w:rPr>
        <w:t>的挑战</w:t>
      </w:r>
    </w:p>
    <w:p w14:paraId="0E7222E9"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虽然有良好做法或工具可用于评估和加强机构，但更新、改造和传播这些做法和工具以促进广泛应用可能是一件难事。</w:t>
      </w:r>
    </w:p>
    <w:p w14:paraId="4BB2042F"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特别是，缺失独立的执行、培训、供资、司法授权、法律阐述和明确透明的机构责</w:t>
      </w:r>
      <w:r w:rsidRPr="00CB01D6">
        <w:rPr>
          <w:rFonts w:hint="eastAsia"/>
        </w:rPr>
        <w:lastRenderedPageBreak/>
        <w:t>任链，对于建立有效机构，确保在能源和采矿领域工作中考虑生物多样性和生态系统服务，</w:t>
      </w:r>
      <w:r w:rsidRPr="00CB01D6">
        <w:rPr>
          <w:rFonts w:hint="eastAsia"/>
        </w:rPr>
        <w:t xml:space="preserve"> </w:t>
      </w:r>
      <w:r w:rsidRPr="00CB01D6">
        <w:rPr>
          <w:rFonts w:hint="eastAsia"/>
        </w:rPr>
        <w:t>是一个明显的挑战。</w:t>
      </w:r>
    </w:p>
    <w:p w14:paraId="07575A1E"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尽管能源和采矿部门的活动与不少部委有关，但部委之间并不经常进行必要对话和协调，通常因为没有协调一致的任务授权、能力和认识。</w:t>
      </w:r>
    </w:p>
    <w:p w14:paraId="3D28D89C" w14:textId="77777777" w:rsidR="00CB01D6" w:rsidRPr="00CB01D6" w:rsidRDefault="00CB01D6" w:rsidP="00CB01D6">
      <w:pPr>
        <w:widowControl w:val="0"/>
        <w:overflowPunct w:val="0"/>
        <w:autoSpaceDE w:val="0"/>
        <w:autoSpaceDN w:val="0"/>
        <w:adjustRightInd w:val="0"/>
        <w:spacing w:before="120" w:after="120" w:line="240" w:lineRule="atLeast"/>
        <w:jc w:val="center"/>
        <w:textAlignment w:val="baseline"/>
        <w:rPr>
          <w:b/>
        </w:rPr>
      </w:pPr>
      <w:r w:rsidRPr="00CB01D6">
        <w:rPr>
          <w:rFonts w:hint="eastAsia"/>
          <w:b/>
        </w:rPr>
        <w:t>E.</w:t>
      </w:r>
      <w:r w:rsidRPr="00CB01D6">
        <w:rPr>
          <w:b/>
        </w:rPr>
        <w:t xml:space="preserve"> </w:t>
      </w:r>
      <w:r w:rsidRPr="00CB01D6">
        <w:rPr>
          <w:rFonts w:hint="eastAsia"/>
          <w:b/>
        </w:rPr>
        <w:t>资金筹措与环境和社会保障：创新性筹资和投资办法</w:t>
      </w:r>
    </w:p>
    <w:p w14:paraId="630ABCD9" w14:textId="77777777" w:rsidR="00CB01D6" w:rsidRPr="00CB01D6" w:rsidRDefault="00CB01D6" w:rsidP="00CB01D6">
      <w:pPr>
        <w:widowControl w:val="0"/>
        <w:overflowPunct w:val="0"/>
        <w:autoSpaceDE w:val="0"/>
        <w:autoSpaceDN w:val="0"/>
        <w:adjustRightInd w:val="0"/>
        <w:spacing w:before="120" w:after="120" w:line="240" w:lineRule="atLeast"/>
        <w:jc w:val="center"/>
        <w:textAlignment w:val="baseline"/>
        <w:rPr>
          <w:rFonts w:ascii="KaiTi" w:eastAsia="KaiTi" w:hAnsi="KaiTi"/>
        </w:rPr>
      </w:pPr>
      <w:r w:rsidRPr="00CB01D6">
        <w:rPr>
          <w:rFonts w:ascii="KaiTi" w:eastAsia="KaiTi" w:hAnsi="KaiTi" w:hint="eastAsia"/>
        </w:rPr>
        <w:t>1.</w:t>
      </w:r>
      <w:r w:rsidRPr="00CB01D6">
        <w:rPr>
          <w:rFonts w:ascii="KaiTi" w:eastAsia="KaiTi" w:hAnsi="KaiTi"/>
        </w:rPr>
        <w:t xml:space="preserve"> </w:t>
      </w:r>
      <w:r w:rsidR="00AA1624">
        <w:rPr>
          <w:rFonts w:ascii="KaiTi" w:eastAsia="KaiTi" w:hAnsi="KaiTi" w:hint="eastAsia"/>
        </w:rPr>
        <w:t>引言</w:t>
      </w:r>
    </w:p>
    <w:p w14:paraId="2DFBCB6B"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国际金融作用重大，可以为投资和项目融资设立保障，为生物多样性主流</w:t>
      </w:r>
      <w:proofErr w:type="gramStart"/>
      <w:r w:rsidRPr="00CB01D6">
        <w:rPr>
          <w:rFonts w:hint="eastAsia"/>
        </w:rPr>
        <w:t>化行动</w:t>
      </w:r>
      <w:proofErr w:type="gramEnd"/>
      <w:r w:rsidRPr="00CB01D6">
        <w:rPr>
          <w:rFonts w:hint="eastAsia"/>
        </w:rPr>
        <w:t>提供资金。</w:t>
      </w:r>
    </w:p>
    <w:p w14:paraId="2FB781A4" w14:textId="77777777" w:rsidR="00CB01D6" w:rsidRPr="00CB01D6" w:rsidRDefault="00CB01D6" w:rsidP="00CB01D6">
      <w:pPr>
        <w:widowControl w:val="0"/>
        <w:overflowPunct w:val="0"/>
        <w:autoSpaceDE w:val="0"/>
        <w:autoSpaceDN w:val="0"/>
        <w:adjustRightInd w:val="0"/>
        <w:spacing w:before="120" w:after="120" w:line="240" w:lineRule="atLeast"/>
        <w:jc w:val="center"/>
        <w:textAlignment w:val="baseline"/>
        <w:rPr>
          <w:rFonts w:ascii="KaiTi" w:eastAsia="KaiTi" w:hAnsi="KaiTi"/>
        </w:rPr>
      </w:pPr>
      <w:r w:rsidRPr="00CB01D6">
        <w:rPr>
          <w:rFonts w:ascii="KaiTi" w:eastAsia="KaiTi" w:hAnsi="KaiTi" w:hint="eastAsia"/>
        </w:rPr>
        <w:t>2.</w:t>
      </w:r>
      <w:r w:rsidRPr="00CB01D6">
        <w:rPr>
          <w:rFonts w:ascii="KaiTi" w:eastAsia="KaiTi" w:hAnsi="KaiTi"/>
        </w:rPr>
        <w:t xml:space="preserve"> </w:t>
      </w:r>
      <w:r w:rsidRPr="00CB01D6">
        <w:rPr>
          <w:rFonts w:ascii="KaiTi" w:eastAsia="KaiTi" w:hAnsi="KaiTi" w:hint="eastAsia"/>
        </w:rPr>
        <w:t>部分现行方法、标准和良好做法</w:t>
      </w:r>
    </w:p>
    <w:p w14:paraId="2DF54C24"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多边开发银行和国际金融机构提供重要的项目级财务支持，有些要求把对生物多样性和生态系统服务的考虑作为放款的条件。例如，根据国际金融公司的“绩效标准</w:t>
      </w:r>
      <w:r w:rsidRPr="00CB01D6">
        <w:rPr>
          <w:rFonts w:hint="eastAsia"/>
        </w:rPr>
        <w:t>6</w:t>
      </w:r>
      <w:r w:rsidRPr="00CB01D6">
        <w:rPr>
          <w:rFonts w:hint="eastAsia"/>
        </w:rPr>
        <w:t>”，对</w:t>
      </w:r>
      <w:r w:rsidR="00D12CCF">
        <w:rPr>
          <w:rFonts w:hint="eastAsia"/>
        </w:rPr>
        <w:t>位于</w:t>
      </w:r>
      <w:r w:rsidRPr="00CB01D6">
        <w:rPr>
          <w:rFonts w:hint="eastAsia"/>
        </w:rPr>
        <w:t>指定重要栖息地内的项目，只有在证明项目</w:t>
      </w:r>
      <w:r w:rsidR="008033F9">
        <w:rPr>
          <w:rFonts w:hint="eastAsia"/>
        </w:rPr>
        <w:t>能</w:t>
      </w:r>
      <w:r w:rsidRPr="00CB01D6">
        <w:rPr>
          <w:rFonts w:hint="eastAsia"/>
        </w:rPr>
        <w:t>给生物多样性带来</w:t>
      </w:r>
      <w:r w:rsidR="008033F9">
        <w:rPr>
          <w:rFonts w:hint="eastAsia"/>
        </w:rPr>
        <w:t>净正面收益</w:t>
      </w:r>
      <w:r w:rsidRPr="00CB01D6">
        <w:rPr>
          <w:rFonts w:hint="eastAsia"/>
        </w:rPr>
        <w:t>的情况下才考虑放款。这些标准也有助于减缓层次的适当使用。在国家贷款、立法、政策与国际标准之间建立牢固联系，可成为改变行业行为的一个有力工具。例如作为应对气候变化的一项努力</w:t>
      </w:r>
      <w:r w:rsidR="00D12CCF">
        <w:rPr>
          <w:rFonts w:hint="eastAsia"/>
        </w:rPr>
        <w:t>，</w:t>
      </w:r>
      <w:r w:rsidRPr="00CB01D6">
        <w:rPr>
          <w:rFonts w:hint="eastAsia"/>
        </w:rPr>
        <w:t>世界银行承诺自</w:t>
      </w:r>
      <w:r w:rsidRPr="00CB01D6">
        <w:rPr>
          <w:rFonts w:hint="eastAsia"/>
        </w:rPr>
        <w:t>2019</w:t>
      </w:r>
      <w:r w:rsidRPr="00CB01D6">
        <w:rPr>
          <w:rFonts w:hint="eastAsia"/>
        </w:rPr>
        <w:t>年起停止对上游石油和天然气的融资</w:t>
      </w:r>
      <w:r w:rsidRPr="00CB01D6">
        <w:rPr>
          <w:rFonts w:ascii="SimSun" w:hAnsi="SimSun"/>
          <w:vertAlign w:val="superscript"/>
        </w:rPr>
        <w:footnoteReference w:id="28"/>
      </w:r>
      <w:r w:rsidRPr="00CB01D6">
        <w:rPr>
          <w:rFonts w:hint="eastAsia"/>
        </w:rPr>
        <w:t>。一些认证计划，例如负责任珠宝理事会和负责任钢铁协会</w:t>
      </w:r>
      <w:r w:rsidR="00D12CCF">
        <w:rPr>
          <w:rFonts w:hint="eastAsia"/>
        </w:rPr>
        <w:t>的</w:t>
      </w:r>
      <w:r w:rsidR="00D12CCF" w:rsidRPr="00CB01D6">
        <w:rPr>
          <w:rFonts w:hint="eastAsia"/>
        </w:rPr>
        <w:t>认证计划</w:t>
      </w:r>
      <w:r w:rsidRPr="00CB01D6">
        <w:rPr>
          <w:rFonts w:hint="eastAsia"/>
        </w:rPr>
        <w:t>，也为负责任采矿项目订立了基于市场的金融激励机制。</w:t>
      </w:r>
    </w:p>
    <w:p w14:paraId="3676D992"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虽然已经建立</w:t>
      </w:r>
      <w:r w:rsidR="00D12CCF" w:rsidRPr="00CB01D6">
        <w:rPr>
          <w:rFonts w:hint="eastAsia"/>
        </w:rPr>
        <w:t>完善机制</w:t>
      </w:r>
      <w:r w:rsidRPr="00CB01D6">
        <w:rPr>
          <w:rFonts w:hint="eastAsia"/>
        </w:rPr>
        <w:t>为考虑到生物多样性和生态系统服务的项目供资，但在方案、政策和计划层面进行供</w:t>
      </w:r>
      <w:proofErr w:type="gramStart"/>
      <w:r w:rsidRPr="00CB01D6">
        <w:rPr>
          <w:rFonts w:hint="eastAsia"/>
        </w:rPr>
        <w:t>资规划</w:t>
      </w:r>
      <w:proofErr w:type="gramEnd"/>
      <w:r w:rsidRPr="00CB01D6">
        <w:rPr>
          <w:rFonts w:hint="eastAsia"/>
        </w:rPr>
        <w:t>和影响评估的备选办法寥寥无几。金融</w:t>
      </w:r>
      <w:r w:rsidR="00D12CCF">
        <w:rPr>
          <w:rFonts w:hint="eastAsia"/>
        </w:rPr>
        <w:t>部门</w:t>
      </w:r>
      <w:r w:rsidRPr="00CB01D6">
        <w:rPr>
          <w:rFonts w:hint="eastAsia"/>
        </w:rPr>
        <w:t>在这个层面上的参与可为战略环境评估和发展有效、透明、负责任和包容性机构提供财务支持和能力建设。例如，来自发达国家和多边机构（如联合王国国际开发部、瑞典国际开发合作署、德国联邦经济合作与发展部、挪威发展合作署、世界银行）的许多捐助机构投资建设政府在采掘</w:t>
      </w:r>
      <w:r w:rsidR="00D12CCF">
        <w:rPr>
          <w:rFonts w:hint="eastAsia"/>
        </w:rPr>
        <w:t>领域</w:t>
      </w:r>
      <w:r w:rsidRPr="00CB01D6">
        <w:rPr>
          <w:rFonts w:hint="eastAsia"/>
        </w:rPr>
        <w:t>的能力，确保采掘活动不会破坏国家的自然资产。国际协议也可以通过全球环境基金（全环基金）和绿色气候基金等机制引导资金流向生物多样性主流化活动。</w:t>
      </w:r>
      <w:r w:rsidRPr="00CB01D6">
        <w:rPr>
          <w:rFonts w:hint="eastAsia"/>
        </w:rPr>
        <w:t xml:space="preserve"> </w:t>
      </w:r>
    </w:p>
    <w:p w14:paraId="08857D60"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为项目后恢复而设的金融机制，例如债券、基金、担保金等，可确保从项目一开始就为这些任务</w:t>
      </w:r>
      <w:r w:rsidR="00D12CCF">
        <w:rPr>
          <w:rFonts w:hint="eastAsia"/>
        </w:rPr>
        <w:t>备下</w:t>
      </w:r>
      <w:r w:rsidRPr="00CB01D6">
        <w:rPr>
          <w:rFonts w:hint="eastAsia"/>
        </w:rPr>
        <w:t>资金。</w:t>
      </w:r>
    </w:p>
    <w:p w14:paraId="04277C5C"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70ACE">
        <w:rPr>
          <w:rFonts w:hint="eastAsia"/>
        </w:rPr>
        <w:t>生物多样性保护潜在资金来源之一是作业影响赔偿（例如生物多样性补偿）或生态系统服务付费。例如，乌干达国家生物多样性</w:t>
      </w:r>
      <w:r w:rsidRPr="00CB01D6">
        <w:rPr>
          <w:rFonts w:hint="eastAsia"/>
        </w:rPr>
        <w:t>战略和行动计划包含一项设立“生物多样性补偿信托基金”的行动，目的是确保石油活动不会</w:t>
      </w:r>
      <w:r w:rsidR="008033F9">
        <w:rPr>
          <w:rFonts w:hint="eastAsia"/>
        </w:rPr>
        <w:t>对</w:t>
      </w:r>
      <w:r w:rsidRPr="00CB01D6">
        <w:rPr>
          <w:rFonts w:hint="eastAsia"/>
        </w:rPr>
        <w:t>生物多样性</w:t>
      </w:r>
      <w:r w:rsidR="008033F9">
        <w:rPr>
          <w:rFonts w:hint="eastAsia"/>
        </w:rPr>
        <w:t>造成</w:t>
      </w:r>
      <w:r w:rsidRPr="00CB01D6">
        <w:rPr>
          <w:rFonts w:hint="eastAsia"/>
        </w:rPr>
        <w:t>净</w:t>
      </w:r>
      <w:r w:rsidR="008033F9">
        <w:rPr>
          <w:rFonts w:hint="eastAsia"/>
        </w:rPr>
        <w:t>损失</w:t>
      </w:r>
      <w:r w:rsidRPr="00CB01D6">
        <w:rPr>
          <w:rFonts w:hint="eastAsia"/>
        </w:rPr>
        <w:t>，</w:t>
      </w:r>
      <w:r w:rsidR="00C70ACE">
        <w:rPr>
          <w:rFonts w:hint="eastAsia"/>
        </w:rPr>
        <w:t>对</w:t>
      </w:r>
      <w:r w:rsidRPr="00CB01D6">
        <w:rPr>
          <w:rFonts w:hint="eastAsia"/>
        </w:rPr>
        <w:t>石油勘探</w:t>
      </w:r>
      <w:r w:rsidR="00C70ACE">
        <w:rPr>
          <w:rFonts w:hint="eastAsia"/>
        </w:rPr>
        <w:t>带来的</w:t>
      </w:r>
      <w:r w:rsidRPr="00CB01D6">
        <w:rPr>
          <w:rFonts w:hint="eastAsia"/>
        </w:rPr>
        <w:t>无法减缓的影响</w:t>
      </w:r>
      <w:r w:rsidR="00C70ACE">
        <w:rPr>
          <w:rFonts w:hint="eastAsia"/>
        </w:rPr>
        <w:t>则必须赔偿</w:t>
      </w:r>
      <w:r w:rsidRPr="00CB01D6">
        <w:rPr>
          <w:rFonts w:hint="eastAsia"/>
        </w:rPr>
        <w:t>。</w:t>
      </w:r>
      <w:r w:rsidR="00C70ACE">
        <w:rPr>
          <w:rFonts w:hint="eastAsia"/>
        </w:rPr>
        <w:t>不过应把</w:t>
      </w:r>
      <w:r w:rsidRPr="00CB01D6">
        <w:rPr>
          <w:rFonts w:hint="eastAsia"/>
        </w:rPr>
        <w:t>生物多样性补偿和赔偿视为最后手段，当避</w:t>
      </w:r>
      <w:r w:rsidRPr="00CB01D6">
        <w:rPr>
          <w:rFonts w:hint="eastAsia"/>
        </w:rPr>
        <w:lastRenderedPageBreak/>
        <w:t>免、最小化和恢复措施都用尽之后才采用。把补偿作为一种资源调动战略应谨慎为之。</w:t>
      </w:r>
    </w:p>
    <w:p w14:paraId="79DA7689"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能源和采矿产生的收入和使用费</w:t>
      </w:r>
      <w:r w:rsidR="0018349B">
        <w:rPr>
          <w:rFonts w:hint="eastAsia"/>
        </w:rPr>
        <w:t>可投入一项</w:t>
      </w:r>
      <w:r w:rsidRPr="00CB01D6">
        <w:rPr>
          <w:rFonts w:hint="eastAsia"/>
        </w:rPr>
        <w:t>可持续发展</w:t>
      </w:r>
      <w:r w:rsidR="0018349B">
        <w:rPr>
          <w:rFonts w:hint="eastAsia"/>
        </w:rPr>
        <w:t>计划，例如建设</w:t>
      </w:r>
      <w:r w:rsidRPr="00CB01D6">
        <w:rPr>
          <w:rFonts w:hint="eastAsia"/>
        </w:rPr>
        <w:t>政府的战略环境评估能力，</w:t>
      </w:r>
      <w:r w:rsidR="0018349B">
        <w:rPr>
          <w:rFonts w:hint="eastAsia"/>
        </w:rPr>
        <w:t>投资开发</w:t>
      </w:r>
      <w:r w:rsidRPr="00CB01D6">
        <w:rPr>
          <w:rFonts w:hint="eastAsia"/>
        </w:rPr>
        <w:t>新技术，</w:t>
      </w:r>
      <w:r w:rsidR="0018349B">
        <w:rPr>
          <w:rFonts w:hint="eastAsia"/>
        </w:rPr>
        <w:t>设立</w:t>
      </w:r>
      <w:r w:rsidRPr="00CB01D6">
        <w:rPr>
          <w:rFonts w:hint="eastAsia"/>
        </w:rPr>
        <w:t>补救或恢复项目，与手工和小规模采矿者的互动协作，支持土著人民和地方社区对地区的管理等。供</w:t>
      </w:r>
      <w:proofErr w:type="gramStart"/>
      <w:r w:rsidRPr="00CB01D6">
        <w:rPr>
          <w:rFonts w:hint="eastAsia"/>
        </w:rPr>
        <w:t>资程序</w:t>
      </w:r>
      <w:proofErr w:type="gramEnd"/>
      <w:r w:rsidRPr="00CB01D6">
        <w:rPr>
          <w:rFonts w:hint="eastAsia"/>
        </w:rPr>
        <w:t>应该透明，应为供</w:t>
      </w:r>
      <w:proofErr w:type="gramStart"/>
      <w:r w:rsidRPr="00CB01D6">
        <w:rPr>
          <w:rFonts w:hint="eastAsia"/>
        </w:rPr>
        <w:t>资申</w:t>
      </w:r>
      <w:proofErr w:type="gramEnd"/>
      <w:r w:rsidRPr="00CB01D6">
        <w:rPr>
          <w:rFonts w:hint="eastAsia"/>
        </w:rPr>
        <w:t>请提供帮助。</w:t>
      </w:r>
    </w:p>
    <w:p w14:paraId="4D0270E9" w14:textId="77777777" w:rsidR="00CB01D6" w:rsidRPr="00CB01D6" w:rsidRDefault="00CB01D6" w:rsidP="00CB01D6">
      <w:pPr>
        <w:widowControl w:val="0"/>
        <w:overflowPunct w:val="0"/>
        <w:autoSpaceDE w:val="0"/>
        <w:autoSpaceDN w:val="0"/>
        <w:adjustRightInd w:val="0"/>
        <w:spacing w:before="120" w:after="120" w:line="240" w:lineRule="atLeast"/>
        <w:jc w:val="center"/>
        <w:textAlignment w:val="baseline"/>
        <w:rPr>
          <w:rFonts w:ascii="KaiTi" w:eastAsia="KaiTi" w:hAnsi="KaiTi"/>
        </w:rPr>
      </w:pPr>
      <w:r w:rsidRPr="00CB01D6">
        <w:rPr>
          <w:rFonts w:ascii="KaiTi" w:eastAsia="KaiTi" w:hAnsi="KaiTi" w:hint="eastAsia"/>
        </w:rPr>
        <w:t>3.</w:t>
      </w:r>
      <w:r w:rsidRPr="00CB01D6">
        <w:rPr>
          <w:rFonts w:ascii="KaiTi" w:eastAsia="KaiTi" w:hAnsi="KaiTi"/>
        </w:rPr>
        <w:t xml:space="preserve"> </w:t>
      </w:r>
      <w:r w:rsidRPr="00CB01D6">
        <w:rPr>
          <w:rFonts w:ascii="KaiTi" w:eastAsia="KaiTi" w:hAnsi="KaiTi" w:hint="eastAsia"/>
        </w:rPr>
        <w:t>创新性筹资和投资办法的挑战</w:t>
      </w:r>
    </w:p>
    <w:p w14:paraId="71B28052"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确保各个层次和各个金融机构将生物多样性考虑列为筹资的一个要</w:t>
      </w:r>
      <w:proofErr w:type="gramStart"/>
      <w:r w:rsidRPr="00CB01D6">
        <w:rPr>
          <w:rFonts w:hint="eastAsia"/>
        </w:rPr>
        <w:t>求是个</w:t>
      </w:r>
      <w:proofErr w:type="gramEnd"/>
      <w:r w:rsidRPr="00CB01D6">
        <w:rPr>
          <w:rFonts w:hint="eastAsia"/>
        </w:rPr>
        <w:t>重要挑战。这往往需要消费者和股东施加压力。这些保障措施的实施也有赖政府机构和民间社会认识到它们应帮助满足这些要求。采矿部门的认证计划越来越多，但能源市场因性质特殊，推行这种基于市场的制度很困难。</w:t>
      </w:r>
    </w:p>
    <w:p w14:paraId="67F1B648"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另一个挑战涉及确保政府从能源和采矿部门所获收入用于支持可持续发展。这方面的一个关键因素是</w:t>
      </w:r>
      <w:r w:rsidR="00FC45BD">
        <w:rPr>
          <w:rFonts w:hint="eastAsia"/>
        </w:rPr>
        <w:t>业务</w:t>
      </w:r>
      <w:r w:rsidRPr="00CB01D6">
        <w:rPr>
          <w:rFonts w:hint="eastAsia"/>
        </w:rPr>
        <w:t>要透明。自然资源的开发，特别是在能源和采矿历史短、经验</w:t>
      </w:r>
      <w:r w:rsidR="0018349B">
        <w:rPr>
          <w:rFonts w:hint="eastAsia"/>
        </w:rPr>
        <w:t>少</w:t>
      </w:r>
      <w:r w:rsidRPr="00CB01D6">
        <w:rPr>
          <w:rFonts w:hint="eastAsia"/>
        </w:rPr>
        <w:t>的国家，常常与所谓</w:t>
      </w:r>
      <w:r w:rsidR="0018349B">
        <w:rPr>
          <w:rFonts w:hint="eastAsia"/>
        </w:rPr>
        <w:t>的</w:t>
      </w:r>
      <w:r w:rsidRPr="00CB01D6">
        <w:rPr>
          <w:rFonts w:hint="eastAsia"/>
        </w:rPr>
        <w:t>“资源诅咒”</w:t>
      </w:r>
      <w:r w:rsidR="0018349B">
        <w:rPr>
          <w:rFonts w:hint="eastAsia"/>
        </w:rPr>
        <w:t>相提并论</w:t>
      </w:r>
      <w:r w:rsidRPr="00CB01D6">
        <w:rPr>
          <w:rFonts w:hint="eastAsia"/>
        </w:rPr>
        <w:t>。自然资源丰富的地区</w:t>
      </w:r>
      <w:r w:rsidR="0018349B">
        <w:rPr>
          <w:rFonts w:hint="eastAsia"/>
        </w:rPr>
        <w:t>可能</w:t>
      </w:r>
      <w:r w:rsidRPr="00CB01D6">
        <w:rPr>
          <w:rFonts w:hint="eastAsia"/>
        </w:rPr>
        <w:t>出现经济增长低迷，收益流入个人腰包而不是</w:t>
      </w:r>
      <w:r w:rsidR="00FC45BD">
        <w:rPr>
          <w:rFonts w:hint="eastAsia"/>
        </w:rPr>
        <w:t>流入</w:t>
      </w:r>
      <w:r w:rsidRPr="00CB01D6">
        <w:rPr>
          <w:rFonts w:hint="eastAsia"/>
        </w:rPr>
        <w:t>整个国民经济。有必要加强收入流动的透明度和问责制，促进更公平和</w:t>
      </w:r>
      <w:r w:rsidR="0018349B">
        <w:rPr>
          <w:rFonts w:hint="eastAsia"/>
        </w:rPr>
        <w:t>更</w:t>
      </w:r>
      <w:r w:rsidRPr="00CB01D6">
        <w:rPr>
          <w:rFonts w:hint="eastAsia"/>
        </w:rPr>
        <w:t>可持续的投资。</w:t>
      </w:r>
    </w:p>
    <w:p w14:paraId="3EEAE8F5" w14:textId="77777777" w:rsidR="00CB01D6" w:rsidRPr="00CB01D6" w:rsidRDefault="00CB01D6" w:rsidP="00CB01D6">
      <w:pPr>
        <w:widowControl w:val="0"/>
        <w:overflowPunct w:val="0"/>
        <w:autoSpaceDE w:val="0"/>
        <w:autoSpaceDN w:val="0"/>
        <w:adjustRightInd w:val="0"/>
        <w:spacing w:before="120" w:after="120" w:line="240" w:lineRule="atLeast"/>
        <w:jc w:val="center"/>
        <w:textAlignment w:val="baseline"/>
        <w:rPr>
          <w:rFonts w:ascii="SimSun" w:hAnsi="SimSun"/>
          <w:b/>
        </w:rPr>
      </w:pPr>
      <w:r w:rsidRPr="00CB01D6">
        <w:rPr>
          <w:rFonts w:ascii="SimSun" w:hAnsi="SimSun" w:hint="eastAsia"/>
          <w:b/>
        </w:rPr>
        <w:t>F.</w:t>
      </w:r>
      <w:r w:rsidRPr="00CB01D6">
        <w:rPr>
          <w:rFonts w:ascii="SimSun" w:hAnsi="SimSun"/>
          <w:b/>
        </w:rPr>
        <w:t xml:space="preserve"> </w:t>
      </w:r>
      <w:r w:rsidRPr="00CB01D6">
        <w:rPr>
          <w:rFonts w:ascii="SimSun" w:hAnsi="SimSun" w:hint="eastAsia"/>
          <w:b/>
        </w:rPr>
        <w:t>数据和信息</w:t>
      </w:r>
    </w:p>
    <w:p w14:paraId="54F7E20F" w14:textId="77777777" w:rsidR="00CB01D6" w:rsidRPr="00CB01D6" w:rsidRDefault="00CB01D6" w:rsidP="00CB01D6">
      <w:pPr>
        <w:widowControl w:val="0"/>
        <w:overflowPunct w:val="0"/>
        <w:autoSpaceDE w:val="0"/>
        <w:autoSpaceDN w:val="0"/>
        <w:adjustRightInd w:val="0"/>
        <w:spacing w:before="120" w:after="120" w:line="240" w:lineRule="atLeast"/>
        <w:jc w:val="center"/>
        <w:textAlignment w:val="baseline"/>
        <w:rPr>
          <w:rFonts w:ascii="KaiTi" w:eastAsia="KaiTi" w:hAnsi="KaiTi"/>
        </w:rPr>
      </w:pPr>
      <w:r w:rsidRPr="00CB01D6">
        <w:rPr>
          <w:rFonts w:ascii="KaiTi" w:eastAsia="KaiTi" w:hAnsi="KaiTi" w:hint="eastAsia"/>
        </w:rPr>
        <w:t>1.</w:t>
      </w:r>
      <w:r w:rsidRPr="00CB01D6">
        <w:rPr>
          <w:rFonts w:ascii="KaiTi" w:eastAsia="KaiTi" w:hAnsi="KaiTi"/>
        </w:rPr>
        <w:t xml:space="preserve"> </w:t>
      </w:r>
      <w:r w:rsidR="00AA1624">
        <w:rPr>
          <w:rFonts w:ascii="KaiTi" w:eastAsia="KaiTi" w:hAnsi="KaiTi" w:hint="eastAsia"/>
        </w:rPr>
        <w:t>引言</w:t>
      </w:r>
    </w:p>
    <w:p w14:paraId="44A8383C"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完善的决策</w:t>
      </w:r>
      <w:r w:rsidR="00FC45BD">
        <w:rPr>
          <w:rFonts w:hint="eastAsia"/>
        </w:rPr>
        <w:t>离不开</w:t>
      </w:r>
      <w:r w:rsidRPr="00CB01D6">
        <w:rPr>
          <w:rFonts w:hint="eastAsia"/>
        </w:rPr>
        <w:t>准确而全面的数据和信息。许多最重要的数据和信息需求在各个部门都是相同的。</w:t>
      </w:r>
      <w:r w:rsidR="00FC45BD">
        <w:rPr>
          <w:rFonts w:hint="eastAsia"/>
        </w:rPr>
        <w:t>在</w:t>
      </w:r>
      <w:r w:rsidR="00FC45BD" w:rsidRPr="00CB01D6">
        <w:rPr>
          <w:rFonts w:hint="eastAsia"/>
        </w:rPr>
        <w:t>收集、整理和获取</w:t>
      </w:r>
      <w:r w:rsidRPr="00CB01D6">
        <w:rPr>
          <w:rFonts w:hint="eastAsia"/>
        </w:rPr>
        <w:t>高质量生物多样性和生态系统服务数据</w:t>
      </w:r>
      <w:r w:rsidR="00FC45BD">
        <w:rPr>
          <w:rFonts w:hint="eastAsia"/>
        </w:rPr>
        <w:t>方面</w:t>
      </w:r>
      <w:r w:rsidRPr="00CB01D6">
        <w:rPr>
          <w:rFonts w:hint="eastAsia"/>
        </w:rPr>
        <w:t>缺少一致性。</w:t>
      </w:r>
      <w:r w:rsidR="00FC45BD">
        <w:rPr>
          <w:rFonts w:hint="eastAsia"/>
        </w:rPr>
        <w:t>协商很重要，</w:t>
      </w:r>
      <w:r w:rsidRPr="00CB01D6">
        <w:rPr>
          <w:rFonts w:hint="eastAsia"/>
        </w:rPr>
        <w:t>通过协商</w:t>
      </w:r>
      <w:r w:rsidR="00FC45BD">
        <w:rPr>
          <w:rFonts w:hint="eastAsia"/>
        </w:rPr>
        <w:t>可获得</w:t>
      </w:r>
      <w:r w:rsidRPr="00CB01D6">
        <w:rPr>
          <w:rFonts w:hint="eastAsia"/>
        </w:rPr>
        <w:t>国际组织、国家和地方政府、国家和地方保护组织、非政府组织、学术界、土著人民和地方社区以及其他利益攸关方群体掌握的丰富相关信息。这种协商还可凸显与生物多样性和生态系统服务相关的重要社会</w:t>
      </w:r>
      <w:r w:rsidR="00FC45BD">
        <w:rPr>
          <w:rFonts w:hint="eastAsia"/>
        </w:rPr>
        <w:t>、</w:t>
      </w:r>
      <w:r w:rsidRPr="00CB01D6">
        <w:rPr>
          <w:rFonts w:hint="eastAsia"/>
        </w:rPr>
        <w:t>文化价值，而数据本身可能不能明确反映这些价值。</w:t>
      </w:r>
    </w:p>
    <w:p w14:paraId="04822706" w14:textId="77777777" w:rsidR="00CB01D6" w:rsidRPr="00CB01D6" w:rsidRDefault="00CB01D6" w:rsidP="00CB01D6">
      <w:pPr>
        <w:widowControl w:val="0"/>
        <w:overflowPunct w:val="0"/>
        <w:autoSpaceDE w:val="0"/>
        <w:autoSpaceDN w:val="0"/>
        <w:adjustRightInd w:val="0"/>
        <w:spacing w:before="120" w:after="120" w:line="240" w:lineRule="atLeast"/>
        <w:jc w:val="center"/>
        <w:textAlignment w:val="baseline"/>
        <w:rPr>
          <w:rFonts w:ascii="KaiTi" w:eastAsia="KaiTi" w:hAnsi="KaiTi"/>
        </w:rPr>
      </w:pPr>
      <w:r w:rsidRPr="00CB01D6">
        <w:rPr>
          <w:rFonts w:ascii="KaiTi" w:eastAsia="KaiTi" w:hAnsi="KaiTi" w:hint="eastAsia"/>
        </w:rPr>
        <w:t>2.</w:t>
      </w:r>
      <w:r w:rsidRPr="00CB01D6">
        <w:rPr>
          <w:rFonts w:ascii="KaiTi" w:eastAsia="KaiTi" w:hAnsi="KaiTi"/>
        </w:rPr>
        <w:t xml:space="preserve"> </w:t>
      </w:r>
      <w:r w:rsidRPr="00CB01D6">
        <w:rPr>
          <w:rFonts w:ascii="KaiTi" w:eastAsia="KaiTi" w:hAnsi="KaiTi" w:hint="eastAsia"/>
        </w:rPr>
        <w:t>部分现行方法、标准和良好做法</w:t>
      </w:r>
    </w:p>
    <w:p w14:paraId="101FC0C3" w14:textId="77777777" w:rsidR="00CB01D6" w:rsidRPr="00CB01D6" w:rsidRDefault="008B3F5A"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Pr>
          <w:rFonts w:hint="eastAsia"/>
        </w:rPr>
        <w:t>用来</w:t>
      </w:r>
      <w:r w:rsidR="00CB01D6" w:rsidRPr="00CB01D6">
        <w:rPr>
          <w:rFonts w:hint="eastAsia"/>
        </w:rPr>
        <w:t>为决策者提供生物多样性相关数据的工具包括</w:t>
      </w:r>
      <w:r>
        <w:rPr>
          <w:rFonts w:hint="eastAsia"/>
        </w:rPr>
        <w:t>：</w:t>
      </w:r>
      <w:r w:rsidR="00CB01D6" w:rsidRPr="00CB01D6">
        <w:rPr>
          <w:rFonts w:hint="eastAsia"/>
        </w:rPr>
        <w:t>全球生物多样性信息机制、综合生物多样性评估工具、</w:t>
      </w:r>
      <w:r w:rsidR="00CB01D6" w:rsidRPr="00CB01D6">
        <w:rPr>
          <w:rFonts w:hint="eastAsia"/>
        </w:rPr>
        <w:t>MapX</w:t>
      </w:r>
      <w:r w:rsidR="00CB01D6" w:rsidRPr="00CB01D6">
        <w:rPr>
          <w:rFonts w:hint="eastAsia"/>
        </w:rPr>
        <w:t>和地方生态足迹工具。一些国家正在推进数据平台，</w:t>
      </w:r>
      <w:r>
        <w:rPr>
          <w:rFonts w:hint="eastAsia"/>
        </w:rPr>
        <w:t>为</w:t>
      </w:r>
      <w:r w:rsidR="00CB01D6" w:rsidRPr="00CB01D6">
        <w:rPr>
          <w:rFonts w:hint="eastAsia"/>
        </w:rPr>
        <w:t>各机构</w:t>
      </w:r>
      <w:r>
        <w:rPr>
          <w:rFonts w:hint="eastAsia"/>
        </w:rPr>
        <w:t>的决策</w:t>
      </w:r>
      <w:r w:rsidR="00CB01D6" w:rsidRPr="00CB01D6">
        <w:rPr>
          <w:rFonts w:hint="eastAsia"/>
        </w:rPr>
        <w:t>提供国家级数据。坦桑尼亚的环境信息网络就是其中一个例子。</w:t>
      </w:r>
    </w:p>
    <w:p w14:paraId="2D32B96E"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通过战略环境评估、环境和社会影响评估收集的数据可提供各种规模的生物多样性和生态系统服务的宝贵信息，</w:t>
      </w:r>
      <w:r w:rsidR="00F15648">
        <w:rPr>
          <w:rFonts w:hint="eastAsia"/>
        </w:rPr>
        <w:t>也可增加</w:t>
      </w:r>
      <w:r w:rsidRPr="00CB01D6">
        <w:rPr>
          <w:rFonts w:hint="eastAsia"/>
        </w:rPr>
        <w:t>评估的透明度。整理、创建和发布生物多样性相关信息数据库以及影响评估（例如环境和社会影响评估、减缓层次和生物多样性补偿的使用）、自然监测、描绘和核算（例如自然资本评估）框架</w:t>
      </w:r>
      <w:r w:rsidR="00F15648">
        <w:rPr>
          <w:rFonts w:hint="eastAsia"/>
        </w:rPr>
        <w:t>，</w:t>
      </w:r>
      <w:r w:rsidRPr="00CB01D6">
        <w:rPr>
          <w:rFonts w:hint="eastAsia"/>
        </w:rPr>
        <w:t>对政府、公司和其他决策者可能有帮助。现有许多优秀的数据和信息工具，</w:t>
      </w:r>
      <w:r w:rsidR="00F15648">
        <w:rPr>
          <w:rFonts w:hint="eastAsia"/>
        </w:rPr>
        <w:t>并</w:t>
      </w:r>
      <w:r w:rsidRPr="00CB01D6">
        <w:rPr>
          <w:rFonts w:hint="eastAsia"/>
        </w:rPr>
        <w:t>正在为准确自然评估和估值研发良好做法。也可考虑</w:t>
      </w:r>
      <w:r w:rsidR="00F15648">
        <w:rPr>
          <w:rFonts w:hint="eastAsia"/>
        </w:rPr>
        <w:t>使用用来</w:t>
      </w:r>
      <w:r w:rsidRPr="00CB01D6">
        <w:rPr>
          <w:rFonts w:hint="eastAsia"/>
        </w:rPr>
        <w:t>传播</w:t>
      </w:r>
      <w:r w:rsidRPr="00CB01D6">
        <w:rPr>
          <w:rFonts w:hint="eastAsia"/>
        </w:rPr>
        <w:t xml:space="preserve"> </w:t>
      </w:r>
      <w:r w:rsidRPr="00CB01D6">
        <w:rPr>
          <w:rFonts w:hint="eastAsia"/>
        </w:rPr>
        <w:t>“公民科学”计划数据的工具。</w:t>
      </w:r>
    </w:p>
    <w:p w14:paraId="0E007A78" w14:textId="450B9648"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一些组织和论坛，例如国家生物多样性战略和行动计划论坛、自然资本联盟、世界</w:t>
      </w:r>
      <w:r w:rsidRPr="00CB01D6">
        <w:rPr>
          <w:rFonts w:hint="eastAsia"/>
        </w:rPr>
        <w:lastRenderedPageBreak/>
        <w:t>可持续发展工商理事会</w:t>
      </w:r>
      <w:r w:rsidR="00F15648">
        <w:rPr>
          <w:rFonts w:hint="eastAsia"/>
        </w:rPr>
        <w:t>第</w:t>
      </w:r>
      <w:r w:rsidRPr="00CB01D6">
        <w:rPr>
          <w:rFonts w:hint="eastAsia"/>
        </w:rPr>
        <w:t>，已开始整理</w:t>
      </w:r>
      <w:r w:rsidR="00F15648">
        <w:rPr>
          <w:rFonts w:hint="eastAsia"/>
        </w:rPr>
        <w:t>关于</w:t>
      </w:r>
      <w:r w:rsidR="00F15648" w:rsidRPr="00CB01D6">
        <w:rPr>
          <w:rFonts w:hint="eastAsia"/>
        </w:rPr>
        <w:t>企业</w:t>
      </w:r>
      <w:r w:rsidRPr="00CB01D6">
        <w:rPr>
          <w:rFonts w:hint="eastAsia"/>
        </w:rPr>
        <w:t>生物多样性行动的案例研究。更多了解</w:t>
      </w:r>
      <w:r w:rsidR="00F15648">
        <w:rPr>
          <w:rFonts w:hint="eastAsia"/>
        </w:rPr>
        <w:t>已经在</w:t>
      </w:r>
      <w:r w:rsidRPr="00CB01D6">
        <w:rPr>
          <w:rFonts w:hint="eastAsia"/>
        </w:rPr>
        <w:t>采取的行动有助于企业和政府制定自己的战略。《生物多样性公约》与政府和企业利益相关群体有联系（通过</w:t>
      </w:r>
      <w:r w:rsidR="00B9661F">
        <w:rPr>
          <w:rStyle w:val="ng-binding"/>
        </w:rPr>
        <w:t>企业界与生物多样性全球伙伴关</w:t>
      </w:r>
      <w:r w:rsidR="00B9661F">
        <w:rPr>
          <w:rStyle w:val="ng-binding"/>
          <w:rFonts w:ascii="SimSun" w:hAnsi="SimSun" w:cs="SimSun" w:hint="eastAsia"/>
        </w:rPr>
        <w:t>系</w:t>
      </w:r>
      <w:r w:rsidRPr="00CB01D6">
        <w:rPr>
          <w:rFonts w:hint="eastAsia"/>
        </w:rPr>
        <w:t>），可方便地把新案例研究增列到已整理的案例研究中并予以发布。</w:t>
      </w:r>
    </w:p>
    <w:p w14:paraId="43670856" w14:textId="77777777" w:rsidR="00CB01D6" w:rsidRPr="00CB01D6" w:rsidRDefault="00CB01D6" w:rsidP="00CB01D6">
      <w:pPr>
        <w:widowControl w:val="0"/>
        <w:overflowPunct w:val="0"/>
        <w:autoSpaceDE w:val="0"/>
        <w:autoSpaceDN w:val="0"/>
        <w:adjustRightInd w:val="0"/>
        <w:spacing w:before="120" w:after="120" w:line="240" w:lineRule="atLeast"/>
        <w:jc w:val="center"/>
        <w:textAlignment w:val="baseline"/>
        <w:rPr>
          <w:rFonts w:ascii="KaiTi" w:eastAsia="KaiTi" w:hAnsi="KaiTi"/>
        </w:rPr>
      </w:pPr>
      <w:r w:rsidRPr="00CB01D6">
        <w:rPr>
          <w:rFonts w:ascii="KaiTi" w:eastAsia="KaiTi" w:hAnsi="KaiTi" w:hint="eastAsia"/>
        </w:rPr>
        <w:t>3.</w:t>
      </w:r>
      <w:r w:rsidRPr="00CB01D6">
        <w:rPr>
          <w:rFonts w:ascii="KaiTi" w:eastAsia="KaiTi" w:hAnsi="KaiTi"/>
        </w:rPr>
        <w:t xml:space="preserve"> </w:t>
      </w:r>
      <w:r w:rsidRPr="00CB01D6">
        <w:rPr>
          <w:rFonts w:ascii="KaiTi" w:eastAsia="KaiTi" w:hAnsi="KaiTi" w:hint="eastAsia"/>
        </w:rPr>
        <w:t>数据和信息方面的挑战</w:t>
      </w:r>
    </w:p>
    <w:p w14:paraId="62B7B4AA"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在制定可能影响生物多样性和生态系统服务的决策时，数据的可用性、可获性、质量对政府和企业来说仍然是一个挑战。</w:t>
      </w:r>
      <w:r w:rsidR="002E3DD7">
        <w:rPr>
          <w:rFonts w:hint="eastAsia"/>
        </w:rPr>
        <w:t>能</w:t>
      </w:r>
      <w:r w:rsidRPr="00CB01D6">
        <w:rPr>
          <w:rFonts w:hint="eastAsia"/>
        </w:rPr>
        <w:t>准确提供保护区、物种分布和生态系统（及其在规划和决策制定中的使用）最新信息的数据平台非常重要，然而</w:t>
      </w:r>
      <w:r w:rsidR="002E3DD7">
        <w:rPr>
          <w:rFonts w:hint="eastAsia"/>
        </w:rPr>
        <w:t>这些数据平台</w:t>
      </w:r>
      <w:r w:rsidRPr="00CB01D6">
        <w:rPr>
          <w:rFonts w:hint="eastAsia"/>
        </w:rPr>
        <w:t>利用率不足，而运行和维护成本很高。生物多样性数据</w:t>
      </w:r>
      <w:r w:rsidR="002E3DD7">
        <w:rPr>
          <w:rFonts w:hint="eastAsia"/>
        </w:rPr>
        <w:t>的</w:t>
      </w:r>
      <w:r w:rsidRPr="00CB01D6">
        <w:rPr>
          <w:rFonts w:hint="eastAsia"/>
        </w:rPr>
        <w:t>长期资助机制缺失，导致质量和覆盖面不一致，反过来又导致决策不一致</w:t>
      </w:r>
      <w:r w:rsidRPr="00CB01D6">
        <w:rPr>
          <w:rFonts w:ascii="SimSun" w:hAnsi="SimSun"/>
          <w:vertAlign w:val="superscript"/>
        </w:rPr>
        <w:footnoteReference w:id="29"/>
      </w:r>
      <w:r w:rsidRPr="00CB01D6">
        <w:rPr>
          <w:rFonts w:hint="eastAsia"/>
        </w:rPr>
        <w:t>。尽管为某些平台开发了筹资模型，但这仍然是全球和国家范围内的主要挑战。也可能缺少对数据的积极反馈，影响数据空白的查明和填补。</w:t>
      </w:r>
    </w:p>
    <w:p w14:paraId="3C9ACD67"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私营部门和政府的决策往往受时间限制。在这些时限内访问相关的、易于理解的数据可能是一个挑战。这包括缺少衡量不同生物多样性主流化战略的成果（如部门政策）</w:t>
      </w:r>
      <w:r w:rsidR="002E3DD7">
        <w:rPr>
          <w:rFonts w:hint="eastAsia"/>
        </w:rPr>
        <w:t>的</w:t>
      </w:r>
      <w:r w:rsidR="002E3DD7" w:rsidRPr="00CB01D6">
        <w:rPr>
          <w:rFonts w:hint="eastAsia"/>
        </w:rPr>
        <w:t>指标</w:t>
      </w:r>
      <w:r w:rsidRPr="00CB01D6">
        <w:rPr>
          <w:rFonts w:hint="eastAsia"/>
        </w:rPr>
        <w:t>。扩大证据基础，与学术界合作了解生物多样性的影响、新兴技术和方法（例如恢复栖息地的有效性）</w:t>
      </w:r>
      <w:r w:rsidR="002E3DD7">
        <w:rPr>
          <w:rFonts w:hint="eastAsia"/>
        </w:rPr>
        <w:t>，</w:t>
      </w:r>
      <w:r w:rsidRPr="00CB01D6">
        <w:rPr>
          <w:rFonts w:hint="eastAsia"/>
        </w:rPr>
        <w:t>将有助于填补这些数据空白。</w:t>
      </w:r>
    </w:p>
    <w:p w14:paraId="19C6B49F" w14:textId="77777777" w:rsidR="00CB01D6" w:rsidRPr="00CB01D6" w:rsidRDefault="00CB01D6" w:rsidP="00CB01D6">
      <w:pPr>
        <w:widowControl w:val="0"/>
        <w:overflowPunct w:val="0"/>
        <w:autoSpaceDE w:val="0"/>
        <w:autoSpaceDN w:val="0"/>
        <w:adjustRightInd w:val="0"/>
        <w:spacing w:before="120" w:after="120" w:line="240" w:lineRule="atLeast"/>
        <w:jc w:val="center"/>
        <w:textAlignment w:val="baseline"/>
        <w:rPr>
          <w:b/>
        </w:rPr>
      </w:pPr>
      <w:r w:rsidRPr="00CB01D6">
        <w:rPr>
          <w:rFonts w:hint="eastAsia"/>
          <w:b/>
        </w:rPr>
        <w:t>G.</w:t>
      </w:r>
      <w:r w:rsidRPr="00CB01D6">
        <w:rPr>
          <w:b/>
        </w:rPr>
        <w:t xml:space="preserve"> </w:t>
      </w:r>
      <w:r w:rsidR="002E3DD7">
        <w:rPr>
          <w:b/>
        </w:rPr>
        <w:t xml:space="preserve"> </w:t>
      </w:r>
      <w:r w:rsidRPr="00CB01D6">
        <w:rPr>
          <w:rFonts w:hint="eastAsia"/>
          <w:b/>
        </w:rPr>
        <w:t>创新：减少需求，提高效率，考虑替代品</w:t>
      </w:r>
    </w:p>
    <w:p w14:paraId="770C072F" w14:textId="77777777" w:rsidR="00CB01D6" w:rsidRPr="00CB01D6" w:rsidRDefault="00CB01D6" w:rsidP="00CB01D6">
      <w:pPr>
        <w:widowControl w:val="0"/>
        <w:overflowPunct w:val="0"/>
        <w:autoSpaceDE w:val="0"/>
        <w:autoSpaceDN w:val="0"/>
        <w:adjustRightInd w:val="0"/>
        <w:spacing w:before="120" w:after="120" w:line="240" w:lineRule="atLeast"/>
        <w:jc w:val="center"/>
        <w:textAlignment w:val="baseline"/>
        <w:rPr>
          <w:rFonts w:ascii="KaiTi" w:eastAsia="KaiTi" w:hAnsi="KaiTi"/>
        </w:rPr>
      </w:pPr>
      <w:r w:rsidRPr="00CB01D6">
        <w:rPr>
          <w:rFonts w:ascii="KaiTi" w:eastAsia="KaiTi" w:hAnsi="KaiTi" w:hint="eastAsia"/>
        </w:rPr>
        <w:t>1.</w:t>
      </w:r>
      <w:r w:rsidRPr="00CB01D6">
        <w:rPr>
          <w:rFonts w:ascii="KaiTi" w:eastAsia="KaiTi" w:hAnsi="KaiTi"/>
        </w:rPr>
        <w:t xml:space="preserve"> </w:t>
      </w:r>
      <w:r w:rsidR="00AA1624">
        <w:rPr>
          <w:rFonts w:ascii="KaiTi" w:eastAsia="KaiTi" w:hAnsi="KaiTi" w:hint="eastAsia"/>
        </w:rPr>
        <w:t>引言</w:t>
      </w:r>
    </w:p>
    <w:p w14:paraId="237C8498"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减少对能源和矿产品的需求，支持创新，有助于实现更清洁、更可持续的生产和资源利用。</w:t>
      </w:r>
    </w:p>
    <w:p w14:paraId="7AF7920F" w14:textId="77777777" w:rsidR="00CB01D6" w:rsidRPr="00CB01D6" w:rsidRDefault="00CB01D6" w:rsidP="00CB01D6">
      <w:pPr>
        <w:widowControl w:val="0"/>
        <w:overflowPunct w:val="0"/>
        <w:autoSpaceDE w:val="0"/>
        <w:autoSpaceDN w:val="0"/>
        <w:adjustRightInd w:val="0"/>
        <w:spacing w:before="120" w:after="120" w:line="240" w:lineRule="atLeast"/>
        <w:jc w:val="center"/>
        <w:textAlignment w:val="baseline"/>
        <w:rPr>
          <w:rFonts w:ascii="KaiTi" w:eastAsia="KaiTi" w:hAnsi="KaiTi"/>
        </w:rPr>
      </w:pPr>
      <w:r w:rsidRPr="00CB01D6">
        <w:rPr>
          <w:rFonts w:ascii="KaiTi" w:eastAsia="KaiTi" w:hAnsi="KaiTi" w:hint="eastAsia"/>
        </w:rPr>
        <w:t>2.</w:t>
      </w:r>
      <w:r w:rsidRPr="00CB01D6">
        <w:rPr>
          <w:rFonts w:ascii="KaiTi" w:eastAsia="KaiTi" w:hAnsi="KaiTi"/>
        </w:rPr>
        <w:t xml:space="preserve"> </w:t>
      </w:r>
      <w:r w:rsidRPr="00CB01D6">
        <w:rPr>
          <w:rFonts w:ascii="KaiTi" w:eastAsia="KaiTi" w:hAnsi="KaiTi" w:hint="eastAsia"/>
        </w:rPr>
        <w:t>部分现行方法、标准和良好做法</w:t>
      </w:r>
    </w:p>
    <w:p w14:paraId="06AB374C"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资源和能源效率措施以及新技术和商业模式的研究、开发和投资</w:t>
      </w:r>
      <w:r w:rsidR="002E3DD7">
        <w:rPr>
          <w:rFonts w:hint="eastAsia"/>
        </w:rPr>
        <w:t>，</w:t>
      </w:r>
      <w:r w:rsidRPr="00CB01D6">
        <w:rPr>
          <w:rFonts w:hint="eastAsia"/>
        </w:rPr>
        <w:t>有助于实现考虑生物多样性和生态系统服务的渐进性和颠覆性两种变化。久而久之可为这样做的个人、社区和企业节约成本，避免代价高昂的拖延和补救活动。</w:t>
      </w:r>
    </w:p>
    <w:p w14:paraId="71751D2C"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国际和国家政策可鼓励创新并减少需求。《联合国气候变化框架公约》下的《巴黎协定》</w:t>
      </w:r>
      <w:r w:rsidRPr="00CB01D6">
        <w:rPr>
          <w:rFonts w:ascii="SimSun" w:hAnsi="SimSun"/>
          <w:vertAlign w:val="superscript"/>
        </w:rPr>
        <w:footnoteReference w:id="30"/>
      </w:r>
      <w:r w:rsidRPr="00CB01D6">
        <w:rPr>
          <w:rFonts w:hint="eastAsia"/>
        </w:rPr>
        <w:t>在推动减少化石燃料需求和利用更清洁的能源以缓解气候变化威胁方面具有特别重要的意义。</w:t>
      </w:r>
      <w:r w:rsidRPr="00CB01D6">
        <w:rPr>
          <w:rFonts w:hint="eastAsia"/>
        </w:rPr>
        <w:t xml:space="preserve"> 2013</w:t>
      </w:r>
      <w:r w:rsidRPr="00CB01D6">
        <w:rPr>
          <w:rFonts w:hint="eastAsia"/>
        </w:rPr>
        <w:t>年</w:t>
      </w:r>
      <w:proofErr w:type="gramStart"/>
      <w:r w:rsidRPr="00CB01D6">
        <w:rPr>
          <w:rFonts w:hint="eastAsia"/>
        </w:rPr>
        <w:t>，“</w:t>
      </w:r>
      <w:proofErr w:type="gramEnd"/>
      <w:r w:rsidRPr="00CB01D6">
        <w:rPr>
          <w:rFonts w:hint="eastAsia"/>
        </w:rPr>
        <w:t>除特殊情况外”，世界银行停止对煤炭项目的支持。欧洲投资银行和欧洲复兴开发银行都采取措施淘汰对</w:t>
      </w:r>
      <w:r w:rsidR="00877C4A">
        <w:rPr>
          <w:rFonts w:hint="eastAsia"/>
        </w:rPr>
        <w:t>燃煤发电</w:t>
      </w:r>
      <w:r w:rsidRPr="00CB01D6">
        <w:rPr>
          <w:rFonts w:hint="eastAsia"/>
        </w:rPr>
        <w:t>厂的金融支持，而一些国家已承诺投资进行替代品研究。加拿大和联合王国在缔约方大会第二十三届会议发起了弃煤发电联盟，目标是把承诺到</w:t>
      </w:r>
      <w:r w:rsidRPr="00CB01D6">
        <w:rPr>
          <w:rFonts w:hint="eastAsia"/>
        </w:rPr>
        <w:t>2030</w:t>
      </w:r>
      <w:r w:rsidRPr="00CB01D6">
        <w:rPr>
          <w:rFonts w:hint="eastAsia"/>
        </w:rPr>
        <w:t>年（非</w:t>
      </w:r>
      <w:r w:rsidRPr="00CB01D6">
        <w:rPr>
          <w:sz w:val="22"/>
        </w:rPr>
        <w:t>经合发组</w:t>
      </w:r>
      <w:r w:rsidRPr="00CB01D6">
        <w:rPr>
          <w:rFonts w:ascii="SimSun" w:hAnsi="SimSun" w:cs="SimSun" w:hint="eastAsia"/>
          <w:sz w:val="22"/>
        </w:rPr>
        <w:t>织</w:t>
      </w:r>
      <w:r w:rsidRPr="00CB01D6">
        <w:rPr>
          <w:rFonts w:hint="eastAsia"/>
        </w:rPr>
        <w:t>伙伴到</w:t>
      </w:r>
      <w:r w:rsidRPr="00CB01D6">
        <w:rPr>
          <w:rFonts w:hint="eastAsia"/>
        </w:rPr>
        <w:t>2050</w:t>
      </w:r>
      <w:r w:rsidRPr="00CB01D6">
        <w:rPr>
          <w:rFonts w:hint="eastAsia"/>
        </w:rPr>
        <w:t>年）淘汰煤炭的联盟成员扩大的</w:t>
      </w:r>
      <w:r w:rsidRPr="00CB01D6">
        <w:rPr>
          <w:rFonts w:hint="eastAsia"/>
        </w:rPr>
        <w:t>5</w:t>
      </w:r>
      <w:r w:rsidRPr="00CB01D6">
        <w:t>0</w:t>
      </w:r>
      <w:r w:rsidRPr="00CB01D6">
        <w:rPr>
          <w:rFonts w:hint="eastAsia"/>
        </w:rPr>
        <w:t>个。</w:t>
      </w:r>
    </w:p>
    <w:p w14:paraId="34ED1486"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lastRenderedPageBreak/>
        <w:t>可再生技术的</w:t>
      </w:r>
      <w:r w:rsidR="00877C4A">
        <w:rPr>
          <w:rFonts w:hint="eastAsia"/>
        </w:rPr>
        <w:t>进展</w:t>
      </w:r>
      <w:r w:rsidRPr="00CB01D6">
        <w:rPr>
          <w:rFonts w:hint="eastAsia"/>
        </w:rPr>
        <w:t>有助于减少生物多样性的影响。例如，风能</w:t>
      </w:r>
      <w:r w:rsidR="00877C4A">
        <w:rPr>
          <w:rFonts w:hint="eastAsia"/>
        </w:rPr>
        <w:t>发电</w:t>
      </w:r>
      <w:r w:rsidRPr="00CB01D6">
        <w:rPr>
          <w:rFonts w:hint="eastAsia"/>
        </w:rPr>
        <w:t>给候鸟带来风险，撞上涡轮机会导致直接死亡，躲避涡轮机则导致改变迁徙路线。如果</w:t>
      </w:r>
      <w:r w:rsidR="00877C4A">
        <w:rPr>
          <w:rFonts w:hint="eastAsia"/>
        </w:rPr>
        <w:t>风能</w:t>
      </w:r>
      <w:r w:rsidRPr="00CB01D6">
        <w:rPr>
          <w:rFonts w:hint="eastAsia"/>
        </w:rPr>
        <w:t>设施避开主要迁徙驿站和飞行路线，或者在移徙高峰期减少涡轮机运行，就可减少这些影响。迁徙翱翔鸟类项目采取合作方式减少埃及能源部门的影响，包括试行“按需关闭”办法，降低风电场对候鸟的风险。</w:t>
      </w:r>
    </w:p>
    <w:p w14:paraId="0639361E"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减缓影响的创新方法包括：西亚马孙地区的无路开发（避免修建油气项目通道带来的影响</w:t>
      </w:r>
      <w:r w:rsidRPr="00CB01D6">
        <w:rPr>
          <w:rFonts w:ascii="SimSun" w:hAnsi="SimSun"/>
          <w:vertAlign w:val="superscript"/>
        </w:rPr>
        <w:footnoteReference w:id="31"/>
      </w:r>
      <w:r w:rsidRPr="00CB01D6">
        <w:rPr>
          <w:rFonts w:hint="eastAsia"/>
        </w:rPr>
        <w:t>），许多地方包括联合王国多塞特使用的大位移钻探（避免对敏感和受保护地点造成直接影响），俄罗斯联邦</w:t>
      </w:r>
      <w:r w:rsidRPr="00CB01D6">
        <w:rPr>
          <w:rFonts w:hint="eastAsia"/>
        </w:rPr>
        <w:t>Sanklin</w:t>
      </w:r>
      <w:r w:rsidRPr="00CB01D6">
        <w:rPr>
          <w:rFonts w:hint="eastAsia"/>
        </w:rPr>
        <w:t>项目</w:t>
      </w:r>
      <w:r w:rsidRPr="00CB01D6">
        <w:rPr>
          <w:rFonts w:hint="eastAsia"/>
        </w:rPr>
        <w:t>II</w:t>
      </w:r>
      <w:r w:rsidR="00F275FA">
        <w:rPr>
          <w:rFonts w:hint="eastAsia"/>
        </w:rPr>
        <w:t>在</w:t>
      </w:r>
      <w:r w:rsidRPr="00CB01D6">
        <w:rPr>
          <w:rFonts w:hint="eastAsia"/>
        </w:rPr>
        <w:t>鲸群</w:t>
      </w:r>
      <w:r w:rsidR="00F275FA">
        <w:rPr>
          <w:rFonts w:hint="eastAsia"/>
        </w:rPr>
        <w:t>游近时</w:t>
      </w:r>
      <w:r w:rsidRPr="00CB01D6">
        <w:rPr>
          <w:rFonts w:hint="eastAsia"/>
        </w:rPr>
        <w:t>停止石油地震勘测。</w:t>
      </w:r>
    </w:p>
    <w:p w14:paraId="5BDDE3C7" w14:textId="499C2DE8"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发展循环经济方法</w:t>
      </w:r>
      <w:r w:rsidRPr="00CB01D6">
        <w:rPr>
          <w:sz w:val="22"/>
        </w:rPr>
        <w:t>——</w:t>
      </w:r>
      <w:r w:rsidRPr="00CB01D6">
        <w:rPr>
          <w:rFonts w:hint="eastAsia"/>
        </w:rPr>
        <w:t>包括从废弃技术（如手机）安全和有效回收开采的材料（矿物和金属）以及开发这些材料的二级市场</w:t>
      </w:r>
      <w:r w:rsidRPr="00CB01D6">
        <w:rPr>
          <w:sz w:val="22"/>
        </w:rPr>
        <w:t>——</w:t>
      </w:r>
      <w:r w:rsidRPr="00CB01D6">
        <w:rPr>
          <w:rFonts w:hint="eastAsia"/>
        </w:rPr>
        <w:t>可放慢对初级生产的需求。例如在瑞典，一家铜冶炼厂</w:t>
      </w:r>
      <w:r w:rsidR="00F275FA">
        <w:rPr>
          <w:rFonts w:hint="eastAsia"/>
        </w:rPr>
        <w:t>生产中</w:t>
      </w:r>
      <w:r w:rsidRPr="00CB01D6">
        <w:rPr>
          <w:rFonts w:hint="eastAsia"/>
        </w:rPr>
        <w:t>使用铜精矿和二次原料，如从欧洲收集的废铜、电子废料和铜渣。各国正在探索新的创新方法，以高效力、高效率回收各种材料。有些工具，例如</w:t>
      </w:r>
      <w:r w:rsidR="0097260A">
        <w:rPr>
          <w:rStyle w:val="ng-binding"/>
        </w:rPr>
        <w:t>欧洲环境</w:t>
      </w:r>
      <w:r w:rsidR="0097260A">
        <w:rPr>
          <w:rStyle w:val="ng-binding"/>
          <w:rFonts w:ascii="SimSun" w:hAnsi="SimSun" w:cs="SimSun" w:hint="eastAsia"/>
        </w:rPr>
        <w:t>署</w:t>
      </w:r>
      <w:r w:rsidR="0097260A">
        <w:rPr>
          <w:rStyle w:val="ng-binding"/>
          <w:rFonts w:ascii="SimSun" w:hAnsi="SimSun" w:cs="SimSun" w:hint="eastAsia"/>
        </w:rPr>
        <w:t>的报</w:t>
      </w:r>
      <w:r w:rsidRPr="00CB01D6">
        <w:rPr>
          <w:rFonts w:hint="eastAsia"/>
        </w:rPr>
        <w:t>废电子电气设备指令，</w:t>
      </w:r>
      <w:r w:rsidR="0097260A">
        <w:rPr>
          <w:rFonts w:hint="eastAsia"/>
        </w:rPr>
        <w:t>有助于</w:t>
      </w:r>
      <w:r w:rsidRPr="00CB01D6">
        <w:rPr>
          <w:rFonts w:hint="eastAsia"/>
        </w:rPr>
        <w:t>回收一些电气和电子设备部件或</w:t>
      </w:r>
      <w:r w:rsidR="0097260A">
        <w:rPr>
          <w:rFonts w:hint="eastAsia"/>
        </w:rPr>
        <w:t>减少</w:t>
      </w:r>
      <w:r w:rsidRPr="00CB01D6">
        <w:rPr>
          <w:rFonts w:hint="eastAsia"/>
        </w:rPr>
        <w:t>其处置</w:t>
      </w:r>
      <w:r w:rsidR="0097260A">
        <w:rPr>
          <w:rFonts w:hint="eastAsia"/>
        </w:rPr>
        <w:t>产生</w:t>
      </w:r>
      <w:r w:rsidRPr="00CB01D6">
        <w:rPr>
          <w:rFonts w:hint="eastAsia"/>
        </w:rPr>
        <w:t>的影响。支持实施节能技术有助于减缓整体需求的增长。采用“绿色”基础设施也具有减少能源需求的潜力。出于一系列经济、环境和社会考虑，采矿部门也在采取创新行动减少矿山废物（即废石和尾矿）</w:t>
      </w:r>
      <w:r w:rsidRPr="00CB01D6">
        <w:rPr>
          <w:rFonts w:ascii="SimSun" w:hAnsi="SimSun"/>
          <w:vertAlign w:val="superscript"/>
        </w:rPr>
        <w:footnoteReference w:id="32"/>
      </w:r>
      <w:r w:rsidRPr="00CB01D6">
        <w:rPr>
          <w:rFonts w:hint="eastAsia"/>
        </w:rPr>
        <w:t>。</w:t>
      </w:r>
    </w:p>
    <w:p w14:paraId="6A78430D"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就经验、知识和资金而言，公私伙伴关系（例如欧洲原料创新伙伴关系</w:t>
      </w:r>
      <w:r w:rsidRPr="00CB01D6">
        <w:rPr>
          <w:rFonts w:ascii="SimSun" w:hAnsi="SimSun"/>
          <w:vertAlign w:val="superscript"/>
        </w:rPr>
        <w:footnoteReference w:id="33"/>
      </w:r>
      <w:r w:rsidRPr="00CB01D6">
        <w:rPr>
          <w:rFonts w:hint="eastAsia"/>
        </w:rPr>
        <w:t>）</w:t>
      </w:r>
      <w:r w:rsidR="00E55663" w:rsidRPr="00CB01D6">
        <w:rPr>
          <w:rFonts w:hint="eastAsia"/>
        </w:rPr>
        <w:t>能为建设能力和开发创新解决方案提供机会</w:t>
      </w:r>
      <w:r w:rsidRPr="00CB01D6">
        <w:rPr>
          <w:rFonts w:hint="eastAsia"/>
        </w:rPr>
        <w:t>。自然资本评估等方法有助于考虑能源和采矿产品的经济和环境成本以及可能的替代方案。国家和国际政策将发挥重要作用，激励在更有效利用资源和对生物多样性影响低和</w:t>
      </w:r>
      <w:proofErr w:type="gramStart"/>
      <w:r w:rsidRPr="00CB01D6">
        <w:rPr>
          <w:rFonts w:hint="eastAsia"/>
        </w:rPr>
        <w:t>碳足迹</w:t>
      </w:r>
      <w:proofErr w:type="gramEnd"/>
      <w:r w:rsidRPr="00CB01D6">
        <w:rPr>
          <w:rFonts w:hint="eastAsia"/>
        </w:rPr>
        <w:t>低的替代能源方面进行研究、创新和开发。</w:t>
      </w:r>
      <w:r w:rsidR="00C10FDB">
        <w:rPr>
          <w:rFonts w:hint="eastAsia"/>
        </w:rPr>
        <w:t xml:space="preserve"> </w:t>
      </w:r>
    </w:p>
    <w:p w14:paraId="22B129EF" w14:textId="77777777" w:rsidR="00CB01D6" w:rsidRPr="00CB01D6" w:rsidRDefault="00CB01D6" w:rsidP="00CB01D6">
      <w:pPr>
        <w:widowControl w:val="0"/>
        <w:overflowPunct w:val="0"/>
        <w:autoSpaceDE w:val="0"/>
        <w:autoSpaceDN w:val="0"/>
        <w:adjustRightInd w:val="0"/>
        <w:spacing w:before="120" w:after="120" w:line="240" w:lineRule="atLeast"/>
        <w:jc w:val="center"/>
        <w:textAlignment w:val="baseline"/>
        <w:rPr>
          <w:rFonts w:ascii="KaiTi" w:eastAsia="KaiTi" w:hAnsi="KaiTi"/>
        </w:rPr>
      </w:pPr>
      <w:r w:rsidRPr="00CB01D6">
        <w:rPr>
          <w:rFonts w:ascii="KaiTi" w:eastAsia="KaiTi" w:hAnsi="KaiTi" w:hint="eastAsia"/>
        </w:rPr>
        <w:t>3</w:t>
      </w:r>
      <w:r w:rsidRPr="00CB01D6">
        <w:rPr>
          <w:rFonts w:ascii="KaiTi" w:eastAsia="KaiTi" w:hAnsi="KaiTi"/>
        </w:rPr>
        <w:t xml:space="preserve">. </w:t>
      </w:r>
      <w:r w:rsidRPr="00CB01D6">
        <w:rPr>
          <w:rFonts w:ascii="KaiTi" w:eastAsia="KaiTi" w:hAnsi="KaiTi" w:hint="eastAsia"/>
        </w:rPr>
        <w:t>创新方面的挑战</w:t>
      </w:r>
    </w:p>
    <w:p w14:paraId="01A271FF"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与其他部门不同，采矿作业的潜在地点受限于（有时严重受限于）</w:t>
      </w:r>
      <w:r w:rsidR="00C10FDB">
        <w:rPr>
          <w:rFonts w:hint="eastAsia"/>
        </w:rPr>
        <w:t>所</w:t>
      </w:r>
      <w:r w:rsidRPr="00CB01D6">
        <w:rPr>
          <w:rFonts w:hint="eastAsia"/>
        </w:rPr>
        <w:t>开采材料的地理分布（和丰度）（通常矿山必须接近要开采的矿石）</w:t>
      </w:r>
      <w:r w:rsidRPr="00CB01D6">
        <w:rPr>
          <w:rFonts w:hint="eastAsia"/>
        </w:rPr>
        <w:t xml:space="preserve"> </w:t>
      </w:r>
      <w:r w:rsidRPr="00CB01D6">
        <w:rPr>
          <w:rFonts w:hint="eastAsia"/>
        </w:rPr>
        <w:t>。一些（尽管不是全部）创新方法，例如石油和天然气的横向钻探，在初始阶段也可能更昂贵，其他方法仍处于试验阶段。研究和实施创新</w:t>
      </w:r>
      <w:r w:rsidR="00C10FDB">
        <w:rPr>
          <w:rFonts w:hint="eastAsia"/>
        </w:rPr>
        <w:t>性</w:t>
      </w:r>
      <w:r w:rsidRPr="00CB01D6">
        <w:rPr>
          <w:rFonts w:hint="eastAsia"/>
        </w:rPr>
        <w:t>减缓方法缺少资金也是一个挑战，需要让投资的公司或机构了解有什么直接收益。</w:t>
      </w:r>
    </w:p>
    <w:p w14:paraId="4FFBF1A4"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虽然太阳能等可再生能源可能是减少碳排放的</w:t>
      </w:r>
      <w:r w:rsidR="00C10FDB">
        <w:rPr>
          <w:rFonts w:hint="eastAsia"/>
        </w:rPr>
        <w:t>重要途径</w:t>
      </w:r>
      <w:r w:rsidRPr="00CB01D6">
        <w:rPr>
          <w:rFonts w:hint="eastAsia"/>
        </w:rPr>
        <w:t>，但制造太阳能技术需要投入，例如提取矿物质，生产过程中需要用水，这也会对生物多样性产生影响。能源生产地点和能源消费地点距离远时，就需要更多传输基础设施（同时带来影响，如野生动物碰到架空电线）。应该指出，不同国家的创新能力水平可能不同，所以</w:t>
      </w:r>
      <w:proofErr w:type="gramStart"/>
      <w:r w:rsidRPr="00CB01D6">
        <w:rPr>
          <w:rFonts w:hint="eastAsia"/>
        </w:rPr>
        <w:t>就良好</w:t>
      </w:r>
      <w:proofErr w:type="gramEnd"/>
      <w:r w:rsidRPr="00CB01D6">
        <w:rPr>
          <w:rFonts w:hint="eastAsia"/>
        </w:rPr>
        <w:t>做法、能力建设</w:t>
      </w:r>
      <w:r w:rsidRPr="00CB01D6">
        <w:rPr>
          <w:rFonts w:hint="eastAsia"/>
        </w:rPr>
        <w:lastRenderedPageBreak/>
        <w:t>和资助实施创新办法分享信息、工具和技术也是一个挑战。</w:t>
      </w:r>
    </w:p>
    <w:p w14:paraId="0F720EA7" w14:textId="77777777" w:rsidR="00CB01D6" w:rsidRPr="00CB01D6" w:rsidRDefault="00CB01D6" w:rsidP="00CB01D6">
      <w:pPr>
        <w:widowControl w:val="0"/>
        <w:overflowPunct w:val="0"/>
        <w:autoSpaceDE w:val="0"/>
        <w:autoSpaceDN w:val="0"/>
        <w:adjustRightInd w:val="0"/>
        <w:spacing w:before="120" w:after="120" w:line="240" w:lineRule="atLeast"/>
        <w:jc w:val="center"/>
        <w:textAlignment w:val="baseline"/>
        <w:rPr>
          <w:b/>
        </w:rPr>
      </w:pPr>
      <w:r w:rsidRPr="00CB01D6">
        <w:rPr>
          <w:rFonts w:hint="eastAsia"/>
          <w:b/>
        </w:rPr>
        <w:t>H.</w:t>
      </w:r>
      <w:r w:rsidRPr="00CB01D6">
        <w:rPr>
          <w:b/>
        </w:rPr>
        <w:t xml:space="preserve"> </w:t>
      </w:r>
      <w:r w:rsidRPr="00CB01D6">
        <w:rPr>
          <w:rFonts w:hint="eastAsia"/>
          <w:b/>
        </w:rPr>
        <w:t>供执行问题附属机构审议的机会</w:t>
      </w:r>
    </w:p>
    <w:p w14:paraId="25A8D517" w14:textId="77777777" w:rsidR="00CB01D6" w:rsidRPr="00CB01D6" w:rsidRDefault="00CB01D6" w:rsidP="00CB01D6">
      <w:pPr>
        <w:widowControl w:val="0"/>
        <w:overflowPunct w:val="0"/>
        <w:autoSpaceDE w:val="0"/>
        <w:autoSpaceDN w:val="0"/>
        <w:adjustRightInd w:val="0"/>
        <w:spacing w:before="120" w:after="120" w:line="240" w:lineRule="atLeast"/>
        <w:jc w:val="center"/>
        <w:textAlignment w:val="baseline"/>
        <w:rPr>
          <w:rFonts w:ascii="KaiTi" w:eastAsia="KaiTi" w:hAnsi="KaiTi"/>
        </w:rPr>
      </w:pPr>
      <w:r w:rsidRPr="00CB01D6">
        <w:rPr>
          <w:rFonts w:ascii="KaiTi" w:eastAsia="KaiTi" w:hAnsi="KaiTi" w:hint="eastAsia"/>
        </w:rPr>
        <w:t>1.</w:t>
      </w:r>
      <w:r w:rsidRPr="00CB01D6">
        <w:rPr>
          <w:rFonts w:ascii="KaiTi" w:eastAsia="KaiTi" w:hAnsi="KaiTi"/>
        </w:rPr>
        <w:t xml:space="preserve"> </w:t>
      </w:r>
      <w:r w:rsidRPr="00CB01D6">
        <w:rPr>
          <w:rFonts w:ascii="KaiTi" w:eastAsia="KaiTi" w:hAnsi="KaiTi" w:hint="eastAsia"/>
        </w:rPr>
        <w:t>缔约方</w:t>
      </w:r>
    </w:p>
    <w:p w14:paraId="5903A494" w14:textId="77777777" w:rsidR="00CB01D6" w:rsidRPr="00CB01D6" w:rsidRDefault="00C10FDB"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Pr>
          <w:rFonts w:hint="eastAsia"/>
        </w:rPr>
        <w:t>针对</w:t>
      </w:r>
      <w:r w:rsidR="00CB01D6" w:rsidRPr="00CB01D6">
        <w:rPr>
          <w:rFonts w:hint="eastAsia"/>
        </w:rPr>
        <w:t>变化</w:t>
      </w:r>
      <w:r>
        <w:rPr>
          <w:rFonts w:hint="eastAsia"/>
        </w:rPr>
        <w:t>中的</w:t>
      </w:r>
      <w:r w:rsidR="00CB01D6" w:rsidRPr="00CB01D6">
        <w:rPr>
          <w:rFonts w:hint="eastAsia"/>
        </w:rPr>
        <w:t>部门、技术、知识和需求，审查并更新有关国家政策和立法，弥补生物多样性和生态系统服务方面的空白。特别是考虑审查、更新和（或）制定以下内容的政策和法律：</w:t>
      </w:r>
    </w:p>
    <w:p w14:paraId="7BCD97B4" w14:textId="77777777" w:rsidR="005D4183" w:rsidRDefault="00CB01D6" w:rsidP="005D4183">
      <w:pPr>
        <w:pStyle w:val="ListParagraph"/>
        <w:widowControl w:val="0"/>
        <w:numPr>
          <w:ilvl w:val="0"/>
          <w:numId w:val="30"/>
        </w:numPr>
        <w:overflowPunct w:val="0"/>
        <w:autoSpaceDE w:val="0"/>
        <w:autoSpaceDN w:val="0"/>
        <w:adjustRightInd w:val="0"/>
        <w:spacing w:before="120" w:after="120" w:line="240" w:lineRule="atLeast"/>
        <w:ind w:left="0" w:firstLine="432"/>
        <w:contextualSpacing w:val="0"/>
        <w:textAlignment w:val="baseline"/>
        <w:rPr>
          <w:rFonts w:ascii="SimSun" w:hAnsi="SimSun"/>
        </w:rPr>
      </w:pPr>
      <w:r w:rsidRPr="005D4183">
        <w:rPr>
          <w:rFonts w:ascii="SimSun" w:hAnsi="SimSun" w:hint="eastAsia"/>
        </w:rPr>
        <w:t>要求进行战略环境评估和环境和社会影响评估（</w:t>
      </w:r>
      <w:r w:rsidR="00DF44B7" w:rsidRPr="005D4183">
        <w:rPr>
          <w:rFonts w:ascii="SimSun" w:hAnsi="SimSun" w:hint="eastAsia"/>
        </w:rPr>
        <w:t>在</w:t>
      </w:r>
      <w:r w:rsidRPr="005D4183">
        <w:rPr>
          <w:rFonts w:ascii="SimSun" w:hAnsi="SimSun" w:hint="eastAsia"/>
        </w:rPr>
        <w:t>部门法律中</w:t>
      </w:r>
      <w:r w:rsidR="00DF44B7" w:rsidRPr="005D4183">
        <w:rPr>
          <w:rFonts w:ascii="SimSun" w:hAnsi="SimSun" w:hint="eastAsia"/>
        </w:rPr>
        <w:t>列入</w:t>
      </w:r>
      <w:r w:rsidRPr="005D4183">
        <w:rPr>
          <w:rFonts w:ascii="SimSun" w:hAnsi="SimSun" w:hint="eastAsia"/>
        </w:rPr>
        <w:t>具体能源和采矿内容），并明确将两个过程联系起来</w:t>
      </w:r>
      <w:r w:rsidR="005D4183" w:rsidRPr="005D4183">
        <w:rPr>
          <w:rFonts w:ascii="SimSun" w:hAnsi="SimSun" w:hint="eastAsia"/>
        </w:rPr>
        <w:t>；</w:t>
      </w:r>
    </w:p>
    <w:p w14:paraId="1941E1B5" w14:textId="77777777" w:rsidR="00CB01D6" w:rsidRPr="005D4183" w:rsidRDefault="00CB01D6" w:rsidP="005D4183">
      <w:pPr>
        <w:pStyle w:val="ListParagraph"/>
        <w:widowControl w:val="0"/>
        <w:numPr>
          <w:ilvl w:val="0"/>
          <w:numId w:val="30"/>
        </w:numPr>
        <w:overflowPunct w:val="0"/>
        <w:autoSpaceDE w:val="0"/>
        <w:autoSpaceDN w:val="0"/>
        <w:adjustRightInd w:val="0"/>
        <w:spacing w:before="120" w:after="120" w:line="240" w:lineRule="atLeast"/>
        <w:ind w:left="0" w:firstLine="432"/>
        <w:contextualSpacing w:val="0"/>
        <w:textAlignment w:val="baseline"/>
        <w:rPr>
          <w:rFonts w:ascii="SimSun" w:hAnsi="SimSun"/>
        </w:rPr>
      </w:pPr>
      <w:r w:rsidRPr="005D4183">
        <w:rPr>
          <w:rFonts w:ascii="SimSun" w:hAnsi="SimSun" w:hint="eastAsia"/>
        </w:rPr>
        <w:t>授权一个中央环境机构审查由部门机构或政策发布机构就进行战略环境评估的必要性所作的决定</w:t>
      </w:r>
      <w:r w:rsidR="005D4183" w:rsidRPr="005D4183">
        <w:rPr>
          <w:rFonts w:ascii="SimSun" w:hAnsi="SimSun" w:hint="eastAsia"/>
        </w:rPr>
        <w:t>；</w:t>
      </w:r>
    </w:p>
    <w:p w14:paraId="0F7CA669" w14:textId="77777777" w:rsidR="00CB01D6" w:rsidRPr="005D4183" w:rsidRDefault="00CB01D6" w:rsidP="005D4183">
      <w:pPr>
        <w:pStyle w:val="ListParagraph"/>
        <w:widowControl w:val="0"/>
        <w:numPr>
          <w:ilvl w:val="0"/>
          <w:numId w:val="30"/>
        </w:numPr>
        <w:overflowPunct w:val="0"/>
        <w:autoSpaceDE w:val="0"/>
        <w:autoSpaceDN w:val="0"/>
        <w:adjustRightInd w:val="0"/>
        <w:spacing w:before="120" w:after="120" w:line="240" w:lineRule="atLeast"/>
        <w:ind w:left="0" w:firstLine="432"/>
        <w:contextualSpacing w:val="0"/>
        <w:textAlignment w:val="baseline"/>
        <w:rPr>
          <w:rFonts w:ascii="SimSun" w:hAnsi="SimSun"/>
        </w:rPr>
      </w:pPr>
      <w:r w:rsidRPr="005D4183">
        <w:rPr>
          <w:rFonts w:ascii="SimSun" w:hAnsi="SimSun" w:hint="eastAsia"/>
        </w:rPr>
        <w:t>根据《里约环境与发展宣言》原则10，从早期阶段开始并在整个战略环境评估和环境和社会影响评估过程中确保知情和有效的公众参与（包括被确定为与生态系统服务相关或依赖生态系统服务的利益攸关者）</w:t>
      </w:r>
      <w:r w:rsidR="005D4183">
        <w:rPr>
          <w:rFonts w:ascii="SimSun" w:hAnsi="SimSun" w:hint="eastAsia"/>
        </w:rPr>
        <w:t>；</w:t>
      </w:r>
    </w:p>
    <w:p w14:paraId="3C08D2D3" w14:textId="77777777" w:rsidR="00CB01D6" w:rsidRPr="005D4183" w:rsidRDefault="00CB01D6" w:rsidP="005D4183">
      <w:pPr>
        <w:pStyle w:val="ListParagraph"/>
        <w:widowControl w:val="0"/>
        <w:numPr>
          <w:ilvl w:val="0"/>
          <w:numId w:val="30"/>
        </w:numPr>
        <w:overflowPunct w:val="0"/>
        <w:autoSpaceDE w:val="0"/>
        <w:autoSpaceDN w:val="0"/>
        <w:adjustRightInd w:val="0"/>
        <w:spacing w:before="120" w:after="120" w:line="240" w:lineRule="atLeast"/>
        <w:ind w:left="0" w:firstLine="432"/>
        <w:contextualSpacing w:val="0"/>
        <w:textAlignment w:val="baseline"/>
        <w:rPr>
          <w:rFonts w:ascii="SimSun" w:hAnsi="SimSun"/>
        </w:rPr>
      </w:pPr>
      <w:r w:rsidRPr="005D4183">
        <w:rPr>
          <w:rFonts w:ascii="SimSun" w:hAnsi="SimSun" w:hint="eastAsia"/>
        </w:rPr>
        <w:t>在部门、影响评估和公共财政法律中列入国际良好做法要点（例如国际金融公司绩效标准6的要点）</w:t>
      </w:r>
      <w:r w:rsidR="005D4183">
        <w:rPr>
          <w:rFonts w:ascii="SimSun" w:hAnsi="SimSun" w:hint="eastAsia"/>
        </w:rPr>
        <w:t>；</w:t>
      </w:r>
    </w:p>
    <w:p w14:paraId="398CC9D6" w14:textId="77777777" w:rsidR="00CB01D6" w:rsidRPr="005D4183" w:rsidRDefault="00CB01D6" w:rsidP="005D4183">
      <w:pPr>
        <w:pStyle w:val="ListParagraph"/>
        <w:widowControl w:val="0"/>
        <w:numPr>
          <w:ilvl w:val="0"/>
          <w:numId w:val="30"/>
        </w:numPr>
        <w:overflowPunct w:val="0"/>
        <w:autoSpaceDE w:val="0"/>
        <w:autoSpaceDN w:val="0"/>
        <w:adjustRightInd w:val="0"/>
        <w:spacing w:before="120" w:after="120" w:line="240" w:lineRule="atLeast"/>
        <w:ind w:left="0" w:firstLine="432"/>
        <w:contextualSpacing w:val="0"/>
        <w:textAlignment w:val="baseline"/>
        <w:rPr>
          <w:rFonts w:ascii="SimSun" w:hAnsi="SimSun"/>
        </w:rPr>
      </w:pPr>
      <w:r w:rsidRPr="005D4183">
        <w:rPr>
          <w:rFonts w:ascii="SimSun" w:hAnsi="SimSun" w:hint="eastAsia"/>
        </w:rPr>
        <w:t>列入减缓层次、生物多样性净收益目标、累积和引</w:t>
      </w:r>
      <w:r w:rsidR="00DF44B7" w:rsidRPr="005D4183">
        <w:rPr>
          <w:rFonts w:ascii="SimSun" w:hAnsi="SimSun" w:hint="eastAsia"/>
        </w:rPr>
        <w:t>发</w:t>
      </w:r>
      <w:r w:rsidRPr="005D4183">
        <w:rPr>
          <w:rFonts w:ascii="SimSun" w:hAnsi="SimSun" w:hint="eastAsia"/>
        </w:rPr>
        <w:t>影响、替代物考虑、生物多样性指标和基线的使用以及自然资本评估等概念</w:t>
      </w:r>
      <w:r w:rsidR="005D4183">
        <w:rPr>
          <w:rFonts w:ascii="SimSun" w:hAnsi="SimSun" w:hint="eastAsia"/>
        </w:rPr>
        <w:t>；</w:t>
      </w:r>
    </w:p>
    <w:p w14:paraId="6927E0C5" w14:textId="77777777" w:rsidR="00CB01D6" w:rsidRPr="005D4183" w:rsidRDefault="00CB01D6" w:rsidP="005D4183">
      <w:pPr>
        <w:pStyle w:val="ListParagraph"/>
        <w:widowControl w:val="0"/>
        <w:numPr>
          <w:ilvl w:val="0"/>
          <w:numId w:val="30"/>
        </w:numPr>
        <w:overflowPunct w:val="0"/>
        <w:autoSpaceDE w:val="0"/>
        <w:autoSpaceDN w:val="0"/>
        <w:adjustRightInd w:val="0"/>
        <w:spacing w:before="120" w:after="120" w:line="240" w:lineRule="atLeast"/>
        <w:ind w:left="0" w:firstLine="432"/>
        <w:contextualSpacing w:val="0"/>
        <w:textAlignment w:val="baseline"/>
        <w:rPr>
          <w:rFonts w:ascii="SimSun" w:hAnsi="SimSun"/>
        </w:rPr>
      </w:pPr>
      <w:r w:rsidRPr="005D4183">
        <w:rPr>
          <w:rFonts w:ascii="SimSun" w:hAnsi="SimSun" w:hint="eastAsia"/>
        </w:rPr>
        <w:t>确保运营人提供财务担保，以便在能源和采矿项目结束后有资金用于</w:t>
      </w:r>
      <w:proofErr w:type="gramStart"/>
      <w:r w:rsidRPr="005D4183">
        <w:rPr>
          <w:rFonts w:ascii="SimSun" w:hAnsi="SimSun" w:hint="eastAsia"/>
        </w:rPr>
        <w:t>治理受</w:t>
      </w:r>
      <w:proofErr w:type="gramEnd"/>
      <w:r w:rsidRPr="005D4183">
        <w:rPr>
          <w:rFonts w:ascii="SimSun" w:hAnsi="SimSun" w:hint="eastAsia"/>
        </w:rPr>
        <w:t>影响的土地，包括采取</w:t>
      </w:r>
      <w:r w:rsidR="00DF44B7" w:rsidRPr="005D4183">
        <w:rPr>
          <w:rFonts w:ascii="SimSun" w:hAnsi="SimSun" w:hint="eastAsia"/>
        </w:rPr>
        <w:t>措施</w:t>
      </w:r>
      <w:r w:rsidRPr="005D4183">
        <w:rPr>
          <w:rFonts w:ascii="SimSun" w:hAnsi="SimSun" w:hint="eastAsia"/>
        </w:rPr>
        <w:t>恢复生物多样性</w:t>
      </w:r>
      <w:r w:rsidR="005D4183">
        <w:rPr>
          <w:rFonts w:ascii="SimSun" w:hAnsi="SimSun" w:hint="eastAsia"/>
        </w:rPr>
        <w:t>；</w:t>
      </w:r>
    </w:p>
    <w:p w14:paraId="39E6D117" w14:textId="77777777" w:rsidR="00CB01D6" w:rsidRPr="005D4183" w:rsidRDefault="00CB01D6" w:rsidP="005D4183">
      <w:pPr>
        <w:pStyle w:val="ListParagraph"/>
        <w:widowControl w:val="0"/>
        <w:numPr>
          <w:ilvl w:val="0"/>
          <w:numId w:val="30"/>
        </w:numPr>
        <w:overflowPunct w:val="0"/>
        <w:autoSpaceDE w:val="0"/>
        <w:autoSpaceDN w:val="0"/>
        <w:adjustRightInd w:val="0"/>
        <w:spacing w:before="120" w:after="120" w:line="240" w:lineRule="atLeast"/>
        <w:ind w:left="0" w:firstLine="432"/>
        <w:contextualSpacing w:val="0"/>
        <w:textAlignment w:val="baseline"/>
        <w:rPr>
          <w:rFonts w:ascii="SimSun" w:hAnsi="SimSun"/>
        </w:rPr>
      </w:pPr>
      <w:r w:rsidRPr="005D4183">
        <w:rPr>
          <w:rFonts w:ascii="SimSun" w:hAnsi="SimSun" w:hint="eastAsia"/>
        </w:rPr>
        <w:t>确保机制到位（</w:t>
      </w:r>
      <w:proofErr w:type="gramStart"/>
      <w:r w:rsidR="00DF44B7" w:rsidRPr="005D4183">
        <w:rPr>
          <w:rFonts w:ascii="SimSun" w:hAnsi="SimSun" w:hint="eastAsia"/>
        </w:rPr>
        <w:t>且</w:t>
      </w:r>
      <w:r w:rsidRPr="005D4183">
        <w:rPr>
          <w:rFonts w:ascii="SimSun" w:hAnsi="SimSun" w:hint="eastAsia"/>
        </w:rPr>
        <w:t>表达</w:t>
      </w:r>
      <w:proofErr w:type="gramEnd"/>
      <w:r w:rsidR="00DF44B7" w:rsidRPr="005D4183">
        <w:rPr>
          <w:rFonts w:ascii="SimSun" w:hAnsi="SimSun" w:hint="eastAsia"/>
        </w:rPr>
        <w:t>清晰</w:t>
      </w:r>
      <w:r w:rsidRPr="005D4183">
        <w:rPr>
          <w:rFonts w:ascii="SimSun" w:hAnsi="SimSun" w:hint="eastAsia"/>
        </w:rPr>
        <w:t>），保证从过程一开始就有问责，处理不遵守环境核准条件（即商定的减缓措施）问题，包括便利受影响社区申诉的机制</w:t>
      </w:r>
      <w:r w:rsidR="005D4183">
        <w:rPr>
          <w:rFonts w:ascii="SimSun" w:hAnsi="SimSun" w:hint="eastAsia"/>
        </w:rPr>
        <w:t>；</w:t>
      </w:r>
    </w:p>
    <w:p w14:paraId="66F02BEE" w14:textId="77777777" w:rsidR="00CB01D6" w:rsidRPr="005D4183" w:rsidRDefault="00CB01D6" w:rsidP="005D4183">
      <w:pPr>
        <w:pStyle w:val="ListParagraph"/>
        <w:widowControl w:val="0"/>
        <w:numPr>
          <w:ilvl w:val="0"/>
          <w:numId w:val="30"/>
        </w:numPr>
        <w:overflowPunct w:val="0"/>
        <w:autoSpaceDE w:val="0"/>
        <w:autoSpaceDN w:val="0"/>
        <w:adjustRightInd w:val="0"/>
        <w:spacing w:before="120" w:after="120" w:line="240" w:lineRule="atLeast"/>
        <w:ind w:left="0" w:firstLine="432"/>
        <w:contextualSpacing w:val="0"/>
        <w:textAlignment w:val="baseline"/>
        <w:rPr>
          <w:rFonts w:ascii="SimSun" w:hAnsi="SimSun"/>
        </w:rPr>
      </w:pPr>
      <w:r w:rsidRPr="005D4183">
        <w:rPr>
          <w:rFonts w:ascii="SimSun" w:hAnsi="SimSun" w:hint="eastAsia"/>
        </w:rPr>
        <w:t>制定明确机制，确保能源和采矿信息的透明度和可获性以及对投入的回应;</w:t>
      </w:r>
    </w:p>
    <w:p w14:paraId="26D23BBA" w14:textId="77777777" w:rsidR="00CB01D6" w:rsidRPr="005D4183" w:rsidRDefault="00CB01D6" w:rsidP="005D4183">
      <w:pPr>
        <w:pStyle w:val="ListParagraph"/>
        <w:widowControl w:val="0"/>
        <w:numPr>
          <w:ilvl w:val="0"/>
          <w:numId w:val="30"/>
        </w:numPr>
        <w:overflowPunct w:val="0"/>
        <w:autoSpaceDE w:val="0"/>
        <w:autoSpaceDN w:val="0"/>
        <w:adjustRightInd w:val="0"/>
        <w:spacing w:before="120" w:after="120" w:line="240" w:lineRule="atLeast"/>
        <w:ind w:left="0" w:firstLine="432"/>
        <w:contextualSpacing w:val="0"/>
        <w:textAlignment w:val="baseline"/>
        <w:rPr>
          <w:rFonts w:ascii="SimSun" w:hAnsi="SimSun"/>
        </w:rPr>
      </w:pPr>
      <w:r w:rsidRPr="005D4183">
        <w:rPr>
          <w:rFonts w:ascii="SimSun" w:hAnsi="SimSun" w:hint="eastAsia"/>
        </w:rPr>
        <w:t>在法律上确定根据战略性政策规划程序哪些地理区域禁止勘探</w:t>
      </w:r>
      <w:r w:rsidRPr="005D4183">
        <w:rPr>
          <w:vertAlign w:val="superscript"/>
        </w:rPr>
        <w:footnoteReference w:id="34"/>
      </w:r>
      <w:r w:rsidR="005D4183">
        <w:rPr>
          <w:rFonts w:ascii="SimSun" w:hAnsi="SimSun" w:hint="eastAsia"/>
        </w:rPr>
        <w:t>；</w:t>
      </w:r>
    </w:p>
    <w:p w14:paraId="6A4A287B" w14:textId="77777777" w:rsidR="00CB01D6" w:rsidRPr="005D4183" w:rsidRDefault="00CB01D6" w:rsidP="005D4183">
      <w:pPr>
        <w:pStyle w:val="ListParagraph"/>
        <w:widowControl w:val="0"/>
        <w:numPr>
          <w:ilvl w:val="0"/>
          <w:numId w:val="30"/>
        </w:numPr>
        <w:overflowPunct w:val="0"/>
        <w:autoSpaceDE w:val="0"/>
        <w:autoSpaceDN w:val="0"/>
        <w:adjustRightInd w:val="0"/>
        <w:spacing w:before="120" w:after="120" w:line="240" w:lineRule="atLeast"/>
        <w:ind w:left="0" w:firstLine="432"/>
        <w:contextualSpacing w:val="0"/>
        <w:textAlignment w:val="baseline"/>
        <w:rPr>
          <w:rFonts w:ascii="SimSun" w:hAnsi="SimSun"/>
        </w:rPr>
      </w:pPr>
      <w:r w:rsidRPr="005D4183">
        <w:rPr>
          <w:rFonts w:ascii="SimSun" w:hAnsi="SimSun" w:hint="eastAsia"/>
        </w:rPr>
        <w:t>列入符合国际标准的废物管理程序，尽量减少废物和毒性的产生，鼓励废物回收，确保短期和长期安全处置</w:t>
      </w:r>
      <w:r w:rsidR="005D4183">
        <w:rPr>
          <w:rFonts w:ascii="SimSun" w:hAnsi="SimSun" w:hint="eastAsia"/>
        </w:rPr>
        <w:t>；</w:t>
      </w:r>
    </w:p>
    <w:p w14:paraId="39FFF5B0" w14:textId="77777777" w:rsidR="00CB01D6" w:rsidRPr="005D4183" w:rsidRDefault="00CB01D6" w:rsidP="005D4183">
      <w:pPr>
        <w:pStyle w:val="ListParagraph"/>
        <w:widowControl w:val="0"/>
        <w:numPr>
          <w:ilvl w:val="0"/>
          <w:numId w:val="30"/>
        </w:numPr>
        <w:overflowPunct w:val="0"/>
        <w:autoSpaceDE w:val="0"/>
        <w:autoSpaceDN w:val="0"/>
        <w:adjustRightInd w:val="0"/>
        <w:spacing w:before="120" w:after="120" w:line="240" w:lineRule="atLeast"/>
        <w:ind w:left="0" w:firstLine="432"/>
        <w:contextualSpacing w:val="0"/>
        <w:textAlignment w:val="baseline"/>
        <w:rPr>
          <w:rFonts w:ascii="SimSun" w:hAnsi="SimSun"/>
        </w:rPr>
      </w:pPr>
      <w:r w:rsidRPr="005D4183">
        <w:rPr>
          <w:rFonts w:ascii="SimSun" w:hAnsi="SimSun" w:hint="eastAsia"/>
        </w:rPr>
        <w:t>确保环境和工业法律</w:t>
      </w:r>
      <w:r w:rsidR="00DF44B7" w:rsidRPr="005D4183">
        <w:rPr>
          <w:rFonts w:ascii="SimSun" w:hAnsi="SimSun" w:hint="eastAsia"/>
        </w:rPr>
        <w:t>、</w:t>
      </w:r>
      <w:r w:rsidRPr="005D4183">
        <w:rPr>
          <w:rFonts w:ascii="SimSun" w:hAnsi="SimSun" w:hint="eastAsia"/>
        </w:rPr>
        <w:t>政策之间的一致性（例如在能源和采矿计划中直接提及与生物多样性有关的法律和政策）</w:t>
      </w:r>
      <w:r w:rsidR="005D4183">
        <w:rPr>
          <w:rFonts w:ascii="SimSun" w:hAnsi="SimSun" w:hint="eastAsia"/>
        </w:rPr>
        <w:t>；</w:t>
      </w:r>
    </w:p>
    <w:p w14:paraId="2B813635" w14:textId="77777777" w:rsidR="005D4183" w:rsidRPr="005D4183" w:rsidRDefault="00CB01D6" w:rsidP="005D4183">
      <w:pPr>
        <w:pStyle w:val="ListParagraph"/>
        <w:widowControl w:val="0"/>
        <w:numPr>
          <w:ilvl w:val="0"/>
          <w:numId w:val="30"/>
        </w:numPr>
        <w:overflowPunct w:val="0"/>
        <w:autoSpaceDE w:val="0"/>
        <w:autoSpaceDN w:val="0"/>
        <w:adjustRightInd w:val="0"/>
        <w:spacing w:before="120" w:after="120" w:line="240" w:lineRule="atLeast"/>
        <w:ind w:left="0" w:firstLine="432"/>
        <w:contextualSpacing w:val="0"/>
        <w:textAlignment w:val="baseline"/>
        <w:rPr>
          <w:rFonts w:ascii="SimSun" w:hAnsi="SimSun"/>
        </w:rPr>
      </w:pPr>
      <w:r w:rsidRPr="005D4183">
        <w:rPr>
          <w:rFonts w:ascii="SimSun" w:hAnsi="SimSun" w:hint="eastAsia"/>
        </w:rPr>
        <w:lastRenderedPageBreak/>
        <w:t>促进</w:t>
      </w:r>
      <w:r w:rsidR="00362FC3" w:rsidRPr="005D4183">
        <w:rPr>
          <w:rFonts w:ascii="SimSun" w:hAnsi="SimSun" w:hint="eastAsia"/>
        </w:rPr>
        <w:t>分享</w:t>
      </w:r>
      <w:r w:rsidRPr="005D4183">
        <w:rPr>
          <w:rFonts w:ascii="SimSun" w:hAnsi="SimSun" w:hint="eastAsia"/>
        </w:rPr>
        <w:t>数据和信息，支持发展国家平台和（或）网络以增加获取这些信息的机会，包括来自国家专属经济区的信息（认识到这在许多国家已经存在）</w:t>
      </w:r>
      <w:r w:rsidR="005D4183" w:rsidRPr="005D4183">
        <w:rPr>
          <w:rFonts w:ascii="SimSun" w:hAnsi="SimSun" w:hint="eastAsia"/>
        </w:rPr>
        <w:t>；</w:t>
      </w:r>
    </w:p>
    <w:p w14:paraId="17095DDB" w14:textId="77777777" w:rsidR="00CB01D6" w:rsidRPr="005D4183" w:rsidRDefault="00CB01D6" w:rsidP="005D4183">
      <w:pPr>
        <w:pStyle w:val="ListParagraph"/>
        <w:widowControl w:val="0"/>
        <w:numPr>
          <w:ilvl w:val="0"/>
          <w:numId w:val="30"/>
        </w:numPr>
        <w:overflowPunct w:val="0"/>
        <w:autoSpaceDE w:val="0"/>
        <w:autoSpaceDN w:val="0"/>
        <w:adjustRightInd w:val="0"/>
        <w:spacing w:before="120" w:after="120" w:line="240" w:lineRule="atLeast"/>
        <w:ind w:left="0" w:firstLine="432"/>
        <w:contextualSpacing w:val="0"/>
        <w:textAlignment w:val="baseline"/>
        <w:rPr>
          <w:rFonts w:ascii="SimSun" w:hAnsi="SimSun"/>
        </w:rPr>
      </w:pPr>
      <w:r w:rsidRPr="005D4183">
        <w:rPr>
          <w:rFonts w:ascii="SimSun" w:hAnsi="SimSun" w:hint="eastAsia"/>
        </w:rPr>
        <w:t>要求、鼓励和（或）支持企业</w:t>
      </w:r>
      <w:r w:rsidR="00362FC3" w:rsidRPr="005D4183">
        <w:rPr>
          <w:rFonts w:ascii="SimSun" w:hAnsi="SimSun" w:hint="eastAsia"/>
        </w:rPr>
        <w:t>公开</w:t>
      </w:r>
      <w:r w:rsidRPr="005D4183">
        <w:rPr>
          <w:rFonts w:ascii="SimSun" w:hAnsi="SimSun" w:hint="eastAsia"/>
        </w:rPr>
        <w:t>从能源和采矿项目收集的生物多样性数据（如通过环境和社会影响评估收集的数据），使其可访问和</w:t>
      </w:r>
      <w:proofErr w:type="gramStart"/>
      <w:r w:rsidRPr="005D4183">
        <w:rPr>
          <w:rFonts w:ascii="SimSun" w:hAnsi="SimSun" w:hint="eastAsia"/>
        </w:rPr>
        <w:t>可</w:t>
      </w:r>
      <w:proofErr w:type="gramEnd"/>
      <w:r w:rsidRPr="005D4183">
        <w:rPr>
          <w:rFonts w:ascii="SimSun" w:hAnsi="SimSun" w:hint="eastAsia"/>
        </w:rPr>
        <w:t>互操作（即通过提交国家生物多样性平台）</w:t>
      </w:r>
      <w:r w:rsidR="005D4183">
        <w:rPr>
          <w:rFonts w:ascii="SimSun" w:hAnsi="SimSun" w:hint="eastAsia"/>
        </w:rPr>
        <w:t>；</w:t>
      </w:r>
    </w:p>
    <w:p w14:paraId="5D6262CA" w14:textId="77777777" w:rsidR="00CB01D6" w:rsidRPr="005D4183" w:rsidRDefault="00CB01D6" w:rsidP="005D4183">
      <w:pPr>
        <w:pStyle w:val="ListParagraph"/>
        <w:widowControl w:val="0"/>
        <w:numPr>
          <w:ilvl w:val="0"/>
          <w:numId w:val="30"/>
        </w:numPr>
        <w:overflowPunct w:val="0"/>
        <w:autoSpaceDE w:val="0"/>
        <w:autoSpaceDN w:val="0"/>
        <w:adjustRightInd w:val="0"/>
        <w:spacing w:before="120" w:after="120" w:line="240" w:lineRule="atLeast"/>
        <w:ind w:left="0" w:firstLine="432"/>
        <w:contextualSpacing w:val="0"/>
        <w:textAlignment w:val="baseline"/>
        <w:rPr>
          <w:rFonts w:ascii="SimSun" w:hAnsi="SimSun"/>
        </w:rPr>
      </w:pPr>
      <w:r w:rsidRPr="005D4183">
        <w:rPr>
          <w:rFonts w:ascii="SimSun" w:hAnsi="SimSun" w:hint="eastAsia"/>
        </w:rPr>
        <w:t>支持在国外开展活动时将生物多样性纳入能源和采矿主流。这可能包括</w:t>
      </w:r>
      <w:r w:rsidR="00362FC3" w:rsidRPr="005D4183">
        <w:rPr>
          <w:rFonts w:ascii="SimSun" w:hAnsi="SimSun" w:hint="eastAsia"/>
        </w:rPr>
        <w:t>规定国家注册公司</w:t>
      </w:r>
      <w:r w:rsidRPr="005D4183">
        <w:rPr>
          <w:rFonts w:ascii="SimSun" w:hAnsi="SimSun" w:hint="eastAsia"/>
        </w:rPr>
        <w:t>在其他地方运营</w:t>
      </w:r>
      <w:r w:rsidR="00362FC3" w:rsidRPr="005D4183">
        <w:rPr>
          <w:rFonts w:ascii="SimSun" w:hAnsi="SimSun" w:hint="eastAsia"/>
        </w:rPr>
        <w:t>时</w:t>
      </w:r>
      <w:r w:rsidRPr="005D4183">
        <w:rPr>
          <w:rFonts w:ascii="SimSun" w:hAnsi="SimSun" w:hint="eastAsia"/>
        </w:rPr>
        <w:t>的最低标准</w:t>
      </w:r>
      <w:r w:rsidR="00362FC3" w:rsidRPr="005D4183">
        <w:rPr>
          <w:rFonts w:ascii="SimSun" w:hAnsi="SimSun" w:hint="eastAsia"/>
        </w:rPr>
        <w:t>，</w:t>
      </w:r>
      <w:r w:rsidRPr="005D4183">
        <w:rPr>
          <w:rFonts w:ascii="SimSun" w:hAnsi="SimSun" w:hint="eastAsia"/>
        </w:rPr>
        <w:t>或规定政府采购的产品必须满足最低要求</w:t>
      </w:r>
      <w:r w:rsidR="0046251A">
        <w:rPr>
          <w:rFonts w:ascii="SimSun" w:hAnsi="SimSun" w:hint="eastAsia"/>
        </w:rPr>
        <w:t>；</w:t>
      </w:r>
    </w:p>
    <w:p w14:paraId="2274BD1F" w14:textId="77777777" w:rsidR="00CB01D6" w:rsidRPr="005D4183" w:rsidRDefault="00CB01D6" w:rsidP="005D4183">
      <w:pPr>
        <w:pStyle w:val="ListParagraph"/>
        <w:widowControl w:val="0"/>
        <w:numPr>
          <w:ilvl w:val="0"/>
          <w:numId w:val="30"/>
        </w:numPr>
        <w:overflowPunct w:val="0"/>
        <w:autoSpaceDE w:val="0"/>
        <w:autoSpaceDN w:val="0"/>
        <w:adjustRightInd w:val="0"/>
        <w:spacing w:before="120" w:after="120" w:line="240" w:lineRule="atLeast"/>
        <w:ind w:left="0" w:firstLine="432"/>
        <w:contextualSpacing w:val="0"/>
        <w:textAlignment w:val="baseline"/>
        <w:rPr>
          <w:rFonts w:ascii="SimSun" w:hAnsi="SimSun"/>
        </w:rPr>
      </w:pPr>
      <w:r w:rsidRPr="005D4183">
        <w:rPr>
          <w:rFonts w:ascii="SimSun" w:hAnsi="SimSun" w:hint="eastAsia"/>
        </w:rPr>
        <w:t>考虑采取战略，根据</w:t>
      </w:r>
      <w:r w:rsidRPr="005D4183">
        <w:rPr>
          <w:rFonts w:ascii="SimSun" w:hAnsi="SimSun"/>
        </w:rPr>
        <w:t>《水俣公约</w:t>
      </w:r>
      <w:r w:rsidRPr="005D4183">
        <w:rPr>
          <w:rFonts w:ascii="SimSun" w:hAnsi="SimSun" w:cs="SimSun" w:hint="eastAsia"/>
        </w:rPr>
        <w:t>》</w:t>
      </w:r>
      <w:r w:rsidRPr="005D4183">
        <w:rPr>
          <w:rFonts w:ascii="SimSun" w:hAnsi="SimSun" w:hint="eastAsia"/>
        </w:rPr>
        <w:t>规定的行动更好的规范手工和小规模采矿部门，包括正规化。</w:t>
      </w:r>
    </w:p>
    <w:p w14:paraId="73880AA7"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弥补执行上的一个空白（或缺口），即有法律要求但没有（充分）阐述或遵守。这包括确保政府有财政手段和能力进行战略环境评估并强制遵守法律要求。</w:t>
      </w:r>
    </w:p>
    <w:p w14:paraId="450D91F1"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与财政部和部门部委合作，考虑将能源和采矿部门产生的收入用于建设环境监管能力。</w:t>
      </w:r>
    </w:p>
    <w:p w14:paraId="34A4AC55"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考虑将利益攸关方分析（如生计和人权评估）要点与生态系统估值挂钩，帮助公平评估能源和采矿项目对生计和人权的影响。</w:t>
      </w:r>
    </w:p>
    <w:p w14:paraId="2C74144B"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便利</w:t>
      </w:r>
      <w:r w:rsidR="00A10E5D">
        <w:rPr>
          <w:rFonts w:hint="eastAsia"/>
        </w:rPr>
        <w:t>陆地</w:t>
      </w:r>
      <w:r w:rsidRPr="00CB01D6">
        <w:rPr>
          <w:rFonts w:hint="eastAsia"/>
        </w:rPr>
        <w:t>景观</w:t>
      </w:r>
      <w:r w:rsidRPr="00CB01D6">
        <w:rPr>
          <w:rFonts w:hint="eastAsia"/>
        </w:rPr>
        <w:t>/</w:t>
      </w:r>
      <w:r w:rsidR="00A10E5D">
        <w:rPr>
          <w:rFonts w:hint="eastAsia"/>
        </w:rPr>
        <w:t>海洋景观</w:t>
      </w:r>
      <w:r w:rsidRPr="00CB01D6">
        <w:rPr>
          <w:rFonts w:hint="eastAsia"/>
        </w:rPr>
        <w:t>层面的地区规划，使用一致的战略环境评估，将生物多样性价值观和环节纳入国家和地方的规划机制和政策。有关法律通过之前考虑推行自愿性战略环境评估。</w:t>
      </w:r>
    </w:p>
    <w:p w14:paraId="7C3B4BCC"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鼓励跨政府</w:t>
      </w:r>
      <w:r w:rsidRPr="00CB01D6">
        <w:rPr>
          <w:rFonts w:hint="eastAsia"/>
        </w:rPr>
        <w:t>/</w:t>
      </w:r>
      <w:r w:rsidRPr="00CB01D6">
        <w:rPr>
          <w:rFonts w:hint="eastAsia"/>
        </w:rPr>
        <w:t>部委间政策方法和对话，加强了解自然的价值以及与能源和采矿相关的潜在影响和机遇。这可包括传播机制和（或）任命有权在政府机构内部和政府机构之间采取行动的联络点。</w:t>
      </w:r>
    </w:p>
    <w:p w14:paraId="09D7C70D"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考虑使用包括政府（包括财政和能源部长）、学术界、私营部门和非政府组织、土著人民和地方社区在内的利益攸关方的现有企业和生物多样性平台，鼓励对话，建设处理生物多样性问题的能力。</w:t>
      </w:r>
    </w:p>
    <w:p w14:paraId="35FBED9A"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与其他政府和捐助者合作，查明信息交流、能力建设和筹资的机会。</w:t>
      </w:r>
    </w:p>
    <w:p w14:paraId="1CD70969"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考虑与能源和采矿部门的企业建立公私伙伴关系以建立能力。</w:t>
      </w:r>
    </w:p>
    <w:p w14:paraId="0090BA2B"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探索并界定备选办法，激励可持续采矿和能源做法的研究、创新和发展，特别是那些考虑生物多样性和减少碳排放的做法。这可包括制定培训或能力建设计划，将学习生物多样性、生态系统服务和创新纳入一系列教育机构的课程。</w:t>
      </w:r>
    </w:p>
    <w:p w14:paraId="4B42BFDD"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采取措施减少需求，发展循环经济。</w:t>
      </w:r>
    </w:p>
    <w:p w14:paraId="5AC75C9F"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支持圆满执行国家生物多样性行动计划和战略。在后续审查过程中考虑具体部门的</w:t>
      </w:r>
      <w:r w:rsidRPr="00CB01D6">
        <w:rPr>
          <w:rFonts w:hint="eastAsia"/>
        </w:rPr>
        <w:lastRenderedPageBreak/>
        <w:t>能源和采矿目标和行动，建立协调机制，与其他国家战略和计划保持一致，以资源低耗高效的方式实现共同目标。</w:t>
      </w:r>
    </w:p>
    <w:p w14:paraId="2D39352D"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与私营部门一道探索企业国家生物多样性战略和行动计划的备选方案。</w:t>
      </w:r>
    </w:p>
    <w:p w14:paraId="06B9CB07"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将国家生物多样性平台（如果存在）与其</w:t>
      </w:r>
      <w:proofErr w:type="gramStart"/>
      <w:r w:rsidRPr="00CB01D6">
        <w:rPr>
          <w:rFonts w:hint="eastAsia"/>
        </w:rPr>
        <w:t>他协定下</w:t>
      </w:r>
      <w:proofErr w:type="gramEnd"/>
      <w:r w:rsidRPr="00CB01D6">
        <w:rPr>
          <w:rFonts w:hint="eastAsia"/>
        </w:rPr>
        <w:t>的报告</w:t>
      </w:r>
      <w:r w:rsidRPr="00CB01D6">
        <w:rPr>
          <w:rFonts w:hint="eastAsia"/>
        </w:rPr>
        <w:t>/</w:t>
      </w:r>
      <w:r w:rsidRPr="00CB01D6">
        <w:rPr>
          <w:rFonts w:hint="eastAsia"/>
        </w:rPr>
        <w:t>数据收集义务联系起来，以实现协同</w:t>
      </w:r>
      <w:r w:rsidR="00A10E5D">
        <w:rPr>
          <w:rFonts w:hint="eastAsia"/>
        </w:rPr>
        <w:t>作用</w:t>
      </w:r>
      <w:r w:rsidRPr="00CB01D6">
        <w:rPr>
          <w:rFonts w:hint="eastAsia"/>
        </w:rPr>
        <w:t>，节约成本。</w:t>
      </w:r>
    </w:p>
    <w:p w14:paraId="20AE908E"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向执行秘书报告其将生物多样性纳入采矿和能源部门主流的战略，包括运作可持续发展目标</w:t>
      </w:r>
      <w:r w:rsidRPr="00CB01D6">
        <w:rPr>
          <w:rFonts w:hint="eastAsia"/>
        </w:rPr>
        <w:t>16</w:t>
      </w:r>
      <w:r w:rsidRPr="00CB01D6">
        <w:rPr>
          <w:rFonts w:hint="eastAsia"/>
        </w:rPr>
        <w:t>：“</w:t>
      </w:r>
      <w:r w:rsidRPr="00CB01D6">
        <w:t>创建和平、包容的社会以促进可持续发展，让所有人都能诉诸司法，在各级建立有效、负责和包容的机</w:t>
      </w:r>
      <w:r w:rsidRPr="00CB01D6">
        <w:rPr>
          <w:rFonts w:ascii="SimSun" w:hAnsi="SimSun" w:cs="SimSun"/>
        </w:rPr>
        <w:t>构</w:t>
      </w:r>
      <w:r w:rsidRPr="00CB01D6">
        <w:rPr>
          <w:rFonts w:ascii="SimSun" w:hAnsi="SimSun" w:cs="SimSun" w:hint="eastAsia"/>
        </w:rPr>
        <w:t>”的试点经验</w:t>
      </w:r>
      <w:r w:rsidRPr="00CB01D6">
        <w:rPr>
          <w:rFonts w:hint="eastAsia"/>
        </w:rPr>
        <w:t>。</w:t>
      </w:r>
    </w:p>
    <w:p w14:paraId="63EC5639" w14:textId="77777777" w:rsidR="00CB01D6" w:rsidRPr="00CB01D6" w:rsidRDefault="00CB01D6" w:rsidP="00CB01D6">
      <w:pPr>
        <w:widowControl w:val="0"/>
        <w:overflowPunct w:val="0"/>
        <w:autoSpaceDE w:val="0"/>
        <w:autoSpaceDN w:val="0"/>
        <w:adjustRightInd w:val="0"/>
        <w:spacing w:before="120" w:after="120" w:line="240" w:lineRule="atLeast"/>
        <w:jc w:val="center"/>
        <w:textAlignment w:val="baseline"/>
        <w:rPr>
          <w:rFonts w:ascii="KaiTi" w:eastAsia="KaiTi" w:hAnsi="KaiTi"/>
        </w:rPr>
      </w:pPr>
      <w:r w:rsidRPr="00CB01D6">
        <w:rPr>
          <w:rFonts w:ascii="KaiTi" w:eastAsia="KaiTi" w:hAnsi="KaiTi" w:hint="eastAsia"/>
        </w:rPr>
        <w:t>2.</w:t>
      </w:r>
      <w:r w:rsidRPr="00CB01D6">
        <w:rPr>
          <w:rFonts w:ascii="KaiTi" w:eastAsia="KaiTi" w:hAnsi="KaiTi"/>
        </w:rPr>
        <w:t xml:space="preserve"> </w:t>
      </w:r>
      <w:r w:rsidRPr="00CB01D6">
        <w:rPr>
          <w:rFonts w:ascii="KaiTi" w:eastAsia="KaiTi" w:hAnsi="KaiTi" w:hint="eastAsia"/>
        </w:rPr>
        <w:t>执行秘书</w:t>
      </w:r>
    </w:p>
    <w:p w14:paraId="7CB4C336"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支持缔约方</w:t>
      </w:r>
      <w:r w:rsidR="00A10E5D">
        <w:rPr>
          <w:rFonts w:hint="eastAsia"/>
        </w:rPr>
        <w:t>与</w:t>
      </w:r>
      <w:r w:rsidRPr="00CB01D6">
        <w:rPr>
          <w:rFonts w:hint="eastAsia"/>
        </w:rPr>
        <w:t>国际组织（如联合国环境规划署、联合国开发计划署、联合国人权理事会</w:t>
      </w:r>
      <w:r w:rsidRPr="00CB01D6">
        <w:rPr>
          <w:rFonts w:ascii="SimSun" w:hAnsi="SimSun"/>
          <w:vertAlign w:val="superscript"/>
        </w:rPr>
        <w:footnoteReference w:id="35"/>
      </w:r>
      <w:r w:rsidRPr="00CB01D6">
        <w:rPr>
          <w:rFonts w:hint="eastAsia"/>
        </w:rPr>
        <w:t>）之间的协调，以避免重复并查明在国家一级执行多边环境协定的协同作用。</w:t>
      </w:r>
    </w:p>
    <w:p w14:paraId="3DB1EE25"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为缔约方拟定指导意见，用于适当评估能源和采矿特许权、生物多样性核算、人类福祉、采矿基础设施公共投资所涉问题、破产后可能与其他公共环境投资相竞争的补救责任。</w:t>
      </w:r>
    </w:p>
    <w:p w14:paraId="6E09E146"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支持缔约方在一致的环境和产业政策中采用清晰简洁的语言，特别是将国际承诺转化为国家框架时。</w:t>
      </w:r>
    </w:p>
    <w:p w14:paraId="0C14207C"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与缔约方、专家和其他相关利益攸关方一道审查战略环境评估和环境和社会影响评估方面的现行指导材料。考虑制定和发布更新的指导意见，包括如何纳入生态系统服务考虑的建议。</w:t>
      </w:r>
    </w:p>
    <w:p w14:paraId="7B2EF7CE"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与工商和金融部门协作促进战略环境评估，将其作为可持续企业的重要工具，并通过这一过程获得其对政府的支持。</w:t>
      </w:r>
    </w:p>
    <w:p w14:paraId="53E593F8"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提供一个平台，分享将生物多样性纳入能源和采矿部门主流的信息和经验。</w:t>
      </w:r>
    </w:p>
    <w:p w14:paraId="296A6DEE"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考虑设立一个正式特设专家组，帮助缔约方和利益攸关方建立有效、透明、负责任和包容性的机构。</w:t>
      </w:r>
    </w:p>
    <w:p w14:paraId="73081F52"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鼓励国际组织，包括全球环境基金、世界银行和相关区域开发银行，在实施尽责制度时使用《生物多样性公约》的保障措施自愿准则和</w:t>
      </w:r>
      <w:r w:rsidRPr="00CB01D6">
        <w:rPr>
          <w:rFonts w:ascii="SimSun" w:hAnsi="SimSun" w:hint="eastAsia"/>
        </w:rPr>
        <w:t>阿格维古自愿准则</w:t>
      </w:r>
      <w:r w:rsidRPr="00CB01D6">
        <w:rPr>
          <w:rFonts w:hint="eastAsia"/>
        </w:rPr>
        <w:t>。与金融部门协作为生物多样性纳入能源和采矿部门主流开发创新</w:t>
      </w:r>
      <w:r w:rsidR="00A10E5D">
        <w:rPr>
          <w:rFonts w:hint="eastAsia"/>
        </w:rPr>
        <w:t>性</w:t>
      </w:r>
      <w:r w:rsidRPr="00CB01D6">
        <w:rPr>
          <w:rFonts w:hint="eastAsia"/>
        </w:rPr>
        <w:t>筹资安排，包括为社区和替代能源创新者提供透明、可用的资金。</w:t>
      </w:r>
    </w:p>
    <w:p w14:paraId="19A68128" w14:textId="77777777" w:rsidR="00CB01D6" w:rsidRPr="00CB01D6" w:rsidRDefault="001D394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Pr>
          <w:rFonts w:hint="eastAsia"/>
        </w:rPr>
        <w:t>提高</w:t>
      </w:r>
      <w:r w:rsidR="00CB01D6" w:rsidRPr="00CB01D6">
        <w:rPr>
          <w:rFonts w:hint="eastAsia"/>
        </w:rPr>
        <w:t>生物多样性纳入能源和采矿部门主流的数据和工具</w:t>
      </w:r>
      <w:r>
        <w:rPr>
          <w:rFonts w:hint="eastAsia"/>
        </w:rPr>
        <w:t>的可获性</w:t>
      </w:r>
      <w:r w:rsidR="00CB01D6" w:rsidRPr="00CB01D6">
        <w:rPr>
          <w:rFonts w:hint="eastAsia"/>
        </w:rPr>
        <w:t>，包括促进和便利</w:t>
      </w:r>
      <w:r w:rsidR="00CB01D6" w:rsidRPr="00CB01D6">
        <w:rPr>
          <w:rFonts w:hint="eastAsia"/>
        </w:rPr>
        <w:lastRenderedPageBreak/>
        <w:t>已活跃于此领域的组织的工作，便利缔约方开展同行学习，掌握资助和创建有效国家生物多样性和生态服务数据平台的机制。</w:t>
      </w:r>
    </w:p>
    <w:p w14:paraId="23B59275"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与企业界和学术界协作促进可持续能源和采矿做法方面的创新，便利缔约方开展同行学习，掌握在国家和区域层面资助和鼓励与生物多样性相容的创新的机制。这可包括酌情促进技术转让。</w:t>
      </w:r>
    </w:p>
    <w:p w14:paraId="07C04B74" w14:textId="77777777" w:rsidR="00CB01D6" w:rsidRPr="00CB01D6" w:rsidRDefault="001D394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Pr>
          <w:rFonts w:hint="eastAsia"/>
        </w:rPr>
        <w:t>为</w:t>
      </w:r>
      <w:r w:rsidR="00CB01D6" w:rsidRPr="00CB01D6">
        <w:rPr>
          <w:rFonts w:hint="eastAsia"/>
        </w:rPr>
        <w:t>《生物多样性公约》</w:t>
      </w:r>
      <w:r>
        <w:rPr>
          <w:rFonts w:hint="eastAsia"/>
        </w:rPr>
        <w:t>拟定</w:t>
      </w:r>
      <w:r w:rsidR="00CB01D6" w:rsidRPr="00CB01D6">
        <w:rPr>
          <w:rFonts w:hint="eastAsia"/>
        </w:rPr>
        <w:t>一项生物多样性创新长期战略主题。</w:t>
      </w:r>
    </w:p>
    <w:p w14:paraId="771B5669" w14:textId="77777777" w:rsidR="00CB01D6" w:rsidRPr="00CB01D6" w:rsidRDefault="00CB01D6" w:rsidP="00CB01D6">
      <w:pPr>
        <w:widowControl w:val="0"/>
        <w:overflowPunct w:val="0"/>
        <w:autoSpaceDE w:val="0"/>
        <w:autoSpaceDN w:val="0"/>
        <w:adjustRightInd w:val="0"/>
        <w:spacing w:before="120" w:after="120" w:line="240" w:lineRule="atLeast"/>
        <w:jc w:val="center"/>
        <w:textAlignment w:val="baseline"/>
        <w:rPr>
          <w:rFonts w:ascii="KaiTi" w:eastAsia="KaiTi" w:hAnsi="KaiTi"/>
        </w:rPr>
      </w:pPr>
      <w:r w:rsidRPr="00CB01D6">
        <w:rPr>
          <w:rFonts w:ascii="KaiTi" w:eastAsia="KaiTi" w:hAnsi="KaiTi" w:hint="eastAsia"/>
        </w:rPr>
        <w:t>3.</w:t>
      </w:r>
      <w:r w:rsidRPr="00CB01D6">
        <w:rPr>
          <w:rFonts w:ascii="KaiTi" w:eastAsia="KaiTi" w:hAnsi="KaiTi"/>
        </w:rPr>
        <w:t xml:space="preserve"> </w:t>
      </w:r>
      <w:r w:rsidRPr="00CB01D6">
        <w:rPr>
          <w:rFonts w:ascii="KaiTi" w:eastAsia="KaiTi" w:hAnsi="KaiTi" w:hint="eastAsia"/>
        </w:rPr>
        <w:t>私营部门</w:t>
      </w:r>
    </w:p>
    <w:p w14:paraId="6ECEFFF7"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与缔约方一道探索企业国家生物多样性战略和行动计划的备选方案。</w:t>
      </w:r>
    </w:p>
    <w:p w14:paraId="163E9075"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确保项目配合（并参与）战略层面的规划工作。</w:t>
      </w:r>
    </w:p>
    <w:p w14:paraId="7938975E"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确保遵守提供更多生物多样性保障的国家法律或国际良好做法。特别是在规划阶段和整个项目生命周期寻求机会加强生物多样性和生态系统服务。</w:t>
      </w:r>
    </w:p>
    <w:p w14:paraId="0B13DA34"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参与</w:t>
      </w:r>
      <w:r w:rsidRPr="00CB01D6">
        <w:rPr>
          <w:rFonts w:ascii="SimSun" w:hAnsi="SimSun"/>
          <w:color w:val="000000"/>
        </w:rPr>
        <w:t>企业</w:t>
      </w:r>
      <w:r w:rsidRPr="00CB01D6">
        <w:rPr>
          <w:rFonts w:ascii="SimSun" w:hAnsi="SimSun" w:hint="eastAsia"/>
          <w:color w:val="000000"/>
        </w:rPr>
        <w:t>界与</w:t>
      </w:r>
      <w:r w:rsidRPr="00CB01D6">
        <w:rPr>
          <w:rFonts w:ascii="SimSun" w:hAnsi="SimSun"/>
          <w:color w:val="000000"/>
        </w:rPr>
        <w:t>生物多样性全球伙伴关系</w:t>
      </w:r>
      <w:r w:rsidRPr="00CB01D6">
        <w:rPr>
          <w:rFonts w:hint="eastAsia"/>
        </w:rPr>
        <w:t>下的国家举措。</w:t>
      </w:r>
    </w:p>
    <w:p w14:paraId="13A6A37B"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支持制定生物多样性指标以评估生物多样性的影响。</w:t>
      </w:r>
    </w:p>
    <w:p w14:paraId="7ADA6E10"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采用生物多样性数据通用收集标准（例如全球生物多样性信息机制使用的</w:t>
      </w:r>
      <w:r w:rsidRPr="00CB01D6">
        <w:t>“</w:t>
      </w:r>
      <w:r w:rsidRPr="00CB01D6">
        <w:rPr>
          <w:rFonts w:hint="eastAsia"/>
        </w:rPr>
        <w:t>达尔文核心”</w:t>
      </w:r>
      <w:r w:rsidRPr="00CB01D6">
        <w:rPr>
          <w:rFonts w:ascii="SimSun" w:hAnsi="SimSun"/>
          <w:vertAlign w:val="superscript"/>
        </w:rPr>
        <w:footnoteReference w:id="36"/>
      </w:r>
      <w:r w:rsidRPr="00CB01D6">
        <w:rPr>
          <w:rFonts w:hint="eastAsia"/>
        </w:rPr>
        <w:t>）以便利数据分享，建立机制与政府和其他方面分享从环境和社会影响评估和监测中收集的生物多样性数据。</w:t>
      </w:r>
    </w:p>
    <w:p w14:paraId="28BD477C"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分享发达油气经济体和新兴经济体将生物多样性纳入业务和项目主流的信息和经验。</w:t>
      </w:r>
    </w:p>
    <w:p w14:paraId="006C3AA4"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探索为可持续能源和采矿项目筹资和使用自然资本评估等工具编制企划案的备选方案。投资促进旨在减少需求和提高效率的创新性能源和采矿做法的研究和开发，包括开发创新做法循环</w:t>
      </w:r>
      <w:r w:rsidR="00017E3C">
        <w:rPr>
          <w:rFonts w:hint="eastAsia"/>
        </w:rPr>
        <w:t>和</w:t>
      </w:r>
      <w:r w:rsidRPr="00CB01D6">
        <w:rPr>
          <w:rFonts w:hint="eastAsia"/>
        </w:rPr>
        <w:t>回收开采的材料，有效减缓对生物多样性和生态系统服务的影响。</w:t>
      </w:r>
    </w:p>
    <w:p w14:paraId="531249D8" w14:textId="77777777" w:rsidR="00CB01D6" w:rsidRPr="00CB01D6" w:rsidRDefault="00CB01D6" w:rsidP="00CB01D6">
      <w:pPr>
        <w:widowControl w:val="0"/>
        <w:numPr>
          <w:ilvl w:val="0"/>
          <w:numId w:val="16"/>
        </w:numPr>
        <w:tabs>
          <w:tab w:val="clear" w:pos="1080"/>
        </w:tabs>
        <w:overflowPunct w:val="0"/>
        <w:autoSpaceDE w:val="0"/>
        <w:autoSpaceDN w:val="0"/>
        <w:adjustRightInd w:val="0"/>
        <w:spacing w:before="120" w:after="120" w:line="240" w:lineRule="atLeast"/>
        <w:ind w:left="0" w:firstLine="0"/>
        <w:textAlignment w:val="baseline"/>
      </w:pPr>
      <w:r w:rsidRPr="00CB01D6">
        <w:rPr>
          <w:rFonts w:hint="eastAsia"/>
        </w:rPr>
        <w:t>支持和制定负责任的生物多样性和生态系统服务供应链举措，使消费者</w:t>
      </w:r>
      <w:proofErr w:type="gramStart"/>
      <w:r w:rsidRPr="00CB01D6">
        <w:rPr>
          <w:rFonts w:hint="eastAsia"/>
        </w:rPr>
        <w:t>作出</w:t>
      </w:r>
      <w:proofErr w:type="gramEnd"/>
      <w:r w:rsidRPr="00CB01D6">
        <w:rPr>
          <w:rFonts w:hint="eastAsia"/>
        </w:rPr>
        <w:t>知情的选择，推动</w:t>
      </w:r>
      <w:r w:rsidR="00017E3C">
        <w:rPr>
          <w:rFonts w:hint="eastAsia"/>
        </w:rPr>
        <w:t>对</w:t>
      </w:r>
      <w:r w:rsidRPr="00CB01D6">
        <w:rPr>
          <w:rFonts w:hint="eastAsia"/>
        </w:rPr>
        <w:t>可持续采购材料的需求。</w:t>
      </w:r>
    </w:p>
    <w:p w14:paraId="7FA7BA02" w14:textId="77777777" w:rsidR="00CB01D6" w:rsidRPr="00CB01D6" w:rsidRDefault="00CB01D6" w:rsidP="00CB01D6">
      <w:pPr>
        <w:widowControl w:val="0"/>
        <w:overflowPunct w:val="0"/>
        <w:autoSpaceDE w:val="0"/>
        <w:autoSpaceDN w:val="0"/>
        <w:adjustRightInd w:val="0"/>
        <w:spacing w:before="120" w:after="120" w:line="240" w:lineRule="atLeast"/>
        <w:ind w:left="360"/>
        <w:textAlignment w:val="baseline"/>
      </w:pPr>
    </w:p>
    <w:p w14:paraId="6097E286" w14:textId="77777777" w:rsidR="00CB01D6" w:rsidRPr="00CB01D6" w:rsidRDefault="00CB01D6" w:rsidP="00CB01D6">
      <w:pPr>
        <w:widowControl w:val="0"/>
        <w:overflowPunct w:val="0"/>
        <w:autoSpaceDE w:val="0"/>
        <w:autoSpaceDN w:val="0"/>
        <w:adjustRightInd w:val="0"/>
        <w:spacing w:before="120" w:after="120" w:line="240" w:lineRule="atLeast"/>
        <w:ind w:left="360"/>
        <w:jc w:val="center"/>
        <w:textAlignment w:val="baseline"/>
      </w:pPr>
      <w:r w:rsidRPr="00CB01D6">
        <w:t>__________</w:t>
      </w:r>
    </w:p>
    <w:p w14:paraId="3DDA1C00" w14:textId="77777777" w:rsidR="00EC64BC" w:rsidRPr="00B52A50" w:rsidRDefault="00EC64BC" w:rsidP="00440DCE">
      <w:pPr>
        <w:tabs>
          <w:tab w:val="left" w:pos="720"/>
        </w:tabs>
        <w:spacing w:before="120" w:after="120"/>
      </w:pPr>
    </w:p>
    <w:sectPr w:rsidR="00EC64BC" w:rsidRPr="00B52A50" w:rsidSect="00C1197C">
      <w:headerReference w:type="even" r:id="rId12"/>
      <w:headerReference w:type="default" r:id="rId13"/>
      <w:footerReference w:type="even" r:id="rId14"/>
      <w:footerReference w:type="default" r:id="rId15"/>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C3327" w14:textId="77777777" w:rsidR="007C443A" w:rsidRDefault="007C443A">
      <w:r>
        <w:separator/>
      </w:r>
    </w:p>
  </w:endnote>
  <w:endnote w:type="continuationSeparator" w:id="0">
    <w:p w14:paraId="5D511BEF" w14:textId="77777777" w:rsidR="007C443A" w:rsidRDefault="007C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2C3DD" w14:textId="77777777" w:rsidR="00CA5D52" w:rsidRDefault="00CA5D52">
    <w:pPr>
      <w:tabs>
        <w:tab w:val="left" w:pos="480"/>
        <w:tab w:val="left" w:pos="840"/>
      </w:tabs>
    </w:pPr>
  </w:p>
  <w:p w14:paraId="2630F20B" w14:textId="77777777" w:rsidR="00CA5D52" w:rsidRDefault="00CA5D52">
    <w:pPr>
      <w:tabs>
        <w:tab w:val="left" w:pos="720"/>
      </w:tabs>
    </w:pPr>
    <w:r>
      <w:t xml:space="preserve">   </w:t>
    </w:r>
  </w:p>
  <w:p w14:paraId="3EC2541B" w14:textId="77777777" w:rsidR="00CA5D52" w:rsidRDefault="00CA5D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2AF9A" w14:textId="77777777" w:rsidR="00CA5D52" w:rsidRDefault="00CA5D52">
    <w:pPr>
      <w:jc w:val="left"/>
    </w:pPr>
  </w:p>
  <w:p w14:paraId="7997A1F9" w14:textId="77777777" w:rsidR="00CA5D52" w:rsidRDefault="00CA5D52">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3B393" w14:textId="77777777" w:rsidR="007C443A" w:rsidRDefault="007C443A">
      <w:r>
        <w:separator/>
      </w:r>
    </w:p>
  </w:footnote>
  <w:footnote w:type="continuationSeparator" w:id="0">
    <w:p w14:paraId="29F939AA" w14:textId="77777777" w:rsidR="007C443A" w:rsidRDefault="007C443A">
      <w:r>
        <w:continuationSeparator/>
      </w:r>
    </w:p>
  </w:footnote>
  <w:footnote w:id="1">
    <w:p w14:paraId="597C7139" w14:textId="21F57152" w:rsidR="00CA5D52" w:rsidRPr="00C64F18" w:rsidRDefault="00CA5D52" w:rsidP="00B60FA8">
      <w:pPr>
        <w:pStyle w:val="FootnoteText"/>
        <w:kinsoku w:val="0"/>
        <w:overflowPunct w:val="0"/>
        <w:autoSpaceDE w:val="0"/>
        <w:autoSpaceDN w:val="0"/>
        <w:adjustRightInd w:val="0"/>
        <w:snapToGrid w:val="0"/>
        <w:ind w:firstLine="0"/>
        <w:jc w:val="left"/>
        <w:rPr>
          <w:kern w:val="18"/>
          <w:szCs w:val="18"/>
        </w:rPr>
      </w:pPr>
      <w:r w:rsidRPr="00B60FA8">
        <w:rPr>
          <w:rStyle w:val="FootnoteReference"/>
          <w:kern w:val="18"/>
          <w:szCs w:val="18"/>
        </w:rPr>
        <w:t>*</w:t>
      </w:r>
      <w:r w:rsidRPr="00B60FA8">
        <w:rPr>
          <w:kern w:val="18"/>
          <w:szCs w:val="18"/>
        </w:rPr>
        <w:t xml:space="preserve"> </w:t>
      </w:r>
      <w:hyperlink r:id="rId1" w:history="1">
        <w:r w:rsidRPr="00BC7630">
          <w:rPr>
            <w:rStyle w:val="Hyperlink"/>
            <w:rFonts w:ascii="Times New Roman" w:hAnsi="Times New Roman"/>
            <w:bCs/>
            <w:kern w:val="18"/>
            <w:szCs w:val="18"/>
          </w:rPr>
          <w:t>CBD/SBI/2/1</w:t>
        </w:r>
      </w:hyperlink>
      <w:r w:rsidRPr="00C64F18">
        <w:rPr>
          <w:kern w:val="18"/>
          <w:szCs w:val="18"/>
        </w:rPr>
        <w:t>.</w:t>
      </w:r>
    </w:p>
  </w:footnote>
  <w:footnote w:id="2">
    <w:p w14:paraId="16106C27" w14:textId="77777777" w:rsidR="00CA5D52" w:rsidRPr="00C64F18" w:rsidRDefault="00CA5D52" w:rsidP="002F3AEE">
      <w:pPr>
        <w:pStyle w:val="FootnoteText"/>
        <w:kinsoku w:val="0"/>
        <w:overflowPunct w:val="0"/>
        <w:autoSpaceDE w:val="0"/>
        <w:autoSpaceDN w:val="0"/>
        <w:adjustRightInd w:val="0"/>
        <w:snapToGrid w:val="0"/>
        <w:ind w:firstLine="0"/>
        <w:jc w:val="left"/>
        <w:rPr>
          <w:kern w:val="18"/>
          <w:szCs w:val="18"/>
        </w:rPr>
      </w:pPr>
      <w:r w:rsidRPr="0097260A">
        <w:rPr>
          <w:rStyle w:val="FootnoteReference"/>
          <w:kern w:val="18"/>
          <w:sz w:val="20"/>
          <w:szCs w:val="20"/>
        </w:rPr>
        <w:footnoteRef/>
      </w:r>
      <w:r w:rsidRPr="0097260A">
        <w:rPr>
          <w:rFonts w:hint="eastAsia"/>
          <w:kern w:val="18"/>
          <w:szCs w:val="20"/>
        </w:rPr>
        <w:t xml:space="preserve"> </w:t>
      </w:r>
      <w:r>
        <w:rPr>
          <w:rFonts w:hint="eastAsia"/>
          <w:kern w:val="18"/>
          <w:szCs w:val="18"/>
        </w:rPr>
        <w:t>文件</w:t>
      </w:r>
      <w:r w:rsidRPr="003E71AB">
        <w:rPr>
          <w:rFonts w:ascii="Times New Roman" w:hAnsi="Times New Roman"/>
          <w:bCs/>
          <w:kern w:val="18"/>
          <w:szCs w:val="18"/>
        </w:rPr>
        <w:t>CBD/SBSTTA/21/INF/5</w:t>
      </w:r>
      <w:r w:rsidRPr="00C64F18">
        <w:rPr>
          <w:bCs/>
          <w:kern w:val="18"/>
          <w:szCs w:val="18"/>
        </w:rPr>
        <w:t>(</w:t>
      </w:r>
      <w:r>
        <w:rPr>
          <w:rFonts w:hint="eastAsia"/>
          <w:bCs/>
          <w:kern w:val="18"/>
          <w:szCs w:val="18"/>
        </w:rPr>
        <w:t xml:space="preserve">环境评估立法 </w:t>
      </w:r>
      <w:r>
        <w:rPr>
          <w:bCs/>
          <w:kern w:val="18"/>
          <w:szCs w:val="18"/>
        </w:rPr>
        <w:t>–</w:t>
      </w:r>
      <w:r>
        <w:rPr>
          <w:rFonts w:hint="eastAsia"/>
          <w:bCs/>
          <w:kern w:val="18"/>
          <w:szCs w:val="18"/>
        </w:rPr>
        <w:t xml:space="preserve"> 全球概览</w:t>
      </w:r>
      <w:r w:rsidRPr="00C64F18">
        <w:rPr>
          <w:bCs/>
          <w:kern w:val="18"/>
          <w:szCs w:val="18"/>
        </w:rPr>
        <w:t>)</w:t>
      </w:r>
      <w:r>
        <w:rPr>
          <w:rFonts w:hint="eastAsia"/>
          <w:bCs/>
          <w:kern w:val="18"/>
          <w:szCs w:val="18"/>
        </w:rPr>
        <w:t>；文件</w:t>
      </w:r>
      <w:r w:rsidRPr="003E71AB">
        <w:rPr>
          <w:kern w:val="18"/>
          <w:szCs w:val="18"/>
        </w:rPr>
        <w:t xml:space="preserve"> </w:t>
      </w:r>
      <w:r w:rsidRPr="003E71AB">
        <w:rPr>
          <w:rFonts w:ascii="Times New Roman" w:hAnsi="Times New Roman"/>
          <w:bCs/>
          <w:kern w:val="18"/>
          <w:szCs w:val="18"/>
        </w:rPr>
        <w:t>CBD/SBSTTA/21/INF/9</w:t>
      </w:r>
      <w:r w:rsidRPr="00C64F18">
        <w:rPr>
          <w:bCs/>
          <w:kern w:val="18"/>
          <w:szCs w:val="18"/>
        </w:rPr>
        <w:t>(</w:t>
      </w:r>
      <w:r>
        <w:rPr>
          <w:rFonts w:hint="eastAsia"/>
          <w:bCs/>
          <w:kern w:val="18"/>
          <w:szCs w:val="18"/>
        </w:rPr>
        <w:t>能源和采矿</w:t>
      </w:r>
      <w:r w:rsidRPr="00C64F18">
        <w:rPr>
          <w:bCs/>
          <w:kern w:val="18"/>
          <w:szCs w:val="18"/>
        </w:rPr>
        <w:t>)</w:t>
      </w:r>
      <w:r>
        <w:rPr>
          <w:rFonts w:hint="eastAsia"/>
          <w:bCs/>
          <w:kern w:val="18"/>
          <w:szCs w:val="18"/>
        </w:rPr>
        <w:t>；文件</w:t>
      </w:r>
      <w:r w:rsidRPr="003E71AB">
        <w:rPr>
          <w:rFonts w:ascii="Times New Roman" w:hAnsi="Times New Roman"/>
          <w:bCs/>
          <w:kern w:val="18"/>
          <w:szCs w:val="18"/>
        </w:rPr>
        <w:t>CBD/SBSTTA/21/INF/13</w:t>
      </w:r>
      <w:r w:rsidRPr="00C64F18">
        <w:rPr>
          <w:bCs/>
          <w:kern w:val="18"/>
          <w:szCs w:val="18"/>
        </w:rPr>
        <w:t>(</w:t>
      </w:r>
      <w:r>
        <w:rPr>
          <w:rFonts w:hint="eastAsia"/>
          <w:bCs/>
          <w:kern w:val="18"/>
          <w:szCs w:val="18"/>
        </w:rPr>
        <w:t>战略环境评估和环境评估)；文件</w:t>
      </w:r>
      <w:r w:rsidRPr="003E71AB">
        <w:rPr>
          <w:rFonts w:ascii="Times New Roman" w:hAnsi="Times New Roman"/>
          <w:bCs/>
          <w:kern w:val="18"/>
          <w:szCs w:val="18"/>
        </w:rPr>
        <w:t>CBD/SBSTTA/21/INF/15</w:t>
      </w:r>
      <w:r w:rsidRPr="00C64F18">
        <w:rPr>
          <w:bCs/>
          <w:kern w:val="18"/>
          <w:szCs w:val="18"/>
        </w:rPr>
        <w:t>(</w:t>
      </w:r>
      <w:r>
        <w:rPr>
          <w:rFonts w:hint="eastAsia"/>
          <w:bCs/>
          <w:kern w:val="18"/>
          <w:szCs w:val="18"/>
        </w:rPr>
        <w:t>根据主流</w:t>
      </w:r>
      <w:proofErr w:type="gramStart"/>
      <w:r>
        <w:rPr>
          <w:rFonts w:hint="eastAsia"/>
          <w:bCs/>
          <w:kern w:val="18"/>
          <w:szCs w:val="18"/>
        </w:rPr>
        <w:t>化需求</w:t>
      </w:r>
      <w:proofErr w:type="gramEnd"/>
      <w:r>
        <w:rPr>
          <w:rFonts w:hint="eastAsia"/>
          <w:bCs/>
          <w:kern w:val="18"/>
          <w:szCs w:val="18"/>
        </w:rPr>
        <w:t>和《</w:t>
      </w:r>
      <w:r w:rsidRPr="002F3AEE">
        <w:rPr>
          <w:rFonts w:hint="eastAsia"/>
          <w:bCs/>
          <w:kern w:val="18"/>
          <w:szCs w:val="18"/>
        </w:rPr>
        <w:t>2011-2020年生物多样性战略计划</w:t>
      </w:r>
      <w:r>
        <w:rPr>
          <w:rFonts w:hint="eastAsia"/>
          <w:bCs/>
          <w:kern w:val="18"/>
          <w:szCs w:val="18"/>
        </w:rPr>
        <w:t>》</w:t>
      </w:r>
      <w:r w:rsidRPr="002F3AEE">
        <w:rPr>
          <w:rFonts w:hint="eastAsia"/>
          <w:bCs/>
          <w:kern w:val="18"/>
          <w:szCs w:val="18"/>
        </w:rPr>
        <w:t>，如何充分利用现有工作</w:t>
      </w:r>
      <w:r>
        <w:rPr>
          <w:rFonts w:hint="eastAsia"/>
          <w:bCs/>
          <w:kern w:val="18"/>
          <w:szCs w:val="18"/>
        </w:rPr>
        <w:t>方案</w:t>
      </w:r>
      <w:r w:rsidRPr="002F3AEE">
        <w:rPr>
          <w:rFonts w:hint="eastAsia"/>
          <w:bCs/>
          <w:kern w:val="18"/>
          <w:szCs w:val="18"/>
        </w:rPr>
        <w:t>进一步加强</w:t>
      </w:r>
      <w:r>
        <w:rPr>
          <w:rFonts w:hint="eastAsia"/>
          <w:bCs/>
          <w:kern w:val="18"/>
          <w:szCs w:val="18"/>
        </w:rPr>
        <w:t>执行《</w:t>
      </w:r>
      <w:r w:rsidRPr="002F3AEE">
        <w:rPr>
          <w:rFonts w:hint="eastAsia"/>
          <w:bCs/>
          <w:kern w:val="18"/>
          <w:szCs w:val="18"/>
        </w:rPr>
        <w:t>公约</w:t>
      </w:r>
      <w:r>
        <w:rPr>
          <w:rFonts w:hint="eastAsia"/>
          <w:bCs/>
          <w:kern w:val="18"/>
          <w:szCs w:val="18"/>
        </w:rPr>
        <w:t>》</w:t>
      </w:r>
      <w:r w:rsidRPr="002F3AEE">
        <w:rPr>
          <w:rFonts w:hint="eastAsia"/>
          <w:bCs/>
          <w:kern w:val="18"/>
          <w:szCs w:val="18"/>
        </w:rPr>
        <w:t>的</w:t>
      </w:r>
      <w:r>
        <w:rPr>
          <w:rFonts w:hint="eastAsia"/>
          <w:bCs/>
          <w:kern w:val="18"/>
          <w:szCs w:val="18"/>
        </w:rPr>
        <w:t>备选办法)。</w:t>
      </w:r>
    </w:p>
  </w:footnote>
  <w:footnote w:id="3">
    <w:p w14:paraId="0F11E2D9" w14:textId="77777777" w:rsidR="00CA5D52" w:rsidRPr="00C64F18" w:rsidRDefault="00CA5D52" w:rsidP="00460946">
      <w:pPr>
        <w:pStyle w:val="FootnoteText"/>
        <w:kinsoku w:val="0"/>
        <w:overflowPunct w:val="0"/>
        <w:autoSpaceDE w:val="0"/>
        <w:autoSpaceDN w:val="0"/>
        <w:adjustRightInd w:val="0"/>
        <w:snapToGrid w:val="0"/>
        <w:ind w:firstLine="0"/>
        <w:jc w:val="left"/>
        <w:rPr>
          <w:kern w:val="18"/>
          <w:szCs w:val="18"/>
        </w:rPr>
      </w:pPr>
      <w:r w:rsidRPr="0097260A">
        <w:rPr>
          <w:rStyle w:val="FootnoteReference"/>
          <w:kern w:val="18"/>
          <w:sz w:val="20"/>
          <w:szCs w:val="20"/>
        </w:rPr>
        <w:footnoteRef/>
      </w:r>
      <w:r w:rsidRPr="0097260A">
        <w:rPr>
          <w:rFonts w:eastAsia="Arial Unicode MS" w:cs="Arial Unicode MS"/>
          <w:kern w:val="18"/>
          <w:szCs w:val="20"/>
        </w:rPr>
        <w:t xml:space="preserve"> </w:t>
      </w:r>
      <w:r w:rsidRPr="004E0B06">
        <w:rPr>
          <w:rFonts w:ascii="Arial" w:hAnsi="Arial" w:cs="Arial"/>
          <w:color w:val="333333"/>
          <w:szCs w:val="18"/>
          <w:shd w:val="clear" w:color="auto" w:fill="FFFFFF"/>
        </w:rPr>
        <w:t>国际能源机构</w:t>
      </w:r>
      <w:r>
        <w:rPr>
          <w:rFonts w:ascii="Arial" w:hAnsi="Arial" w:cs="Arial" w:hint="eastAsia"/>
          <w:color w:val="333333"/>
          <w:szCs w:val="18"/>
          <w:shd w:val="clear" w:color="auto" w:fill="FFFFFF"/>
        </w:rPr>
        <w:t>(</w:t>
      </w:r>
      <w:r w:rsidRPr="00E15C28">
        <w:rPr>
          <w:rFonts w:cs="Arial"/>
          <w:color w:val="333333"/>
          <w:szCs w:val="18"/>
          <w:shd w:val="clear" w:color="auto" w:fill="FFFFFF"/>
        </w:rPr>
        <w:t>2017</w:t>
      </w:r>
      <w:r>
        <w:rPr>
          <w:rFonts w:cs="Arial"/>
          <w:color w:val="333333"/>
          <w:szCs w:val="18"/>
          <w:shd w:val="clear" w:color="auto" w:fill="FFFFFF"/>
        </w:rPr>
        <w:t>)</w:t>
      </w:r>
      <w:r>
        <w:rPr>
          <w:rFonts w:cs="Arial" w:hint="eastAsia"/>
          <w:color w:val="333333"/>
          <w:szCs w:val="18"/>
          <w:shd w:val="clear" w:color="auto" w:fill="FFFFFF"/>
        </w:rPr>
        <w:t>，</w:t>
      </w:r>
      <w:r w:rsidRPr="00E15C28">
        <w:rPr>
          <w:rFonts w:ascii="KaiTi" w:eastAsia="KaiTi" w:hAnsi="KaiTi" w:cs="Arial"/>
          <w:color w:val="333333"/>
          <w:szCs w:val="18"/>
          <w:shd w:val="clear" w:color="auto" w:fill="FFFFFF"/>
        </w:rPr>
        <w:t>世界能源展望2017</w:t>
      </w:r>
      <w:r w:rsidRPr="00E15C28">
        <w:rPr>
          <w:rFonts w:ascii="KaiTi" w:eastAsia="KaiTi" w:hAnsi="KaiTi" w:cs="Arial" w:hint="eastAsia"/>
          <w:color w:val="333333"/>
          <w:szCs w:val="18"/>
          <w:shd w:val="clear" w:color="auto" w:fill="FFFFFF"/>
        </w:rPr>
        <w:t>：摘要</w:t>
      </w:r>
      <w:r>
        <w:rPr>
          <w:rFonts w:ascii="KaiTi" w:eastAsia="KaiTi" w:hAnsi="KaiTi" w:cs="Arial" w:hint="eastAsia"/>
          <w:color w:val="333333"/>
          <w:szCs w:val="18"/>
          <w:shd w:val="clear" w:color="auto" w:fill="FFFFFF"/>
        </w:rPr>
        <w:t xml:space="preserve"> </w:t>
      </w:r>
      <w:r w:rsidRPr="00177EB8">
        <w:rPr>
          <w:rFonts w:cs="Arial" w:hint="eastAsia"/>
          <w:color w:val="333333"/>
          <w:szCs w:val="18"/>
          <w:shd w:val="clear" w:color="auto" w:fill="FFFFFF"/>
        </w:rPr>
        <w:t>[在线]</w:t>
      </w:r>
      <w:r>
        <w:rPr>
          <w:rFonts w:ascii="Arial" w:hAnsi="Arial" w:cs="Arial" w:hint="eastAsia"/>
          <w:color w:val="333333"/>
          <w:szCs w:val="18"/>
          <w:shd w:val="clear" w:color="auto" w:fill="FFFFFF"/>
        </w:rPr>
        <w:t>可查阅：</w:t>
      </w:r>
      <w:hyperlink r:id="rId2" w:history="1">
        <w:r w:rsidRPr="003E71AB">
          <w:rPr>
            <w:rStyle w:val="Hyperlink2"/>
            <w:rFonts w:ascii="Times New Roman" w:eastAsia="Arial Unicode MS" w:hAnsi="Times New Roman"/>
            <w:kern w:val="18"/>
            <w:sz w:val="20"/>
            <w:szCs w:val="20"/>
          </w:rPr>
          <w:t>http://www.iea.org/weo2017/</w:t>
        </w:r>
      </w:hyperlink>
      <w:r w:rsidRPr="00C64F18">
        <w:rPr>
          <w:rFonts w:eastAsia="Arial Unicode MS" w:cs="Arial Unicode MS"/>
          <w:kern w:val="18"/>
          <w:szCs w:val="18"/>
        </w:rPr>
        <w:t xml:space="preserve"> </w:t>
      </w:r>
      <w:r>
        <w:rPr>
          <w:rFonts w:eastAsia="Arial Unicode MS" w:cs="Arial Unicode MS" w:hint="eastAsia"/>
          <w:kern w:val="18"/>
          <w:szCs w:val="18"/>
        </w:rPr>
        <w:t>[</w:t>
      </w:r>
      <w:r w:rsidRPr="007077C9">
        <w:rPr>
          <w:rFonts w:cs="Arial Unicode MS"/>
          <w:kern w:val="18"/>
          <w:szCs w:val="18"/>
        </w:rPr>
        <w:t>2017</w:t>
      </w:r>
      <w:r w:rsidRPr="007077C9">
        <w:rPr>
          <w:rFonts w:cs="Arial Unicode MS" w:hint="eastAsia"/>
          <w:kern w:val="18"/>
          <w:szCs w:val="18"/>
        </w:rPr>
        <w:t>年11</w:t>
      </w:r>
      <w:proofErr w:type="gramStart"/>
      <w:r w:rsidRPr="007077C9">
        <w:rPr>
          <w:rFonts w:cs="Arial Unicode MS" w:hint="eastAsia"/>
          <w:kern w:val="18"/>
          <w:szCs w:val="18"/>
        </w:rPr>
        <w:t>月访问</w:t>
      </w:r>
      <w:r>
        <w:rPr>
          <w:rFonts w:cs="Arial Unicode MS" w:hint="eastAsia"/>
          <w:kern w:val="18"/>
          <w:szCs w:val="18"/>
        </w:rPr>
        <w:t>]。</w:t>
      </w:r>
      <w:proofErr w:type="gramEnd"/>
    </w:p>
  </w:footnote>
  <w:footnote w:id="4">
    <w:p w14:paraId="3C3847AB" w14:textId="77777777" w:rsidR="00CA5D52" w:rsidRPr="00C64F18" w:rsidRDefault="00CA5D52" w:rsidP="0019663B">
      <w:pPr>
        <w:pStyle w:val="FootnoteText"/>
        <w:kinsoku w:val="0"/>
        <w:overflowPunct w:val="0"/>
        <w:autoSpaceDE w:val="0"/>
        <w:autoSpaceDN w:val="0"/>
        <w:adjustRightInd w:val="0"/>
        <w:snapToGrid w:val="0"/>
        <w:ind w:firstLine="0"/>
        <w:jc w:val="left"/>
        <w:rPr>
          <w:kern w:val="18"/>
          <w:szCs w:val="18"/>
        </w:rPr>
      </w:pPr>
      <w:r w:rsidRPr="0097260A">
        <w:rPr>
          <w:rStyle w:val="FootnoteReference"/>
          <w:kern w:val="18"/>
          <w:sz w:val="20"/>
          <w:szCs w:val="20"/>
        </w:rPr>
        <w:footnoteRef/>
      </w:r>
      <w:r w:rsidRPr="0097260A">
        <w:rPr>
          <w:kern w:val="18"/>
          <w:szCs w:val="20"/>
        </w:rPr>
        <w:t xml:space="preserve"> </w:t>
      </w:r>
      <w:r>
        <w:rPr>
          <w:rFonts w:hint="eastAsia"/>
          <w:kern w:val="18"/>
          <w:szCs w:val="18"/>
        </w:rPr>
        <w:t>世界银行</w:t>
      </w:r>
      <w:r w:rsidRPr="00C64F18">
        <w:rPr>
          <w:kern w:val="18"/>
          <w:szCs w:val="18"/>
        </w:rPr>
        <w:t>(2017)</w:t>
      </w:r>
      <w:r>
        <w:rPr>
          <w:rFonts w:hint="eastAsia"/>
          <w:kern w:val="18"/>
          <w:szCs w:val="18"/>
        </w:rPr>
        <w:t>，</w:t>
      </w:r>
      <w:r w:rsidRPr="00E15C28">
        <w:rPr>
          <w:rFonts w:ascii="KaiTi" w:eastAsia="KaiTi" w:hAnsi="KaiTi" w:cs="Arial"/>
          <w:color w:val="333333"/>
          <w:szCs w:val="18"/>
          <w:shd w:val="clear" w:color="auto" w:fill="FFFFFF"/>
        </w:rPr>
        <w:t>低碳未</w:t>
      </w:r>
      <w:r w:rsidRPr="00E15C28">
        <w:rPr>
          <w:rFonts w:ascii="KaiTi" w:eastAsia="KaiTi" w:hAnsi="KaiTi" w:cs="SimSun" w:hint="eastAsia"/>
          <w:color w:val="333333"/>
          <w:szCs w:val="18"/>
          <w:shd w:val="clear" w:color="auto" w:fill="FFFFFF"/>
        </w:rPr>
        <w:t>来的</w:t>
      </w:r>
      <w:r w:rsidRPr="00E15C28">
        <w:rPr>
          <w:rFonts w:ascii="KaiTi" w:eastAsia="KaiTi" w:hAnsi="KaiTi" w:cs="Arial"/>
          <w:color w:val="333333"/>
          <w:szCs w:val="18"/>
          <w:shd w:val="clear" w:color="auto" w:fill="FFFFFF"/>
        </w:rPr>
        <w:t>矿物和金属</w:t>
      </w:r>
      <w:r w:rsidRPr="00E15C28">
        <w:rPr>
          <w:rFonts w:ascii="KaiTi" w:eastAsia="KaiTi" w:hAnsi="KaiTi" w:cs="Arial" w:hint="eastAsia"/>
          <w:color w:val="333333"/>
          <w:szCs w:val="18"/>
          <w:shd w:val="clear" w:color="auto" w:fill="FFFFFF"/>
        </w:rPr>
        <w:t>作用增加</w:t>
      </w:r>
      <w:r w:rsidRPr="00C64F18">
        <w:rPr>
          <w:kern w:val="18"/>
          <w:szCs w:val="18"/>
        </w:rPr>
        <w:t xml:space="preserve"> [</w:t>
      </w:r>
      <w:r>
        <w:rPr>
          <w:rFonts w:hint="eastAsia"/>
          <w:kern w:val="18"/>
          <w:szCs w:val="18"/>
        </w:rPr>
        <w:t>在线</w:t>
      </w:r>
      <w:r w:rsidRPr="00C64F18">
        <w:rPr>
          <w:kern w:val="18"/>
          <w:szCs w:val="18"/>
        </w:rPr>
        <w:t>]</w:t>
      </w:r>
      <w:r>
        <w:rPr>
          <w:rFonts w:hint="eastAsia"/>
          <w:kern w:val="18"/>
          <w:szCs w:val="18"/>
        </w:rPr>
        <w:t>可查阅：</w:t>
      </w:r>
      <w:r w:rsidRPr="00C64F18">
        <w:rPr>
          <w:kern w:val="18"/>
          <w:szCs w:val="18"/>
        </w:rPr>
        <w:t xml:space="preserve"> </w:t>
      </w:r>
      <w:hyperlink r:id="rId3" w:history="1">
        <w:r w:rsidRPr="003E71AB">
          <w:rPr>
            <w:rStyle w:val="Hyperlink"/>
            <w:rFonts w:ascii="Times New Roman" w:hAnsi="Times New Roman"/>
            <w:kern w:val="18"/>
            <w:szCs w:val="18"/>
          </w:rPr>
          <w:t>http://documents.worldbank.org/curated/en/207371500386458722/pdf/117581-WP-P159838-PUBLIC-ClimateSmartMiningJuly.pdf</w:t>
        </w:r>
      </w:hyperlink>
      <w:r w:rsidRPr="00C64F18">
        <w:rPr>
          <w:kern w:val="18"/>
          <w:szCs w:val="18"/>
        </w:rPr>
        <w:t xml:space="preserve"> [2018</w:t>
      </w:r>
      <w:r>
        <w:rPr>
          <w:rFonts w:hint="eastAsia"/>
          <w:kern w:val="18"/>
          <w:szCs w:val="18"/>
        </w:rPr>
        <w:t>年4</w:t>
      </w:r>
      <w:proofErr w:type="gramStart"/>
      <w:r>
        <w:rPr>
          <w:rFonts w:hint="eastAsia"/>
          <w:kern w:val="18"/>
          <w:szCs w:val="18"/>
        </w:rPr>
        <w:t>月访问</w:t>
      </w:r>
      <w:r w:rsidRPr="00C64F18">
        <w:rPr>
          <w:kern w:val="18"/>
          <w:szCs w:val="18"/>
        </w:rPr>
        <w:t>]</w:t>
      </w:r>
      <w:r>
        <w:rPr>
          <w:rFonts w:hint="eastAsia"/>
          <w:kern w:val="18"/>
          <w:szCs w:val="18"/>
        </w:rPr>
        <w:t>。</w:t>
      </w:r>
      <w:proofErr w:type="gramEnd"/>
    </w:p>
  </w:footnote>
  <w:footnote w:id="5">
    <w:p w14:paraId="562244BC" w14:textId="77777777" w:rsidR="00CA5D52" w:rsidRPr="00C64F18" w:rsidRDefault="00CA5D52" w:rsidP="0019663B">
      <w:pPr>
        <w:pStyle w:val="FootnoteText"/>
        <w:kinsoku w:val="0"/>
        <w:overflowPunct w:val="0"/>
        <w:autoSpaceDE w:val="0"/>
        <w:autoSpaceDN w:val="0"/>
        <w:adjustRightInd w:val="0"/>
        <w:snapToGrid w:val="0"/>
        <w:ind w:firstLine="0"/>
        <w:jc w:val="left"/>
        <w:rPr>
          <w:kern w:val="18"/>
          <w:szCs w:val="18"/>
        </w:rPr>
      </w:pPr>
      <w:r w:rsidRPr="0097260A">
        <w:rPr>
          <w:rStyle w:val="FootnoteReference"/>
          <w:kern w:val="18"/>
          <w:sz w:val="20"/>
          <w:szCs w:val="20"/>
        </w:rPr>
        <w:footnoteRef/>
      </w:r>
      <w:r w:rsidRPr="0097260A">
        <w:rPr>
          <w:kern w:val="18"/>
          <w:szCs w:val="20"/>
        </w:rPr>
        <w:t xml:space="preserve"> </w:t>
      </w:r>
      <w:r w:rsidRPr="003E71AB">
        <w:rPr>
          <w:rFonts w:ascii="Times New Roman" w:hAnsi="Times New Roman"/>
          <w:kern w:val="18"/>
          <w:szCs w:val="18"/>
        </w:rPr>
        <w:t xml:space="preserve">McMahon, G. </w:t>
      </w:r>
      <w:r w:rsidRPr="003E71AB">
        <w:rPr>
          <w:rFonts w:ascii="Times New Roman" w:hAnsi="Times New Roman"/>
          <w:kern w:val="18"/>
          <w:szCs w:val="18"/>
        </w:rPr>
        <w:t>和</w:t>
      </w:r>
      <w:r w:rsidRPr="003E71AB">
        <w:rPr>
          <w:rFonts w:ascii="Times New Roman" w:hAnsi="Times New Roman"/>
          <w:kern w:val="18"/>
          <w:szCs w:val="18"/>
        </w:rPr>
        <w:t xml:space="preserve"> Moreira, </w:t>
      </w:r>
      <w:proofErr w:type="gramStart"/>
      <w:r w:rsidRPr="003E71AB">
        <w:rPr>
          <w:rFonts w:ascii="Times New Roman" w:hAnsi="Times New Roman"/>
          <w:kern w:val="18"/>
          <w:szCs w:val="18"/>
        </w:rPr>
        <w:t>S</w:t>
      </w:r>
      <w:r w:rsidRPr="00C64F18">
        <w:rPr>
          <w:kern w:val="18"/>
          <w:szCs w:val="18"/>
        </w:rPr>
        <w:t>.(</w:t>
      </w:r>
      <w:proofErr w:type="gramEnd"/>
      <w:r w:rsidRPr="00C64F18">
        <w:rPr>
          <w:kern w:val="18"/>
          <w:szCs w:val="18"/>
        </w:rPr>
        <w:t>2014)</w:t>
      </w:r>
      <w:r>
        <w:rPr>
          <w:rFonts w:ascii="KaiTi" w:eastAsia="KaiTi" w:hAnsi="KaiTi" w:hint="eastAsia"/>
          <w:kern w:val="18"/>
          <w:szCs w:val="18"/>
        </w:rPr>
        <w:t>，</w:t>
      </w:r>
      <w:r w:rsidRPr="00E15C28">
        <w:rPr>
          <w:rFonts w:ascii="KaiTi" w:eastAsia="KaiTi" w:hAnsi="KaiTi" w:cs="Arial"/>
          <w:color w:val="333333"/>
          <w:szCs w:val="18"/>
          <w:shd w:val="clear" w:color="auto" w:fill="FFFFFF"/>
        </w:rPr>
        <w:t>矿业对社会经济和人类发展的贡</w:t>
      </w:r>
      <w:r w:rsidRPr="00E15C28">
        <w:rPr>
          <w:rFonts w:ascii="KaiTi" w:eastAsia="KaiTi" w:hAnsi="KaiTi" w:cs="SimSun" w:hint="eastAsia"/>
          <w:color w:val="333333"/>
          <w:szCs w:val="18"/>
          <w:shd w:val="clear" w:color="auto" w:fill="FFFFFF"/>
        </w:rPr>
        <w:t>献</w:t>
      </w:r>
      <w:r>
        <w:rPr>
          <w:rFonts w:cs="SimSun" w:hint="eastAsia"/>
          <w:color w:val="333333"/>
          <w:szCs w:val="18"/>
          <w:shd w:val="clear" w:color="auto" w:fill="FFFFFF"/>
        </w:rPr>
        <w:t>。</w:t>
      </w:r>
      <w:r w:rsidRPr="00BC7630">
        <w:rPr>
          <w:rFonts w:ascii="KaiTi" w:eastAsia="KaiTi" w:hAnsi="KaiTi" w:cs="Arial"/>
          <w:color w:val="333333"/>
          <w:szCs w:val="18"/>
          <w:shd w:val="clear" w:color="auto" w:fill="FFFFFF"/>
        </w:rPr>
        <w:t>采掘业发展系列</w:t>
      </w:r>
      <w:r w:rsidRPr="00BC7630">
        <w:rPr>
          <w:rFonts w:ascii="KaiTi" w:eastAsia="KaiTi" w:hAnsi="KaiTi" w:cs="Arial" w:hint="eastAsia"/>
          <w:color w:val="333333"/>
          <w:szCs w:val="18"/>
          <w:shd w:val="clear" w:color="auto" w:fill="FFFFFF"/>
        </w:rPr>
        <w:t>第</w:t>
      </w:r>
      <w:r w:rsidRPr="00BC7630">
        <w:rPr>
          <w:rFonts w:ascii="KaiTi" w:eastAsia="KaiTi" w:hAnsi="KaiTi" w:cs="Arial"/>
          <w:color w:val="333333"/>
          <w:szCs w:val="18"/>
          <w:shd w:val="clear" w:color="auto" w:fill="FFFFFF"/>
        </w:rPr>
        <w:t>30号</w:t>
      </w:r>
      <w:r w:rsidRPr="002547EA">
        <w:rPr>
          <w:rFonts w:ascii="Arial" w:hAnsi="Arial" w:cs="Arial"/>
          <w:color w:val="333333"/>
          <w:szCs w:val="18"/>
          <w:shd w:val="clear" w:color="auto" w:fill="FFFFFF"/>
        </w:rPr>
        <w:t>。世界银</w:t>
      </w:r>
      <w:r w:rsidRPr="002547EA">
        <w:rPr>
          <w:rFonts w:cs="SimSun" w:hint="eastAsia"/>
          <w:color w:val="333333"/>
          <w:szCs w:val="18"/>
          <w:shd w:val="clear" w:color="auto" w:fill="FFFFFF"/>
        </w:rPr>
        <w:t>行</w:t>
      </w:r>
      <w:r>
        <w:rPr>
          <w:rFonts w:cs="SimSun" w:hint="eastAsia"/>
          <w:color w:val="333333"/>
          <w:szCs w:val="18"/>
          <w:shd w:val="clear" w:color="auto" w:fill="FFFFFF"/>
        </w:rPr>
        <w:t>，特区华盛顿。</w:t>
      </w:r>
    </w:p>
  </w:footnote>
  <w:footnote w:id="6">
    <w:p w14:paraId="7BB3C36C" w14:textId="77777777" w:rsidR="00CA5D52" w:rsidRPr="00C64F18" w:rsidRDefault="00CA5D52" w:rsidP="00A746CA">
      <w:pPr>
        <w:pStyle w:val="FootnoteText"/>
        <w:kinsoku w:val="0"/>
        <w:overflowPunct w:val="0"/>
        <w:autoSpaceDE w:val="0"/>
        <w:autoSpaceDN w:val="0"/>
        <w:adjustRightInd w:val="0"/>
        <w:snapToGrid w:val="0"/>
        <w:ind w:firstLine="0"/>
        <w:jc w:val="left"/>
        <w:rPr>
          <w:kern w:val="18"/>
          <w:szCs w:val="18"/>
        </w:rPr>
      </w:pPr>
      <w:r w:rsidRPr="0097260A">
        <w:rPr>
          <w:rStyle w:val="FootnoteReference"/>
          <w:kern w:val="18"/>
          <w:sz w:val="20"/>
          <w:szCs w:val="20"/>
        </w:rPr>
        <w:footnoteRef/>
      </w:r>
      <w:r w:rsidRPr="0097260A">
        <w:rPr>
          <w:kern w:val="18"/>
          <w:szCs w:val="20"/>
        </w:rPr>
        <w:t xml:space="preserve"> </w:t>
      </w:r>
      <w:r w:rsidRPr="00A51A7F">
        <w:rPr>
          <w:rFonts w:ascii="Times New Roman" w:hAnsi="Times New Roman"/>
          <w:kern w:val="18"/>
          <w:szCs w:val="18"/>
        </w:rPr>
        <w:t xml:space="preserve">Fernandez, </w:t>
      </w:r>
      <w:proofErr w:type="gramStart"/>
      <w:r w:rsidRPr="00A51A7F">
        <w:rPr>
          <w:rFonts w:ascii="Times New Roman" w:hAnsi="Times New Roman"/>
          <w:kern w:val="18"/>
          <w:szCs w:val="18"/>
        </w:rPr>
        <w:t>V</w:t>
      </w:r>
      <w:r w:rsidRPr="00C64F18">
        <w:rPr>
          <w:kern w:val="18"/>
          <w:szCs w:val="18"/>
        </w:rPr>
        <w:t>.(</w:t>
      </w:r>
      <w:proofErr w:type="gramEnd"/>
      <w:r w:rsidRPr="00C64F18">
        <w:rPr>
          <w:kern w:val="18"/>
          <w:szCs w:val="18"/>
        </w:rPr>
        <w:t>2017)</w:t>
      </w:r>
      <w:r>
        <w:rPr>
          <w:rFonts w:hint="eastAsia"/>
          <w:kern w:val="18"/>
          <w:szCs w:val="18"/>
        </w:rPr>
        <w:t>，</w:t>
      </w:r>
      <w:r w:rsidRPr="00A51A7F">
        <w:rPr>
          <w:rFonts w:ascii="KaiTi" w:eastAsia="KaiTi" w:hAnsi="KaiTi" w:hint="eastAsia"/>
          <w:kern w:val="18"/>
          <w:szCs w:val="18"/>
        </w:rPr>
        <w:t>稀土元素市场：历史和金融视角</w:t>
      </w:r>
      <w:r>
        <w:rPr>
          <w:rFonts w:hint="eastAsia"/>
          <w:kern w:val="18"/>
          <w:szCs w:val="18"/>
        </w:rPr>
        <w:t>。《</w:t>
      </w:r>
      <w:r w:rsidRPr="00A51A7F">
        <w:rPr>
          <w:rFonts w:ascii="KaiTi" w:eastAsia="KaiTi" w:hAnsi="KaiTi" w:hint="eastAsia"/>
          <w:kern w:val="18"/>
          <w:szCs w:val="18"/>
        </w:rPr>
        <w:t>资源政策</w:t>
      </w:r>
      <w:r>
        <w:rPr>
          <w:rFonts w:ascii="KaiTi" w:eastAsia="KaiTi" w:hAnsi="KaiTi" w:hint="eastAsia"/>
          <w:kern w:val="18"/>
          <w:szCs w:val="18"/>
        </w:rPr>
        <w:t>》</w:t>
      </w:r>
      <w:r w:rsidRPr="00EE676F">
        <w:rPr>
          <w:rFonts w:hint="eastAsia"/>
          <w:iCs/>
          <w:kern w:val="18"/>
          <w:szCs w:val="18"/>
        </w:rPr>
        <w:t>第</w:t>
      </w:r>
      <w:r w:rsidRPr="00C64F18">
        <w:rPr>
          <w:kern w:val="18"/>
          <w:szCs w:val="18"/>
        </w:rPr>
        <w:t>53</w:t>
      </w:r>
      <w:r>
        <w:rPr>
          <w:rFonts w:hint="eastAsia"/>
          <w:kern w:val="18"/>
          <w:szCs w:val="18"/>
        </w:rPr>
        <w:t>期</w:t>
      </w:r>
      <w:r w:rsidRPr="00C64F18">
        <w:rPr>
          <w:kern w:val="18"/>
          <w:szCs w:val="18"/>
        </w:rPr>
        <w:t xml:space="preserve"> (2017)</w:t>
      </w:r>
      <w:r>
        <w:rPr>
          <w:rFonts w:hint="eastAsia"/>
          <w:kern w:val="18"/>
          <w:szCs w:val="18"/>
        </w:rPr>
        <w:t>，第</w:t>
      </w:r>
      <w:r w:rsidRPr="00C64F18">
        <w:rPr>
          <w:kern w:val="18"/>
          <w:szCs w:val="18"/>
        </w:rPr>
        <w:t>26-45</w:t>
      </w:r>
      <w:r>
        <w:rPr>
          <w:rFonts w:hint="eastAsia"/>
          <w:kern w:val="18"/>
          <w:szCs w:val="18"/>
        </w:rPr>
        <w:t>页</w:t>
      </w:r>
      <w:r>
        <w:rPr>
          <w:kern w:val="18"/>
          <w:szCs w:val="18"/>
        </w:rPr>
        <w:t>.</w:t>
      </w:r>
    </w:p>
  </w:footnote>
  <w:footnote w:id="7">
    <w:p w14:paraId="3A5D125A" w14:textId="77777777" w:rsidR="00CA5D52" w:rsidRPr="00C64F18" w:rsidRDefault="00CA5D52" w:rsidP="003F692A">
      <w:pPr>
        <w:pStyle w:val="FootnoteText"/>
        <w:kinsoku w:val="0"/>
        <w:overflowPunct w:val="0"/>
        <w:autoSpaceDE w:val="0"/>
        <w:autoSpaceDN w:val="0"/>
        <w:adjustRightInd w:val="0"/>
        <w:snapToGrid w:val="0"/>
        <w:ind w:firstLine="0"/>
        <w:jc w:val="left"/>
        <w:rPr>
          <w:kern w:val="18"/>
          <w:szCs w:val="18"/>
        </w:rPr>
      </w:pPr>
      <w:r w:rsidRPr="0097260A">
        <w:rPr>
          <w:rStyle w:val="FootnoteReference"/>
          <w:kern w:val="18"/>
          <w:sz w:val="20"/>
          <w:szCs w:val="20"/>
        </w:rPr>
        <w:footnoteRef/>
      </w:r>
      <w:r w:rsidRPr="0097260A">
        <w:rPr>
          <w:kern w:val="18"/>
          <w:szCs w:val="20"/>
        </w:rPr>
        <w:t xml:space="preserve"> </w:t>
      </w:r>
      <w:r w:rsidRPr="00A51A7F">
        <w:rPr>
          <w:rFonts w:ascii="Times New Roman" w:hAnsi="Times New Roman"/>
          <w:kern w:val="18"/>
          <w:szCs w:val="18"/>
        </w:rPr>
        <w:t xml:space="preserve">Villegas, C., Weinberg, R., Levin, E., </w:t>
      </w:r>
      <w:r w:rsidRPr="00A51A7F">
        <w:rPr>
          <w:rFonts w:ascii="Times New Roman" w:hAnsi="Times New Roman" w:hint="eastAsia"/>
          <w:kern w:val="18"/>
          <w:szCs w:val="18"/>
        </w:rPr>
        <w:t>和</w:t>
      </w:r>
      <w:r w:rsidRPr="00A51A7F">
        <w:rPr>
          <w:rFonts w:ascii="Times New Roman" w:hAnsi="Times New Roman"/>
          <w:kern w:val="18"/>
          <w:szCs w:val="18"/>
        </w:rPr>
        <w:t>Hund, K.</w:t>
      </w:r>
      <w:r w:rsidRPr="00C64F18">
        <w:rPr>
          <w:kern w:val="18"/>
          <w:szCs w:val="18"/>
        </w:rPr>
        <w:t xml:space="preserve"> (2012)</w:t>
      </w:r>
      <w:r>
        <w:rPr>
          <w:rFonts w:hint="eastAsia"/>
          <w:kern w:val="18"/>
          <w:szCs w:val="18"/>
        </w:rPr>
        <w:t>，</w:t>
      </w:r>
      <w:r w:rsidRPr="008033F9">
        <w:rPr>
          <w:rFonts w:ascii="KaiTi" w:eastAsia="KaiTi" w:hAnsi="KaiTi" w:hint="eastAsia"/>
          <w:kern w:val="18"/>
          <w:szCs w:val="18"/>
        </w:rPr>
        <w:t>保护区内的手工和小型采矿和重要的生态系统方案</w:t>
      </w:r>
      <w:r w:rsidRPr="008033F9">
        <w:rPr>
          <w:rFonts w:ascii="KaiTi" w:eastAsia="KaiTi" w:hAnsi="KaiTi"/>
          <w:kern w:val="18"/>
          <w:szCs w:val="18"/>
        </w:rPr>
        <w:t xml:space="preserve"> (</w:t>
      </w:r>
      <w:r w:rsidRPr="0046251A">
        <w:rPr>
          <w:rFonts w:ascii="Times New Roman" w:eastAsia="KaiTi" w:hAnsi="Times New Roman"/>
          <w:kern w:val="18"/>
          <w:szCs w:val="18"/>
        </w:rPr>
        <w:t>ASM-PACE</w:t>
      </w:r>
      <w:r w:rsidRPr="008033F9">
        <w:rPr>
          <w:rFonts w:ascii="KaiTi" w:eastAsia="KaiTi" w:hAnsi="KaiTi"/>
          <w:kern w:val="18"/>
          <w:szCs w:val="18"/>
        </w:rPr>
        <w:t>)–</w:t>
      </w:r>
      <w:r w:rsidRPr="008033F9">
        <w:rPr>
          <w:rFonts w:ascii="KaiTi" w:eastAsia="KaiTi" w:hAnsi="KaiTi" w:hint="eastAsia"/>
          <w:kern w:val="18"/>
          <w:szCs w:val="18"/>
        </w:rPr>
        <w:t>全球解决办法研究2012</w:t>
      </w:r>
      <w:r>
        <w:rPr>
          <w:rFonts w:hint="eastAsia"/>
          <w:kern w:val="18"/>
          <w:szCs w:val="18"/>
        </w:rPr>
        <w:t>[在线]可查阅：</w:t>
      </w:r>
      <w:hyperlink r:id="rId4" w:history="1">
        <w:r w:rsidRPr="00A51A7F">
          <w:rPr>
            <w:rFonts w:ascii="Times New Roman" w:hAnsi="Times New Roman"/>
          </w:rPr>
          <w:t>http://www.levinsources.com/assets/pages/Global-Solutions-Study.pdf</w:t>
        </w:r>
      </w:hyperlink>
      <w:r w:rsidRPr="00C64F18">
        <w:rPr>
          <w:kern w:val="18"/>
          <w:szCs w:val="18"/>
        </w:rPr>
        <w:t>[2017</w:t>
      </w:r>
      <w:r>
        <w:rPr>
          <w:rFonts w:hint="eastAsia"/>
          <w:kern w:val="18"/>
          <w:szCs w:val="18"/>
        </w:rPr>
        <w:t>年11月访问</w:t>
      </w:r>
      <w:r w:rsidRPr="00C64F18">
        <w:rPr>
          <w:kern w:val="18"/>
          <w:szCs w:val="18"/>
        </w:rPr>
        <w:t>]</w:t>
      </w:r>
      <w:r>
        <w:rPr>
          <w:rFonts w:hint="eastAsia"/>
          <w:kern w:val="18"/>
          <w:szCs w:val="18"/>
        </w:rPr>
        <w:t>。</w:t>
      </w:r>
    </w:p>
  </w:footnote>
  <w:footnote w:id="8">
    <w:p w14:paraId="64368989" w14:textId="7D36219A" w:rsidR="009C2984" w:rsidRDefault="009C2984" w:rsidP="009C2984">
      <w:pPr>
        <w:pStyle w:val="opspfanyilinetwo"/>
        <w:shd w:val="clear" w:color="auto" w:fill="FFFFFF"/>
        <w:spacing w:before="33" w:beforeAutospacing="0" w:after="0" w:afterAutospacing="0" w:line="133" w:lineRule="atLeast"/>
        <w:rPr>
          <w:rFonts w:ascii="Arial" w:hAnsi="Arial" w:cs="Arial"/>
          <w:color w:val="333333"/>
          <w:sz w:val="10"/>
          <w:szCs w:val="10"/>
        </w:rPr>
      </w:pPr>
      <w:r w:rsidRPr="0097260A">
        <w:rPr>
          <w:rStyle w:val="FootnoteReference"/>
          <w:kern w:val="18"/>
          <w:sz w:val="20"/>
          <w:szCs w:val="20"/>
        </w:rPr>
        <w:footnoteRef/>
      </w:r>
      <w:r w:rsidRPr="0097260A">
        <w:rPr>
          <w:kern w:val="18"/>
          <w:sz w:val="20"/>
          <w:szCs w:val="20"/>
        </w:rPr>
        <w:t xml:space="preserve"> </w:t>
      </w:r>
      <w:r w:rsidRPr="00A51A7F">
        <w:rPr>
          <w:rFonts w:hint="eastAsia"/>
          <w:kern w:val="18"/>
          <w:sz w:val="20"/>
          <w:szCs w:val="20"/>
        </w:rPr>
        <w:t>创新论坛</w:t>
      </w:r>
      <w:r w:rsidRPr="00A51A7F">
        <w:rPr>
          <w:kern w:val="18"/>
          <w:sz w:val="20"/>
          <w:szCs w:val="20"/>
        </w:rPr>
        <w:t xml:space="preserve"> (2018) </w:t>
      </w:r>
      <w:r>
        <w:rPr>
          <w:rFonts w:ascii="SimSun" w:eastAsia="SimSun" w:hAnsi="SimSun" w:cs="SimSun" w:hint="eastAsia"/>
          <w:kern w:val="18"/>
          <w:sz w:val="20"/>
          <w:szCs w:val="20"/>
        </w:rPr>
        <w:t>，</w:t>
      </w:r>
      <w:r w:rsidRPr="008033F9">
        <w:rPr>
          <w:rFonts w:ascii="KaiTi" w:eastAsia="KaiTi" w:hAnsi="KaiTi" w:cs="SimSun" w:hint="eastAsia"/>
          <w:color w:val="333333"/>
          <w:sz w:val="20"/>
          <w:szCs w:val="20"/>
        </w:rPr>
        <w:t>被揭露出的采矿砍伐亚马逊森林的影响</w:t>
      </w:r>
      <w:r w:rsidRPr="00A51A7F">
        <w:rPr>
          <w:rFonts w:ascii="SimSun" w:eastAsia="SimSun" w:hAnsi="SimSun" w:cs="SimSun" w:hint="eastAsia"/>
          <w:color w:val="333333"/>
          <w:sz w:val="20"/>
          <w:szCs w:val="20"/>
        </w:rPr>
        <w:t>[在线]可查阅</w:t>
      </w:r>
      <w:r>
        <w:rPr>
          <w:rFonts w:ascii="SimSun" w:eastAsia="SimSun" w:hAnsi="SimSun" w:cs="SimSun" w:hint="eastAsia"/>
          <w:color w:val="333333"/>
          <w:sz w:val="18"/>
          <w:szCs w:val="18"/>
        </w:rPr>
        <w:t>：</w:t>
      </w:r>
    </w:p>
    <w:p w14:paraId="079A3340" w14:textId="21B0744E" w:rsidR="000A1FEA" w:rsidRPr="000A1FEA" w:rsidRDefault="007C443A" w:rsidP="009C2984">
      <w:pPr>
        <w:pStyle w:val="FootnoteText"/>
        <w:ind w:firstLine="0"/>
        <w:jc w:val="left"/>
      </w:pPr>
      <w:hyperlink r:id="rId5" w:history="1">
        <w:r w:rsidR="009C2984" w:rsidRPr="00F83517">
          <w:rPr>
            <w:rStyle w:val="Hyperlink"/>
            <w:rFonts w:ascii="Times New Roman" w:hAnsi="Times New Roman"/>
          </w:rPr>
          <w:t>https://innovation-forum.co.uk/analysis.php?s=minings-amazon-deforestation-impact-uncovered</w:t>
        </w:r>
      </w:hyperlink>
      <w:r w:rsidR="009C2984" w:rsidRPr="00C64F18">
        <w:rPr>
          <w:kern w:val="18"/>
          <w:szCs w:val="18"/>
        </w:rPr>
        <w:t>[2018</w:t>
      </w:r>
      <w:r w:rsidR="009C2984">
        <w:rPr>
          <w:rFonts w:hint="eastAsia"/>
          <w:kern w:val="18"/>
          <w:szCs w:val="18"/>
        </w:rPr>
        <w:t>年4</w:t>
      </w:r>
      <w:proofErr w:type="gramStart"/>
      <w:r w:rsidR="009C2984">
        <w:rPr>
          <w:rFonts w:hint="eastAsia"/>
          <w:kern w:val="18"/>
          <w:szCs w:val="18"/>
        </w:rPr>
        <w:t>月访问</w:t>
      </w:r>
      <w:r w:rsidR="009C2984" w:rsidRPr="00C64F18">
        <w:rPr>
          <w:kern w:val="18"/>
          <w:szCs w:val="18"/>
        </w:rPr>
        <w:t>]</w:t>
      </w:r>
      <w:r w:rsidR="009C2984">
        <w:rPr>
          <w:rFonts w:hint="eastAsia"/>
          <w:kern w:val="18"/>
          <w:szCs w:val="18"/>
        </w:rPr>
        <w:t>。</w:t>
      </w:r>
      <w:proofErr w:type="gramEnd"/>
    </w:p>
  </w:footnote>
  <w:footnote w:id="9">
    <w:p w14:paraId="1E487FD0" w14:textId="452B8ED3" w:rsidR="00CA5D52" w:rsidRPr="00C64F18" w:rsidRDefault="00CA5D52" w:rsidP="002B5F87">
      <w:pPr>
        <w:pStyle w:val="FootnoteText"/>
        <w:kinsoku w:val="0"/>
        <w:overflowPunct w:val="0"/>
        <w:autoSpaceDE w:val="0"/>
        <w:autoSpaceDN w:val="0"/>
        <w:adjustRightInd w:val="0"/>
        <w:snapToGrid w:val="0"/>
        <w:ind w:firstLine="0"/>
        <w:jc w:val="left"/>
        <w:rPr>
          <w:kern w:val="18"/>
          <w:szCs w:val="18"/>
        </w:rPr>
      </w:pPr>
      <w:r w:rsidRPr="0097260A">
        <w:rPr>
          <w:rStyle w:val="FootnoteReference"/>
          <w:kern w:val="18"/>
          <w:sz w:val="20"/>
          <w:szCs w:val="20"/>
        </w:rPr>
        <w:footnoteRef/>
      </w:r>
      <w:r w:rsidRPr="0097260A">
        <w:rPr>
          <w:kern w:val="18"/>
          <w:szCs w:val="20"/>
        </w:rPr>
        <w:t xml:space="preserve"> </w:t>
      </w:r>
      <w:r w:rsidRPr="00A51A7F">
        <w:rPr>
          <w:rFonts w:ascii="Times New Roman" w:hAnsi="Times New Roman"/>
          <w:kern w:val="18"/>
          <w:szCs w:val="18"/>
        </w:rPr>
        <w:t>Gasparatos</w:t>
      </w:r>
      <w:r w:rsidRPr="00A51A7F">
        <w:rPr>
          <w:rFonts w:ascii="Times New Roman" w:hAnsi="Times New Roman"/>
          <w:kern w:val="18"/>
          <w:szCs w:val="18"/>
        </w:rPr>
        <w:t>、</w:t>
      </w:r>
      <w:r w:rsidRPr="00A51A7F">
        <w:rPr>
          <w:rFonts w:ascii="Times New Roman" w:hAnsi="Times New Roman"/>
          <w:kern w:val="18"/>
          <w:szCs w:val="18"/>
        </w:rPr>
        <w:t xml:space="preserve"> A. Stromberg</w:t>
      </w:r>
      <w:r w:rsidRPr="00A51A7F">
        <w:rPr>
          <w:rFonts w:ascii="Times New Roman" w:hAnsi="Times New Roman"/>
          <w:kern w:val="18"/>
          <w:szCs w:val="18"/>
        </w:rPr>
        <w:t>、</w:t>
      </w:r>
      <w:r w:rsidRPr="00A51A7F">
        <w:rPr>
          <w:rFonts w:ascii="Times New Roman" w:hAnsi="Times New Roman"/>
          <w:kern w:val="18"/>
          <w:szCs w:val="18"/>
        </w:rPr>
        <w:t>P. Takeuchi, K</w:t>
      </w:r>
      <w:r w:rsidRPr="00C64F18">
        <w:rPr>
          <w:kern w:val="18"/>
          <w:szCs w:val="18"/>
        </w:rPr>
        <w:t>.(201</w:t>
      </w:r>
      <w:r>
        <w:rPr>
          <w:kern w:val="18"/>
          <w:szCs w:val="18"/>
        </w:rPr>
        <w:t>1</w:t>
      </w:r>
      <w:r w:rsidRPr="00C64F18">
        <w:rPr>
          <w:kern w:val="18"/>
          <w:szCs w:val="18"/>
        </w:rPr>
        <w:t>)</w:t>
      </w:r>
      <w:r>
        <w:rPr>
          <w:rFonts w:hint="eastAsia"/>
          <w:kern w:val="18"/>
          <w:szCs w:val="18"/>
        </w:rPr>
        <w:t>，</w:t>
      </w:r>
      <w:r w:rsidRPr="00A51A7F">
        <w:rPr>
          <w:rFonts w:ascii="KaiTi" w:eastAsia="KaiTi" w:hAnsi="KaiTi" w:hint="eastAsia"/>
          <w:kern w:val="18"/>
          <w:szCs w:val="18"/>
        </w:rPr>
        <w:t>生物燃料、生态系统服务和人类福祉：将生物燃料纳入生态系统服务的叙述</w:t>
      </w:r>
      <w:r>
        <w:rPr>
          <w:rFonts w:hint="eastAsia"/>
          <w:kern w:val="18"/>
          <w:szCs w:val="18"/>
        </w:rPr>
        <w:t>。《</w:t>
      </w:r>
      <w:r w:rsidRPr="00A51A7F">
        <w:rPr>
          <w:rFonts w:ascii="KaiTi" w:eastAsia="KaiTi" w:hAnsi="KaiTi" w:hint="eastAsia"/>
          <w:kern w:val="18"/>
          <w:szCs w:val="18"/>
        </w:rPr>
        <w:t>农业、生态系统和环境</w:t>
      </w:r>
      <w:r>
        <w:rPr>
          <w:rFonts w:hint="eastAsia"/>
          <w:kern w:val="18"/>
          <w:szCs w:val="18"/>
        </w:rPr>
        <w:t>》，</w:t>
      </w:r>
      <w:r w:rsidRPr="00A51A7F">
        <w:rPr>
          <w:rFonts w:ascii="Times New Roman" w:hAnsi="Times New Roman"/>
          <w:kern w:val="18"/>
          <w:szCs w:val="18"/>
        </w:rPr>
        <w:t>Elsevier</w:t>
      </w:r>
      <w:r w:rsidRPr="00C64F18">
        <w:rPr>
          <w:kern w:val="18"/>
          <w:szCs w:val="18"/>
        </w:rPr>
        <w:t>,</w:t>
      </w:r>
      <w:r w:rsidR="007C443A">
        <w:rPr>
          <w:kern w:val="18"/>
          <w:szCs w:val="18"/>
        </w:rPr>
        <w:fldChar w:fldCharType="begin"/>
      </w:r>
      <w:r w:rsidR="007C443A">
        <w:rPr>
          <w:kern w:val="18"/>
          <w:szCs w:val="18"/>
        </w:rPr>
        <w:instrText xml:space="preserve"> HYPERLINK "http://www.sciencedirect.com/science?_ob=PublicationURL&amp;_hubEid=1-s2.0-S0167880911X00075&amp;_cid=271239&amp;_pubType=JL&amp;view=c&amp;_auth=y&amp;_acct=C000063040&amp;_version=1&amp;_urlVersion=0&amp;_userid=4380432&amp;md5=bd792108d1ef7656ea2ef5a656799c5b" </w:instrText>
      </w:r>
      <w:r w:rsidR="007C443A">
        <w:rPr>
          <w:kern w:val="18"/>
          <w:szCs w:val="18"/>
        </w:rPr>
        <w:fldChar w:fldCharType="separate"/>
      </w:r>
      <w:r w:rsidRPr="00C64F18">
        <w:rPr>
          <w:kern w:val="18"/>
          <w:szCs w:val="18"/>
        </w:rPr>
        <w:t>142(3-4</w:t>
      </w:r>
      <w:r w:rsidR="007C443A">
        <w:rPr>
          <w:kern w:val="18"/>
          <w:szCs w:val="18"/>
        </w:rPr>
        <w:fldChar w:fldCharType="end"/>
      </w:r>
      <w:r w:rsidRPr="00C64F18">
        <w:rPr>
          <w:kern w:val="18"/>
          <w:szCs w:val="18"/>
        </w:rPr>
        <w:t>):111-128.</w:t>
      </w:r>
      <w:r>
        <w:rPr>
          <w:rFonts w:hint="eastAsia"/>
          <w:kern w:val="18"/>
          <w:szCs w:val="18"/>
        </w:rPr>
        <w:t>；</w:t>
      </w:r>
      <w:r w:rsidRPr="00A51A7F">
        <w:rPr>
          <w:rFonts w:ascii="Times New Roman" w:hAnsi="Times New Roman"/>
          <w:kern w:val="18"/>
          <w:szCs w:val="18"/>
        </w:rPr>
        <w:t>Stromberg, P., Gasparatos, A., Lee, J.S.H., Garcia-Ulloa, J., Koh, L.P., Takeuchi, K</w:t>
      </w:r>
      <w:r w:rsidRPr="00C64F18">
        <w:rPr>
          <w:kern w:val="18"/>
          <w:szCs w:val="18"/>
        </w:rPr>
        <w:t>.,(2010)</w:t>
      </w:r>
      <w:r>
        <w:rPr>
          <w:rFonts w:hint="eastAsia"/>
          <w:kern w:val="18"/>
          <w:szCs w:val="18"/>
        </w:rPr>
        <w:t>，</w:t>
      </w:r>
      <w:r w:rsidRPr="00A51A7F">
        <w:rPr>
          <w:rFonts w:ascii="KaiTi" w:eastAsia="KaiTi" w:hAnsi="KaiTi" w:hint="eastAsia"/>
          <w:kern w:val="18"/>
          <w:szCs w:val="18"/>
        </w:rPr>
        <w:t>液体生物燃料对生态系统服务和生物多样性的影响</w:t>
      </w:r>
      <w:r>
        <w:rPr>
          <w:rFonts w:hint="eastAsia"/>
          <w:kern w:val="18"/>
          <w:szCs w:val="18"/>
        </w:rPr>
        <w:t>，</w:t>
      </w:r>
      <w:r w:rsidRPr="00A51A7F">
        <w:rPr>
          <w:rFonts w:ascii="KaiTi" w:eastAsia="KaiTi" w:hAnsi="KaiTi"/>
        </w:rPr>
        <w:t>联合国大学</w:t>
      </w:r>
      <w:r w:rsidRPr="00A51A7F">
        <w:rPr>
          <w:rFonts w:ascii="KaiTi" w:eastAsia="KaiTi" w:hAnsi="KaiTi" w:hint="eastAsia"/>
        </w:rPr>
        <w:t>高研所</w:t>
      </w:r>
      <w:r w:rsidRPr="00A51A7F">
        <w:rPr>
          <w:rFonts w:ascii="KaiTi" w:eastAsia="KaiTi" w:hAnsi="KaiTi" w:cs="SimSun" w:hint="eastAsia"/>
        </w:rPr>
        <w:t>政策报告</w:t>
      </w:r>
      <w:r>
        <w:rPr>
          <w:rFonts w:cs="SimSun" w:hint="eastAsia"/>
        </w:rPr>
        <w:t>。</w:t>
      </w:r>
      <w:r>
        <w:t>联合国大学高等研究</w:t>
      </w:r>
      <w:r>
        <w:rPr>
          <w:rFonts w:cs="SimSun" w:hint="eastAsia"/>
        </w:rPr>
        <w:t>所</w:t>
      </w:r>
      <w:r w:rsidRPr="00C64F18">
        <w:rPr>
          <w:kern w:val="18"/>
          <w:szCs w:val="18"/>
        </w:rPr>
        <w:t>ISBN 978-92-808-4518-1</w:t>
      </w:r>
      <w:r w:rsidR="0097260A">
        <w:rPr>
          <w:rFonts w:hint="eastAsia"/>
          <w:kern w:val="18"/>
          <w:szCs w:val="18"/>
        </w:rPr>
        <w:t>，</w:t>
      </w:r>
      <w:r w:rsidRPr="00830B68">
        <w:rPr>
          <w:rFonts w:hint="eastAsia"/>
          <w:kern w:val="18"/>
          <w:szCs w:val="18"/>
        </w:rPr>
        <w:t>横滨</w:t>
      </w:r>
      <w:r>
        <w:rPr>
          <w:rFonts w:hint="eastAsia"/>
          <w:kern w:val="18"/>
          <w:szCs w:val="18"/>
        </w:rPr>
        <w:t>。</w:t>
      </w:r>
    </w:p>
  </w:footnote>
  <w:footnote w:id="10">
    <w:p w14:paraId="5E5C0436" w14:textId="4AFF74AB" w:rsidR="00CA5D52" w:rsidRPr="00C64F18" w:rsidRDefault="00CA5D52" w:rsidP="002B5F87">
      <w:pPr>
        <w:pStyle w:val="FootnoteText"/>
        <w:kinsoku w:val="0"/>
        <w:overflowPunct w:val="0"/>
        <w:autoSpaceDE w:val="0"/>
        <w:autoSpaceDN w:val="0"/>
        <w:adjustRightInd w:val="0"/>
        <w:snapToGrid w:val="0"/>
        <w:ind w:firstLine="0"/>
        <w:jc w:val="left"/>
        <w:rPr>
          <w:kern w:val="18"/>
          <w:szCs w:val="18"/>
        </w:rPr>
      </w:pPr>
      <w:r w:rsidRPr="0097260A">
        <w:rPr>
          <w:rStyle w:val="FootnoteReference"/>
          <w:kern w:val="18"/>
          <w:sz w:val="20"/>
          <w:szCs w:val="20"/>
        </w:rPr>
        <w:footnoteRef/>
      </w:r>
      <w:r w:rsidRPr="0097260A">
        <w:rPr>
          <w:kern w:val="18"/>
          <w:szCs w:val="20"/>
        </w:rPr>
        <w:t xml:space="preserve"> </w:t>
      </w:r>
      <w:r w:rsidRPr="00A51A7F">
        <w:rPr>
          <w:rFonts w:ascii="Times New Roman" w:hAnsi="Times New Roman"/>
          <w:kern w:val="18"/>
          <w:szCs w:val="18"/>
        </w:rPr>
        <w:t xml:space="preserve">Buxton, </w:t>
      </w:r>
      <w:proofErr w:type="gramStart"/>
      <w:r w:rsidRPr="00A51A7F">
        <w:rPr>
          <w:rFonts w:ascii="Times New Roman" w:hAnsi="Times New Roman"/>
          <w:kern w:val="18"/>
          <w:szCs w:val="18"/>
        </w:rPr>
        <w:t>A</w:t>
      </w:r>
      <w:r w:rsidRPr="00C64F18">
        <w:rPr>
          <w:kern w:val="18"/>
          <w:szCs w:val="18"/>
        </w:rPr>
        <w:t>.(</w:t>
      </w:r>
      <w:proofErr w:type="gramEnd"/>
      <w:r w:rsidRPr="00C64F18">
        <w:rPr>
          <w:kern w:val="18"/>
          <w:szCs w:val="18"/>
        </w:rPr>
        <w:t>2013)</w:t>
      </w:r>
      <w:r>
        <w:rPr>
          <w:rFonts w:hint="eastAsia"/>
          <w:kern w:val="18"/>
          <w:szCs w:val="18"/>
        </w:rPr>
        <w:t>，</w:t>
      </w:r>
      <w:r w:rsidRPr="00A51A7F">
        <w:rPr>
          <w:rFonts w:ascii="KaiTi" w:eastAsia="KaiTi" w:hAnsi="KaiTi" w:hint="eastAsia"/>
          <w:kern w:val="18"/>
          <w:szCs w:val="18"/>
        </w:rPr>
        <w:t>应对手工和小规模采矿的挑战。知识网络如何提供帮助</w:t>
      </w:r>
      <w:r>
        <w:rPr>
          <w:rFonts w:hint="eastAsia"/>
          <w:kern w:val="18"/>
          <w:szCs w:val="18"/>
        </w:rPr>
        <w:t>？国际环境和发展研究所，伦敦。</w:t>
      </w:r>
    </w:p>
  </w:footnote>
  <w:footnote w:id="11">
    <w:p w14:paraId="0B1A678F" w14:textId="77777777" w:rsidR="00CA5D52" w:rsidRPr="00104073" w:rsidRDefault="00CA5D52" w:rsidP="00714BEA">
      <w:pPr>
        <w:pStyle w:val="FootnoteText"/>
        <w:kinsoku w:val="0"/>
        <w:overflowPunct w:val="0"/>
        <w:autoSpaceDE w:val="0"/>
        <w:autoSpaceDN w:val="0"/>
        <w:adjustRightInd w:val="0"/>
        <w:snapToGrid w:val="0"/>
        <w:ind w:firstLine="0"/>
        <w:jc w:val="left"/>
        <w:rPr>
          <w:rFonts w:ascii="Times New Roman" w:hAnsi="Times New Roman"/>
          <w:kern w:val="18"/>
          <w:szCs w:val="18"/>
        </w:rPr>
      </w:pPr>
      <w:r w:rsidRPr="0097260A">
        <w:rPr>
          <w:rStyle w:val="FootnoteReference"/>
          <w:kern w:val="18"/>
          <w:sz w:val="20"/>
          <w:szCs w:val="20"/>
        </w:rPr>
        <w:footnoteRef/>
      </w:r>
      <w:r w:rsidRPr="00725AC7">
        <w:rPr>
          <w:kern w:val="18"/>
          <w:szCs w:val="18"/>
        </w:rPr>
        <w:t xml:space="preserve"> </w:t>
      </w:r>
      <w:r w:rsidRPr="00104073">
        <w:rPr>
          <w:rFonts w:ascii="Times New Roman" w:hAnsi="Times New Roman"/>
          <w:kern w:val="18"/>
          <w:szCs w:val="18"/>
        </w:rPr>
        <w:t>Ituarte-Lima, C.  (</w:t>
      </w:r>
      <w:proofErr w:type="gramStart"/>
      <w:r w:rsidRPr="00104073">
        <w:rPr>
          <w:rFonts w:ascii="Times New Roman" w:hAnsi="Times New Roman"/>
          <w:kern w:val="18"/>
          <w:szCs w:val="18"/>
        </w:rPr>
        <w:t>2017)</w:t>
      </w:r>
      <w:r>
        <w:rPr>
          <w:rFonts w:ascii="Times New Roman" w:hAnsi="Times New Roman" w:hint="eastAsia"/>
          <w:kern w:val="18"/>
          <w:szCs w:val="18"/>
        </w:rPr>
        <w:t>，</w:t>
      </w:r>
      <w:proofErr w:type="gramEnd"/>
      <w:r w:rsidRPr="00104073">
        <w:rPr>
          <w:rFonts w:ascii="KaiTi" w:eastAsia="KaiTi" w:hAnsi="KaiTi"/>
          <w:kern w:val="18"/>
          <w:szCs w:val="18"/>
        </w:rPr>
        <w:t>变革性生物多样性法和2030年议程：通过人权将生物多样性和司法纳入主流</w:t>
      </w:r>
      <w:r w:rsidRPr="00104073">
        <w:rPr>
          <w:rFonts w:ascii="Times New Roman" w:hAnsi="Times New Roman"/>
          <w:kern w:val="18"/>
          <w:szCs w:val="18"/>
        </w:rPr>
        <w:t>。在：</w:t>
      </w:r>
      <w:r w:rsidRPr="00104073">
        <w:rPr>
          <w:rFonts w:ascii="Times New Roman" w:hAnsi="Times New Roman"/>
          <w:kern w:val="18"/>
          <w:szCs w:val="18"/>
        </w:rPr>
        <w:t>Hutter, B. M. (2017)</w:t>
      </w:r>
      <w:r w:rsidRPr="00104073">
        <w:rPr>
          <w:rFonts w:ascii="Times New Roman" w:hAnsi="Times New Roman"/>
        </w:rPr>
        <w:t xml:space="preserve"> </w:t>
      </w:r>
      <w:r w:rsidRPr="00BC7630">
        <w:rPr>
          <w:rFonts w:ascii="KaiTi" w:eastAsia="KaiTi" w:hAnsi="KaiTi"/>
          <w:kern w:val="18"/>
          <w:szCs w:val="18"/>
        </w:rPr>
        <w:t>风险、复原力、不平等和环境法</w:t>
      </w:r>
      <w:r w:rsidRPr="00104073">
        <w:rPr>
          <w:rFonts w:ascii="Times New Roman" w:hAnsi="Times New Roman"/>
          <w:kern w:val="18"/>
          <w:szCs w:val="18"/>
        </w:rPr>
        <w:t>。</w:t>
      </w:r>
      <w:r w:rsidRPr="00104073">
        <w:rPr>
          <w:rFonts w:ascii="Times New Roman" w:hAnsi="Times New Roman"/>
          <w:kern w:val="18"/>
          <w:szCs w:val="18"/>
        </w:rPr>
        <w:t>Edward Elgar</w:t>
      </w:r>
      <w:r w:rsidRPr="00104073">
        <w:rPr>
          <w:rFonts w:ascii="Times New Roman" w:hAnsi="Times New Roman"/>
          <w:kern w:val="18"/>
          <w:szCs w:val="18"/>
        </w:rPr>
        <w:t>出版社。</w:t>
      </w:r>
    </w:p>
  </w:footnote>
  <w:footnote w:id="12">
    <w:p w14:paraId="0F03878F" w14:textId="77777777" w:rsidR="00CA5D52" w:rsidRPr="00C64F18" w:rsidRDefault="00CA5D52" w:rsidP="00E93041">
      <w:pPr>
        <w:pStyle w:val="FootnoteText"/>
        <w:kinsoku w:val="0"/>
        <w:overflowPunct w:val="0"/>
        <w:autoSpaceDE w:val="0"/>
        <w:autoSpaceDN w:val="0"/>
        <w:adjustRightInd w:val="0"/>
        <w:snapToGrid w:val="0"/>
        <w:ind w:firstLine="0"/>
        <w:jc w:val="left"/>
        <w:rPr>
          <w:kern w:val="18"/>
          <w:szCs w:val="18"/>
        </w:rPr>
      </w:pPr>
      <w:r w:rsidRPr="0097260A">
        <w:rPr>
          <w:rStyle w:val="FootnoteReference"/>
          <w:kern w:val="18"/>
          <w:sz w:val="20"/>
          <w:szCs w:val="20"/>
        </w:rPr>
        <w:footnoteRef/>
      </w:r>
      <w:r w:rsidRPr="00104073">
        <w:rPr>
          <w:rFonts w:ascii="Times New Roman" w:hAnsi="Times New Roman"/>
        </w:rPr>
        <w:t xml:space="preserve"> </w:t>
      </w:r>
      <w:r w:rsidRPr="00104073">
        <w:rPr>
          <w:rFonts w:ascii="Times New Roman" w:hAnsi="Times New Roman"/>
        </w:rPr>
        <w:t>例如：跨部门生物多样性倡议</w:t>
      </w:r>
      <w:r>
        <w:rPr>
          <w:rFonts w:ascii="Times New Roman" w:hAnsi="Times New Roman" w:hint="eastAsia"/>
        </w:rPr>
        <w:t>(</w:t>
      </w:r>
      <w:r w:rsidRPr="00104073">
        <w:rPr>
          <w:rFonts w:ascii="Times New Roman" w:hAnsi="Times New Roman"/>
        </w:rPr>
        <w:t>2014</w:t>
      </w:r>
      <w:r>
        <w:rPr>
          <w:rFonts w:ascii="Times New Roman" w:hAnsi="Times New Roman"/>
        </w:rPr>
        <w:t>)</w:t>
      </w:r>
      <w:r>
        <w:rPr>
          <w:rFonts w:ascii="Times New Roman" w:hAnsi="Times New Roman" w:hint="eastAsia"/>
        </w:rPr>
        <w:t>，</w:t>
      </w:r>
      <w:r w:rsidRPr="00D77776">
        <w:rPr>
          <w:rFonts w:ascii="KaiTi" w:eastAsia="KaiTi" w:hAnsi="KaiTi"/>
        </w:rPr>
        <w:t>时间线工具</w:t>
      </w:r>
      <w:r w:rsidRPr="00104073">
        <w:rPr>
          <w:rFonts w:ascii="Times New Roman" w:hAnsi="Times New Roman"/>
          <w:kern w:val="18"/>
          <w:szCs w:val="18"/>
        </w:rPr>
        <w:t>。</w:t>
      </w:r>
      <w:r w:rsidRPr="00104073">
        <w:rPr>
          <w:rFonts w:ascii="Times New Roman" w:hAnsi="Times New Roman"/>
          <w:kern w:val="18"/>
          <w:szCs w:val="18"/>
        </w:rPr>
        <w:t xml:space="preserve"> </w:t>
      </w:r>
      <w:hyperlink r:id="rId6" w:history="1">
        <w:r w:rsidRPr="00104073">
          <w:rPr>
            <w:rStyle w:val="Hyperlink"/>
            <w:rFonts w:ascii="Times New Roman" w:hAnsi="Times New Roman"/>
            <w:kern w:val="18"/>
            <w:szCs w:val="18"/>
          </w:rPr>
          <w:t>www.csbi.org.uk/tools-and-guidance/timeline-tool</w:t>
        </w:r>
      </w:hyperlink>
      <w:r w:rsidRPr="00104073">
        <w:rPr>
          <w:rFonts w:ascii="Times New Roman" w:hAnsi="Times New Roman"/>
          <w:kern w:val="18"/>
          <w:szCs w:val="18"/>
        </w:rPr>
        <w:t>；</w:t>
      </w:r>
      <w:r w:rsidRPr="00104073">
        <w:rPr>
          <w:rFonts w:ascii="Times New Roman" w:hAnsi="Times New Roman"/>
        </w:rPr>
        <w:t>跨部门生物多样性倡议</w:t>
      </w:r>
      <w:r w:rsidRPr="00104073">
        <w:rPr>
          <w:rFonts w:ascii="Times New Roman" w:hAnsi="Times New Roman"/>
          <w:kern w:val="18"/>
          <w:szCs w:val="18"/>
        </w:rPr>
        <w:t xml:space="preserve"> (2015)</w:t>
      </w:r>
      <w:r>
        <w:rPr>
          <w:rFonts w:ascii="Times New Roman" w:hAnsi="Times New Roman" w:hint="eastAsia"/>
          <w:kern w:val="18"/>
          <w:szCs w:val="18"/>
        </w:rPr>
        <w:t>，</w:t>
      </w:r>
      <w:r w:rsidRPr="00D77776">
        <w:rPr>
          <w:rFonts w:ascii="KaiTi" w:eastAsia="KaiTi" w:hAnsi="KaiTi"/>
        </w:rPr>
        <w:t>执行缓解层次结构的跨部门指南</w:t>
      </w:r>
      <w:r w:rsidRPr="00104073">
        <w:rPr>
          <w:rFonts w:ascii="Times New Roman" w:hAnsi="Times New Roman"/>
          <w:kern w:val="18"/>
          <w:szCs w:val="18"/>
        </w:rPr>
        <w:t>，</w:t>
      </w:r>
      <w:hyperlink r:id="rId7" w:history="1">
        <w:r w:rsidRPr="00460430">
          <w:rPr>
            <w:rStyle w:val="Hyperlink"/>
            <w:rFonts w:ascii="Times New Roman" w:hAnsi="Times New Roman"/>
            <w:kern w:val="18"/>
            <w:szCs w:val="18"/>
          </w:rPr>
          <w:t>www.csbi.org.uk/tools-andguidance/mitigation-hierarchy</w:t>
        </w:r>
        <w:r w:rsidRPr="00460430">
          <w:rPr>
            <w:rStyle w:val="Hyperlink"/>
            <w:rFonts w:ascii="Times New Roman" w:hAnsi="Times New Roman" w:hint="eastAsia"/>
            <w:kern w:val="18"/>
            <w:szCs w:val="18"/>
          </w:rPr>
          <w:t>；</w:t>
        </w:r>
        <w:r w:rsidRPr="00460430">
          <w:rPr>
            <w:rStyle w:val="Hyperlink"/>
            <w:rFonts w:ascii="Times New Roman" w:hAnsi="Times New Roman" w:hint="eastAsia"/>
          </w:rPr>
          <w:t>跨部门生物多样性倡议</w:t>
        </w:r>
      </w:hyperlink>
      <w:r>
        <w:rPr>
          <w:rFonts w:ascii="Times New Roman" w:hAnsi="Times New Roman" w:hint="eastAsia"/>
          <w:kern w:val="18"/>
          <w:szCs w:val="18"/>
        </w:rPr>
        <w:t>(2</w:t>
      </w:r>
      <w:r>
        <w:rPr>
          <w:rFonts w:ascii="Times New Roman" w:hAnsi="Times New Roman"/>
          <w:kern w:val="18"/>
          <w:szCs w:val="18"/>
        </w:rPr>
        <w:t>018</w:t>
      </w:r>
      <w:r w:rsidRPr="00104073">
        <w:rPr>
          <w:rFonts w:ascii="Times New Roman" w:hAnsi="Times New Roman"/>
          <w:kern w:val="18"/>
          <w:szCs w:val="18"/>
        </w:rPr>
        <w:t>)</w:t>
      </w:r>
      <w:r>
        <w:rPr>
          <w:rFonts w:ascii="Times New Roman" w:hAnsi="Times New Roman"/>
          <w:kern w:val="18"/>
          <w:szCs w:val="18"/>
        </w:rPr>
        <w:t>,</w:t>
      </w:r>
      <w:r w:rsidRPr="00104073">
        <w:rPr>
          <w:rFonts w:ascii="Times New Roman" w:hAnsi="Times New Roman"/>
          <w:kern w:val="18"/>
          <w:szCs w:val="18"/>
        </w:rPr>
        <w:t xml:space="preserve"> </w:t>
      </w:r>
      <w:hyperlink r:id="rId8" w:history="1">
        <w:r w:rsidRPr="00104073">
          <w:rPr>
            <w:rStyle w:val="Hyperlink"/>
            <w:rFonts w:ascii="Times New Roman" w:hAnsi="Times New Roman"/>
            <w:kern w:val="18"/>
            <w:szCs w:val="18"/>
          </w:rPr>
          <w:t>http://www.csbi.org.uk/</w:t>
        </w:r>
      </w:hyperlink>
      <w:r w:rsidRPr="00104073">
        <w:rPr>
          <w:rFonts w:ascii="Times New Roman" w:hAnsi="Times New Roman"/>
          <w:kern w:val="18"/>
          <w:szCs w:val="18"/>
        </w:rPr>
        <w:t xml:space="preserve">; Gullison, R. E, Hardner, J., Anstee, S. </w:t>
      </w:r>
      <w:r w:rsidRPr="00104073">
        <w:rPr>
          <w:rFonts w:ascii="Times New Roman" w:hAnsi="Times New Roman"/>
          <w:kern w:val="18"/>
          <w:szCs w:val="18"/>
        </w:rPr>
        <w:t>和</w:t>
      </w:r>
      <w:r w:rsidRPr="00104073">
        <w:rPr>
          <w:rFonts w:ascii="Times New Roman" w:hAnsi="Times New Roman"/>
          <w:kern w:val="18"/>
          <w:szCs w:val="18"/>
        </w:rPr>
        <w:t xml:space="preserve"> Meyer, M. (2014)</w:t>
      </w:r>
      <w:r>
        <w:rPr>
          <w:rFonts w:ascii="Times New Roman" w:hAnsi="Times New Roman" w:hint="eastAsia"/>
        </w:rPr>
        <w:t>，</w:t>
      </w:r>
      <w:r w:rsidRPr="00D77776">
        <w:rPr>
          <w:rFonts w:ascii="KaiTi" w:eastAsia="KaiTi" w:hAnsi="KaiTi"/>
        </w:rPr>
        <w:t>收集生物多样性基准数据的良好做法</w:t>
      </w:r>
      <w:r>
        <w:rPr>
          <w:rFonts w:ascii="Times New Roman" w:hAnsi="Times New Roman" w:hint="eastAsia"/>
        </w:rPr>
        <w:t>，</w:t>
      </w:r>
      <w:r w:rsidRPr="00104073">
        <w:rPr>
          <w:rFonts w:ascii="Times New Roman" w:hAnsi="Times New Roman"/>
        </w:rPr>
        <w:t>为多边筹资机构生物多样性工作组和跨部门生物多样性倡议编制</w:t>
      </w:r>
      <w:r w:rsidRPr="00104073">
        <w:rPr>
          <w:rFonts w:ascii="Times New Roman" w:hAnsi="Times New Roman"/>
          <w:kern w:val="18"/>
          <w:szCs w:val="18"/>
        </w:rPr>
        <w:t xml:space="preserve"> </w:t>
      </w:r>
      <w:hyperlink r:id="rId9" w:history="1">
        <w:r w:rsidRPr="00104073">
          <w:rPr>
            <w:rStyle w:val="Hyperlink"/>
            <w:rFonts w:ascii="Times New Roman" w:hAnsi="Times New Roman"/>
            <w:kern w:val="18"/>
            <w:szCs w:val="18"/>
          </w:rPr>
          <w:t>www.csbi.org.uk/tools-andguidance/biodiversity-data-collection/</w:t>
        </w:r>
      </w:hyperlink>
      <w:r w:rsidRPr="00104073">
        <w:rPr>
          <w:rFonts w:ascii="Times New Roman" w:hAnsi="Times New Roman"/>
          <w:kern w:val="18"/>
          <w:szCs w:val="18"/>
        </w:rPr>
        <w:t>; IOGP-IPIECA (2014)</w:t>
      </w:r>
      <w:r>
        <w:rPr>
          <w:rFonts w:ascii="Times New Roman" w:hAnsi="Times New Roman" w:hint="eastAsia"/>
          <w:kern w:val="18"/>
          <w:szCs w:val="18"/>
        </w:rPr>
        <w:t>，</w:t>
      </w:r>
      <w:r w:rsidRPr="00D77776">
        <w:rPr>
          <w:rFonts w:ascii="KaiTi" w:eastAsia="KaiTi" w:hAnsi="KaiTi"/>
        </w:rPr>
        <w:t>运营管理系统框架</w:t>
      </w:r>
      <w:r w:rsidRPr="00104073">
        <w:rPr>
          <w:rFonts w:ascii="Times New Roman" w:hAnsi="Times New Roman"/>
        </w:rPr>
        <w:t>，</w:t>
      </w:r>
      <w:r w:rsidRPr="00D77776">
        <w:rPr>
          <w:rFonts w:ascii="KaiTi" w:eastAsia="KaiTi" w:hAnsi="KaiTi"/>
        </w:rPr>
        <w:t>用于控制石油和天然气行业的风险并实现高效能</w:t>
      </w:r>
      <w:r w:rsidRPr="00104073">
        <w:rPr>
          <w:rFonts w:ascii="Times New Roman" w:hAnsi="Times New Roman"/>
          <w:kern w:val="18"/>
          <w:szCs w:val="18"/>
        </w:rPr>
        <w:t>。国际石油和天然气生产者协会报告</w:t>
      </w:r>
      <w:r w:rsidRPr="00104073">
        <w:rPr>
          <w:rFonts w:ascii="Times New Roman" w:hAnsi="Times New Roman"/>
          <w:kern w:val="18"/>
          <w:szCs w:val="18"/>
        </w:rPr>
        <w:t>510</w:t>
      </w:r>
      <w:r w:rsidRPr="00104073">
        <w:rPr>
          <w:rFonts w:ascii="Times New Roman" w:hAnsi="Times New Roman"/>
          <w:kern w:val="18"/>
          <w:szCs w:val="18"/>
        </w:rPr>
        <w:t>。</w:t>
      </w:r>
      <w:r w:rsidRPr="00D77776">
        <w:rPr>
          <w:rFonts w:ascii="Times New Roman" w:hAnsi="Times New Roman"/>
          <w:kern w:val="18"/>
          <w:szCs w:val="18"/>
        </w:rPr>
        <w:t xml:space="preserve"> </w:t>
      </w:r>
      <w:hyperlink r:id="rId10" w:history="1">
        <w:r w:rsidRPr="00D77776">
          <w:rPr>
            <w:rStyle w:val="Hyperlink"/>
            <w:rFonts w:ascii="Times New Roman" w:hAnsi="Times New Roman"/>
            <w:kern w:val="18"/>
            <w:szCs w:val="18"/>
          </w:rPr>
          <w:t>www.ogp.org.uk/pubs/510.pdf</w:t>
        </w:r>
      </w:hyperlink>
      <w:r w:rsidRPr="00D77776">
        <w:rPr>
          <w:rFonts w:ascii="Times New Roman" w:hAnsi="Times New Roman" w:hint="eastAsia"/>
          <w:kern w:val="18"/>
          <w:szCs w:val="18"/>
        </w:rPr>
        <w:t>；</w:t>
      </w:r>
      <w:r w:rsidRPr="00D77776">
        <w:rPr>
          <w:rFonts w:ascii="Times New Roman" w:hAnsi="Times New Roman" w:hint="eastAsia"/>
          <w:lang w:val="is-IS"/>
        </w:rPr>
        <w:t>石环协会</w:t>
      </w:r>
      <w:r>
        <w:rPr>
          <w:rFonts w:ascii="Times New Roman" w:hAnsi="Times New Roman"/>
        </w:rPr>
        <w:t>(2011)</w:t>
      </w:r>
      <w:r>
        <w:rPr>
          <w:rFonts w:ascii="Times New Roman" w:hAnsi="Times New Roman" w:hint="eastAsia"/>
        </w:rPr>
        <w:t>，</w:t>
      </w:r>
      <w:r w:rsidRPr="00D77776">
        <w:rPr>
          <w:rFonts w:ascii="KaiTi" w:eastAsia="KaiTi" w:hAnsi="KaiTi"/>
        </w:rPr>
        <w:t>生态系统服务指南</w:t>
      </w:r>
      <w:r w:rsidRPr="00104073">
        <w:rPr>
          <w:rFonts w:ascii="Times New Roman" w:hAnsi="Times New Roman"/>
        </w:rPr>
        <w:t>。生物多样性和生态系统服务指南和核对清单。</w:t>
      </w:r>
      <w:hyperlink r:id="rId11" w:history="1">
        <w:r w:rsidRPr="00104073">
          <w:rPr>
            <w:rStyle w:val="Hyperlink"/>
            <w:rFonts w:ascii="Times New Roman" w:hAnsi="Times New Roman"/>
            <w:kern w:val="18"/>
            <w:szCs w:val="18"/>
          </w:rPr>
          <w:t>www.ipieca.org/publication/ecosystem-servicesguidance</w:t>
        </w:r>
      </w:hyperlink>
      <w:r w:rsidRPr="00104073">
        <w:rPr>
          <w:rFonts w:ascii="Times New Roman" w:hAnsi="Times New Roman"/>
          <w:kern w:val="18"/>
          <w:szCs w:val="18"/>
        </w:rPr>
        <w:t xml:space="preserve">; </w:t>
      </w:r>
      <w:r w:rsidRPr="00104073">
        <w:rPr>
          <w:rFonts w:ascii="Times New Roman" w:hAnsi="Times New Roman"/>
          <w:kern w:val="18"/>
          <w:szCs w:val="18"/>
        </w:rPr>
        <w:t>石环协会</w:t>
      </w:r>
      <w:r w:rsidRPr="00104073">
        <w:rPr>
          <w:rFonts w:ascii="Times New Roman" w:hAnsi="Times New Roman"/>
          <w:kern w:val="18"/>
          <w:szCs w:val="18"/>
        </w:rPr>
        <w:t>-</w:t>
      </w:r>
      <w:r w:rsidRPr="00104073">
        <w:rPr>
          <w:rFonts w:ascii="Times New Roman" w:hAnsi="Times New Roman"/>
          <w:color w:val="545454"/>
          <w:shd w:val="clear" w:color="auto" w:fill="FFFFFF"/>
        </w:rPr>
        <w:t>国际石油和天然气生产者协会</w:t>
      </w:r>
      <w:r w:rsidRPr="00104073">
        <w:rPr>
          <w:rFonts w:ascii="Times New Roman" w:hAnsi="Times New Roman"/>
          <w:kern w:val="18"/>
          <w:szCs w:val="18"/>
        </w:rPr>
        <w:t xml:space="preserve"> (2014)</w:t>
      </w:r>
      <w:r>
        <w:rPr>
          <w:rFonts w:ascii="Times New Roman" w:hAnsi="Times New Roman" w:hint="eastAsia"/>
          <w:kern w:val="18"/>
          <w:szCs w:val="18"/>
        </w:rPr>
        <w:t>，</w:t>
      </w:r>
      <w:r w:rsidRPr="00D77776">
        <w:rPr>
          <w:rFonts w:ascii="KaiTi" w:eastAsia="KaiTi" w:hAnsi="KaiTi"/>
        </w:rPr>
        <w:t>在任何环境下管理资产生命周期中的生物多样性和生态系统服务问题：石油和天然气行业成功的10个技巧提示</w:t>
      </w:r>
      <w:r w:rsidRPr="00104073">
        <w:rPr>
          <w:rFonts w:ascii="Times New Roman" w:hAnsi="Times New Roman"/>
        </w:rPr>
        <w:t>，</w:t>
      </w:r>
      <w:r w:rsidRPr="00104073">
        <w:rPr>
          <w:rFonts w:ascii="Times New Roman" w:hAnsi="Times New Roman"/>
          <w:kern w:val="18"/>
          <w:szCs w:val="18"/>
        </w:rPr>
        <w:t xml:space="preserve"> </w:t>
      </w:r>
      <w:hyperlink r:id="rId12" w:history="1">
        <w:r w:rsidRPr="00104073">
          <w:rPr>
            <w:rStyle w:val="Hyperlink"/>
            <w:rFonts w:ascii="Times New Roman" w:hAnsi="Times New Roman"/>
            <w:kern w:val="18"/>
            <w:szCs w:val="18"/>
          </w:rPr>
          <w:t>http://www.ipieca.org/resources/good-practice/managing-biodiversity-ecosystem-services-bes-issues-along-the-asset-lifecycle-in-any-environment-10-tips-for-success-in-the-oil-and-gas-industry/</w:t>
        </w:r>
      </w:hyperlink>
      <w:r w:rsidRPr="00104073">
        <w:rPr>
          <w:rFonts w:ascii="Times New Roman" w:hAnsi="Times New Roman"/>
          <w:kern w:val="18"/>
          <w:szCs w:val="18"/>
        </w:rPr>
        <w:t>;</w:t>
      </w:r>
      <w:r w:rsidRPr="00104073">
        <w:rPr>
          <w:rFonts w:ascii="Times New Roman" w:hAnsi="Times New Roman"/>
          <w:kern w:val="18"/>
          <w:szCs w:val="18"/>
        </w:rPr>
        <w:t>石环协会</w:t>
      </w:r>
      <w:r w:rsidRPr="00104073">
        <w:rPr>
          <w:rFonts w:ascii="Times New Roman" w:hAnsi="Times New Roman"/>
          <w:kern w:val="18"/>
          <w:szCs w:val="18"/>
        </w:rPr>
        <w:t>-</w:t>
      </w:r>
      <w:r w:rsidRPr="00104073">
        <w:rPr>
          <w:rFonts w:ascii="Times New Roman" w:hAnsi="Times New Roman"/>
          <w:color w:val="545454"/>
          <w:shd w:val="clear" w:color="auto" w:fill="FFFFFF"/>
        </w:rPr>
        <w:t>国际石油和天然气生产者协会</w:t>
      </w:r>
      <w:r w:rsidRPr="00104073">
        <w:rPr>
          <w:rFonts w:ascii="Times New Roman" w:hAnsi="Times New Roman"/>
          <w:kern w:val="18"/>
          <w:szCs w:val="18"/>
        </w:rPr>
        <w:t xml:space="preserve"> (2016)</w:t>
      </w:r>
      <w:r>
        <w:rPr>
          <w:rFonts w:ascii="Times New Roman" w:hAnsi="Times New Roman" w:hint="eastAsia"/>
          <w:kern w:val="18"/>
          <w:szCs w:val="18"/>
        </w:rPr>
        <w:t>，</w:t>
      </w:r>
      <w:r w:rsidRPr="00D77776">
        <w:rPr>
          <w:rFonts w:ascii="KaiTi" w:eastAsia="KaiTi" w:hAnsi="KaiTi"/>
        </w:rPr>
        <w:t>生物多样性和生态系统基本原则-石油和天然气行业指导文件</w:t>
      </w:r>
      <w:r w:rsidRPr="00104073">
        <w:rPr>
          <w:rFonts w:ascii="Times New Roman" w:hAnsi="Times New Roman"/>
          <w:kern w:val="18"/>
          <w:szCs w:val="18"/>
        </w:rPr>
        <w:t>，</w:t>
      </w:r>
      <w:hyperlink r:id="rId13" w:history="1">
        <w:r w:rsidRPr="00104073">
          <w:rPr>
            <w:rStyle w:val="Hyperlink"/>
            <w:rFonts w:ascii="Times New Roman" w:hAnsi="Times New Roman"/>
            <w:kern w:val="18"/>
            <w:szCs w:val="18"/>
          </w:rPr>
          <w:t>http://www.ipieca.org/resources/good-practice/biodiversity-and-ecosystem-services-fundamentals</w:t>
        </w:r>
      </w:hyperlink>
      <w:r>
        <w:rPr>
          <w:rFonts w:ascii="Times New Roman" w:hAnsi="Times New Roman" w:hint="eastAsia"/>
        </w:rPr>
        <w:t>。</w:t>
      </w:r>
    </w:p>
  </w:footnote>
  <w:footnote w:id="13">
    <w:p w14:paraId="15742BAE" w14:textId="77777777" w:rsidR="00CA5D52" w:rsidRPr="00C64F18" w:rsidRDefault="00CA5D52" w:rsidP="00C52E84">
      <w:pPr>
        <w:pStyle w:val="FootnoteText"/>
        <w:kinsoku w:val="0"/>
        <w:overflowPunct w:val="0"/>
        <w:autoSpaceDE w:val="0"/>
        <w:autoSpaceDN w:val="0"/>
        <w:adjustRightInd w:val="0"/>
        <w:snapToGrid w:val="0"/>
        <w:ind w:firstLine="0"/>
        <w:jc w:val="left"/>
        <w:rPr>
          <w:kern w:val="18"/>
          <w:szCs w:val="18"/>
        </w:rPr>
      </w:pPr>
      <w:r w:rsidRPr="0097260A">
        <w:rPr>
          <w:rStyle w:val="FootnoteReference"/>
          <w:kern w:val="18"/>
          <w:sz w:val="20"/>
          <w:szCs w:val="20"/>
        </w:rPr>
        <w:footnoteRef/>
      </w:r>
      <w:r w:rsidRPr="0097260A">
        <w:rPr>
          <w:kern w:val="18"/>
          <w:szCs w:val="20"/>
        </w:rPr>
        <w:t xml:space="preserve"> </w:t>
      </w:r>
      <w:proofErr w:type="gramStart"/>
      <w:r>
        <w:t>石环协</w:t>
      </w:r>
      <w:r>
        <w:rPr>
          <w:rFonts w:cs="SimSun" w:hint="eastAsia"/>
        </w:rPr>
        <w:t>会</w:t>
      </w:r>
      <w:proofErr w:type="gramEnd"/>
      <w:r>
        <w:rPr>
          <w:rFonts w:cs="SimSun" w:hint="eastAsia"/>
        </w:rPr>
        <w:t>、</w:t>
      </w:r>
      <w:r w:rsidRPr="00A426EB">
        <w:rPr>
          <w:rFonts w:cs="SimSun" w:hint="eastAsia"/>
          <w:kern w:val="18"/>
          <w:szCs w:val="18"/>
        </w:rPr>
        <w:t>国际金融公司和开发署（</w:t>
      </w:r>
      <w:r w:rsidRPr="00A426EB">
        <w:rPr>
          <w:kern w:val="18"/>
          <w:szCs w:val="18"/>
        </w:rPr>
        <w:t>2017</w:t>
      </w:r>
      <w:r w:rsidRPr="00A426EB">
        <w:rPr>
          <w:rFonts w:cs="SimSun" w:hint="eastAsia"/>
          <w:kern w:val="18"/>
          <w:szCs w:val="18"/>
        </w:rPr>
        <w:t>）</w:t>
      </w:r>
      <w:r>
        <w:rPr>
          <w:rFonts w:cs="SimSun" w:hint="eastAsia"/>
          <w:kern w:val="18"/>
          <w:szCs w:val="18"/>
        </w:rPr>
        <w:t>，</w:t>
      </w:r>
      <w:r w:rsidRPr="00104073">
        <w:rPr>
          <w:rFonts w:ascii="KaiTi" w:eastAsia="KaiTi" w:hAnsi="KaiTi" w:cs="SimSun" w:hint="eastAsia"/>
          <w:kern w:val="18"/>
          <w:szCs w:val="18"/>
        </w:rPr>
        <w:t>将石油和天然气行业绘制为可持续发展目标：</w:t>
      </w:r>
      <w:r w:rsidRPr="00104073">
        <w:rPr>
          <w:rFonts w:ascii="KaiTi" w:eastAsia="KaiTi" w:hAnsi="KaiTi" w:hint="eastAsia"/>
          <w:kern w:val="18"/>
          <w:szCs w:val="18"/>
        </w:rPr>
        <w:t>地图集</w:t>
      </w:r>
      <w:r w:rsidRPr="00A426EB">
        <w:rPr>
          <w:kern w:val="18"/>
          <w:szCs w:val="18"/>
        </w:rPr>
        <w:t>[</w:t>
      </w:r>
      <w:r w:rsidRPr="00A426EB">
        <w:rPr>
          <w:rFonts w:cs="SimSun" w:hint="eastAsia"/>
          <w:kern w:val="18"/>
          <w:szCs w:val="18"/>
        </w:rPr>
        <w:t>在线</w:t>
      </w:r>
      <w:r w:rsidRPr="00A426EB">
        <w:rPr>
          <w:kern w:val="18"/>
          <w:szCs w:val="18"/>
        </w:rPr>
        <w:t>]</w:t>
      </w:r>
      <w:r w:rsidRPr="00A426EB">
        <w:rPr>
          <w:rFonts w:cs="SimSun" w:hint="eastAsia"/>
          <w:kern w:val="18"/>
          <w:szCs w:val="18"/>
        </w:rPr>
        <w:t>可从以下网址获取</w:t>
      </w:r>
      <w:r>
        <w:rPr>
          <w:rFonts w:cs="SimSun" w:hint="eastAsia"/>
          <w:kern w:val="18"/>
          <w:szCs w:val="18"/>
        </w:rPr>
        <w:t>：</w:t>
      </w:r>
      <w:hyperlink r:id="rId14" w:history="1">
        <w:r w:rsidRPr="00104073">
          <w:rPr>
            <w:rStyle w:val="Hyperlink"/>
            <w:rFonts w:ascii="Times New Roman" w:hAnsi="Times New Roman"/>
            <w:kern w:val="18"/>
            <w:szCs w:val="18"/>
          </w:rPr>
          <w:t>http://www.ipieca.org/resources/awareness-briefing/mapping-the-oil-and-gas-industry-to-the-sustainable-development-goals-an-atlas/</w:t>
        </w:r>
      </w:hyperlink>
      <w:r w:rsidRPr="00104073">
        <w:rPr>
          <w:rFonts w:ascii="Times New Roman" w:hAnsi="Times New Roman"/>
          <w:kern w:val="18"/>
          <w:szCs w:val="18"/>
        </w:rPr>
        <w:t xml:space="preserve"> [2018</w:t>
      </w:r>
      <w:r w:rsidRPr="00104073">
        <w:rPr>
          <w:rFonts w:ascii="Times New Roman" w:hAnsi="Times New Roman"/>
          <w:kern w:val="18"/>
          <w:szCs w:val="18"/>
        </w:rPr>
        <w:t>年</w:t>
      </w:r>
      <w:r w:rsidRPr="00104073">
        <w:rPr>
          <w:rFonts w:ascii="Times New Roman" w:hAnsi="Times New Roman"/>
          <w:kern w:val="18"/>
          <w:szCs w:val="18"/>
        </w:rPr>
        <w:t>3</w:t>
      </w:r>
      <w:r w:rsidRPr="00104073">
        <w:rPr>
          <w:rFonts w:ascii="Times New Roman" w:hAnsi="Times New Roman"/>
          <w:kern w:val="18"/>
          <w:szCs w:val="18"/>
        </w:rPr>
        <w:t>月访问</w:t>
      </w:r>
      <w:r w:rsidRPr="00104073">
        <w:rPr>
          <w:rFonts w:ascii="Times New Roman" w:hAnsi="Times New Roman"/>
          <w:kern w:val="18"/>
          <w:szCs w:val="18"/>
        </w:rPr>
        <w:t>]</w:t>
      </w:r>
      <w:r>
        <w:rPr>
          <w:rFonts w:ascii="Times New Roman" w:hAnsi="Times New Roman" w:hint="eastAsia"/>
          <w:kern w:val="18"/>
          <w:szCs w:val="18"/>
        </w:rPr>
        <w:t>；</w:t>
      </w:r>
      <w:r w:rsidRPr="00104073">
        <w:rPr>
          <w:rFonts w:ascii="Times New Roman" w:hAnsi="Times New Roman"/>
          <w:kern w:val="18"/>
          <w:szCs w:val="18"/>
        </w:rPr>
        <w:t>世界经济论坛</w:t>
      </w:r>
      <w:r w:rsidRPr="00104073">
        <w:rPr>
          <w:rFonts w:ascii="Times New Roman" w:hAnsi="Times New Roman"/>
          <w:kern w:val="18"/>
          <w:szCs w:val="18"/>
        </w:rPr>
        <w:t xml:space="preserve"> (2016)</w:t>
      </w:r>
      <w:r>
        <w:rPr>
          <w:rFonts w:ascii="Times New Roman" w:hAnsi="Times New Roman" w:hint="eastAsia"/>
          <w:kern w:val="18"/>
          <w:szCs w:val="18"/>
        </w:rPr>
        <w:t>，</w:t>
      </w:r>
      <w:r w:rsidRPr="00877047">
        <w:rPr>
          <w:rFonts w:ascii="KaiTi" w:eastAsia="KaiTi" w:hAnsi="KaiTi"/>
          <w:kern w:val="18"/>
          <w:szCs w:val="18"/>
        </w:rPr>
        <w:t>将采矿绘制为可持续发展目标：地图集</w:t>
      </w:r>
      <w:r w:rsidRPr="00104073">
        <w:rPr>
          <w:rFonts w:ascii="Times New Roman" w:hAnsi="Times New Roman"/>
          <w:kern w:val="18"/>
          <w:szCs w:val="18"/>
        </w:rPr>
        <w:t>[</w:t>
      </w:r>
      <w:r w:rsidRPr="00104073">
        <w:rPr>
          <w:rFonts w:ascii="Times New Roman" w:hAnsi="Times New Roman"/>
          <w:kern w:val="18"/>
          <w:szCs w:val="18"/>
        </w:rPr>
        <w:t>在线</w:t>
      </w:r>
      <w:r w:rsidRPr="00104073">
        <w:rPr>
          <w:rFonts w:ascii="Times New Roman" w:hAnsi="Times New Roman"/>
          <w:kern w:val="18"/>
          <w:szCs w:val="18"/>
        </w:rPr>
        <w:t>]</w:t>
      </w:r>
      <w:r w:rsidRPr="00104073">
        <w:rPr>
          <w:rFonts w:ascii="Times New Roman" w:hAnsi="Times New Roman"/>
          <w:kern w:val="18"/>
          <w:szCs w:val="18"/>
        </w:rPr>
        <w:t>可从以下网址获取：</w:t>
      </w:r>
      <w:hyperlink r:id="rId15" w:history="1">
        <w:r w:rsidRPr="00104073">
          <w:rPr>
            <w:rStyle w:val="Hyperlink"/>
            <w:rFonts w:ascii="Times New Roman" w:hAnsi="Times New Roman"/>
            <w:kern w:val="18"/>
            <w:szCs w:val="18"/>
          </w:rPr>
          <w:t>http://www3.weforum.org/docs/IP/2016/IU/Mapping_Mining_SDGs_An_Atlas.pdf</w:t>
        </w:r>
      </w:hyperlink>
      <w:r w:rsidRPr="00104073">
        <w:rPr>
          <w:rFonts w:ascii="Times New Roman" w:hAnsi="Times New Roman"/>
          <w:kern w:val="18"/>
          <w:szCs w:val="18"/>
        </w:rPr>
        <w:t xml:space="preserve"> </w:t>
      </w:r>
      <w:r w:rsidRPr="00104073">
        <w:rPr>
          <w:rFonts w:ascii="Times New Roman" w:hAnsi="Times New Roman"/>
          <w:kern w:val="18"/>
          <w:szCs w:val="18"/>
        </w:rPr>
        <w:t>或</w:t>
      </w:r>
      <w:hyperlink r:id="rId16" w:history="1">
        <w:r w:rsidRPr="00104073">
          <w:rPr>
            <w:rStyle w:val="Hyperlink"/>
            <w:rFonts w:ascii="Times New Roman" w:hAnsi="Times New Roman"/>
            <w:kern w:val="18"/>
            <w:szCs w:val="18"/>
          </w:rPr>
          <w:t>http://www.undp.org/content/undp/en/home/librarypage/poverty-reduction/mapping-mining-to-the-sdgs--an-atlas.html</w:t>
        </w:r>
      </w:hyperlink>
      <w:r w:rsidRPr="00C64F18">
        <w:rPr>
          <w:kern w:val="18"/>
          <w:szCs w:val="18"/>
        </w:rPr>
        <w:t xml:space="preserve"> [2018</w:t>
      </w:r>
      <w:r>
        <w:rPr>
          <w:rFonts w:hint="eastAsia"/>
          <w:kern w:val="18"/>
          <w:szCs w:val="18"/>
        </w:rPr>
        <w:t>年3月访问</w:t>
      </w:r>
      <w:r w:rsidRPr="00C64F18">
        <w:rPr>
          <w:kern w:val="18"/>
          <w:szCs w:val="18"/>
        </w:rPr>
        <w:t>]</w:t>
      </w:r>
      <w:r>
        <w:rPr>
          <w:rFonts w:hint="eastAsia"/>
          <w:kern w:val="18"/>
          <w:szCs w:val="18"/>
        </w:rPr>
        <w:t>。</w:t>
      </w:r>
    </w:p>
  </w:footnote>
  <w:footnote w:id="14">
    <w:p w14:paraId="24BC6491" w14:textId="3313122A" w:rsidR="00CA5D52" w:rsidRPr="00C64F18" w:rsidRDefault="00CA5D52" w:rsidP="003818DF">
      <w:pPr>
        <w:pStyle w:val="FootnoteText"/>
        <w:kinsoku w:val="0"/>
        <w:overflowPunct w:val="0"/>
        <w:autoSpaceDE w:val="0"/>
        <w:autoSpaceDN w:val="0"/>
        <w:adjustRightInd w:val="0"/>
        <w:snapToGrid w:val="0"/>
        <w:ind w:firstLine="0"/>
        <w:jc w:val="left"/>
        <w:rPr>
          <w:kern w:val="18"/>
          <w:szCs w:val="18"/>
        </w:rPr>
      </w:pPr>
      <w:r w:rsidRPr="0097260A">
        <w:rPr>
          <w:rStyle w:val="FootnoteReference"/>
          <w:kern w:val="18"/>
          <w:sz w:val="20"/>
          <w:szCs w:val="20"/>
        </w:rPr>
        <w:footnoteRef/>
      </w:r>
      <w:r w:rsidRPr="0097260A">
        <w:rPr>
          <w:rFonts w:cs="SimSun" w:hint="eastAsia"/>
          <w:kern w:val="18"/>
          <w:szCs w:val="20"/>
        </w:rPr>
        <w:t xml:space="preserve"> </w:t>
      </w:r>
      <w:r w:rsidRPr="00A426EB">
        <w:rPr>
          <w:rFonts w:cs="SimSun" w:hint="eastAsia"/>
          <w:kern w:val="18"/>
          <w:szCs w:val="18"/>
        </w:rPr>
        <w:t>环境事务部</w:t>
      </w:r>
      <w:r>
        <w:rPr>
          <w:rFonts w:cs="SimSun" w:hint="eastAsia"/>
          <w:kern w:val="18"/>
          <w:szCs w:val="18"/>
        </w:rPr>
        <w:t>、</w:t>
      </w:r>
      <w:r w:rsidRPr="00A426EB">
        <w:rPr>
          <w:rFonts w:cs="SimSun" w:hint="eastAsia"/>
          <w:kern w:val="18"/>
          <w:szCs w:val="18"/>
        </w:rPr>
        <w:t>矿</w:t>
      </w:r>
      <w:r>
        <w:rPr>
          <w:rFonts w:cs="SimSun" w:hint="eastAsia"/>
          <w:kern w:val="18"/>
          <w:szCs w:val="18"/>
        </w:rPr>
        <w:t>产</w:t>
      </w:r>
      <w:r w:rsidRPr="00A426EB">
        <w:rPr>
          <w:rFonts w:cs="SimSun" w:hint="eastAsia"/>
          <w:kern w:val="18"/>
          <w:szCs w:val="18"/>
        </w:rPr>
        <w:t>资源部</w:t>
      </w:r>
      <w:r>
        <w:rPr>
          <w:rFonts w:cs="SimSun" w:hint="eastAsia"/>
          <w:kern w:val="18"/>
          <w:szCs w:val="18"/>
        </w:rPr>
        <w:t>、</w:t>
      </w:r>
      <w:r w:rsidRPr="00A426EB">
        <w:rPr>
          <w:rFonts w:cs="SimSun" w:hint="eastAsia"/>
          <w:kern w:val="18"/>
          <w:szCs w:val="18"/>
        </w:rPr>
        <w:t>矿</w:t>
      </w:r>
      <w:r>
        <w:rPr>
          <w:rFonts w:cs="SimSun" w:hint="eastAsia"/>
          <w:kern w:val="18"/>
          <w:szCs w:val="18"/>
        </w:rPr>
        <w:t>业协</w:t>
      </w:r>
      <w:r w:rsidRPr="00A426EB">
        <w:rPr>
          <w:rFonts w:cs="SimSun" w:hint="eastAsia"/>
          <w:kern w:val="18"/>
          <w:szCs w:val="18"/>
        </w:rPr>
        <w:t>会，南非矿业与生物多样性论坛和南非国家生物多样性研究所（</w:t>
      </w:r>
      <w:r w:rsidRPr="00A426EB">
        <w:rPr>
          <w:kern w:val="18"/>
          <w:szCs w:val="18"/>
        </w:rPr>
        <w:t>201</w:t>
      </w:r>
      <w:r w:rsidR="004D5CED">
        <w:rPr>
          <w:kern w:val="18"/>
          <w:szCs w:val="18"/>
        </w:rPr>
        <w:t>3</w:t>
      </w:r>
      <w:r w:rsidRPr="00A426EB">
        <w:rPr>
          <w:rFonts w:cs="SimSun" w:hint="eastAsia"/>
          <w:kern w:val="18"/>
          <w:szCs w:val="18"/>
        </w:rPr>
        <w:t>）</w:t>
      </w:r>
      <w:r>
        <w:rPr>
          <w:rFonts w:cs="SimSun" w:hint="eastAsia"/>
          <w:kern w:val="18"/>
          <w:szCs w:val="18"/>
        </w:rPr>
        <w:t>，</w:t>
      </w:r>
      <w:r w:rsidRPr="002678D2">
        <w:rPr>
          <w:rFonts w:ascii="KaiTi" w:eastAsia="KaiTi" w:hAnsi="KaiTi" w:cs="SimSun" w:hint="eastAsia"/>
          <w:kern w:val="18"/>
          <w:szCs w:val="18"/>
        </w:rPr>
        <w:t>采矿和生物多样性准则：将生物多样性纳入采矿部门主流</w:t>
      </w:r>
      <w:r w:rsidRPr="00A426EB">
        <w:rPr>
          <w:rFonts w:cs="SimSun" w:hint="eastAsia"/>
          <w:kern w:val="18"/>
          <w:szCs w:val="18"/>
        </w:rPr>
        <w:t>。比勒陀利亚</w:t>
      </w:r>
      <w:r>
        <w:rPr>
          <w:rFonts w:cs="SimSun" w:hint="eastAsia"/>
          <w:kern w:val="18"/>
          <w:szCs w:val="18"/>
        </w:rPr>
        <w:t>。</w:t>
      </w:r>
    </w:p>
  </w:footnote>
  <w:footnote w:id="15">
    <w:p w14:paraId="6A6AC48C" w14:textId="77777777" w:rsidR="00CA5D52" w:rsidRPr="00C64F18" w:rsidRDefault="00CA5D52" w:rsidP="005C5493">
      <w:pPr>
        <w:pStyle w:val="FootnoteText"/>
        <w:kinsoku w:val="0"/>
        <w:overflowPunct w:val="0"/>
        <w:autoSpaceDE w:val="0"/>
        <w:autoSpaceDN w:val="0"/>
        <w:adjustRightInd w:val="0"/>
        <w:spacing w:after="0"/>
        <w:ind w:firstLine="0"/>
        <w:jc w:val="left"/>
        <w:rPr>
          <w:kern w:val="18"/>
          <w:szCs w:val="18"/>
        </w:rPr>
      </w:pPr>
      <w:r w:rsidRPr="0097260A">
        <w:rPr>
          <w:rStyle w:val="FootnoteReference"/>
          <w:kern w:val="18"/>
          <w:sz w:val="20"/>
          <w:szCs w:val="20"/>
        </w:rPr>
        <w:footnoteRef/>
      </w:r>
      <w:r>
        <w:rPr>
          <w:rFonts w:hint="eastAsia"/>
          <w:kern w:val="18"/>
          <w:szCs w:val="18"/>
        </w:rPr>
        <w:t xml:space="preserve"> </w:t>
      </w:r>
      <w:r w:rsidRPr="00C92962">
        <w:rPr>
          <w:rFonts w:hint="eastAsia"/>
          <w:kern w:val="18"/>
          <w:szCs w:val="18"/>
        </w:rPr>
        <w:t>国际自然保护联盟和生物多样性咨询</w:t>
      </w:r>
      <w:r>
        <w:rPr>
          <w:rFonts w:hint="eastAsia"/>
          <w:kern w:val="18"/>
          <w:szCs w:val="18"/>
        </w:rPr>
        <w:t>公司</w:t>
      </w:r>
      <w:r w:rsidRPr="00C92962">
        <w:rPr>
          <w:rFonts w:hint="eastAsia"/>
          <w:kern w:val="18"/>
          <w:szCs w:val="18"/>
        </w:rPr>
        <w:t>（2017）</w:t>
      </w:r>
      <w:r>
        <w:rPr>
          <w:rFonts w:hint="eastAsia"/>
          <w:kern w:val="18"/>
          <w:szCs w:val="18"/>
        </w:rPr>
        <w:t>，</w:t>
      </w:r>
      <w:r w:rsidRPr="00877047">
        <w:rPr>
          <w:rFonts w:ascii="KaiTi" w:eastAsia="KaiTi" w:hAnsi="KaiTi" w:hint="eastAsia"/>
          <w:kern w:val="18"/>
          <w:szCs w:val="18"/>
        </w:rPr>
        <w:t>了解采矿部门政府补偿政策</w:t>
      </w:r>
      <w:r w:rsidRPr="00C92962">
        <w:rPr>
          <w:rFonts w:hint="eastAsia"/>
          <w:kern w:val="18"/>
          <w:szCs w:val="18"/>
        </w:rPr>
        <w:t>[在线]可</w:t>
      </w:r>
      <w:r>
        <w:rPr>
          <w:rFonts w:hint="eastAsia"/>
          <w:kern w:val="18"/>
          <w:szCs w:val="18"/>
        </w:rPr>
        <w:t xml:space="preserve">查阅： </w:t>
      </w:r>
      <w:hyperlink r:id="rId17" w:history="1">
        <w:r w:rsidRPr="00877047">
          <w:rPr>
            <w:rStyle w:val="Hyperlink"/>
            <w:rFonts w:ascii="Times New Roman" w:hAnsi="Times New Roman"/>
            <w:spacing w:val="-22"/>
            <w:kern w:val="18"/>
            <w:szCs w:val="18"/>
          </w:rPr>
          <w:t>https://www.iucn.org/sites/dev/files/content/documents/understanding_government_biodiversity_offset_policies_in_the_mining_sector_november_2017.pdf</w:t>
        </w:r>
      </w:hyperlink>
      <w:r w:rsidRPr="00C64F18">
        <w:rPr>
          <w:kern w:val="18"/>
          <w:szCs w:val="18"/>
        </w:rPr>
        <w:t xml:space="preserve"> [2018</w:t>
      </w:r>
      <w:r>
        <w:rPr>
          <w:rFonts w:hint="eastAsia"/>
          <w:kern w:val="18"/>
          <w:szCs w:val="18"/>
        </w:rPr>
        <w:t>年5</w:t>
      </w:r>
      <w:proofErr w:type="gramStart"/>
      <w:r>
        <w:rPr>
          <w:rFonts w:hint="eastAsia"/>
          <w:kern w:val="18"/>
          <w:szCs w:val="18"/>
        </w:rPr>
        <w:t>月访问</w:t>
      </w:r>
      <w:r w:rsidRPr="00C64F18">
        <w:rPr>
          <w:kern w:val="18"/>
          <w:szCs w:val="18"/>
        </w:rPr>
        <w:t>]</w:t>
      </w:r>
      <w:r>
        <w:rPr>
          <w:rFonts w:hint="eastAsia"/>
          <w:kern w:val="18"/>
          <w:szCs w:val="18"/>
        </w:rPr>
        <w:t>。</w:t>
      </w:r>
      <w:proofErr w:type="gramEnd"/>
    </w:p>
  </w:footnote>
  <w:footnote w:id="16">
    <w:p w14:paraId="1D031FB4" w14:textId="77777777" w:rsidR="00CA5D52" w:rsidRPr="00C64F18" w:rsidRDefault="00CA5D52" w:rsidP="005C5493">
      <w:pPr>
        <w:pStyle w:val="FootnoteText"/>
        <w:kinsoku w:val="0"/>
        <w:overflowPunct w:val="0"/>
        <w:autoSpaceDE w:val="0"/>
        <w:autoSpaceDN w:val="0"/>
        <w:adjustRightInd w:val="0"/>
        <w:spacing w:after="0"/>
        <w:ind w:firstLine="0"/>
        <w:jc w:val="left"/>
        <w:rPr>
          <w:kern w:val="18"/>
          <w:szCs w:val="18"/>
        </w:rPr>
      </w:pPr>
      <w:r w:rsidRPr="0097260A">
        <w:rPr>
          <w:rStyle w:val="FootnoteReference"/>
          <w:kern w:val="18"/>
          <w:sz w:val="20"/>
          <w:szCs w:val="20"/>
        </w:rPr>
        <w:footnoteRef/>
      </w:r>
      <w:r w:rsidRPr="001B38FD">
        <w:rPr>
          <w:rFonts w:hint="eastAsia"/>
          <w:kern w:val="22"/>
          <w:szCs w:val="18"/>
        </w:rPr>
        <w:t>《</w:t>
      </w:r>
      <w:r w:rsidRPr="00877047">
        <w:rPr>
          <w:rFonts w:ascii="KaiTi" w:eastAsia="KaiTi" w:hAnsi="KaiTi" w:cs="SimSun" w:hint="eastAsia"/>
          <w:kern w:val="22"/>
          <w:szCs w:val="18"/>
        </w:rPr>
        <w:t>哈博罗内非洲可持续性宣言</w:t>
      </w:r>
      <w:r w:rsidRPr="001B38FD">
        <w:rPr>
          <w:rFonts w:cs="SimSun" w:hint="eastAsia"/>
          <w:kern w:val="22"/>
          <w:szCs w:val="18"/>
        </w:rPr>
        <w:t>》</w:t>
      </w:r>
      <w:r>
        <w:rPr>
          <w:rFonts w:cs="SimSun" w:hint="eastAsia"/>
          <w:kern w:val="22"/>
          <w:szCs w:val="18"/>
        </w:rPr>
        <w:t>（无日期）</w:t>
      </w:r>
      <w:r w:rsidRPr="001B38FD">
        <w:rPr>
          <w:rFonts w:cs="SimSun" w:hint="eastAsia"/>
          <w:kern w:val="22"/>
          <w:szCs w:val="18"/>
        </w:rPr>
        <w:t>，</w:t>
      </w:r>
      <w:r w:rsidRPr="00877047">
        <w:rPr>
          <w:rFonts w:ascii="KaiTi" w:eastAsia="KaiTi" w:hAnsi="KaiTi" w:cs="SimSun" w:hint="eastAsia"/>
          <w:kern w:val="22"/>
          <w:szCs w:val="18"/>
        </w:rPr>
        <w:t>关于宣言</w:t>
      </w:r>
      <w:r>
        <w:rPr>
          <w:rFonts w:cs="SimSun" w:hint="eastAsia"/>
          <w:kern w:val="22"/>
          <w:szCs w:val="18"/>
        </w:rPr>
        <w:t>[在线]可查阅：</w:t>
      </w:r>
      <w:hyperlink r:id="rId18" w:history="1">
        <w:r w:rsidRPr="00877047">
          <w:rPr>
            <w:rStyle w:val="Hyperlink"/>
            <w:rFonts w:ascii="Times New Roman" w:hAnsi="Times New Roman"/>
            <w:kern w:val="18"/>
            <w:szCs w:val="18"/>
          </w:rPr>
          <w:t>http://www.gaboronedeclaration.com/about-the-gdsa-1/</w:t>
        </w:r>
      </w:hyperlink>
      <w:r w:rsidRPr="00C64F18">
        <w:rPr>
          <w:kern w:val="18"/>
          <w:szCs w:val="18"/>
        </w:rPr>
        <w:t xml:space="preserve"> [2018</w:t>
      </w:r>
      <w:r>
        <w:rPr>
          <w:rFonts w:hint="eastAsia"/>
          <w:kern w:val="18"/>
          <w:szCs w:val="18"/>
        </w:rPr>
        <w:t>年3</w:t>
      </w:r>
      <w:proofErr w:type="gramStart"/>
      <w:r>
        <w:rPr>
          <w:rFonts w:hint="eastAsia"/>
          <w:kern w:val="18"/>
          <w:szCs w:val="18"/>
        </w:rPr>
        <w:t>月访问</w:t>
      </w:r>
      <w:r w:rsidRPr="00C64F18">
        <w:rPr>
          <w:kern w:val="18"/>
          <w:szCs w:val="18"/>
        </w:rPr>
        <w:t>]</w:t>
      </w:r>
      <w:r>
        <w:rPr>
          <w:rFonts w:hint="eastAsia"/>
          <w:kern w:val="18"/>
          <w:szCs w:val="18"/>
        </w:rPr>
        <w:t>。</w:t>
      </w:r>
      <w:proofErr w:type="gramEnd"/>
    </w:p>
  </w:footnote>
  <w:footnote w:id="17">
    <w:p w14:paraId="1BE40500" w14:textId="77777777" w:rsidR="00CA5D52" w:rsidRPr="00C64F18" w:rsidRDefault="00CA5D52" w:rsidP="005C5493">
      <w:pPr>
        <w:pStyle w:val="FootnoteText"/>
        <w:kinsoku w:val="0"/>
        <w:overflowPunct w:val="0"/>
        <w:autoSpaceDE w:val="0"/>
        <w:autoSpaceDN w:val="0"/>
        <w:adjustRightInd w:val="0"/>
        <w:spacing w:after="0"/>
        <w:ind w:firstLine="0"/>
        <w:jc w:val="left"/>
        <w:rPr>
          <w:kern w:val="18"/>
          <w:szCs w:val="18"/>
        </w:rPr>
      </w:pPr>
      <w:r w:rsidRPr="0097260A">
        <w:rPr>
          <w:rStyle w:val="FootnoteReference"/>
          <w:kern w:val="18"/>
          <w:sz w:val="20"/>
          <w:szCs w:val="20"/>
        </w:rPr>
        <w:footnoteRef/>
      </w:r>
      <w:r w:rsidRPr="0097260A">
        <w:rPr>
          <w:kern w:val="18"/>
          <w:szCs w:val="20"/>
        </w:rPr>
        <w:t xml:space="preserve"> </w:t>
      </w:r>
      <w:r>
        <w:rPr>
          <w:rFonts w:hint="eastAsia"/>
          <w:kern w:val="18"/>
          <w:szCs w:val="18"/>
        </w:rPr>
        <w:t>联大第</w:t>
      </w:r>
      <w:r>
        <w:rPr>
          <w:kern w:val="18"/>
          <w:szCs w:val="18"/>
        </w:rPr>
        <w:t xml:space="preserve"> </w:t>
      </w:r>
      <w:r w:rsidRPr="00C64F18">
        <w:rPr>
          <w:kern w:val="18"/>
          <w:szCs w:val="18"/>
        </w:rPr>
        <w:t>61/29</w:t>
      </w:r>
      <w:r>
        <w:rPr>
          <w:rFonts w:hint="eastAsia"/>
          <w:kern w:val="18"/>
          <w:szCs w:val="18"/>
        </w:rPr>
        <w:t>5号决议。</w:t>
      </w:r>
    </w:p>
  </w:footnote>
  <w:footnote w:id="18">
    <w:p w14:paraId="15A084DA" w14:textId="7DACA31B" w:rsidR="00CA5D52" w:rsidRPr="00C64F18" w:rsidRDefault="00CA5D52" w:rsidP="00590D7E">
      <w:pPr>
        <w:pStyle w:val="FootnoteText"/>
        <w:kinsoku w:val="0"/>
        <w:overflowPunct w:val="0"/>
        <w:autoSpaceDE w:val="0"/>
        <w:autoSpaceDN w:val="0"/>
        <w:adjustRightInd w:val="0"/>
        <w:snapToGrid w:val="0"/>
        <w:ind w:firstLine="0"/>
        <w:jc w:val="left"/>
        <w:rPr>
          <w:kern w:val="18"/>
          <w:szCs w:val="18"/>
        </w:rPr>
      </w:pPr>
      <w:r w:rsidRPr="0097260A">
        <w:rPr>
          <w:rStyle w:val="FootnoteReference"/>
          <w:kern w:val="18"/>
          <w:sz w:val="20"/>
          <w:szCs w:val="20"/>
        </w:rPr>
        <w:footnoteRef/>
      </w:r>
      <w:r>
        <w:rPr>
          <w:rFonts w:hint="eastAsia"/>
          <w:kern w:val="18"/>
          <w:szCs w:val="18"/>
        </w:rPr>
        <w:t xml:space="preserve"> </w:t>
      </w:r>
      <w:r w:rsidRPr="005C5493">
        <w:rPr>
          <w:rFonts w:ascii="Times New Roman" w:hAnsi="Times New Roman"/>
          <w:kern w:val="18"/>
          <w:szCs w:val="18"/>
        </w:rPr>
        <w:t xml:space="preserve">Leach, K. Brooks, S.E., Blyth, </w:t>
      </w:r>
      <w:proofErr w:type="gramStart"/>
      <w:r w:rsidRPr="005C5493">
        <w:rPr>
          <w:rFonts w:ascii="Times New Roman" w:hAnsi="Times New Roman"/>
          <w:kern w:val="18"/>
          <w:szCs w:val="18"/>
        </w:rPr>
        <w:t>S</w:t>
      </w:r>
      <w:r w:rsidRPr="00C64F18">
        <w:rPr>
          <w:kern w:val="18"/>
          <w:szCs w:val="18"/>
        </w:rPr>
        <w:t>.(</w:t>
      </w:r>
      <w:proofErr w:type="gramEnd"/>
      <w:r w:rsidRPr="00C64F18">
        <w:rPr>
          <w:kern w:val="18"/>
          <w:szCs w:val="18"/>
        </w:rPr>
        <w:t>2016)</w:t>
      </w:r>
      <w:r>
        <w:rPr>
          <w:rFonts w:hint="eastAsia"/>
          <w:kern w:val="18"/>
          <w:szCs w:val="18"/>
        </w:rPr>
        <w:t>，</w:t>
      </w:r>
      <w:r w:rsidRPr="005C5493">
        <w:rPr>
          <w:rFonts w:ascii="KaiTi" w:eastAsia="KaiTi" w:hAnsi="KaiTi" w:hint="eastAsia"/>
          <w:kern w:val="18"/>
          <w:szCs w:val="18"/>
        </w:rPr>
        <w:t>来自非洲当前和新兴的石油和天然气活动对生物多样性重要区域的潜在威胁</w:t>
      </w:r>
      <w:r w:rsidRPr="00EB0CBE">
        <w:rPr>
          <w:rFonts w:hint="eastAsia"/>
          <w:kern w:val="18"/>
          <w:szCs w:val="18"/>
        </w:rPr>
        <w:t>。联合国环境规划署世界保护监测中心，英国剑桥</w:t>
      </w:r>
      <w:r>
        <w:rPr>
          <w:rFonts w:hint="eastAsia"/>
          <w:kern w:val="18"/>
          <w:szCs w:val="18"/>
        </w:rPr>
        <w:t>。</w:t>
      </w:r>
    </w:p>
  </w:footnote>
  <w:footnote w:id="19">
    <w:p w14:paraId="4A156D58" w14:textId="77777777" w:rsidR="00CA5D52" w:rsidRPr="00C64F18" w:rsidRDefault="00CA5D52" w:rsidP="00844240">
      <w:pPr>
        <w:pStyle w:val="FootnoteText"/>
        <w:kinsoku w:val="0"/>
        <w:overflowPunct w:val="0"/>
        <w:autoSpaceDE w:val="0"/>
        <w:autoSpaceDN w:val="0"/>
        <w:adjustRightInd w:val="0"/>
        <w:snapToGrid w:val="0"/>
        <w:ind w:firstLine="0"/>
        <w:jc w:val="left"/>
        <w:rPr>
          <w:kern w:val="18"/>
          <w:szCs w:val="18"/>
        </w:rPr>
      </w:pPr>
      <w:r w:rsidRPr="0097260A">
        <w:rPr>
          <w:rStyle w:val="FootnoteReference"/>
          <w:kern w:val="18"/>
          <w:sz w:val="20"/>
          <w:szCs w:val="20"/>
        </w:rPr>
        <w:footnoteRef/>
      </w:r>
      <w:r w:rsidRPr="006F7865">
        <w:rPr>
          <w:kern w:val="18"/>
          <w:szCs w:val="18"/>
        </w:rPr>
        <w:t xml:space="preserve"> </w:t>
      </w:r>
      <w:r w:rsidRPr="005C5493">
        <w:rPr>
          <w:rFonts w:ascii="Times New Roman" w:hAnsi="Times New Roman"/>
          <w:kern w:val="18"/>
          <w:szCs w:val="18"/>
        </w:rPr>
        <w:t xml:space="preserve">Picone, F., Buonocore, E., D’Agostaro, R., Donati, S., Chemello, R., </w:t>
      </w:r>
      <w:r w:rsidRPr="005C5493">
        <w:rPr>
          <w:rFonts w:ascii="Times New Roman" w:hAnsi="Times New Roman"/>
          <w:kern w:val="18"/>
          <w:szCs w:val="18"/>
        </w:rPr>
        <w:t>和</w:t>
      </w:r>
      <w:r w:rsidRPr="005C5493">
        <w:rPr>
          <w:rFonts w:ascii="Times New Roman" w:hAnsi="Times New Roman"/>
          <w:kern w:val="18"/>
          <w:szCs w:val="18"/>
        </w:rPr>
        <w:t xml:space="preserve"> Franzese,</w:t>
      </w:r>
      <w:r w:rsidRPr="00C64F18">
        <w:rPr>
          <w:kern w:val="18"/>
          <w:szCs w:val="18"/>
        </w:rPr>
        <w:t xml:space="preserve"> </w:t>
      </w:r>
      <w:proofErr w:type="gramStart"/>
      <w:r w:rsidRPr="00C64F18">
        <w:rPr>
          <w:kern w:val="18"/>
          <w:szCs w:val="18"/>
        </w:rPr>
        <w:t>P.P.(</w:t>
      </w:r>
      <w:proofErr w:type="gramEnd"/>
      <w:r w:rsidRPr="00C64F18">
        <w:rPr>
          <w:kern w:val="18"/>
          <w:szCs w:val="18"/>
        </w:rPr>
        <w:t>2017)</w:t>
      </w:r>
      <w:r>
        <w:rPr>
          <w:rFonts w:hint="eastAsia"/>
          <w:kern w:val="18"/>
          <w:szCs w:val="18"/>
        </w:rPr>
        <w:t>，</w:t>
      </w:r>
      <w:r w:rsidRPr="005C5493">
        <w:rPr>
          <w:rFonts w:ascii="KaiTi" w:eastAsia="KaiTi" w:hAnsi="KaiTi" w:hint="eastAsia"/>
          <w:kern w:val="18"/>
          <w:szCs w:val="18"/>
        </w:rPr>
        <w:t>整合自然资本评估和海洋空间规划：地中海案例研究</w:t>
      </w:r>
      <w:r w:rsidRPr="001F6A46">
        <w:rPr>
          <w:rFonts w:hint="eastAsia"/>
          <w:kern w:val="18"/>
          <w:szCs w:val="18"/>
        </w:rPr>
        <w:t>。</w:t>
      </w:r>
      <w:r>
        <w:rPr>
          <w:rFonts w:hint="eastAsia"/>
          <w:kern w:val="18"/>
          <w:szCs w:val="18"/>
        </w:rPr>
        <w:t>《</w:t>
      </w:r>
      <w:r w:rsidRPr="005C5493">
        <w:rPr>
          <w:rFonts w:ascii="KaiTi" w:eastAsia="KaiTi" w:hAnsi="KaiTi" w:hint="eastAsia"/>
          <w:kern w:val="18"/>
          <w:szCs w:val="18"/>
        </w:rPr>
        <w:t>生态建模</w:t>
      </w:r>
      <w:r>
        <w:rPr>
          <w:rFonts w:hint="eastAsia"/>
          <w:kern w:val="18"/>
          <w:szCs w:val="18"/>
        </w:rPr>
        <w:t>》</w:t>
      </w:r>
      <w:r w:rsidRPr="001F6A46">
        <w:rPr>
          <w:rFonts w:hint="eastAsia"/>
          <w:kern w:val="18"/>
          <w:szCs w:val="18"/>
        </w:rPr>
        <w:t>，</w:t>
      </w:r>
      <w:r>
        <w:rPr>
          <w:rFonts w:hint="eastAsia"/>
          <w:kern w:val="18"/>
          <w:szCs w:val="18"/>
        </w:rPr>
        <w:t>第</w:t>
      </w:r>
      <w:r w:rsidRPr="001F6A46">
        <w:rPr>
          <w:rFonts w:hint="eastAsia"/>
          <w:kern w:val="18"/>
          <w:szCs w:val="18"/>
        </w:rPr>
        <w:t>361卷，第1-13页</w:t>
      </w:r>
      <w:r>
        <w:rPr>
          <w:rFonts w:hint="eastAsia"/>
          <w:kern w:val="18"/>
          <w:szCs w:val="18"/>
        </w:rPr>
        <w:t>。</w:t>
      </w:r>
    </w:p>
  </w:footnote>
  <w:footnote w:id="20">
    <w:p w14:paraId="3310B41E" w14:textId="77777777" w:rsidR="00CA5D52" w:rsidRPr="00C64F18" w:rsidRDefault="00CA5D52" w:rsidP="000E5FFA">
      <w:pPr>
        <w:pStyle w:val="FootnoteText"/>
        <w:kinsoku w:val="0"/>
        <w:overflowPunct w:val="0"/>
        <w:autoSpaceDE w:val="0"/>
        <w:autoSpaceDN w:val="0"/>
        <w:adjustRightInd w:val="0"/>
        <w:snapToGrid w:val="0"/>
        <w:ind w:firstLine="0"/>
        <w:jc w:val="left"/>
        <w:rPr>
          <w:kern w:val="18"/>
          <w:szCs w:val="18"/>
        </w:rPr>
      </w:pPr>
      <w:r w:rsidRPr="0097260A">
        <w:rPr>
          <w:rStyle w:val="FootnoteReference"/>
          <w:kern w:val="18"/>
          <w:sz w:val="20"/>
          <w:szCs w:val="20"/>
        </w:rPr>
        <w:footnoteRef/>
      </w:r>
      <w:r w:rsidRPr="00C64F18">
        <w:rPr>
          <w:kern w:val="18"/>
          <w:szCs w:val="18"/>
        </w:rPr>
        <w:t xml:space="preserve"> </w:t>
      </w:r>
      <w:r w:rsidRPr="005C5493">
        <w:rPr>
          <w:rFonts w:ascii="Times New Roman" w:hAnsi="Times New Roman"/>
          <w:spacing w:val="-2"/>
          <w:kern w:val="18"/>
          <w:szCs w:val="18"/>
        </w:rPr>
        <w:t xml:space="preserve">CIRDI/ICIRD (2017) </w:t>
      </w:r>
      <w:r>
        <w:rPr>
          <w:rFonts w:ascii="Times New Roman" w:hAnsi="Times New Roman" w:hint="eastAsia"/>
          <w:spacing w:val="-2"/>
          <w:kern w:val="18"/>
          <w:szCs w:val="18"/>
        </w:rPr>
        <w:t>，</w:t>
      </w:r>
      <w:r w:rsidRPr="005C5493">
        <w:rPr>
          <w:rFonts w:ascii="KaiTi" w:eastAsia="KaiTi" w:hAnsi="KaiTi"/>
          <w:spacing w:val="-2"/>
          <w:kern w:val="18"/>
          <w:szCs w:val="18"/>
        </w:rPr>
        <w:t>手工和小规模采矿的环境评估和管理</w:t>
      </w:r>
      <w:r w:rsidRPr="005C5493">
        <w:rPr>
          <w:rFonts w:ascii="Times New Roman" w:hAnsi="Times New Roman"/>
          <w:spacing w:val="-2"/>
          <w:kern w:val="18"/>
          <w:szCs w:val="18"/>
        </w:rPr>
        <w:t xml:space="preserve"> [</w:t>
      </w:r>
      <w:r w:rsidRPr="005C5493">
        <w:rPr>
          <w:rFonts w:ascii="Times New Roman" w:hAnsi="Times New Roman"/>
          <w:spacing w:val="-2"/>
          <w:kern w:val="18"/>
          <w:szCs w:val="18"/>
        </w:rPr>
        <w:t>在线</w:t>
      </w:r>
      <w:r w:rsidRPr="005C5493">
        <w:rPr>
          <w:rFonts w:ascii="Times New Roman" w:hAnsi="Times New Roman"/>
          <w:spacing w:val="-2"/>
          <w:kern w:val="18"/>
          <w:szCs w:val="18"/>
        </w:rPr>
        <w:t xml:space="preserve">] </w:t>
      </w:r>
      <w:r w:rsidRPr="005C5493">
        <w:rPr>
          <w:rFonts w:ascii="Times New Roman" w:hAnsi="Times New Roman"/>
          <w:spacing w:val="-2"/>
          <w:kern w:val="18"/>
          <w:szCs w:val="18"/>
        </w:rPr>
        <w:t>可查阅：</w:t>
      </w:r>
      <w:hyperlink r:id="rId19" w:history="1">
        <w:r w:rsidRPr="005C5493">
          <w:rPr>
            <w:rStyle w:val="Hyperlink"/>
            <w:rFonts w:ascii="Times New Roman" w:hAnsi="Times New Roman"/>
            <w:spacing w:val="-2"/>
            <w:kern w:val="18"/>
            <w:szCs w:val="18"/>
          </w:rPr>
          <w:t>http://cirdi.ca/resource/environmental-assessment-and-management-for-artisanal-and-small-scale-mining/</w:t>
        </w:r>
      </w:hyperlink>
      <w:r w:rsidRPr="00A555DA">
        <w:rPr>
          <w:spacing w:val="-2"/>
          <w:kern w:val="18"/>
          <w:szCs w:val="18"/>
        </w:rPr>
        <w:t xml:space="preserve"> [2018</w:t>
      </w:r>
      <w:r>
        <w:rPr>
          <w:rFonts w:hint="eastAsia"/>
          <w:spacing w:val="-2"/>
          <w:kern w:val="18"/>
          <w:szCs w:val="18"/>
        </w:rPr>
        <w:t>年3月访问</w:t>
      </w:r>
      <w:r w:rsidRPr="00A555DA">
        <w:rPr>
          <w:spacing w:val="-2"/>
          <w:kern w:val="18"/>
          <w:szCs w:val="18"/>
        </w:rPr>
        <w:t>]</w:t>
      </w:r>
      <w:r>
        <w:rPr>
          <w:rFonts w:hint="eastAsia"/>
          <w:spacing w:val="-2"/>
          <w:kern w:val="18"/>
          <w:szCs w:val="18"/>
        </w:rPr>
        <w:t>。</w:t>
      </w:r>
    </w:p>
  </w:footnote>
  <w:footnote w:id="21">
    <w:p w14:paraId="22DAB300" w14:textId="77777777" w:rsidR="00CA5D52" w:rsidRPr="00C64F18" w:rsidRDefault="00CA5D52" w:rsidP="005A2612">
      <w:pPr>
        <w:pStyle w:val="FootnoteText"/>
        <w:kinsoku w:val="0"/>
        <w:overflowPunct w:val="0"/>
        <w:autoSpaceDE w:val="0"/>
        <w:autoSpaceDN w:val="0"/>
        <w:adjustRightInd w:val="0"/>
        <w:snapToGrid w:val="0"/>
        <w:ind w:firstLine="0"/>
        <w:jc w:val="left"/>
        <w:rPr>
          <w:kern w:val="18"/>
          <w:szCs w:val="18"/>
        </w:rPr>
      </w:pPr>
      <w:r w:rsidRPr="0097260A">
        <w:rPr>
          <w:rStyle w:val="FootnoteReference"/>
          <w:kern w:val="18"/>
          <w:sz w:val="20"/>
          <w:szCs w:val="20"/>
        </w:rPr>
        <w:footnoteRef/>
      </w:r>
      <w:r w:rsidRPr="0097260A">
        <w:rPr>
          <w:kern w:val="18"/>
          <w:szCs w:val="20"/>
        </w:rPr>
        <w:t xml:space="preserve"> </w:t>
      </w:r>
      <w:r w:rsidRPr="00383ACF">
        <w:rPr>
          <w:szCs w:val="18"/>
        </w:rPr>
        <w:t>国际石油工业环境保护协</w:t>
      </w:r>
      <w:r w:rsidRPr="00383ACF">
        <w:rPr>
          <w:rFonts w:cs="SimSun" w:hint="eastAsia"/>
          <w:szCs w:val="18"/>
        </w:rPr>
        <w:t>会</w:t>
      </w:r>
      <w:r>
        <w:rPr>
          <w:rFonts w:cs="SimSun" w:hint="eastAsia"/>
          <w:szCs w:val="18"/>
        </w:rPr>
        <w:t>和国际石油和天然气生产者协会（2016），</w:t>
      </w:r>
      <w:r w:rsidRPr="005C5493">
        <w:rPr>
          <w:rFonts w:ascii="KaiTi" w:eastAsia="KaiTi" w:hAnsi="KaiTi" w:cs="SimSun" w:hint="eastAsia"/>
        </w:rPr>
        <w:t>生物多样性和生态系统基本原则</w:t>
      </w:r>
      <w:r w:rsidRPr="005C5493">
        <w:rPr>
          <w:rFonts w:ascii="KaiTi" w:eastAsia="KaiTi" w:hAnsi="KaiTi"/>
        </w:rPr>
        <w:t>-</w:t>
      </w:r>
      <w:r w:rsidRPr="005C5493">
        <w:rPr>
          <w:rFonts w:ascii="KaiTi" w:eastAsia="KaiTi" w:hAnsi="KaiTi" w:cs="SimSun" w:hint="eastAsia"/>
        </w:rPr>
        <w:t>石油和天然气行业指导文件</w:t>
      </w:r>
      <w:r>
        <w:rPr>
          <w:rFonts w:cs="SimSun" w:hint="eastAsia"/>
        </w:rPr>
        <w:t xml:space="preserve"> [在线]可查阅：</w:t>
      </w:r>
      <w:hyperlink r:id="rId20" w:history="1">
        <w:r w:rsidRPr="00C64F18">
          <w:rPr>
            <w:rStyle w:val="Hyperlink"/>
            <w:kern w:val="18"/>
            <w:szCs w:val="18"/>
          </w:rPr>
          <w:t>http://www.ipieca.org/resources/good-practice/biodiversity-and-ecosystem-services-fundamentals</w:t>
        </w:r>
      </w:hyperlink>
      <w:r w:rsidRPr="00C64F18">
        <w:rPr>
          <w:kern w:val="18"/>
          <w:szCs w:val="18"/>
        </w:rPr>
        <w:t xml:space="preserve"> [2017</w:t>
      </w:r>
      <w:r>
        <w:rPr>
          <w:rFonts w:hint="eastAsia"/>
          <w:kern w:val="18"/>
          <w:szCs w:val="18"/>
        </w:rPr>
        <w:t>年11</w:t>
      </w:r>
      <w:proofErr w:type="gramStart"/>
      <w:r>
        <w:rPr>
          <w:rFonts w:hint="eastAsia"/>
          <w:kern w:val="18"/>
          <w:szCs w:val="18"/>
        </w:rPr>
        <w:t>月访问</w:t>
      </w:r>
      <w:r w:rsidRPr="00C64F18">
        <w:rPr>
          <w:kern w:val="18"/>
          <w:szCs w:val="18"/>
        </w:rPr>
        <w:t>]</w:t>
      </w:r>
      <w:r>
        <w:rPr>
          <w:rFonts w:hint="eastAsia"/>
          <w:kern w:val="18"/>
          <w:szCs w:val="18"/>
        </w:rPr>
        <w:t>。</w:t>
      </w:r>
      <w:proofErr w:type="gramEnd"/>
    </w:p>
  </w:footnote>
  <w:footnote w:id="22">
    <w:p w14:paraId="3B11C125" w14:textId="77777777" w:rsidR="00CA5D52" w:rsidRPr="00C64F18" w:rsidRDefault="00CA5D52" w:rsidP="005A2612">
      <w:pPr>
        <w:pStyle w:val="FootnoteText"/>
        <w:kinsoku w:val="0"/>
        <w:overflowPunct w:val="0"/>
        <w:autoSpaceDE w:val="0"/>
        <w:autoSpaceDN w:val="0"/>
        <w:adjustRightInd w:val="0"/>
        <w:snapToGrid w:val="0"/>
        <w:ind w:firstLine="0"/>
        <w:jc w:val="left"/>
        <w:rPr>
          <w:kern w:val="18"/>
          <w:szCs w:val="18"/>
        </w:rPr>
      </w:pPr>
      <w:r w:rsidRPr="0097260A">
        <w:rPr>
          <w:rStyle w:val="FootnoteReference"/>
          <w:kern w:val="18"/>
          <w:sz w:val="20"/>
          <w:szCs w:val="20"/>
        </w:rPr>
        <w:footnoteRef/>
      </w:r>
      <w:r>
        <w:rPr>
          <w:rFonts w:hint="eastAsia"/>
          <w:szCs w:val="18"/>
        </w:rPr>
        <w:t xml:space="preserve"> </w:t>
      </w:r>
      <w:r w:rsidRPr="00383ACF">
        <w:rPr>
          <w:szCs w:val="18"/>
        </w:rPr>
        <w:t>国际石油工业环境保护协</w:t>
      </w:r>
      <w:r w:rsidRPr="00383ACF">
        <w:rPr>
          <w:rFonts w:cs="SimSun" w:hint="eastAsia"/>
          <w:szCs w:val="18"/>
        </w:rPr>
        <w:t>会</w:t>
      </w:r>
      <w:r>
        <w:rPr>
          <w:rFonts w:cs="SimSun" w:hint="eastAsia"/>
          <w:szCs w:val="18"/>
        </w:rPr>
        <w:t>和国际石油和天然气生产者协会（2015），</w:t>
      </w:r>
      <w:r w:rsidRPr="00440DCE">
        <w:rPr>
          <w:rFonts w:ascii="KaiTi" w:eastAsia="KaiTi" w:hAnsi="KaiTi" w:hint="eastAsia"/>
          <w:kern w:val="18"/>
          <w:szCs w:val="18"/>
        </w:rPr>
        <w:t>石油和天然气行业关于自愿可持续报告的准则</w:t>
      </w:r>
      <w:r>
        <w:rPr>
          <w:rFonts w:hint="eastAsia"/>
          <w:kern w:val="18"/>
          <w:szCs w:val="18"/>
        </w:rPr>
        <w:t>（第三版）[在线]可查阅：</w:t>
      </w:r>
      <w:r w:rsidRPr="00C64F18">
        <w:rPr>
          <w:kern w:val="18"/>
          <w:szCs w:val="18"/>
        </w:rPr>
        <w:t xml:space="preserve"> </w:t>
      </w:r>
      <w:hyperlink r:id="rId21" w:history="1">
        <w:r w:rsidRPr="00C64F18">
          <w:rPr>
            <w:rStyle w:val="Hyperlink"/>
            <w:kern w:val="18"/>
            <w:szCs w:val="18"/>
          </w:rPr>
          <w:t>http://www.ipieca.org/resources/good-practice/oil-and-gas-industry-guidance-on-voluntary-sustainability-reporting-3rd-edition/</w:t>
        </w:r>
      </w:hyperlink>
      <w:r w:rsidRPr="00C64F18">
        <w:rPr>
          <w:kern w:val="18"/>
          <w:szCs w:val="18"/>
        </w:rPr>
        <w:t xml:space="preserve"> [2017</w:t>
      </w:r>
      <w:r>
        <w:rPr>
          <w:rFonts w:hint="eastAsia"/>
          <w:kern w:val="18"/>
          <w:szCs w:val="18"/>
        </w:rPr>
        <w:t>年11</w:t>
      </w:r>
      <w:proofErr w:type="gramStart"/>
      <w:r>
        <w:rPr>
          <w:rFonts w:hint="eastAsia"/>
          <w:kern w:val="18"/>
          <w:szCs w:val="18"/>
        </w:rPr>
        <w:t>月访问</w:t>
      </w:r>
      <w:r w:rsidRPr="00C64F18">
        <w:rPr>
          <w:kern w:val="18"/>
          <w:szCs w:val="18"/>
        </w:rPr>
        <w:t>]</w:t>
      </w:r>
      <w:r>
        <w:rPr>
          <w:rFonts w:hint="eastAsia"/>
          <w:kern w:val="18"/>
          <w:szCs w:val="18"/>
        </w:rPr>
        <w:t>。</w:t>
      </w:r>
      <w:proofErr w:type="gramEnd"/>
    </w:p>
  </w:footnote>
  <w:footnote w:id="23">
    <w:p w14:paraId="332B807C" w14:textId="0CF77ED7" w:rsidR="00CA5D52" w:rsidRPr="004058E9" w:rsidRDefault="00CA5D52" w:rsidP="005A2612">
      <w:pPr>
        <w:pStyle w:val="FootnoteText"/>
        <w:kinsoku w:val="0"/>
        <w:overflowPunct w:val="0"/>
        <w:autoSpaceDE w:val="0"/>
        <w:autoSpaceDN w:val="0"/>
        <w:adjustRightInd w:val="0"/>
        <w:snapToGrid w:val="0"/>
        <w:ind w:firstLine="0"/>
        <w:jc w:val="left"/>
        <w:rPr>
          <w:kern w:val="18"/>
          <w:szCs w:val="18"/>
        </w:rPr>
      </w:pPr>
      <w:r w:rsidRPr="0097260A">
        <w:rPr>
          <w:rStyle w:val="FootnoteReference"/>
          <w:kern w:val="18"/>
          <w:sz w:val="20"/>
          <w:szCs w:val="20"/>
        </w:rPr>
        <w:footnoteRef/>
      </w:r>
      <w:r w:rsidRPr="0097260A">
        <w:rPr>
          <w:rFonts w:hint="eastAsia"/>
          <w:kern w:val="18"/>
          <w:szCs w:val="20"/>
        </w:rPr>
        <w:t xml:space="preserve"> </w:t>
      </w:r>
      <w:r>
        <w:rPr>
          <w:rFonts w:hint="eastAsia"/>
          <w:kern w:val="18"/>
          <w:szCs w:val="18"/>
        </w:rPr>
        <w:t>跨部门生物多样性倡议</w:t>
      </w:r>
      <w:r w:rsidRPr="004058E9">
        <w:rPr>
          <w:kern w:val="18"/>
          <w:szCs w:val="18"/>
        </w:rPr>
        <w:t xml:space="preserve"> (2015)</w:t>
      </w:r>
      <w:r>
        <w:rPr>
          <w:rFonts w:hint="eastAsia"/>
          <w:kern w:val="18"/>
          <w:szCs w:val="18"/>
        </w:rPr>
        <w:t>，</w:t>
      </w:r>
      <w:r w:rsidRPr="00440DCE">
        <w:rPr>
          <w:rFonts w:ascii="KaiTi" w:eastAsia="KaiTi" w:hAnsi="KaiTi" w:hint="eastAsia"/>
          <w:kern w:val="18"/>
          <w:szCs w:val="18"/>
        </w:rPr>
        <w:t>用于执行缓解层次的跨部门指南</w:t>
      </w:r>
      <w:r w:rsidRPr="000710B0">
        <w:rPr>
          <w:rFonts w:hint="eastAsia"/>
          <w:kern w:val="18"/>
          <w:szCs w:val="18"/>
        </w:rPr>
        <w:t>。由生物多样性咨询组织代表IPIECA</w:t>
      </w:r>
      <w:r>
        <w:rPr>
          <w:rFonts w:hint="eastAsia"/>
          <w:kern w:val="18"/>
          <w:szCs w:val="18"/>
        </w:rPr>
        <w:t>、</w:t>
      </w:r>
      <w:r w:rsidRPr="000710B0">
        <w:rPr>
          <w:rFonts w:hint="eastAsia"/>
          <w:kern w:val="18"/>
          <w:szCs w:val="18"/>
        </w:rPr>
        <w:t>ICMM和赤道原则协会编写。英国剑桥</w:t>
      </w:r>
      <w:r>
        <w:rPr>
          <w:rFonts w:hint="eastAsia"/>
          <w:kern w:val="18"/>
          <w:szCs w:val="18"/>
        </w:rPr>
        <w:t>。</w:t>
      </w:r>
    </w:p>
  </w:footnote>
  <w:footnote w:id="24">
    <w:p w14:paraId="26ECD8EF" w14:textId="77777777" w:rsidR="00CA5D52" w:rsidRPr="004058E9" w:rsidRDefault="00CA5D52" w:rsidP="005A2612">
      <w:pPr>
        <w:pStyle w:val="FootnoteText"/>
        <w:kinsoku w:val="0"/>
        <w:overflowPunct w:val="0"/>
        <w:autoSpaceDE w:val="0"/>
        <w:autoSpaceDN w:val="0"/>
        <w:adjustRightInd w:val="0"/>
        <w:snapToGrid w:val="0"/>
        <w:ind w:firstLine="0"/>
        <w:jc w:val="left"/>
        <w:rPr>
          <w:kern w:val="18"/>
          <w:szCs w:val="18"/>
        </w:rPr>
      </w:pPr>
      <w:r w:rsidRPr="0097260A">
        <w:rPr>
          <w:rStyle w:val="FootnoteReference"/>
          <w:kern w:val="18"/>
          <w:sz w:val="20"/>
          <w:szCs w:val="20"/>
        </w:rPr>
        <w:footnoteRef/>
      </w:r>
      <w:r w:rsidRPr="0097260A">
        <w:rPr>
          <w:rFonts w:hint="eastAsia"/>
          <w:kern w:val="18"/>
          <w:szCs w:val="20"/>
        </w:rPr>
        <w:t xml:space="preserve"> </w:t>
      </w:r>
      <w:r w:rsidRPr="00B26891">
        <w:rPr>
          <w:rFonts w:hint="eastAsia"/>
          <w:kern w:val="18"/>
          <w:szCs w:val="18"/>
        </w:rPr>
        <w:t>商业和生物多样性</w:t>
      </w:r>
      <w:r>
        <w:rPr>
          <w:rFonts w:hint="eastAsia"/>
          <w:kern w:val="18"/>
          <w:szCs w:val="18"/>
        </w:rPr>
        <w:t>补偿方案</w:t>
      </w:r>
      <w:r w:rsidRPr="00B26891">
        <w:rPr>
          <w:rFonts w:hint="eastAsia"/>
          <w:kern w:val="18"/>
          <w:szCs w:val="18"/>
        </w:rPr>
        <w:t>（2012）</w:t>
      </w:r>
      <w:r>
        <w:rPr>
          <w:rFonts w:hint="eastAsia"/>
          <w:kern w:val="18"/>
          <w:szCs w:val="18"/>
        </w:rPr>
        <w:t>，</w:t>
      </w:r>
      <w:r w:rsidRPr="00440DCE">
        <w:rPr>
          <w:rFonts w:ascii="KaiTi" w:eastAsia="KaiTi" w:hAnsi="KaiTi" w:hint="eastAsia"/>
          <w:kern w:val="18"/>
          <w:szCs w:val="18"/>
        </w:rPr>
        <w:t>生物多样性补偿标准</w:t>
      </w:r>
      <w:r w:rsidRPr="00B26891">
        <w:rPr>
          <w:rFonts w:hint="eastAsia"/>
          <w:kern w:val="18"/>
          <w:szCs w:val="18"/>
        </w:rPr>
        <w:t>。商业和生物多样性</w:t>
      </w:r>
      <w:r>
        <w:rPr>
          <w:rFonts w:hint="eastAsia"/>
          <w:kern w:val="18"/>
          <w:szCs w:val="18"/>
        </w:rPr>
        <w:t>补偿</w:t>
      </w:r>
      <w:r w:rsidRPr="00B26891">
        <w:rPr>
          <w:rFonts w:hint="eastAsia"/>
          <w:kern w:val="18"/>
          <w:szCs w:val="18"/>
        </w:rPr>
        <w:t>计划BBOP，特区华盛顿</w:t>
      </w:r>
      <w:r w:rsidRPr="004058E9">
        <w:rPr>
          <w:kern w:val="18"/>
          <w:szCs w:val="18"/>
        </w:rPr>
        <w:t xml:space="preserve"> </w:t>
      </w:r>
      <w:r>
        <w:rPr>
          <w:rFonts w:hint="eastAsia"/>
          <w:kern w:val="18"/>
          <w:szCs w:val="18"/>
        </w:rPr>
        <w:t>。</w:t>
      </w:r>
    </w:p>
  </w:footnote>
  <w:footnote w:id="25">
    <w:p w14:paraId="674B1207" w14:textId="77777777" w:rsidR="00CA5D52" w:rsidRPr="00C64F18" w:rsidRDefault="00CA5D52" w:rsidP="00C95591">
      <w:pPr>
        <w:pStyle w:val="FootnoteText"/>
        <w:kinsoku w:val="0"/>
        <w:overflowPunct w:val="0"/>
        <w:autoSpaceDE w:val="0"/>
        <w:autoSpaceDN w:val="0"/>
        <w:adjustRightInd w:val="0"/>
        <w:snapToGrid w:val="0"/>
        <w:ind w:firstLine="0"/>
        <w:jc w:val="left"/>
        <w:rPr>
          <w:kern w:val="18"/>
          <w:szCs w:val="18"/>
        </w:rPr>
      </w:pPr>
      <w:r w:rsidRPr="00B9661F">
        <w:rPr>
          <w:rStyle w:val="FootnoteReference"/>
          <w:kern w:val="18"/>
          <w:sz w:val="20"/>
          <w:szCs w:val="20"/>
        </w:rPr>
        <w:footnoteRef/>
      </w:r>
      <w:r w:rsidRPr="00B9661F">
        <w:rPr>
          <w:rFonts w:hint="eastAsia"/>
          <w:kern w:val="18"/>
          <w:szCs w:val="20"/>
        </w:rPr>
        <w:t xml:space="preserve"> </w:t>
      </w:r>
      <w:r w:rsidRPr="00B26891">
        <w:rPr>
          <w:rFonts w:hint="eastAsia"/>
          <w:kern w:val="18"/>
          <w:szCs w:val="18"/>
        </w:rPr>
        <w:t>联合国环境规划署（2018）</w:t>
      </w:r>
      <w:r>
        <w:rPr>
          <w:rFonts w:hint="eastAsia"/>
          <w:kern w:val="18"/>
          <w:szCs w:val="18"/>
        </w:rPr>
        <w:t>，</w:t>
      </w:r>
      <w:r w:rsidRPr="00440DCE">
        <w:rPr>
          <w:rFonts w:ascii="KaiTi" w:eastAsia="KaiTi" w:hAnsi="KaiTi" w:hint="eastAsia"/>
          <w:kern w:val="18"/>
          <w:szCs w:val="18"/>
        </w:rPr>
        <w:t>评估环境影响 - 全球立法审查</w:t>
      </w:r>
      <w:r w:rsidRPr="00B26891">
        <w:rPr>
          <w:rFonts w:hint="eastAsia"/>
          <w:kern w:val="18"/>
          <w:szCs w:val="18"/>
        </w:rPr>
        <w:t>，肯尼亚内罗毕</w:t>
      </w:r>
      <w:r>
        <w:rPr>
          <w:rFonts w:hint="eastAsia"/>
          <w:kern w:val="18"/>
          <w:szCs w:val="18"/>
        </w:rPr>
        <w:t>。</w:t>
      </w:r>
    </w:p>
  </w:footnote>
  <w:footnote w:id="26">
    <w:p w14:paraId="45FF8224" w14:textId="77777777" w:rsidR="00CA5D52" w:rsidRDefault="00CA5D52" w:rsidP="00201EB1">
      <w:pPr>
        <w:pStyle w:val="FootnoteText"/>
        <w:ind w:firstLine="0"/>
        <w:jc w:val="left"/>
      </w:pPr>
      <w:r w:rsidRPr="00B9661F">
        <w:rPr>
          <w:rStyle w:val="FootnoteReference"/>
          <w:sz w:val="20"/>
          <w:szCs w:val="20"/>
        </w:rPr>
        <w:footnoteRef/>
      </w:r>
      <w:r>
        <w:t xml:space="preserve"> </w:t>
      </w:r>
      <w:r>
        <w:rPr>
          <w:rFonts w:hint="eastAsia"/>
        </w:rPr>
        <w:t>自然资源治理研究所（2</w:t>
      </w:r>
      <w:r>
        <w:t>014</w:t>
      </w:r>
      <w:r>
        <w:rPr>
          <w:rFonts w:hint="eastAsia"/>
        </w:rPr>
        <w:t>），《</w:t>
      </w:r>
      <w:r w:rsidRPr="00440DCE">
        <w:rPr>
          <w:rFonts w:ascii="KaiTi" w:eastAsia="KaiTi" w:hAnsi="KaiTi" w:hint="eastAsia"/>
        </w:rPr>
        <w:t>自然资源宪章</w:t>
      </w:r>
      <w:r>
        <w:rPr>
          <w:rFonts w:hint="eastAsia"/>
        </w:rPr>
        <w:t>》，第二版[在线</w:t>
      </w:r>
      <w:r>
        <w:t>]</w:t>
      </w:r>
      <w:r>
        <w:rPr>
          <w:rFonts w:hint="eastAsia"/>
        </w:rPr>
        <w:t>可查阅：</w:t>
      </w:r>
      <w:hyperlink r:id="rId22" w:history="1">
        <w:r w:rsidRPr="00A50535">
          <w:rPr>
            <w:rStyle w:val="Hyperlink"/>
            <w:rFonts w:ascii="Times New Roman" w:hAnsi="Times New Roman"/>
            <w:kern w:val="18"/>
            <w:szCs w:val="18"/>
          </w:rPr>
          <w:t>https://resourcegovernance.org/approach/natural-resource-charter</w:t>
        </w:r>
      </w:hyperlink>
      <w:r>
        <w:rPr>
          <w:rFonts w:hint="eastAsia"/>
          <w:kern w:val="18"/>
          <w:szCs w:val="18"/>
        </w:rPr>
        <w:t xml:space="preserve"> [</w:t>
      </w:r>
      <w:r>
        <w:rPr>
          <w:kern w:val="18"/>
          <w:szCs w:val="18"/>
        </w:rPr>
        <w:t>2018</w:t>
      </w:r>
      <w:r>
        <w:rPr>
          <w:rFonts w:hint="eastAsia"/>
          <w:kern w:val="18"/>
          <w:szCs w:val="18"/>
        </w:rPr>
        <w:t>年4</w:t>
      </w:r>
      <w:proofErr w:type="gramStart"/>
      <w:r>
        <w:rPr>
          <w:rFonts w:hint="eastAsia"/>
          <w:kern w:val="18"/>
          <w:szCs w:val="18"/>
        </w:rPr>
        <w:t>月访问]。</w:t>
      </w:r>
      <w:proofErr w:type="gramEnd"/>
    </w:p>
  </w:footnote>
  <w:footnote w:id="27">
    <w:p w14:paraId="7630729F" w14:textId="77777777" w:rsidR="00CA5D52" w:rsidRDefault="00CA5D52" w:rsidP="00CB01D6">
      <w:pPr>
        <w:pStyle w:val="FootnoteText"/>
        <w:ind w:firstLine="0"/>
      </w:pPr>
      <w:r w:rsidRPr="00B9661F">
        <w:rPr>
          <w:rStyle w:val="FootnoteReference"/>
          <w:sz w:val="20"/>
          <w:szCs w:val="20"/>
        </w:rPr>
        <w:footnoteRef/>
      </w:r>
      <w:r>
        <w:t xml:space="preserve"> </w:t>
      </w:r>
      <w:r>
        <w:rPr>
          <w:rFonts w:hint="eastAsia"/>
        </w:rPr>
        <w:t>联合国开发计划署（2</w:t>
      </w:r>
      <w:r>
        <w:t>017</w:t>
      </w:r>
      <w:r>
        <w:rPr>
          <w:rFonts w:hint="eastAsia"/>
        </w:rPr>
        <w:t>），</w:t>
      </w:r>
      <w:r w:rsidRPr="00333D86">
        <w:rPr>
          <w:rFonts w:ascii="KaiTi" w:eastAsia="KaiTi" w:hAnsi="KaiTi" w:hint="eastAsia"/>
        </w:rPr>
        <w:t>机构和协调机制：促进可持续发展目标实施的协调一致性</w:t>
      </w:r>
      <w:r>
        <w:rPr>
          <w:rFonts w:hint="eastAsia"/>
        </w:rPr>
        <w:t>[在线</w:t>
      </w:r>
      <w:r>
        <w:t>]</w:t>
      </w:r>
      <w:r>
        <w:rPr>
          <w:rFonts w:hint="eastAsia"/>
        </w:rPr>
        <w:t>可查阅：</w:t>
      </w:r>
      <w:hyperlink r:id="rId23" w:history="1">
        <w:r w:rsidRPr="002C557C">
          <w:rPr>
            <w:rStyle w:val="Hyperlink"/>
            <w:kern w:val="18"/>
            <w:szCs w:val="18"/>
          </w:rPr>
          <w:t>http://www.undp.org/content/undp/en/home/librarypage/sustainable-development-goals/institutional-and-coordination-mechanisms---guidance-note.html</w:t>
        </w:r>
      </w:hyperlink>
      <w:r>
        <w:rPr>
          <w:rFonts w:hint="eastAsia"/>
        </w:rPr>
        <w:t>[</w:t>
      </w:r>
      <w:r>
        <w:t>2018</w:t>
      </w:r>
      <w:r>
        <w:rPr>
          <w:rFonts w:hint="eastAsia"/>
        </w:rPr>
        <w:t>年4</w:t>
      </w:r>
      <w:proofErr w:type="gramStart"/>
      <w:r>
        <w:rPr>
          <w:rFonts w:hint="eastAsia"/>
        </w:rPr>
        <w:t>月访问]。</w:t>
      </w:r>
      <w:proofErr w:type="gramEnd"/>
    </w:p>
  </w:footnote>
  <w:footnote w:id="28">
    <w:p w14:paraId="3BAA2BE8" w14:textId="77777777" w:rsidR="00CA5D52" w:rsidRPr="00C64F18" w:rsidRDefault="00CA5D52" w:rsidP="00CB01D6">
      <w:pPr>
        <w:pStyle w:val="FootnoteText"/>
        <w:kinsoku w:val="0"/>
        <w:overflowPunct w:val="0"/>
        <w:autoSpaceDE w:val="0"/>
        <w:autoSpaceDN w:val="0"/>
        <w:adjustRightInd w:val="0"/>
        <w:snapToGrid w:val="0"/>
        <w:ind w:firstLine="0"/>
        <w:jc w:val="left"/>
        <w:rPr>
          <w:kern w:val="18"/>
          <w:szCs w:val="18"/>
        </w:rPr>
      </w:pPr>
      <w:r w:rsidRPr="00B9661F">
        <w:rPr>
          <w:rStyle w:val="FootnoteReference"/>
          <w:sz w:val="20"/>
          <w:szCs w:val="20"/>
        </w:rPr>
        <w:footnoteRef/>
      </w:r>
      <w:r>
        <w:t xml:space="preserve"> </w:t>
      </w:r>
      <w:r w:rsidRPr="00333D86">
        <w:rPr>
          <w:rFonts w:ascii="Times New Roman" w:hAnsi="Times New Roman"/>
          <w:kern w:val="18"/>
          <w:szCs w:val="18"/>
        </w:rPr>
        <w:t xml:space="preserve">Chatham </w:t>
      </w:r>
      <w:proofErr w:type="gramStart"/>
      <w:r w:rsidRPr="00333D86">
        <w:rPr>
          <w:rFonts w:ascii="Times New Roman" w:hAnsi="Times New Roman"/>
          <w:kern w:val="18"/>
          <w:szCs w:val="18"/>
        </w:rPr>
        <w:t>House</w:t>
      </w:r>
      <w:r w:rsidRPr="00C64F18">
        <w:rPr>
          <w:kern w:val="18"/>
          <w:szCs w:val="18"/>
        </w:rPr>
        <w:t>(</w:t>
      </w:r>
      <w:proofErr w:type="gramEnd"/>
      <w:r w:rsidRPr="00C64F18">
        <w:rPr>
          <w:kern w:val="18"/>
          <w:szCs w:val="18"/>
        </w:rPr>
        <w:t>2017)</w:t>
      </w:r>
      <w:r>
        <w:rPr>
          <w:rFonts w:hint="eastAsia"/>
          <w:kern w:val="18"/>
          <w:szCs w:val="18"/>
        </w:rPr>
        <w:t>，</w:t>
      </w:r>
      <w:r w:rsidRPr="00333D86">
        <w:rPr>
          <w:rFonts w:ascii="KaiTi" w:eastAsia="KaiTi" w:hAnsi="KaiTi" w:hint="eastAsia"/>
          <w:kern w:val="18"/>
          <w:szCs w:val="18"/>
        </w:rPr>
        <w:t>世界银行不再支持石油和天然气</w:t>
      </w:r>
      <w:r w:rsidRPr="00333D86">
        <w:rPr>
          <w:rFonts w:ascii="KaiTi" w:eastAsia="KaiTi" w:hAnsi="KaiTi"/>
          <w:kern w:val="18"/>
          <w:szCs w:val="18"/>
        </w:rPr>
        <w:t>–</w:t>
      </w:r>
      <w:r w:rsidRPr="00333D86">
        <w:rPr>
          <w:rFonts w:ascii="KaiTi" w:eastAsia="KaiTi" w:hAnsi="KaiTi" w:hint="eastAsia"/>
          <w:kern w:val="18"/>
          <w:szCs w:val="18"/>
        </w:rPr>
        <w:t>现在怎么办？</w:t>
      </w:r>
      <w:r w:rsidRPr="00C64F18">
        <w:rPr>
          <w:kern w:val="18"/>
          <w:szCs w:val="18"/>
        </w:rPr>
        <w:t xml:space="preserve"> [</w:t>
      </w:r>
      <w:r>
        <w:rPr>
          <w:rFonts w:hint="eastAsia"/>
          <w:kern w:val="18"/>
          <w:szCs w:val="18"/>
        </w:rPr>
        <w:t>在线</w:t>
      </w:r>
      <w:r w:rsidRPr="00C64F18">
        <w:rPr>
          <w:kern w:val="18"/>
          <w:szCs w:val="18"/>
        </w:rPr>
        <w:t>]</w:t>
      </w:r>
      <w:r>
        <w:rPr>
          <w:rFonts w:hint="eastAsia"/>
          <w:kern w:val="18"/>
          <w:szCs w:val="18"/>
        </w:rPr>
        <w:t>可查阅：</w:t>
      </w:r>
      <w:r w:rsidRPr="00C64F18">
        <w:rPr>
          <w:kern w:val="18"/>
          <w:szCs w:val="18"/>
        </w:rPr>
        <w:t xml:space="preserve"> </w:t>
      </w:r>
      <w:hyperlink r:id="rId24" w:history="1">
        <w:r w:rsidRPr="00333D86">
          <w:rPr>
            <w:rStyle w:val="Hyperlink"/>
            <w:rFonts w:ascii="Times New Roman" w:hAnsi="Times New Roman"/>
            <w:kern w:val="18"/>
            <w:szCs w:val="18"/>
          </w:rPr>
          <w:t>https://www.chathamhouse.org/expert/comment/world-bank-wont-back-oil-and-gas-what-now#</w:t>
        </w:r>
      </w:hyperlink>
      <w:r w:rsidRPr="00C64F18">
        <w:rPr>
          <w:kern w:val="18"/>
          <w:szCs w:val="18"/>
        </w:rPr>
        <w:t>[</w:t>
      </w:r>
      <w:r>
        <w:rPr>
          <w:kern w:val="18"/>
          <w:szCs w:val="18"/>
        </w:rPr>
        <w:t>2018</w:t>
      </w:r>
      <w:r>
        <w:rPr>
          <w:rFonts w:hint="eastAsia"/>
          <w:kern w:val="18"/>
          <w:szCs w:val="18"/>
        </w:rPr>
        <w:t>年4</w:t>
      </w:r>
      <w:proofErr w:type="gramStart"/>
      <w:r>
        <w:rPr>
          <w:rFonts w:hint="eastAsia"/>
          <w:kern w:val="18"/>
          <w:szCs w:val="18"/>
        </w:rPr>
        <w:t>月访问]。</w:t>
      </w:r>
      <w:proofErr w:type="gramEnd"/>
    </w:p>
    <w:p w14:paraId="0A633DB9" w14:textId="77777777" w:rsidR="00CA5D52" w:rsidRDefault="00CA5D52" w:rsidP="00CB01D6">
      <w:pPr>
        <w:pStyle w:val="FootnoteText"/>
        <w:ind w:left="1176" w:firstLine="0"/>
      </w:pPr>
    </w:p>
  </w:footnote>
  <w:footnote w:id="29">
    <w:p w14:paraId="1C439EE7" w14:textId="77777777" w:rsidR="00CA5D52" w:rsidRDefault="00CA5D52" w:rsidP="00201EB1">
      <w:pPr>
        <w:pStyle w:val="HTMLPreformatted"/>
      </w:pPr>
      <w:r w:rsidRPr="00B9661F">
        <w:rPr>
          <w:rStyle w:val="FootnoteReference"/>
          <w:sz w:val="20"/>
        </w:rPr>
        <w:footnoteRef/>
      </w:r>
      <w:r w:rsidRPr="00B9661F">
        <w:t xml:space="preserve"> </w:t>
      </w:r>
      <w:r w:rsidRPr="00333D86">
        <w:rPr>
          <w:rFonts w:ascii="Times New Roman" w:hAnsi="Times New Roman" w:cs="Times New Roman"/>
          <w:kern w:val="18"/>
          <w:szCs w:val="18"/>
        </w:rPr>
        <w:t>Juffe-Bignoli D</w:t>
      </w:r>
      <w:r w:rsidRPr="00333D86">
        <w:rPr>
          <w:rFonts w:ascii="Times New Roman" w:eastAsia="Microsoft YaHei" w:hAnsi="Times New Roman" w:cs="Times New Roman"/>
          <w:kern w:val="18"/>
          <w:szCs w:val="18"/>
        </w:rPr>
        <w:t>、</w:t>
      </w:r>
      <w:r w:rsidRPr="00333D86">
        <w:rPr>
          <w:rFonts w:ascii="Times New Roman" w:hAnsi="Times New Roman" w:cs="Times New Roman"/>
          <w:kern w:val="18"/>
          <w:szCs w:val="18"/>
        </w:rPr>
        <w:t>Brooks TM</w:t>
      </w:r>
      <w:r w:rsidRPr="00333D86">
        <w:rPr>
          <w:rFonts w:ascii="Times New Roman" w:eastAsia="Microsoft YaHei" w:hAnsi="Times New Roman" w:cs="Times New Roman"/>
          <w:kern w:val="18"/>
          <w:szCs w:val="18"/>
        </w:rPr>
        <w:t>、</w:t>
      </w:r>
      <w:r w:rsidRPr="00333D86">
        <w:rPr>
          <w:rFonts w:ascii="Times New Roman" w:hAnsi="Times New Roman" w:cs="Times New Roman"/>
          <w:kern w:val="18"/>
          <w:szCs w:val="18"/>
        </w:rPr>
        <w:t>Butchart SHM</w:t>
      </w:r>
      <w:r w:rsidRPr="00333D86">
        <w:rPr>
          <w:rFonts w:ascii="Times New Roman" w:eastAsia="Microsoft YaHei" w:hAnsi="Times New Roman" w:cs="Times New Roman"/>
          <w:kern w:val="18"/>
          <w:szCs w:val="18"/>
        </w:rPr>
        <w:t>、</w:t>
      </w:r>
      <w:r w:rsidRPr="00333D86">
        <w:rPr>
          <w:rFonts w:ascii="Times New Roman" w:hAnsi="Times New Roman" w:cs="Times New Roman"/>
          <w:kern w:val="18"/>
          <w:szCs w:val="18"/>
        </w:rPr>
        <w:t>Jenkins RB</w:t>
      </w:r>
      <w:r w:rsidRPr="00333D86">
        <w:rPr>
          <w:rFonts w:ascii="Times New Roman" w:eastAsia="Microsoft YaHei" w:hAnsi="Times New Roman" w:cs="Times New Roman"/>
          <w:kern w:val="18"/>
          <w:szCs w:val="18"/>
        </w:rPr>
        <w:t>、</w:t>
      </w:r>
      <w:r w:rsidRPr="00333D86">
        <w:rPr>
          <w:rFonts w:ascii="Times New Roman" w:hAnsi="Times New Roman" w:cs="Times New Roman"/>
          <w:kern w:val="18"/>
          <w:szCs w:val="18"/>
        </w:rPr>
        <w:t>Boe K</w:t>
      </w:r>
      <w:r w:rsidRPr="00333D86">
        <w:rPr>
          <w:rFonts w:ascii="Times New Roman" w:eastAsia="Microsoft YaHei" w:hAnsi="Times New Roman" w:cs="Times New Roman"/>
          <w:kern w:val="18"/>
          <w:szCs w:val="18"/>
        </w:rPr>
        <w:t>、</w:t>
      </w:r>
      <w:r w:rsidRPr="00333D86">
        <w:rPr>
          <w:rFonts w:ascii="Times New Roman" w:hAnsi="Times New Roman" w:cs="Times New Roman"/>
          <w:kern w:val="18"/>
          <w:szCs w:val="18"/>
        </w:rPr>
        <w:t xml:space="preserve">Hoffmann M, </w:t>
      </w:r>
      <w:r w:rsidRPr="00333D86">
        <w:rPr>
          <w:rFonts w:ascii="SimSun" w:eastAsia="SimSun" w:hAnsi="SimSun" w:cs="Times New Roman"/>
          <w:kern w:val="18"/>
          <w:szCs w:val="18"/>
        </w:rPr>
        <w:t>等</w:t>
      </w:r>
      <w:r>
        <w:rPr>
          <w:rFonts w:ascii="Times New Roman" w:hAnsi="Times New Roman" w:cs="Times New Roman"/>
          <w:kern w:val="18"/>
          <w:szCs w:val="18"/>
        </w:rPr>
        <w:t xml:space="preserve"> </w:t>
      </w:r>
      <w:r w:rsidRPr="00333D86">
        <w:rPr>
          <w:rFonts w:ascii="Times New Roman" w:hAnsi="Times New Roman" w:cs="Times New Roman"/>
          <w:kern w:val="18"/>
          <w:szCs w:val="18"/>
        </w:rPr>
        <w:t>(</w:t>
      </w:r>
      <w:proofErr w:type="gramStart"/>
      <w:r w:rsidRPr="00333D86">
        <w:rPr>
          <w:rFonts w:ascii="Times New Roman" w:hAnsi="Times New Roman" w:cs="Times New Roman"/>
          <w:kern w:val="18"/>
          <w:szCs w:val="18"/>
        </w:rPr>
        <w:t>2016)</w:t>
      </w:r>
      <w:r>
        <w:rPr>
          <w:rFonts w:ascii="SimSun" w:eastAsia="SimSun" w:hAnsi="SimSun" w:cs="SimSun" w:hint="eastAsia"/>
          <w:kern w:val="18"/>
          <w:szCs w:val="18"/>
        </w:rPr>
        <w:t>，</w:t>
      </w:r>
      <w:proofErr w:type="gramEnd"/>
      <w:r w:rsidRPr="004047D4">
        <w:rPr>
          <w:rFonts w:ascii="KaiTi" w:eastAsia="KaiTi" w:hAnsi="KaiTi" w:cs="Times New Roman"/>
        </w:rPr>
        <w:t>评估全球生物多样性和保护知识的成本</w:t>
      </w:r>
      <w:r w:rsidRPr="004047D4">
        <w:rPr>
          <w:rFonts w:ascii="SimSun" w:eastAsia="SimSun" w:hAnsi="SimSun" w:cs="Times New Roman"/>
        </w:rPr>
        <w:t>。</w:t>
      </w:r>
      <w:r w:rsidRPr="00333D86">
        <w:rPr>
          <w:rFonts w:ascii="Times New Roman" w:hAnsi="Times New Roman" w:cs="Times New Roman"/>
          <w:kern w:val="18"/>
          <w:szCs w:val="18"/>
        </w:rPr>
        <w:t xml:space="preserve"> PLoS ONE 11(8</w:t>
      </w:r>
      <w:proofErr w:type="gramStart"/>
      <w:r w:rsidRPr="00333D86">
        <w:rPr>
          <w:rFonts w:ascii="Times New Roman" w:hAnsi="Times New Roman" w:cs="Times New Roman"/>
          <w:kern w:val="18"/>
          <w:szCs w:val="18"/>
        </w:rPr>
        <w:t>):e0160640</w:t>
      </w:r>
      <w:r>
        <w:rPr>
          <w:rFonts w:ascii="SimSun" w:eastAsia="SimSun" w:hAnsi="SimSun" w:cs="SimSun" w:hint="eastAsia"/>
          <w:kern w:val="18"/>
          <w:szCs w:val="18"/>
        </w:rPr>
        <w:t>.</w:t>
      </w:r>
      <w:r w:rsidRPr="00333D86">
        <w:rPr>
          <w:rFonts w:ascii="Times New Roman" w:hAnsi="Times New Roman" w:cs="Times New Roman"/>
          <w:kern w:val="18"/>
          <w:szCs w:val="18"/>
        </w:rPr>
        <w:t>doi</w:t>
      </w:r>
      <w:proofErr w:type="gramEnd"/>
      <w:r w:rsidRPr="00333D86">
        <w:rPr>
          <w:rFonts w:ascii="Times New Roman" w:hAnsi="Times New Roman" w:cs="Times New Roman"/>
          <w:kern w:val="18"/>
          <w:szCs w:val="18"/>
        </w:rPr>
        <w:t>:10.1371/journal.pone.0160640</w:t>
      </w:r>
      <w:r>
        <w:rPr>
          <w:rFonts w:ascii="SimSun" w:eastAsia="SimSun" w:hAnsi="SimSun" w:cs="SimSun" w:hint="eastAsia"/>
          <w:kern w:val="18"/>
          <w:szCs w:val="18"/>
        </w:rPr>
        <w:t>。</w:t>
      </w:r>
    </w:p>
  </w:footnote>
  <w:footnote w:id="30">
    <w:p w14:paraId="6933BC56" w14:textId="77777777" w:rsidR="00CA5D52" w:rsidRDefault="00CA5D52" w:rsidP="00201EB1">
      <w:pPr>
        <w:pStyle w:val="FootnoteText"/>
        <w:spacing w:after="0"/>
        <w:ind w:firstLine="0"/>
      </w:pPr>
      <w:r w:rsidRPr="00B9661F">
        <w:rPr>
          <w:rStyle w:val="FootnoteReference"/>
          <w:sz w:val="20"/>
          <w:szCs w:val="20"/>
        </w:rPr>
        <w:footnoteRef/>
      </w:r>
      <w:r w:rsidRPr="00B9661F">
        <w:rPr>
          <w:szCs w:val="20"/>
        </w:rPr>
        <w:t xml:space="preserve"> </w:t>
      </w:r>
      <w:r>
        <w:rPr>
          <w:rFonts w:hint="eastAsia"/>
        </w:rPr>
        <w:t>联合国，《</w:t>
      </w:r>
      <w:r w:rsidRPr="00D72399">
        <w:rPr>
          <w:rFonts w:ascii="KaiTi" w:eastAsia="KaiTi" w:hAnsi="KaiTi" w:hint="eastAsia"/>
        </w:rPr>
        <w:t>条约汇编</w:t>
      </w:r>
      <w:r>
        <w:rPr>
          <w:rFonts w:ascii="KaiTi" w:eastAsia="KaiTi" w:hAnsi="KaiTi" w:hint="eastAsia"/>
        </w:rPr>
        <w:t>》</w:t>
      </w:r>
      <w:r>
        <w:rPr>
          <w:rFonts w:hint="eastAsia"/>
        </w:rPr>
        <w:t>，登记号</w:t>
      </w:r>
      <w:r w:rsidRPr="00C64F18">
        <w:rPr>
          <w:kern w:val="18"/>
          <w:szCs w:val="18"/>
        </w:rPr>
        <w:t>I-54113</w:t>
      </w:r>
      <w:r>
        <w:rPr>
          <w:rFonts w:hint="eastAsia"/>
          <w:kern w:val="18"/>
          <w:szCs w:val="18"/>
        </w:rPr>
        <w:t>。</w:t>
      </w:r>
    </w:p>
  </w:footnote>
  <w:footnote w:id="31">
    <w:p w14:paraId="00CD26D5" w14:textId="77777777" w:rsidR="00CA5D52" w:rsidRPr="00D72399" w:rsidRDefault="00CA5D52" w:rsidP="00201EB1">
      <w:pPr>
        <w:pStyle w:val="FootnoteText"/>
        <w:spacing w:after="0"/>
        <w:ind w:firstLine="0"/>
        <w:rPr>
          <w:rFonts w:ascii="Times New Roman" w:hAnsi="Times New Roman"/>
        </w:rPr>
      </w:pPr>
      <w:r w:rsidRPr="0097260A">
        <w:rPr>
          <w:rStyle w:val="FootnoteReference"/>
          <w:sz w:val="20"/>
          <w:szCs w:val="20"/>
        </w:rPr>
        <w:footnoteRef/>
      </w:r>
      <w:r>
        <w:t xml:space="preserve"> </w:t>
      </w:r>
      <w:r w:rsidRPr="00D72399">
        <w:rPr>
          <w:rFonts w:ascii="Times New Roman" w:hAnsi="Times New Roman"/>
          <w:kern w:val="18"/>
          <w:szCs w:val="18"/>
        </w:rPr>
        <w:t>Finer, M., Babbitt, B., Novoa, S., Ferrarese, F., Eugenio Pappalardo, S., De Marchi, M., Saucedo, M., and Kumar, A. (</w:t>
      </w:r>
      <w:proofErr w:type="gramStart"/>
      <w:r w:rsidRPr="00D72399">
        <w:rPr>
          <w:rFonts w:ascii="Times New Roman" w:hAnsi="Times New Roman"/>
          <w:kern w:val="18"/>
          <w:szCs w:val="18"/>
        </w:rPr>
        <w:t>2015)</w:t>
      </w:r>
      <w:r w:rsidRPr="00D72399">
        <w:rPr>
          <w:rFonts w:ascii="Times New Roman" w:hAnsi="Times New Roman"/>
          <w:kern w:val="18"/>
          <w:szCs w:val="18"/>
        </w:rPr>
        <w:t>，</w:t>
      </w:r>
      <w:proofErr w:type="gramEnd"/>
      <w:r w:rsidRPr="00D72399">
        <w:rPr>
          <w:rFonts w:ascii="KaiTi" w:eastAsia="KaiTi" w:hAnsi="KaiTi"/>
          <w:kern w:val="18"/>
          <w:szCs w:val="18"/>
        </w:rPr>
        <w:t>西亚马孙未来油气开发</w:t>
      </w:r>
      <w:r w:rsidRPr="00D72399">
        <w:rPr>
          <w:rFonts w:ascii="Times New Roman" w:hAnsi="Times New Roman"/>
          <w:kern w:val="18"/>
          <w:szCs w:val="18"/>
        </w:rPr>
        <w:t>，</w:t>
      </w:r>
      <w:r w:rsidRPr="00D72399">
        <w:rPr>
          <w:rFonts w:ascii="Times New Roman" w:hAnsi="Times New Roman"/>
          <w:kern w:val="18"/>
          <w:szCs w:val="18"/>
        </w:rPr>
        <w:t>Environmental Research Letters</w:t>
      </w:r>
      <w:r w:rsidRPr="00D72399">
        <w:rPr>
          <w:rFonts w:ascii="Times New Roman" w:hAnsi="Times New Roman"/>
          <w:kern w:val="18"/>
          <w:szCs w:val="18"/>
        </w:rPr>
        <w:t>，</w:t>
      </w:r>
      <w:r w:rsidRPr="00D72399">
        <w:rPr>
          <w:rFonts w:ascii="Times New Roman" w:hAnsi="Times New Roman"/>
          <w:kern w:val="18"/>
          <w:szCs w:val="18"/>
        </w:rPr>
        <w:t>10 024003</w:t>
      </w:r>
      <w:r>
        <w:rPr>
          <w:rFonts w:ascii="Times New Roman" w:hAnsi="Times New Roman" w:hint="eastAsia"/>
          <w:kern w:val="18"/>
          <w:szCs w:val="18"/>
        </w:rPr>
        <w:t>。</w:t>
      </w:r>
    </w:p>
  </w:footnote>
  <w:footnote w:id="32">
    <w:p w14:paraId="595768F5" w14:textId="77777777" w:rsidR="00CA5D52" w:rsidRDefault="00CA5D52" w:rsidP="00201EB1">
      <w:pPr>
        <w:pStyle w:val="FootnoteText"/>
        <w:kinsoku w:val="0"/>
        <w:overflowPunct w:val="0"/>
        <w:autoSpaceDE w:val="0"/>
        <w:autoSpaceDN w:val="0"/>
        <w:adjustRightInd w:val="0"/>
        <w:snapToGrid w:val="0"/>
        <w:ind w:firstLine="0"/>
        <w:jc w:val="left"/>
      </w:pPr>
      <w:r w:rsidRPr="0097260A">
        <w:rPr>
          <w:rStyle w:val="FootnoteReference"/>
          <w:sz w:val="20"/>
          <w:szCs w:val="20"/>
        </w:rPr>
        <w:footnoteRef/>
      </w:r>
      <w:r>
        <w:t xml:space="preserve"> </w:t>
      </w:r>
      <w:r w:rsidRPr="007E4C47">
        <w:rPr>
          <w:rFonts w:ascii="Times New Roman" w:hAnsi="Times New Roman"/>
          <w:kern w:val="18"/>
          <w:szCs w:val="18"/>
        </w:rPr>
        <w:t>Roche, C., Thygesen, K., Baker, E.</w:t>
      </w:r>
      <w:r w:rsidRPr="00C64F18">
        <w:rPr>
          <w:kern w:val="18"/>
          <w:szCs w:val="18"/>
        </w:rPr>
        <w:t xml:space="preserve"> (</w:t>
      </w:r>
      <w:r>
        <w:rPr>
          <w:rFonts w:hint="eastAsia"/>
          <w:kern w:val="18"/>
          <w:szCs w:val="18"/>
        </w:rPr>
        <w:t>编</w:t>
      </w:r>
      <w:r w:rsidRPr="00C64F18">
        <w:rPr>
          <w:kern w:val="18"/>
          <w:szCs w:val="18"/>
        </w:rPr>
        <w:t>)(2017</w:t>
      </w:r>
      <w:proofErr w:type="gramStart"/>
      <w:r w:rsidRPr="00C64F18">
        <w:rPr>
          <w:kern w:val="18"/>
          <w:szCs w:val="18"/>
        </w:rPr>
        <w:t>)</w:t>
      </w:r>
      <w:r>
        <w:rPr>
          <w:kern w:val="18"/>
          <w:szCs w:val="18"/>
        </w:rPr>
        <w:t>,</w:t>
      </w:r>
      <w:r w:rsidRPr="007E4C47">
        <w:rPr>
          <w:rFonts w:ascii="KaiTi" w:eastAsia="KaiTi" w:hAnsi="KaiTi" w:hint="eastAsia"/>
          <w:kern w:val="18"/>
          <w:szCs w:val="18"/>
        </w:rPr>
        <w:t>矿尾储存</w:t>
      </w:r>
      <w:proofErr w:type="gramEnd"/>
      <w:r w:rsidRPr="007E4C47">
        <w:rPr>
          <w:rFonts w:ascii="KaiTi" w:eastAsia="KaiTi" w:hAnsi="KaiTi" w:hint="eastAsia"/>
          <w:kern w:val="18"/>
          <w:szCs w:val="18"/>
        </w:rPr>
        <w:t>：安全</w:t>
      </w:r>
      <w:r>
        <w:rPr>
          <w:rFonts w:ascii="KaiTi" w:eastAsia="KaiTi" w:hAnsi="KaiTi" w:hint="eastAsia"/>
          <w:kern w:val="18"/>
          <w:szCs w:val="18"/>
        </w:rPr>
        <w:t>就是</w:t>
      </w:r>
      <w:r w:rsidRPr="007E4C47">
        <w:rPr>
          <w:rFonts w:ascii="KaiTi" w:eastAsia="KaiTi" w:hAnsi="KaiTi" w:hint="eastAsia"/>
          <w:kern w:val="18"/>
          <w:szCs w:val="18"/>
        </w:rPr>
        <w:t>无事故。环境署快速反应评估</w:t>
      </w:r>
      <w:r w:rsidRPr="007E4C47">
        <w:rPr>
          <w:rFonts w:hint="eastAsia"/>
          <w:kern w:val="18"/>
          <w:szCs w:val="18"/>
        </w:rPr>
        <w:t>。联合国环境规划署和全球资源信息数据库阿伦达尔</w:t>
      </w:r>
      <w:r>
        <w:rPr>
          <w:rFonts w:hint="eastAsia"/>
          <w:kern w:val="18"/>
          <w:szCs w:val="18"/>
        </w:rPr>
        <w:t>中心</w:t>
      </w:r>
      <w:r w:rsidRPr="00C64F18">
        <w:rPr>
          <w:kern w:val="18"/>
          <w:szCs w:val="18"/>
        </w:rPr>
        <w:t>,</w:t>
      </w:r>
      <w:r>
        <w:rPr>
          <w:rFonts w:hint="eastAsia"/>
          <w:kern w:val="18"/>
          <w:szCs w:val="18"/>
        </w:rPr>
        <w:t>内罗毕和阿伦达尔</w:t>
      </w:r>
      <w:r w:rsidRPr="00C64F18">
        <w:rPr>
          <w:kern w:val="18"/>
          <w:szCs w:val="18"/>
        </w:rPr>
        <w:t>[</w:t>
      </w:r>
      <w:r>
        <w:rPr>
          <w:rFonts w:hint="eastAsia"/>
          <w:kern w:val="18"/>
          <w:szCs w:val="18"/>
        </w:rPr>
        <w:t>在线</w:t>
      </w:r>
      <w:r w:rsidRPr="00C64F18">
        <w:rPr>
          <w:kern w:val="18"/>
          <w:szCs w:val="18"/>
        </w:rPr>
        <w:t>]</w:t>
      </w:r>
      <w:r>
        <w:rPr>
          <w:rFonts w:hint="eastAsia"/>
          <w:kern w:val="18"/>
          <w:szCs w:val="18"/>
        </w:rPr>
        <w:t>可查阅：</w:t>
      </w:r>
      <w:hyperlink r:id="rId25" w:history="1">
        <w:r w:rsidRPr="007E4C47">
          <w:rPr>
            <w:rStyle w:val="Hyperlink"/>
            <w:rFonts w:ascii="Times New Roman" w:hAnsi="Times New Roman"/>
            <w:kern w:val="18"/>
            <w:szCs w:val="18"/>
          </w:rPr>
          <w:t>http://www.grida.no/publications/383</w:t>
        </w:r>
      </w:hyperlink>
      <w:r w:rsidRPr="00C64F18">
        <w:rPr>
          <w:kern w:val="18"/>
          <w:szCs w:val="18"/>
        </w:rPr>
        <w:t xml:space="preserve"> </w:t>
      </w:r>
      <w:r>
        <w:rPr>
          <w:rFonts w:hint="eastAsia"/>
          <w:kern w:val="18"/>
          <w:szCs w:val="18"/>
        </w:rPr>
        <w:t>[2</w:t>
      </w:r>
      <w:r>
        <w:rPr>
          <w:kern w:val="18"/>
          <w:szCs w:val="18"/>
        </w:rPr>
        <w:t>018</w:t>
      </w:r>
      <w:r>
        <w:rPr>
          <w:rFonts w:hint="eastAsia"/>
          <w:kern w:val="18"/>
          <w:szCs w:val="18"/>
        </w:rPr>
        <w:t>年3月访问]。</w:t>
      </w:r>
    </w:p>
  </w:footnote>
  <w:footnote w:id="33">
    <w:p w14:paraId="096265F6" w14:textId="77777777" w:rsidR="00CA5D52" w:rsidRDefault="00CA5D52" w:rsidP="00201EB1">
      <w:pPr>
        <w:pStyle w:val="FootnoteText"/>
        <w:ind w:firstLine="0"/>
      </w:pPr>
      <w:r w:rsidRPr="0097260A">
        <w:rPr>
          <w:rStyle w:val="FootnoteReference"/>
          <w:sz w:val="20"/>
          <w:szCs w:val="20"/>
        </w:rPr>
        <w:footnoteRef/>
      </w:r>
      <w:r>
        <w:t xml:space="preserve"> </w:t>
      </w:r>
      <w:r w:rsidRPr="00545ED2">
        <w:rPr>
          <w:rStyle w:val="ng-binding"/>
          <w:rFonts w:ascii="Times New Roman" w:hAnsi="Times New Roman"/>
          <w:szCs w:val="20"/>
        </w:rPr>
        <w:t>欧盟委员会</w:t>
      </w:r>
      <w:r w:rsidRPr="00545ED2">
        <w:rPr>
          <w:rFonts w:ascii="Times New Roman" w:hAnsi="Times New Roman"/>
          <w:kern w:val="18"/>
          <w:szCs w:val="20"/>
        </w:rPr>
        <w:t>(</w:t>
      </w:r>
      <w:r w:rsidRPr="00545ED2">
        <w:rPr>
          <w:rFonts w:ascii="Times New Roman" w:hAnsi="Times New Roman"/>
          <w:kern w:val="18"/>
          <w:szCs w:val="20"/>
        </w:rPr>
        <w:t>无日期</w:t>
      </w:r>
      <w:r w:rsidRPr="00545ED2">
        <w:rPr>
          <w:rFonts w:ascii="Times New Roman" w:hAnsi="Times New Roman"/>
          <w:kern w:val="18"/>
          <w:szCs w:val="20"/>
        </w:rPr>
        <w:t>)</w:t>
      </w:r>
      <w:r w:rsidRPr="00545ED2">
        <w:rPr>
          <w:rFonts w:ascii="Times New Roman" w:hAnsi="Times New Roman"/>
          <w:kern w:val="18"/>
          <w:szCs w:val="20"/>
        </w:rPr>
        <w:t>，</w:t>
      </w:r>
      <w:r w:rsidRPr="00545ED2">
        <w:rPr>
          <w:rFonts w:ascii="KaiTi" w:eastAsia="KaiTi" w:hAnsi="KaiTi"/>
          <w:szCs w:val="20"/>
        </w:rPr>
        <w:t>欧洲原料创新伙伴关系</w:t>
      </w:r>
      <w:r w:rsidRPr="00545ED2">
        <w:rPr>
          <w:rFonts w:ascii="Times New Roman" w:hAnsi="Times New Roman"/>
          <w:kern w:val="18"/>
          <w:szCs w:val="20"/>
        </w:rPr>
        <w:t>[</w:t>
      </w:r>
      <w:r w:rsidRPr="00545ED2">
        <w:rPr>
          <w:rFonts w:ascii="Times New Roman" w:hAnsi="Times New Roman"/>
          <w:kern w:val="18"/>
          <w:szCs w:val="20"/>
        </w:rPr>
        <w:t>在线</w:t>
      </w:r>
      <w:r w:rsidRPr="00545ED2">
        <w:rPr>
          <w:rFonts w:ascii="Times New Roman" w:hAnsi="Times New Roman"/>
          <w:kern w:val="18"/>
          <w:szCs w:val="20"/>
        </w:rPr>
        <w:t>]</w:t>
      </w:r>
      <w:r>
        <w:rPr>
          <w:rFonts w:ascii="Times New Roman" w:hAnsi="Times New Roman"/>
          <w:kern w:val="18"/>
          <w:szCs w:val="20"/>
        </w:rPr>
        <w:t>可查阅：</w:t>
      </w:r>
      <w:hyperlink r:id="rId26" w:history="1">
        <w:r w:rsidRPr="00A56028">
          <w:rPr>
            <w:rStyle w:val="Hyperlink"/>
            <w:rFonts w:ascii="Times New Roman" w:hAnsi="Times New Roman"/>
            <w:kern w:val="18"/>
            <w:szCs w:val="20"/>
          </w:rPr>
          <w:t xml:space="preserve">https://ec.europa.eu/growth/tools-databases/eip-raw-materials/en/content/european-innovation-partnership-eip-raw-materials </w:t>
        </w:r>
      </w:hyperlink>
      <w:r>
        <w:rPr>
          <w:rFonts w:ascii="Times New Roman" w:hAnsi="Times New Roman" w:hint="eastAsia"/>
          <w:kern w:val="18"/>
          <w:szCs w:val="20"/>
        </w:rPr>
        <w:t>[2</w:t>
      </w:r>
      <w:r>
        <w:rPr>
          <w:rFonts w:ascii="Times New Roman" w:hAnsi="Times New Roman"/>
          <w:kern w:val="18"/>
          <w:szCs w:val="20"/>
        </w:rPr>
        <w:t>018</w:t>
      </w:r>
      <w:r>
        <w:rPr>
          <w:rFonts w:ascii="Times New Roman" w:hAnsi="Times New Roman" w:hint="eastAsia"/>
          <w:kern w:val="18"/>
          <w:szCs w:val="20"/>
        </w:rPr>
        <w:t>年</w:t>
      </w:r>
      <w:r w:rsidRPr="00545ED2">
        <w:rPr>
          <w:rFonts w:ascii="Times New Roman" w:hAnsi="Times New Roman"/>
          <w:kern w:val="18"/>
          <w:szCs w:val="20"/>
        </w:rPr>
        <w:t>4</w:t>
      </w:r>
      <w:proofErr w:type="gramStart"/>
      <w:r w:rsidRPr="00545ED2">
        <w:rPr>
          <w:rFonts w:ascii="Times New Roman" w:hAnsi="Times New Roman"/>
          <w:kern w:val="18"/>
          <w:szCs w:val="20"/>
        </w:rPr>
        <w:t>月</w:t>
      </w:r>
      <w:r>
        <w:rPr>
          <w:rFonts w:ascii="Times New Roman" w:hAnsi="Times New Roman"/>
          <w:kern w:val="18"/>
          <w:szCs w:val="20"/>
        </w:rPr>
        <w:t>访问</w:t>
      </w:r>
      <w:r>
        <w:rPr>
          <w:rFonts w:ascii="Times New Roman" w:hAnsi="Times New Roman"/>
          <w:kern w:val="18"/>
          <w:szCs w:val="20"/>
        </w:rPr>
        <w:t>]</w:t>
      </w:r>
      <w:r w:rsidRPr="00545ED2">
        <w:rPr>
          <w:rFonts w:ascii="Times New Roman" w:hAnsi="Times New Roman"/>
          <w:kern w:val="18"/>
          <w:szCs w:val="20"/>
        </w:rPr>
        <w:t>。</w:t>
      </w:r>
      <w:proofErr w:type="gramEnd"/>
    </w:p>
  </w:footnote>
  <w:footnote w:id="34">
    <w:p w14:paraId="1EEE3CFA" w14:textId="77777777" w:rsidR="00CA5D52" w:rsidRDefault="00CA5D52" w:rsidP="00201EB1">
      <w:pPr>
        <w:pStyle w:val="FootnoteText"/>
        <w:ind w:firstLine="0"/>
      </w:pPr>
      <w:r w:rsidRPr="0097260A">
        <w:rPr>
          <w:rStyle w:val="FootnoteReference"/>
          <w:sz w:val="20"/>
          <w:szCs w:val="20"/>
        </w:rPr>
        <w:footnoteRef/>
      </w:r>
      <w:r>
        <w:t xml:space="preserve"> </w:t>
      </w:r>
      <w:r w:rsidRPr="000454D9">
        <w:rPr>
          <w:rFonts w:hint="eastAsia"/>
        </w:rPr>
        <w:t>例如，</w:t>
      </w:r>
      <w:r>
        <w:rPr>
          <w:rFonts w:hint="eastAsia"/>
        </w:rPr>
        <w:t>国家对</w:t>
      </w:r>
      <w:r w:rsidRPr="000454D9">
        <w:rPr>
          <w:rFonts w:hint="eastAsia"/>
        </w:rPr>
        <w:t>保护区内包括</w:t>
      </w:r>
      <w:r>
        <w:rPr>
          <w:rFonts w:hint="eastAsia"/>
        </w:rPr>
        <w:t>土著</w:t>
      </w:r>
      <w:r w:rsidRPr="000454D9">
        <w:rPr>
          <w:rFonts w:hint="eastAsia"/>
        </w:rPr>
        <w:t>和</w:t>
      </w:r>
      <w:r>
        <w:rPr>
          <w:rFonts w:hint="eastAsia"/>
        </w:rPr>
        <w:t>地方</w:t>
      </w:r>
      <w:r w:rsidRPr="000454D9">
        <w:rPr>
          <w:rFonts w:hint="eastAsia"/>
        </w:rPr>
        <w:t>社区保护区</w:t>
      </w:r>
      <w:r>
        <w:rPr>
          <w:rFonts w:hint="eastAsia"/>
        </w:rPr>
        <w:t>内</w:t>
      </w:r>
      <w:r w:rsidRPr="000454D9">
        <w:rPr>
          <w:rFonts w:hint="eastAsia"/>
        </w:rPr>
        <w:t>的能源和采矿活动</w:t>
      </w:r>
      <w:r>
        <w:rPr>
          <w:rFonts w:hint="eastAsia"/>
        </w:rPr>
        <w:t>的立场</w:t>
      </w:r>
      <w:r w:rsidRPr="000454D9">
        <w:rPr>
          <w:rFonts w:hint="eastAsia"/>
        </w:rPr>
        <w:t>以及</w:t>
      </w:r>
      <w:r>
        <w:rPr>
          <w:rFonts w:hint="eastAsia"/>
        </w:rPr>
        <w:t>授予</w:t>
      </w:r>
      <w:r w:rsidRPr="000454D9">
        <w:rPr>
          <w:rFonts w:hint="eastAsia"/>
        </w:rPr>
        <w:t>许可证</w:t>
      </w:r>
      <w:r>
        <w:rPr>
          <w:rFonts w:hint="eastAsia"/>
        </w:rPr>
        <w:t>的</w:t>
      </w:r>
      <w:r w:rsidRPr="000454D9">
        <w:rPr>
          <w:rFonts w:hint="eastAsia"/>
        </w:rPr>
        <w:t>条件（例如必须证明</w:t>
      </w:r>
      <w:r>
        <w:rPr>
          <w:rFonts w:hint="eastAsia"/>
        </w:rPr>
        <w:t>开发活动可为</w:t>
      </w:r>
      <w:r w:rsidRPr="000454D9">
        <w:rPr>
          <w:rFonts w:hint="eastAsia"/>
        </w:rPr>
        <w:t>生物多样性</w:t>
      </w:r>
      <w:r>
        <w:rPr>
          <w:rFonts w:hint="eastAsia"/>
        </w:rPr>
        <w:t>带来</w:t>
      </w:r>
      <w:r w:rsidRPr="000454D9">
        <w:rPr>
          <w:rFonts w:hint="eastAsia"/>
        </w:rPr>
        <w:t>净</w:t>
      </w:r>
      <w:r>
        <w:rPr>
          <w:rFonts w:hint="eastAsia"/>
        </w:rPr>
        <w:t>收益</w:t>
      </w:r>
      <w:r w:rsidRPr="000454D9">
        <w:rPr>
          <w:rFonts w:hint="eastAsia"/>
        </w:rPr>
        <w:t>）。</w:t>
      </w:r>
      <w:r>
        <w:rPr>
          <w:rFonts w:hint="eastAsia"/>
        </w:rPr>
        <w:t>勘探</w:t>
      </w:r>
      <w:r w:rsidRPr="000454D9">
        <w:rPr>
          <w:rFonts w:hint="eastAsia"/>
        </w:rPr>
        <w:t>禁区</w:t>
      </w:r>
      <w:r>
        <w:rPr>
          <w:rFonts w:hint="eastAsia"/>
        </w:rPr>
        <w:t>的指定可依据</w:t>
      </w:r>
      <w:r w:rsidRPr="000454D9">
        <w:rPr>
          <w:rFonts w:hint="eastAsia"/>
        </w:rPr>
        <w:t>关于</w:t>
      </w:r>
      <w:r>
        <w:rPr>
          <w:rFonts w:hint="eastAsia"/>
        </w:rPr>
        <w:t>在</w:t>
      </w:r>
      <w:r w:rsidRPr="000454D9">
        <w:rPr>
          <w:rFonts w:hint="eastAsia"/>
        </w:rPr>
        <w:t>保护区内外</w:t>
      </w:r>
      <w:r>
        <w:rPr>
          <w:rFonts w:hint="eastAsia"/>
        </w:rPr>
        <w:t>保护</w:t>
      </w:r>
      <w:r w:rsidRPr="000454D9">
        <w:rPr>
          <w:rFonts w:hint="eastAsia"/>
        </w:rPr>
        <w:t>生物多样性的国家立法。</w:t>
      </w:r>
    </w:p>
  </w:footnote>
  <w:footnote w:id="35">
    <w:p w14:paraId="34A5F58C" w14:textId="77777777" w:rsidR="00CA5D52" w:rsidRDefault="00CA5D52" w:rsidP="00201EB1">
      <w:pPr>
        <w:pStyle w:val="FootnoteText"/>
        <w:ind w:firstLine="0"/>
      </w:pPr>
      <w:r w:rsidRPr="00C67993">
        <w:rPr>
          <w:rStyle w:val="FootnoteReference"/>
          <w:sz w:val="20"/>
          <w:szCs w:val="20"/>
        </w:rPr>
        <w:footnoteRef/>
      </w:r>
      <w:r w:rsidRPr="00C67993">
        <w:rPr>
          <w:szCs w:val="20"/>
        </w:rPr>
        <w:t xml:space="preserve"> </w:t>
      </w:r>
      <w:r w:rsidRPr="00BC16B6">
        <w:rPr>
          <w:rFonts w:hint="eastAsia"/>
        </w:rPr>
        <w:t>根据联合国特别报告员</w:t>
      </w:r>
      <w:r>
        <w:rPr>
          <w:rFonts w:hint="eastAsia"/>
        </w:rPr>
        <w:t>有关</w:t>
      </w:r>
      <w:r w:rsidRPr="00BC16B6">
        <w:rPr>
          <w:rFonts w:hint="eastAsia"/>
        </w:rPr>
        <w:t>采矿的建议（例如人权与环境问题特别报告员关于生物多样性的建议（</w:t>
      </w:r>
      <w:r w:rsidRPr="000817C2">
        <w:rPr>
          <w:rFonts w:ascii="Times New Roman" w:hAnsi="Times New Roman"/>
          <w:bCs/>
          <w:color w:val="000000"/>
          <w:kern w:val="18"/>
          <w:szCs w:val="20"/>
        </w:rPr>
        <w:t>A/HRC/34/49</w:t>
      </w:r>
      <w:r w:rsidRPr="00BC16B6">
        <w:rPr>
          <w:rFonts w:hint="eastAsia"/>
        </w:rPr>
        <w:t>），</w:t>
      </w:r>
      <w:r>
        <w:rPr>
          <w:rFonts w:hint="eastAsia"/>
        </w:rPr>
        <w:t>土著</w:t>
      </w:r>
      <w:r w:rsidRPr="00BC16B6">
        <w:rPr>
          <w:rFonts w:hint="eastAsia"/>
        </w:rPr>
        <w:t>人</w:t>
      </w:r>
      <w:proofErr w:type="gramStart"/>
      <w:r w:rsidRPr="00BC16B6">
        <w:rPr>
          <w:rFonts w:hint="eastAsia"/>
        </w:rPr>
        <w:t>民权利</w:t>
      </w:r>
      <w:proofErr w:type="gramEnd"/>
      <w:r w:rsidRPr="00BC16B6">
        <w:rPr>
          <w:rFonts w:hint="eastAsia"/>
        </w:rPr>
        <w:t>问题特别报告员关于</w:t>
      </w:r>
      <w:r>
        <w:rPr>
          <w:rFonts w:hint="eastAsia"/>
        </w:rPr>
        <w:t>采掘</w:t>
      </w:r>
      <w:r w:rsidRPr="00BC16B6">
        <w:rPr>
          <w:rFonts w:hint="eastAsia"/>
        </w:rPr>
        <w:t>活动</w:t>
      </w:r>
      <w:r>
        <w:rPr>
          <w:rFonts w:hint="eastAsia"/>
        </w:rPr>
        <w:t>的建议（</w:t>
      </w:r>
      <w:r w:rsidRPr="000817C2">
        <w:rPr>
          <w:rFonts w:ascii="Times New Roman" w:hAnsi="Times New Roman"/>
          <w:bCs/>
          <w:color w:val="000000"/>
          <w:kern w:val="18"/>
          <w:szCs w:val="20"/>
        </w:rPr>
        <w:t>A/HRC/24/41</w:t>
      </w:r>
      <w:r>
        <w:rPr>
          <w:rFonts w:ascii="Times New Roman" w:hAnsi="Times New Roman" w:hint="eastAsia"/>
          <w:bCs/>
          <w:color w:val="000000"/>
          <w:kern w:val="18"/>
          <w:szCs w:val="20"/>
        </w:rPr>
        <w:t>）</w:t>
      </w:r>
      <w:r w:rsidRPr="00BC16B6">
        <w:rPr>
          <w:rFonts w:hint="eastAsia"/>
        </w:rPr>
        <w:t>）。</w:t>
      </w:r>
    </w:p>
  </w:footnote>
  <w:footnote w:id="36">
    <w:p w14:paraId="5DC9D493" w14:textId="77777777" w:rsidR="00CA5D52" w:rsidRDefault="00CA5D52" w:rsidP="0097260A">
      <w:pPr>
        <w:pStyle w:val="FootnoteText"/>
        <w:ind w:firstLine="0"/>
        <w:jc w:val="left"/>
      </w:pPr>
      <w:r w:rsidRPr="0097260A">
        <w:rPr>
          <w:rStyle w:val="FootnoteReference"/>
          <w:sz w:val="20"/>
          <w:szCs w:val="20"/>
        </w:rPr>
        <w:footnoteRef/>
      </w:r>
      <w:r>
        <w:t xml:space="preserve"> </w:t>
      </w:r>
      <w:r w:rsidRPr="00DD0B46">
        <w:rPr>
          <w:rFonts w:hint="eastAsia"/>
        </w:rPr>
        <w:t>全球生物多样性信息</w:t>
      </w:r>
      <w:r>
        <w:rPr>
          <w:rFonts w:hint="eastAsia"/>
        </w:rPr>
        <w:t>机制</w:t>
      </w:r>
      <w:r w:rsidRPr="00DD0B46">
        <w:rPr>
          <w:rFonts w:hint="eastAsia"/>
        </w:rPr>
        <w:t>（无日期），</w:t>
      </w:r>
      <w:r w:rsidRPr="00DD0B46">
        <w:rPr>
          <w:rFonts w:ascii="KaiTi" w:eastAsia="KaiTi" w:hAnsi="KaiTi" w:hint="eastAsia"/>
        </w:rPr>
        <w:t>什么是达尔文核心，为什么它很重要</w:t>
      </w:r>
      <w:r w:rsidRPr="00DD0B46">
        <w:rPr>
          <w:rFonts w:hint="eastAsia"/>
        </w:rPr>
        <w:t>？[在线]</w:t>
      </w:r>
      <w:r>
        <w:rPr>
          <w:rFonts w:hint="eastAsia"/>
        </w:rPr>
        <w:t>可查阅：</w:t>
      </w:r>
      <w:hyperlink r:id="rId27" w:history="1">
        <w:r w:rsidRPr="00DD0B46">
          <w:rPr>
            <w:rStyle w:val="Hyperlink"/>
            <w:rFonts w:ascii="Times New Roman" w:hAnsi="Times New Roman"/>
            <w:kern w:val="18"/>
            <w:szCs w:val="18"/>
          </w:rPr>
          <w:t>https://www.gbif.org/darwin-core</w:t>
        </w:r>
      </w:hyperlink>
      <w:r w:rsidRPr="00C64F18">
        <w:rPr>
          <w:kern w:val="18"/>
          <w:szCs w:val="18"/>
        </w:rPr>
        <w:t xml:space="preserve"> </w:t>
      </w:r>
      <w:r>
        <w:t>[</w:t>
      </w:r>
      <w:r w:rsidRPr="00DD0B46">
        <w:rPr>
          <w:rFonts w:hint="eastAsia"/>
        </w:rPr>
        <w:t>2018年4</w:t>
      </w:r>
      <w:proofErr w:type="gramStart"/>
      <w:r w:rsidRPr="00DD0B46">
        <w:rPr>
          <w:rFonts w:hint="eastAsia"/>
        </w:rPr>
        <w:t>月</w:t>
      </w:r>
      <w:r>
        <w:rPr>
          <w:rFonts w:hint="eastAsia"/>
        </w:rPr>
        <w:t>访问]。</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47615" w14:textId="77777777" w:rsidR="00CA5D52" w:rsidRDefault="00CA5D52" w:rsidP="00B66243">
    <w:r>
      <w:t>CBD/</w:t>
    </w:r>
    <w:r>
      <w:rPr>
        <w:rFonts w:eastAsia="Univers"/>
        <w:noProof/>
        <w:kern w:val="22"/>
      </w:rPr>
      <w:t>SBI/2/4/Add.3</w:t>
    </w:r>
  </w:p>
  <w:p w14:paraId="77D2D36D" w14:textId="77777777" w:rsidR="00CA5D52" w:rsidRDefault="00CA5D52">
    <w:pPr>
      <w:jc w:val="left"/>
      <w:rPr>
        <w:lang w:val="en-US"/>
      </w:rPr>
    </w:pPr>
    <w:r>
      <w:t xml:space="preserve">Page </w:t>
    </w:r>
    <w:r>
      <w:fldChar w:fldCharType="begin"/>
    </w:r>
    <w:r>
      <w:instrText xml:space="preserve"> PAGE </w:instrText>
    </w:r>
    <w:r>
      <w:fldChar w:fldCharType="separate"/>
    </w:r>
    <w:r>
      <w:rPr>
        <w:noProof/>
      </w:rPr>
      <w:t>2</w:t>
    </w:r>
    <w:r>
      <w:fldChar w:fldCharType="end"/>
    </w:r>
    <w:r>
      <w:rPr>
        <w:rFonts w:hint="eastAsia"/>
        <w:lang w:val="en-US"/>
      </w:rPr>
      <w:t xml:space="preserve"> </w:t>
    </w:r>
  </w:p>
  <w:p w14:paraId="6E05E798" w14:textId="77777777" w:rsidR="00CA5D52" w:rsidRDefault="00CA5D52">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753D9" w14:textId="77777777" w:rsidR="00CA5D52" w:rsidRDefault="00CA5D52" w:rsidP="00B66243">
    <w:pPr>
      <w:jc w:val="right"/>
    </w:pPr>
    <w:r>
      <w:t>CBD/</w:t>
    </w:r>
    <w:r>
      <w:rPr>
        <w:rFonts w:eastAsia="Univers"/>
        <w:noProof/>
        <w:kern w:val="22"/>
      </w:rPr>
      <w:t>SBI/2/4/Add.3</w:t>
    </w:r>
  </w:p>
  <w:p w14:paraId="7D688A2A" w14:textId="77777777" w:rsidR="00CA5D52" w:rsidRDefault="00CA5D52" w:rsidP="00110CED">
    <w:pPr>
      <w:jc w:val="right"/>
      <w:rPr>
        <w:lang w:val="en-US"/>
      </w:rPr>
    </w:pPr>
    <w:r>
      <w:t xml:space="preserve">Page </w:t>
    </w:r>
    <w:r>
      <w:fldChar w:fldCharType="begin"/>
    </w:r>
    <w:r>
      <w:instrText xml:space="preserve"> PAGE </w:instrText>
    </w:r>
    <w:r>
      <w:fldChar w:fldCharType="separate"/>
    </w:r>
    <w:r>
      <w:rPr>
        <w:noProof/>
      </w:rPr>
      <w:t>3</w:t>
    </w:r>
    <w:r>
      <w:fldChar w:fldCharType="end"/>
    </w:r>
    <w:r>
      <w:rPr>
        <w:rFonts w:hint="eastAsia"/>
        <w:lang w:val="en-US"/>
      </w:rPr>
      <w:t xml:space="preserve"> </w:t>
    </w:r>
  </w:p>
  <w:p w14:paraId="2E896166" w14:textId="77777777" w:rsidR="00CA5D52" w:rsidRDefault="00CA5D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C8150D"/>
    <w:multiLevelType w:val="hybridMultilevel"/>
    <w:tmpl w:val="8A86A1C2"/>
    <w:lvl w:ilvl="0" w:tplc="CAB40D4C">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67DE7"/>
    <w:multiLevelType w:val="hybridMultilevel"/>
    <w:tmpl w:val="B7DAC418"/>
    <w:lvl w:ilvl="0" w:tplc="579C6FD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C60EC"/>
    <w:multiLevelType w:val="hybridMultilevel"/>
    <w:tmpl w:val="7BCCE87A"/>
    <w:lvl w:ilvl="0" w:tplc="1F463A5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7" w15:restartNumberingAfterBreak="0">
    <w:nsid w:val="24C97EC5"/>
    <w:multiLevelType w:val="hybridMultilevel"/>
    <w:tmpl w:val="A27AB916"/>
    <w:lvl w:ilvl="0" w:tplc="5ACCC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226B5"/>
    <w:multiLevelType w:val="hybridMultilevel"/>
    <w:tmpl w:val="093A4BAC"/>
    <w:lvl w:ilvl="0" w:tplc="6ABE5E4C">
      <w:start w:val="1"/>
      <w:numFmt w:val="lowerLetter"/>
      <w:lvlText w:val="（%1）"/>
      <w:lvlJc w:val="left"/>
      <w:pPr>
        <w:ind w:left="1080" w:hanging="360"/>
      </w:pPr>
      <w:rPr>
        <w:rFonts w:hint="default"/>
        <w:lang w:val="en-G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954361"/>
    <w:multiLevelType w:val="hybridMultilevel"/>
    <w:tmpl w:val="66649AC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31ACD"/>
    <w:multiLevelType w:val="hybridMultilevel"/>
    <w:tmpl w:val="CBF294AC"/>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D2981"/>
    <w:multiLevelType w:val="hybridMultilevel"/>
    <w:tmpl w:val="F8187B54"/>
    <w:lvl w:ilvl="0" w:tplc="579C6F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9" w15:restartNumberingAfterBreak="0">
    <w:nsid w:val="3CF828B1"/>
    <w:multiLevelType w:val="hybridMultilevel"/>
    <w:tmpl w:val="9078D222"/>
    <w:lvl w:ilvl="0" w:tplc="579C6F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41E5533"/>
    <w:multiLevelType w:val="multilevel"/>
    <w:tmpl w:val="80EA1988"/>
    <w:lvl w:ilvl="0">
      <w:start w:val="67"/>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7"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D6686E"/>
    <w:multiLevelType w:val="multilevel"/>
    <w:tmpl w:val="43FCA152"/>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9"/>
  </w:num>
  <w:num w:numId="2">
    <w:abstractNumId w:val="13"/>
  </w:num>
  <w:num w:numId="3">
    <w:abstractNumId w:val="18"/>
  </w:num>
  <w:num w:numId="4">
    <w:abstractNumId w:val="10"/>
  </w:num>
  <w:num w:numId="5">
    <w:abstractNumId w:val="17"/>
  </w:num>
  <w:num w:numId="6">
    <w:abstractNumId w:val="23"/>
  </w:num>
  <w:num w:numId="7">
    <w:abstractNumId w:val="6"/>
  </w:num>
  <w:num w:numId="8">
    <w:abstractNumId w:val="14"/>
  </w:num>
  <w:num w:numId="9">
    <w:abstractNumId w:val="21"/>
  </w:num>
  <w:num w:numId="10">
    <w:abstractNumId w:val="0"/>
  </w:num>
  <w:num w:numId="11">
    <w:abstractNumId w:val="24"/>
  </w:num>
  <w:num w:numId="12">
    <w:abstractNumId w:val="25"/>
  </w:num>
  <w:num w:numId="13">
    <w:abstractNumId w:val="29"/>
  </w:num>
  <w:num w:numId="14">
    <w:abstractNumId w:val="5"/>
  </w:num>
  <w:num w:numId="15">
    <w:abstractNumId w:val="28"/>
  </w:num>
  <w:num w:numId="16">
    <w:abstractNumId w:val="26"/>
  </w:num>
  <w:num w:numId="17">
    <w:abstractNumId w:val="3"/>
  </w:num>
  <w:num w:numId="18">
    <w:abstractNumId w:val="22"/>
  </w:num>
  <w:num w:numId="19">
    <w:abstractNumId w:val="15"/>
  </w:num>
  <w:num w:numId="20">
    <w:abstractNumId w:val="20"/>
  </w:num>
  <w:num w:numId="21">
    <w:abstractNumId w:val="27"/>
  </w:num>
  <w:num w:numId="22">
    <w:abstractNumId w:val="4"/>
  </w:num>
  <w:num w:numId="23">
    <w:abstractNumId w:val="1"/>
  </w:num>
  <w:num w:numId="24">
    <w:abstractNumId w:val="8"/>
  </w:num>
  <w:num w:numId="25">
    <w:abstractNumId w:val="7"/>
  </w:num>
  <w:num w:numId="26">
    <w:abstractNumId w:val="2"/>
  </w:num>
  <w:num w:numId="27">
    <w:abstractNumId w:val="16"/>
  </w:num>
  <w:num w:numId="28">
    <w:abstractNumId w:val="12"/>
  </w:num>
  <w:num w:numId="29">
    <w:abstractNumId w:val="19"/>
  </w:num>
  <w:num w:numId="30">
    <w:abstractNumId w:val="11"/>
  </w:num>
  <w:num w:numId="31">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EB"/>
    <w:rsid w:val="00006321"/>
    <w:rsid w:val="00010069"/>
    <w:rsid w:val="0001009A"/>
    <w:rsid w:val="00017E3C"/>
    <w:rsid w:val="000278B5"/>
    <w:rsid w:val="00050C5F"/>
    <w:rsid w:val="000513F0"/>
    <w:rsid w:val="000519DB"/>
    <w:rsid w:val="00063CB1"/>
    <w:rsid w:val="0006595C"/>
    <w:rsid w:val="00066B58"/>
    <w:rsid w:val="000710B0"/>
    <w:rsid w:val="000722DA"/>
    <w:rsid w:val="000805C4"/>
    <w:rsid w:val="00083FF6"/>
    <w:rsid w:val="00084F2F"/>
    <w:rsid w:val="000953DA"/>
    <w:rsid w:val="000A16A1"/>
    <w:rsid w:val="000A1C7E"/>
    <w:rsid w:val="000A1FEA"/>
    <w:rsid w:val="000A261D"/>
    <w:rsid w:val="000B4012"/>
    <w:rsid w:val="000C04CE"/>
    <w:rsid w:val="000C321F"/>
    <w:rsid w:val="000C5899"/>
    <w:rsid w:val="000D0F7D"/>
    <w:rsid w:val="000D1EFC"/>
    <w:rsid w:val="000E549B"/>
    <w:rsid w:val="000E5FFA"/>
    <w:rsid w:val="000F4618"/>
    <w:rsid w:val="00104073"/>
    <w:rsid w:val="00104F94"/>
    <w:rsid w:val="00110CED"/>
    <w:rsid w:val="00111834"/>
    <w:rsid w:val="001129A4"/>
    <w:rsid w:val="00112B17"/>
    <w:rsid w:val="00122758"/>
    <w:rsid w:val="0013257B"/>
    <w:rsid w:val="00135CF2"/>
    <w:rsid w:val="001437F0"/>
    <w:rsid w:val="00177EB8"/>
    <w:rsid w:val="0018349B"/>
    <w:rsid w:val="0019663B"/>
    <w:rsid w:val="001A5EA6"/>
    <w:rsid w:val="001A668D"/>
    <w:rsid w:val="001B38FD"/>
    <w:rsid w:val="001C172A"/>
    <w:rsid w:val="001C3F68"/>
    <w:rsid w:val="001C51BF"/>
    <w:rsid w:val="001D2A37"/>
    <w:rsid w:val="001D3946"/>
    <w:rsid w:val="001D73C1"/>
    <w:rsid w:val="001F4F0E"/>
    <w:rsid w:val="001F6A46"/>
    <w:rsid w:val="00200868"/>
    <w:rsid w:val="00201EB1"/>
    <w:rsid w:val="002141CE"/>
    <w:rsid w:val="00215694"/>
    <w:rsid w:val="00224A48"/>
    <w:rsid w:val="00224BAC"/>
    <w:rsid w:val="00226AAF"/>
    <w:rsid w:val="002474AE"/>
    <w:rsid w:val="0024793B"/>
    <w:rsid w:val="00247F06"/>
    <w:rsid w:val="00251053"/>
    <w:rsid w:val="002547EA"/>
    <w:rsid w:val="002623E1"/>
    <w:rsid w:val="00263E9F"/>
    <w:rsid w:val="002674B3"/>
    <w:rsid w:val="002678D2"/>
    <w:rsid w:val="00297FDD"/>
    <w:rsid w:val="002B00D3"/>
    <w:rsid w:val="002B0C69"/>
    <w:rsid w:val="002B0CBD"/>
    <w:rsid w:val="002B3E4D"/>
    <w:rsid w:val="002B5F87"/>
    <w:rsid w:val="002C2FEA"/>
    <w:rsid w:val="002E3DD7"/>
    <w:rsid w:val="002F099A"/>
    <w:rsid w:val="002F3AEE"/>
    <w:rsid w:val="002F7EE2"/>
    <w:rsid w:val="003032D5"/>
    <w:rsid w:val="00312E89"/>
    <w:rsid w:val="00326F6B"/>
    <w:rsid w:val="00334005"/>
    <w:rsid w:val="00355F2C"/>
    <w:rsid w:val="00362FC3"/>
    <w:rsid w:val="003655D4"/>
    <w:rsid w:val="003818DF"/>
    <w:rsid w:val="00383ACF"/>
    <w:rsid w:val="0038663D"/>
    <w:rsid w:val="00392EA2"/>
    <w:rsid w:val="00394B62"/>
    <w:rsid w:val="00397B8B"/>
    <w:rsid w:val="003A0650"/>
    <w:rsid w:val="003A513C"/>
    <w:rsid w:val="003A5B23"/>
    <w:rsid w:val="003B1E47"/>
    <w:rsid w:val="003B7C49"/>
    <w:rsid w:val="003E4587"/>
    <w:rsid w:val="003E5AD1"/>
    <w:rsid w:val="003E71AB"/>
    <w:rsid w:val="003F692A"/>
    <w:rsid w:val="004030E0"/>
    <w:rsid w:val="004058E9"/>
    <w:rsid w:val="00406535"/>
    <w:rsid w:val="00414DC1"/>
    <w:rsid w:val="00415DED"/>
    <w:rsid w:val="00420B0D"/>
    <w:rsid w:val="00422EAC"/>
    <w:rsid w:val="004306DB"/>
    <w:rsid w:val="0043210C"/>
    <w:rsid w:val="00436C20"/>
    <w:rsid w:val="00440DCE"/>
    <w:rsid w:val="00454A8A"/>
    <w:rsid w:val="00460946"/>
    <w:rsid w:val="0046251A"/>
    <w:rsid w:val="00464BC3"/>
    <w:rsid w:val="004802BF"/>
    <w:rsid w:val="00480536"/>
    <w:rsid w:val="00497321"/>
    <w:rsid w:val="004A4ED6"/>
    <w:rsid w:val="004A7523"/>
    <w:rsid w:val="004D0C53"/>
    <w:rsid w:val="004D5CED"/>
    <w:rsid w:val="004E0B06"/>
    <w:rsid w:val="004E2B4E"/>
    <w:rsid w:val="0050398E"/>
    <w:rsid w:val="00514379"/>
    <w:rsid w:val="00515E0F"/>
    <w:rsid w:val="00524E39"/>
    <w:rsid w:val="00545F6F"/>
    <w:rsid w:val="0055284E"/>
    <w:rsid w:val="00566964"/>
    <w:rsid w:val="00581DE5"/>
    <w:rsid w:val="00590D7E"/>
    <w:rsid w:val="00594F27"/>
    <w:rsid w:val="005963BF"/>
    <w:rsid w:val="005A15CC"/>
    <w:rsid w:val="005A1B4F"/>
    <w:rsid w:val="005A2612"/>
    <w:rsid w:val="005A2E57"/>
    <w:rsid w:val="005A3EB6"/>
    <w:rsid w:val="005B09D3"/>
    <w:rsid w:val="005B3EFF"/>
    <w:rsid w:val="005C5493"/>
    <w:rsid w:val="005D4183"/>
    <w:rsid w:val="005D7ED0"/>
    <w:rsid w:val="005E0683"/>
    <w:rsid w:val="005F2962"/>
    <w:rsid w:val="005F399C"/>
    <w:rsid w:val="00600CAE"/>
    <w:rsid w:val="006077F9"/>
    <w:rsid w:val="00661673"/>
    <w:rsid w:val="00674A85"/>
    <w:rsid w:val="00685DE2"/>
    <w:rsid w:val="006B2ADF"/>
    <w:rsid w:val="006C1B59"/>
    <w:rsid w:val="006C2DC9"/>
    <w:rsid w:val="006D1623"/>
    <w:rsid w:val="006D26D7"/>
    <w:rsid w:val="006D794F"/>
    <w:rsid w:val="006D7F1F"/>
    <w:rsid w:val="006E0E30"/>
    <w:rsid w:val="006E43FE"/>
    <w:rsid w:val="006E603F"/>
    <w:rsid w:val="006F74DC"/>
    <w:rsid w:val="006F7865"/>
    <w:rsid w:val="007014F5"/>
    <w:rsid w:val="007044BA"/>
    <w:rsid w:val="007077C9"/>
    <w:rsid w:val="00710E91"/>
    <w:rsid w:val="00714BEA"/>
    <w:rsid w:val="0071620A"/>
    <w:rsid w:val="00721DB3"/>
    <w:rsid w:val="00725AC7"/>
    <w:rsid w:val="00736F80"/>
    <w:rsid w:val="00751680"/>
    <w:rsid w:val="007525F8"/>
    <w:rsid w:val="00754EA5"/>
    <w:rsid w:val="00772254"/>
    <w:rsid w:val="0077708F"/>
    <w:rsid w:val="00780C54"/>
    <w:rsid w:val="0078499D"/>
    <w:rsid w:val="00795C1A"/>
    <w:rsid w:val="00797362"/>
    <w:rsid w:val="007C2062"/>
    <w:rsid w:val="007C443A"/>
    <w:rsid w:val="007E4A98"/>
    <w:rsid w:val="007E5FEB"/>
    <w:rsid w:val="007F4B67"/>
    <w:rsid w:val="007F5D8A"/>
    <w:rsid w:val="00800034"/>
    <w:rsid w:val="008033F9"/>
    <w:rsid w:val="0081669C"/>
    <w:rsid w:val="00830B68"/>
    <w:rsid w:val="0084008A"/>
    <w:rsid w:val="0084091D"/>
    <w:rsid w:val="00840F08"/>
    <w:rsid w:val="00844240"/>
    <w:rsid w:val="0084659F"/>
    <w:rsid w:val="00851DCE"/>
    <w:rsid w:val="00857FC2"/>
    <w:rsid w:val="00860BA5"/>
    <w:rsid w:val="008661BC"/>
    <w:rsid w:val="00874582"/>
    <w:rsid w:val="00875CB0"/>
    <w:rsid w:val="00877047"/>
    <w:rsid w:val="00877C4A"/>
    <w:rsid w:val="00883CEB"/>
    <w:rsid w:val="008921DD"/>
    <w:rsid w:val="00894FF1"/>
    <w:rsid w:val="008B3F5A"/>
    <w:rsid w:val="008B641D"/>
    <w:rsid w:val="008C048C"/>
    <w:rsid w:val="008C72D7"/>
    <w:rsid w:val="008D1EFE"/>
    <w:rsid w:val="008E5F9B"/>
    <w:rsid w:val="008F21E5"/>
    <w:rsid w:val="008F2344"/>
    <w:rsid w:val="008F3D19"/>
    <w:rsid w:val="008F6BD9"/>
    <w:rsid w:val="009424C5"/>
    <w:rsid w:val="009428C0"/>
    <w:rsid w:val="00942A3F"/>
    <w:rsid w:val="00953766"/>
    <w:rsid w:val="009563F7"/>
    <w:rsid w:val="0097260A"/>
    <w:rsid w:val="00973D5A"/>
    <w:rsid w:val="0097544E"/>
    <w:rsid w:val="00981367"/>
    <w:rsid w:val="00995A41"/>
    <w:rsid w:val="009A25B9"/>
    <w:rsid w:val="009B49FE"/>
    <w:rsid w:val="009B4F86"/>
    <w:rsid w:val="009C2984"/>
    <w:rsid w:val="009C508C"/>
    <w:rsid w:val="009D2ECD"/>
    <w:rsid w:val="009E01F1"/>
    <w:rsid w:val="009E5ACA"/>
    <w:rsid w:val="009E6CE5"/>
    <w:rsid w:val="009F0139"/>
    <w:rsid w:val="009F32D2"/>
    <w:rsid w:val="00A03647"/>
    <w:rsid w:val="00A05999"/>
    <w:rsid w:val="00A07294"/>
    <w:rsid w:val="00A10E5D"/>
    <w:rsid w:val="00A11624"/>
    <w:rsid w:val="00A205F9"/>
    <w:rsid w:val="00A21E21"/>
    <w:rsid w:val="00A32FA6"/>
    <w:rsid w:val="00A45630"/>
    <w:rsid w:val="00A51A7F"/>
    <w:rsid w:val="00A65DCE"/>
    <w:rsid w:val="00A676CF"/>
    <w:rsid w:val="00A746CA"/>
    <w:rsid w:val="00A77E20"/>
    <w:rsid w:val="00A92B0E"/>
    <w:rsid w:val="00A9409A"/>
    <w:rsid w:val="00A94C1F"/>
    <w:rsid w:val="00AA1624"/>
    <w:rsid w:val="00AA281D"/>
    <w:rsid w:val="00AB25FA"/>
    <w:rsid w:val="00AC3797"/>
    <w:rsid w:val="00AC3E62"/>
    <w:rsid w:val="00AD0AC8"/>
    <w:rsid w:val="00AF2FF7"/>
    <w:rsid w:val="00AF7F4E"/>
    <w:rsid w:val="00B107DE"/>
    <w:rsid w:val="00B21C04"/>
    <w:rsid w:val="00B23AE0"/>
    <w:rsid w:val="00B26891"/>
    <w:rsid w:val="00B30A01"/>
    <w:rsid w:val="00B45B0F"/>
    <w:rsid w:val="00B47F11"/>
    <w:rsid w:val="00B50017"/>
    <w:rsid w:val="00B52A50"/>
    <w:rsid w:val="00B5417A"/>
    <w:rsid w:val="00B54EF9"/>
    <w:rsid w:val="00B60FA8"/>
    <w:rsid w:val="00B65A94"/>
    <w:rsid w:val="00B66243"/>
    <w:rsid w:val="00B752AE"/>
    <w:rsid w:val="00B76265"/>
    <w:rsid w:val="00B81B73"/>
    <w:rsid w:val="00B8531F"/>
    <w:rsid w:val="00B87258"/>
    <w:rsid w:val="00B9661F"/>
    <w:rsid w:val="00BA0147"/>
    <w:rsid w:val="00BA6030"/>
    <w:rsid w:val="00BA6F22"/>
    <w:rsid w:val="00BB476C"/>
    <w:rsid w:val="00BC2F89"/>
    <w:rsid w:val="00BC7630"/>
    <w:rsid w:val="00BE35C0"/>
    <w:rsid w:val="00BF4E7A"/>
    <w:rsid w:val="00C022B0"/>
    <w:rsid w:val="00C10FDB"/>
    <w:rsid w:val="00C1197C"/>
    <w:rsid w:val="00C20C15"/>
    <w:rsid w:val="00C21F03"/>
    <w:rsid w:val="00C23DFA"/>
    <w:rsid w:val="00C45349"/>
    <w:rsid w:val="00C52E84"/>
    <w:rsid w:val="00C616C2"/>
    <w:rsid w:val="00C67993"/>
    <w:rsid w:val="00C70ACE"/>
    <w:rsid w:val="00C77747"/>
    <w:rsid w:val="00C92962"/>
    <w:rsid w:val="00C95591"/>
    <w:rsid w:val="00C96CEB"/>
    <w:rsid w:val="00C96D91"/>
    <w:rsid w:val="00CA04E5"/>
    <w:rsid w:val="00CA2724"/>
    <w:rsid w:val="00CA5D52"/>
    <w:rsid w:val="00CB01D6"/>
    <w:rsid w:val="00CB29BD"/>
    <w:rsid w:val="00CC0176"/>
    <w:rsid w:val="00CC601B"/>
    <w:rsid w:val="00CF1A4E"/>
    <w:rsid w:val="00CF5CCD"/>
    <w:rsid w:val="00D12CCF"/>
    <w:rsid w:val="00D1442B"/>
    <w:rsid w:val="00D26BEE"/>
    <w:rsid w:val="00D40607"/>
    <w:rsid w:val="00D40B64"/>
    <w:rsid w:val="00D411E7"/>
    <w:rsid w:val="00D77776"/>
    <w:rsid w:val="00D829CD"/>
    <w:rsid w:val="00DA02CB"/>
    <w:rsid w:val="00DA394A"/>
    <w:rsid w:val="00DB09F8"/>
    <w:rsid w:val="00DB41C5"/>
    <w:rsid w:val="00DC4B97"/>
    <w:rsid w:val="00DF44B7"/>
    <w:rsid w:val="00DF4D0D"/>
    <w:rsid w:val="00E156AB"/>
    <w:rsid w:val="00E15C28"/>
    <w:rsid w:val="00E21BBA"/>
    <w:rsid w:val="00E2631B"/>
    <w:rsid w:val="00E31F10"/>
    <w:rsid w:val="00E31FCB"/>
    <w:rsid w:val="00E375FD"/>
    <w:rsid w:val="00E4454E"/>
    <w:rsid w:val="00E45EF5"/>
    <w:rsid w:val="00E52D92"/>
    <w:rsid w:val="00E53476"/>
    <w:rsid w:val="00E55663"/>
    <w:rsid w:val="00E56107"/>
    <w:rsid w:val="00E86D8D"/>
    <w:rsid w:val="00E93041"/>
    <w:rsid w:val="00E94773"/>
    <w:rsid w:val="00EB0CBE"/>
    <w:rsid w:val="00EC292B"/>
    <w:rsid w:val="00EC62AD"/>
    <w:rsid w:val="00EC64BC"/>
    <w:rsid w:val="00EC7D7D"/>
    <w:rsid w:val="00ED27AE"/>
    <w:rsid w:val="00ED7F54"/>
    <w:rsid w:val="00EE676F"/>
    <w:rsid w:val="00EF2AF7"/>
    <w:rsid w:val="00F03365"/>
    <w:rsid w:val="00F15648"/>
    <w:rsid w:val="00F20597"/>
    <w:rsid w:val="00F225E0"/>
    <w:rsid w:val="00F275FA"/>
    <w:rsid w:val="00F40F77"/>
    <w:rsid w:val="00F5532B"/>
    <w:rsid w:val="00F608B1"/>
    <w:rsid w:val="00F61C32"/>
    <w:rsid w:val="00F66CDF"/>
    <w:rsid w:val="00F67C30"/>
    <w:rsid w:val="00F80CC6"/>
    <w:rsid w:val="00F82042"/>
    <w:rsid w:val="00F94A12"/>
    <w:rsid w:val="00F9665A"/>
    <w:rsid w:val="00FB06A1"/>
    <w:rsid w:val="00FB344E"/>
    <w:rsid w:val="00FC45BD"/>
    <w:rsid w:val="00FD1FB8"/>
    <w:rsid w:val="00FD3302"/>
    <w:rsid w:val="00FE003C"/>
    <w:rsid w:val="00FF1A5E"/>
    <w:rsid w:val="00FF4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D13DD"/>
  <w15:chartTrackingRefBased/>
  <w15:docId w15:val="{CF0814AA-B040-4779-94C5-586767C2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01D6"/>
    <w:pPr>
      <w:jc w:val="both"/>
    </w:pPr>
    <w:rPr>
      <w:sz w:val="24"/>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rFonts w:eastAsia="SimHei"/>
      <w:kern w:val="24"/>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kern w:val="24"/>
    </w:rPr>
  </w:style>
  <w:style w:type="paragraph" w:styleId="Heading3">
    <w:name w:val="heading 3"/>
    <w:basedOn w:val="Normal"/>
    <w:next w:val="Normal"/>
    <w:link w:val="Heading3Char"/>
    <w:qFormat/>
    <w:pPr>
      <w:keepNext/>
      <w:tabs>
        <w:tab w:val="left" w:leader="dot" w:pos="567"/>
      </w:tabs>
      <w:spacing w:before="120" w:after="120"/>
      <w:jc w:val="center"/>
      <w:outlineLvl w:val="2"/>
    </w:pPr>
    <w:rPr>
      <w:iCs/>
      <w:u w:val="single"/>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link w:val="Heading5Char"/>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B01D6"/>
    <w:pPr>
      <w:keepLines/>
      <w:spacing w:after="60"/>
      <w:ind w:firstLine="720"/>
    </w:pPr>
    <w:rPr>
      <w:rFonts w:ascii="SimSun" w:hAnsi="SimSun"/>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CB01D6"/>
    <w:rPr>
      <w:rFonts w:ascii="SimSun" w:hAnsi="SimSun"/>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link w:val="BodyTextChar"/>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link w:val="CommentTextChar"/>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link w:val="BodyText2Char"/>
    <w:pPr>
      <w:spacing w:before="120" w:after="120" w:line="240" w:lineRule="atLeast"/>
    </w:pPr>
    <w:rPr>
      <w:b/>
      <w:bCs/>
      <w:lang w:val="en-US"/>
    </w:rPr>
  </w:style>
  <w:style w:type="paragraph" w:styleId="BalloonText">
    <w:name w:val="Balloon Text"/>
    <w:basedOn w:val="Normal"/>
    <w:link w:val="BalloonTextChar"/>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rPr>
      <w:lang w:eastAsia="x-none"/>
    </w:r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customStyle="1" w:styleId="meetingname">
    <w:name w:val="meeting name"/>
    <w:basedOn w:val="Normal"/>
    <w:qFormat/>
    <w:rsid w:val="00135CF2"/>
    <w:pPr>
      <w:ind w:left="170" w:right="3119" w:hanging="170"/>
      <w:jc w:val="left"/>
    </w:pPr>
    <w:rPr>
      <w:rFonts w:eastAsia="Malgun Gothic"/>
      <w:caps/>
      <w:snapToGrid w:val="0"/>
      <w:sz w:val="22"/>
      <w:lang w:eastAsia="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CB01D6"/>
    <w:rPr>
      <w:rFonts w:ascii="SimSun" w:hAnsi="SimSun"/>
      <w:szCs w:val="24"/>
      <w:lang w:val="en-GB"/>
    </w:rPr>
  </w:style>
  <w:style w:type="character" w:customStyle="1" w:styleId="Para1Char">
    <w:name w:val="Para1 Char"/>
    <w:link w:val="Para1"/>
    <w:locked/>
    <w:rsid w:val="00B60FA8"/>
    <w:rPr>
      <w:sz w:val="22"/>
      <w:szCs w:val="22"/>
      <w:lang w:val="en-GB" w:eastAsia="en-US"/>
    </w:rPr>
  </w:style>
  <w:style w:type="character" w:customStyle="1" w:styleId="Hyperlink2">
    <w:name w:val="Hyperlink.2"/>
    <w:basedOn w:val="DefaultParagraphFont"/>
    <w:rsid w:val="00B60FA8"/>
    <w:rPr>
      <w:color w:val="0000FF"/>
      <w:sz w:val="16"/>
      <w:szCs w:val="16"/>
      <w:u w:val="single" w:color="0000FF"/>
    </w:rPr>
  </w:style>
  <w:style w:type="paragraph" w:customStyle="1" w:styleId="opspfanyilinetwo">
    <w:name w:val="op_sp_fanyi_line_two"/>
    <w:basedOn w:val="Normal"/>
    <w:rsid w:val="009F0139"/>
    <w:pPr>
      <w:spacing w:before="100" w:beforeAutospacing="1" w:after="100" w:afterAutospacing="1"/>
      <w:jc w:val="left"/>
    </w:pPr>
    <w:rPr>
      <w:rFonts w:eastAsia="Times New Roman"/>
      <w:lang w:val="en-US"/>
    </w:rPr>
  </w:style>
  <w:style w:type="character" w:customStyle="1" w:styleId="Heading1Char">
    <w:name w:val="Heading 1 Char"/>
    <w:link w:val="Heading1"/>
    <w:rsid w:val="00CB01D6"/>
    <w:rPr>
      <w:rFonts w:eastAsia="SimHei"/>
      <w:kern w:val="24"/>
      <w:sz w:val="24"/>
      <w:szCs w:val="24"/>
      <w:lang w:val="en-GB"/>
    </w:rPr>
  </w:style>
  <w:style w:type="character" w:customStyle="1" w:styleId="Heading2Char">
    <w:name w:val="Heading 2 Char"/>
    <w:link w:val="Heading2"/>
    <w:rsid w:val="00CB01D6"/>
    <w:rPr>
      <w:b/>
      <w:bCs/>
      <w:i/>
      <w:iCs/>
      <w:kern w:val="24"/>
      <w:sz w:val="24"/>
      <w:szCs w:val="24"/>
      <w:lang w:val="en-GB"/>
    </w:rPr>
  </w:style>
  <w:style w:type="character" w:customStyle="1" w:styleId="Heading3Char">
    <w:name w:val="Heading 3 Char"/>
    <w:link w:val="Heading3"/>
    <w:rsid w:val="00CB01D6"/>
    <w:rPr>
      <w:iCs/>
      <w:sz w:val="24"/>
      <w:szCs w:val="24"/>
      <w:u w:val="single"/>
      <w:lang w:val="en-GB"/>
    </w:rPr>
  </w:style>
  <w:style w:type="character" w:customStyle="1" w:styleId="Heading4Char">
    <w:name w:val="Heading 4 Char"/>
    <w:link w:val="Heading4"/>
    <w:rsid w:val="00CB01D6"/>
    <w:rPr>
      <w:rFonts w:ascii="Times New Roman Bold" w:eastAsia="Arial Unicode MS" w:hAnsi="Times New Roman Bold" w:cs="Arial"/>
      <w:b/>
      <w:bCs/>
      <w:i/>
      <w:iCs/>
      <w:sz w:val="24"/>
      <w:szCs w:val="24"/>
      <w:lang w:val="en-GB"/>
    </w:rPr>
  </w:style>
  <w:style w:type="character" w:customStyle="1" w:styleId="Heading5Char">
    <w:name w:val="Heading 5 Char"/>
    <w:link w:val="Heading5"/>
    <w:rsid w:val="00CB01D6"/>
    <w:rPr>
      <w:bCs/>
      <w:i/>
      <w:sz w:val="24"/>
      <w:szCs w:val="26"/>
      <w:lang w:val="en-CA"/>
    </w:rPr>
  </w:style>
  <w:style w:type="character" w:customStyle="1" w:styleId="Heading6Char">
    <w:name w:val="Heading 6 Char"/>
    <w:link w:val="Heading6"/>
    <w:rsid w:val="00CB01D6"/>
    <w:rPr>
      <w:sz w:val="24"/>
      <w:szCs w:val="24"/>
      <w:u w:val="single"/>
      <w:lang w:val="en-GB"/>
    </w:rPr>
  </w:style>
  <w:style w:type="character" w:customStyle="1" w:styleId="Heading7Char">
    <w:name w:val="Heading 7 Char"/>
    <w:link w:val="Heading7"/>
    <w:rsid w:val="00CB01D6"/>
    <w:rPr>
      <w:rFonts w:ascii="Univers" w:hAnsi="Univers"/>
      <w:b/>
      <w:sz w:val="28"/>
      <w:szCs w:val="24"/>
      <w:lang w:val="en-GB"/>
    </w:rPr>
  </w:style>
  <w:style w:type="character" w:customStyle="1" w:styleId="Heading8Char">
    <w:name w:val="Heading 8 Char"/>
    <w:link w:val="Heading8"/>
    <w:rsid w:val="00CB01D6"/>
    <w:rPr>
      <w:rFonts w:ascii="Univers" w:hAnsi="Univers"/>
      <w:b/>
      <w:sz w:val="32"/>
      <w:szCs w:val="24"/>
      <w:lang w:val="en-GB"/>
    </w:rPr>
  </w:style>
  <w:style w:type="character" w:customStyle="1" w:styleId="Heading9Char">
    <w:name w:val="Heading 9 Char"/>
    <w:link w:val="Heading9"/>
    <w:rsid w:val="00CB01D6"/>
    <w:rPr>
      <w:i/>
      <w:iCs/>
      <w:sz w:val="24"/>
      <w:szCs w:val="24"/>
      <w:lang w:val="en-GB"/>
    </w:rPr>
  </w:style>
  <w:style w:type="character" w:customStyle="1" w:styleId="EndnoteTextChar">
    <w:name w:val="Endnote Text Char"/>
    <w:link w:val="EndnoteText"/>
    <w:semiHidden/>
    <w:rsid w:val="00CB01D6"/>
    <w:rPr>
      <w:rFonts w:ascii="Courier New" w:hAnsi="Courier New"/>
      <w:sz w:val="24"/>
      <w:szCs w:val="24"/>
      <w:lang w:val="en-GB"/>
    </w:rPr>
  </w:style>
  <w:style w:type="character" w:customStyle="1" w:styleId="BodyTextChar">
    <w:name w:val="Body Text Char"/>
    <w:link w:val="BodyText"/>
    <w:rsid w:val="00CB01D6"/>
    <w:rPr>
      <w:rFonts w:ascii="SimSun"/>
      <w:iCs/>
      <w:kern w:val="24"/>
      <w:sz w:val="24"/>
      <w:szCs w:val="24"/>
      <w:lang w:val="en-GB"/>
    </w:rPr>
  </w:style>
  <w:style w:type="character" w:customStyle="1" w:styleId="HeaderChar">
    <w:name w:val="Header Char"/>
    <w:link w:val="Header"/>
    <w:rsid w:val="00CB01D6"/>
    <w:rPr>
      <w:sz w:val="24"/>
      <w:lang w:val="en-GB"/>
    </w:rPr>
  </w:style>
  <w:style w:type="character" w:customStyle="1" w:styleId="CommentTextChar">
    <w:name w:val="Comment Text Char"/>
    <w:link w:val="CommentText"/>
    <w:semiHidden/>
    <w:rsid w:val="00CB01D6"/>
    <w:rPr>
      <w:sz w:val="24"/>
      <w:szCs w:val="24"/>
      <w:lang w:val="en-GB"/>
    </w:rPr>
  </w:style>
  <w:style w:type="character" w:customStyle="1" w:styleId="BodyText2Char">
    <w:name w:val="Body Text 2 Char"/>
    <w:link w:val="BodyText2"/>
    <w:rsid w:val="00CB01D6"/>
    <w:rPr>
      <w:b/>
      <w:bCs/>
      <w:sz w:val="24"/>
      <w:szCs w:val="24"/>
    </w:rPr>
  </w:style>
  <w:style w:type="character" w:customStyle="1" w:styleId="BalloonTextChar">
    <w:name w:val="Balloon Text Char"/>
    <w:link w:val="BalloonText"/>
    <w:semiHidden/>
    <w:rsid w:val="00CB01D6"/>
    <w:rPr>
      <w:rFonts w:ascii="Tahoma" w:hAnsi="Tahoma" w:cs="Tahoma"/>
      <w:sz w:val="16"/>
      <w:szCs w:val="16"/>
      <w:lang w:val="en-GB" w:eastAsia="en-US"/>
    </w:rPr>
  </w:style>
  <w:style w:type="character" w:customStyle="1" w:styleId="Hyperlink10">
    <w:name w:val="Hyperlink1"/>
    <w:rsid w:val="00CB01D6"/>
    <w:rPr>
      <w:color w:val="0000FF"/>
      <w:sz w:val="18"/>
      <w:u w:val="single"/>
    </w:rPr>
  </w:style>
  <w:style w:type="paragraph" w:customStyle="1" w:styleId="CharChar1Char0">
    <w:name w:val="Char Char1 Char"/>
    <w:basedOn w:val="Normal"/>
    <w:rsid w:val="00CB01D6"/>
    <w:pPr>
      <w:widowControl w:val="0"/>
      <w:adjustRightInd w:val="0"/>
      <w:spacing w:line="360" w:lineRule="atLeast"/>
      <w:textAlignment w:val="baseline"/>
    </w:pPr>
    <w:rPr>
      <w:rFonts w:ascii="Arial" w:eastAsia="Times New Roman" w:hAnsi="Arial" w:cs="Arial"/>
      <w:sz w:val="22"/>
      <w:szCs w:val="20"/>
      <w:lang w:val="pl-PL" w:eastAsia="pl-PL"/>
    </w:rPr>
  </w:style>
  <w:style w:type="character" w:styleId="UnresolvedMention">
    <w:name w:val="Unresolved Mention"/>
    <w:uiPriority w:val="99"/>
    <w:semiHidden/>
    <w:unhideWhenUsed/>
    <w:rsid w:val="00CB01D6"/>
    <w:rPr>
      <w:color w:val="605E5C"/>
      <w:shd w:val="clear" w:color="auto" w:fill="E1DFDD"/>
    </w:rPr>
  </w:style>
  <w:style w:type="character" w:customStyle="1" w:styleId="ng-binding">
    <w:name w:val="ng-binding"/>
    <w:rsid w:val="00CB01D6"/>
  </w:style>
  <w:style w:type="character" w:customStyle="1" w:styleId="st">
    <w:name w:val="st"/>
    <w:rsid w:val="00CB01D6"/>
  </w:style>
  <w:style w:type="paragraph" w:styleId="HTMLPreformatted">
    <w:name w:val="HTML Preformatted"/>
    <w:basedOn w:val="Normal"/>
    <w:link w:val="HTMLPreformattedChar"/>
    <w:uiPriority w:val="99"/>
    <w:unhideWhenUsed/>
    <w:rsid w:val="00CB0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B01D6"/>
    <w:rPr>
      <w:rFonts w:ascii="Courier New" w:eastAsia="Times New Roman" w:hAnsi="Courier New" w:cs="Courier New"/>
    </w:rPr>
  </w:style>
  <w:style w:type="paragraph" w:styleId="ListParagraph">
    <w:name w:val="List Paragraph"/>
    <w:basedOn w:val="Normal"/>
    <w:uiPriority w:val="34"/>
    <w:qFormat/>
    <w:rsid w:val="005D4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3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03-zh.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sbi.org.uk/" TargetMode="External"/><Relationship Id="rId13" Type="http://schemas.openxmlformats.org/officeDocument/2006/relationships/hyperlink" Target="http://www.ipieca.org/resources/good-practice/biodiversity-and-ecosystem-services-fundamentals" TargetMode="External"/><Relationship Id="rId18" Type="http://schemas.openxmlformats.org/officeDocument/2006/relationships/hyperlink" Target="http://www.gaboronedeclaration.com/about-the-gdsa-1/" TargetMode="External"/><Relationship Id="rId26" Type="http://schemas.openxmlformats.org/officeDocument/2006/relationships/hyperlink" Target="https://ec.europa.eu/growth/tools-databases/eip-raw-materials/en/content/european-innovation-partnership-eip-raw-materials%20" TargetMode="External"/><Relationship Id="rId3" Type="http://schemas.openxmlformats.org/officeDocument/2006/relationships/hyperlink" Target="http://documents.worldbank.org/curated/en/207371500386458722/pdf/117581-WP-P159838-PUBLIC-ClimateSmartMiningJuly.pdf" TargetMode="External"/><Relationship Id="rId21" Type="http://schemas.openxmlformats.org/officeDocument/2006/relationships/hyperlink" Target="http://www.ipieca.org/resources/good-practice/oil-and-gas-industry-guidance-on-voluntary-sustainability-reporting-3rd-edition/" TargetMode="External"/><Relationship Id="rId7" Type="http://schemas.openxmlformats.org/officeDocument/2006/relationships/hyperlink" Target="http://www.csbi.org.uk/tools-andguidance/mitigation-hierarchy&#65307;&#36328;&#37096;&#38376;&#29983;&#29289;&#22810;&#26679;&#24615;&#20513;&#35758;" TargetMode="External"/><Relationship Id="rId12" Type="http://schemas.openxmlformats.org/officeDocument/2006/relationships/hyperlink" Target="http://www.ipieca.org/resources/good-practice/managing-biodiversity-ecosystem-services-bes-issues-along-the-asset-lifecycle-in-any-environment-10-tips-for-success-in-the-oil-and-gas-industry/" TargetMode="External"/><Relationship Id="rId17" Type="http://schemas.openxmlformats.org/officeDocument/2006/relationships/hyperlink" Target="https://www.iucn.org/sites/dev/files/content/documents/understanding_government_biodiversity_offset_policies_in_the_mining_sector_november_2017.pdf" TargetMode="External"/><Relationship Id="rId25" Type="http://schemas.openxmlformats.org/officeDocument/2006/relationships/hyperlink" Target="http://www.grida.no/publications/383" TargetMode="External"/><Relationship Id="rId2" Type="http://schemas.openxmlformats.org/officeDocument/2006/relationships/hyperlink" Target="http://www.iea.org/weo2017/" TargetMode="External"/><Relationship Id="rId16" Type="http://schemas.openxmlformats.org/officeDocument/2006/relationships/hyperlink" Target="http://www.undp.org/content/undp/en/home/librarypage/poverty-reduction/mapping-mining-to-the-sdgs--an-atlas.html" TargetMode="External"/><Relationship Id="rId20" Type="http://schemas.openxmlformats.org/officeDocument/2006/relationships/hyperlink" Target="http://www.ipieca.org/resources/good-practice/biodiversity-and-ecosystem-services-fundamentals" TargetMode="External"/><Relationship Id="rId1" Type="http://schemas.openxmlformats.org/officeDocument/2006/relationships/hyperlink" Target="https://www.cbd.int/doc/c/4d2c/6670/e6f088fdec00d77db5260088/sbi-02-01-zh.pdf" TargetMode="External"/><Relationship Id="rId6" Type="http://schemas.openxmlformats.org/officeDocument/2006/relationships/hyperlink" Target="http://www.csbi.org.uk/tools-and-guidance/timeline-tool" TargetMode="External"/><Relationship Id="rId11" Type="http://schemas.openxmlformats.org/officeDocument/2006/relationships/hyperlink" Target="http://www.ipieca.org/publication/ecosystem-servicesguidance" TargetMode="External"/><Relationship Id="rId24" Type="http://schemas.openxmlformats.org/officeDocument/2006/relationships/hyperlink" Target="https://www.chathamhouse.org/expert/comment/world-bank-wont-back-oil-and-gas-what-now" TargetMode="External"/><Relationship Id="rId5" Type="http://schemas.openxmlformats.org/officeDocument/2006/relationships/hyperlink" Target="https://innovation-forum.co.uk/analysis.php?s=minings-amazon-deforestation-impact-uncovered" TargetMode="External"/><Relationship Id="rId15" Type="http://schemas.openxmlformats.org/officeDocument/2006/relationships/hyperlink" Target="http://www3.weforum.org/docs/IP/2016/IU/Mapping_Mining_SDGs_An_Atlas.pdf" TargetMode="External"/><Relationship Id="rId23" Type="http://schemas.openxmlformats.org/officeDocument/2006/relationships/hyperlink" Target="http://www.undp.org/content/undp/en/home/librarypage/sustainable-development-goals/institutional-and-coordination-mechanisms---guidance-note.html" TargetMode="External"/><Relationship Id="rId10" Type="http://schemas.openxmlformats.org/officeDocument/2006/relationships/hyperlink" Target="http://www.ogp.org.uk/pubs/510.pdf" TargetMode="External"/><Relationship Id="rId19" Type="http://schemas.openxmlformats.org/officeDocument/2006/relationships/hyperlink" Target="http://cirdi.ca/resource/environmental-assessment-and-management-for-artisanal-and-small-scale-mining/" TargetMode="External"/><Relationship Id="rId4" Type="http://schemas.openxmlformats.org/officeDocument/2006/relationships/hyperlink" Target="http://www.levinsources.com/assets/pages/Global-Solutions-Study.pdf" TargetMode="External"/><Relationship Id="rId9" Type="http://schemas.openxmlformats.org/officeDocument/2006/relationships/hyperlink" Target="http://www.csbi.org.uk/tools-andguidance/biodiversity-data-collection/" TargetMode="External"/><Relationship Id="rId14" Type="http://schemas.openxmlformats.org/officeDocument/2006/relationships/hyperlink" Target="http://www.ipieca.org/resources/awareness-briefing/mapping-the-oil-and-gas-industry-to-the-sustainable-development-goals-an-atlas/" TargetMode="External"/><Relationship Id="rId22" Type="http://schemas.openxmlformats.org/officeDocument/2006/relationships/hyperlink" Target="https://resourcegovernance.org/approach/natural-resource-charter" TargetMode="External"/><Relationship Id="rId27" Type="http://schemas.openxmlformats.org/officeDocument/2006/relationships/hyperlink" Target="https://www.gbif.org/darwin-co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5135B-4B4C-4236-AD9D-CB532466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493</TotalTime>
  <Pages>21</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19468</CharactersWithSpaces>
  <SharedDoc>false</SharedDoc>
  <HLinks>
    <vt:vector size="156" baseType="variant">
      <vt:variant>
        <vt:i4>1310795</vt:i4>
      </vt:variant>
      <vt:variant>
        <vt:i4>3</vt:i4>
      </vt:variant>
      <vt:variant>
        <vt:i4>0</vt:i4>
      </vt:variant>
      <vt:variant>
        <vt:i4>5</vt:i4>
      </vt:variant>
      <vt:variant>
        <vt:lpwstr>https://www.cbd.int/doc/decisions/cop-13/cop-13-dec-03-zh.pdf</vt:lpwstr>
      </vt:variant>
      <vt:variant>
        <vt:lpwstr/>
      </vt:variant>
      <vt:variant>
        <vt:i4>4128888</vt:i4>
      </vt:variant>
      <vt:variant>
        <vt:i4>72</vt:i4>
      </vt:variant>
      <vt:variant>
        <vt:i4>0</vt:i4>
      </vt:variant>
      <vt:variant>
        <vt:i4>5</vt:i4>
      </vt:variant>
      <vt:variant>
        <vt:lpwstr>http://www.ipieca.org/resources/good-practice/oil-and-gas-industry-guidance-on-voluntary-sustainability-reporting-3rd-edition/</vt:lpwstr>
      </vt:variant>
      <vt:variant>
        <vt:lpwstr/>
      </vt:variant>
      <vt:variant>
        <vt:i4>8192036</vt:i4>
      </vt:variant>
      <vt:variant>
        <vt:i4>69</vt:i4>
      </vt:variant>
      <vt:variant>
        <vt:i4>0</vt:i4>
      </vt:variant>
      <vt:variant>
        <vt:i4>5</vt:i4>
      </vt:variant>
      <vt:variant>
        <vt:lpwstr>http://www.ipieca.org/resources/good-practice/biodiversity-and-ecosystem-services-fundamentals</vt:lpwstr>
      </vt:variant>
      <vt:variant>
        <vt:lpwstr/>
      </vt:variant>
      <vt:variant>
        <vt:i4>3538993</vt:i4>
      </vt:variant>
      <vt:variant>
        <vt:i4>66</vt:i4>
      </vt:variant>
      <vt:variant>
        <vt:i4>0</vt:i4>
      </vt:variant>
      <vt:variant>
        <vt:i4>5</vt:i4>
      </vt:variant>
      <vt:variant>
        <vt:lpwstr>http://cirdi.ca/resource/environmental-assessment-and-management-for-artisanal-and-small-scale-mining/</vt:lpwstr>
      </vt:variant>
      <vt:variant>
        <vt:lpwstr/>
      </vt:variant>
      <vt:variant>
        <vt:i4>4259857</vt:i4>
      </vt:variant>
      <vt:variant>
        <vt:i4>63</vt:i4>
      </vt:variant>
      <vt:variant>
        <vt:i4>0</vt:i4>
      </vt:variant>
      <vt:variant>
        <vt:i4>5</vt:i4>
      </vt:variant>
      <vt:variant>
        <vt:lpwstr>http://www.gaboronedeclaration.com/about-the-gdsa-1/</vt:lpwstr>
      </vt:variant>
      <vt:variant>
        <vt:lpwstr/>
      </vt:variant>
      <vt:variant>
        <vt:i4>4456543</vt:i4>
      </vt:variant>
      <vt:variant>
        <vt:i4>60</vt:i4>
      </vt:variant>
      <vt:variant>
        <vt:i4>0</vt:i4>
      </vt:variant>
      <vt:variant>
        <vt:i4>5</vt:i4>
      </vt:variant>
      <vt:variant>
        <vt:lpwstr>https://www.iucn.org/sites/dev/files/content/documents/understanding_government_biodiversity_offset_policies_in_the_mining_sector_november_2017.pdf</vt:lpwstr>
      </vt:variant>
      <vt:variant>
        <vt:lpwstr/>
      </vt:variant>
      <vt:variant>
        <vt:i4>5963776</vt:i4>
      </vt:variant>
      <vt:variant>
        <vt:i4>57</vt:i4>
      </vt:variant>
      <vt:variant>
        <vt:i4>0</vt:i4>
      </vt:variant>
      <vt:variant>
        <vt:i4>5</vt:i4>
      </vt:variant>
      <vt:variant>
        <vt:lpwstr>http://www.undp.org/content/undp/en/home/librarypage/poverty-reduction/mapping-mining-to-the-sdgs--an-atlas.html</vt:lpwstr>
      </vt:variant>
      <vt:variant>
        <vt:lpwstr/>
      </vt:variant>
      <vt:variant>
        <vt:i4>1638429</vt:i4>
      </vt:variant>
      <vt:variant>
        <vt:i4>54</vt:i4>
      </vt:variant>
      <vt:variant>
        <vt:i4>0</vt:i4>
      </vt:variant>
      <vt:variant>
        <vt:i4>5</vt:i4>
      </vt:variant>
      <vt:variant>
        <vt:lpwstr>http://www3.weforum.org/docs/IP/2016/IU/Mapping_Mining_SDGs_An_Atlas.pdf</vt:lpwstr>
      </vt:variant>
      <vt:variant>
        <vt:lpwstr/>
      </vt:variant>
      <vt:variant>
        <vt:i4>8257654</vt:i4>
      </vt:variant>
      <vt:variant>
        <vt:i4>51</vt:i4>
      </vt:variant>
      <vt:variant>
        <vt:i4>0</vt:i4>
      </vt:variant>
      <vt:variant>
        <vt:i4>5</vt:i4>
      </vt:variant>
      <vt:variant>
        <vt:lpwstr>http://www.ipieca.org/resources/awareness-briefing/mapping-the-oil-and-gas-industry-to-the-sustainable-development-goals-an-atlas/</vt:lpwstr>
      </vt:variant>
      <vt:variant>
        <vt:lpwstr/>
      </vt:variant>
      <vt:variant>
        <vt:i4>8192036</vt:i4>
      </vt:variant>
      <vt:variant>
        <vt:i4>48</vt:i4>
      </vt:variant>
      <vt:variant>
        <vt:i4>0</vt:i4>
      </vt:variant>
      <vt:variant>
        <vt:i4>5</vt:i4>
      </vt:variant>
      <vt:variant>
        <vt:lpwstr>http://www.ipieca.org/resources/good-practice/biodiversity-and-ecosystem-services-fundamentals</vt:lpwstr>
      </vt:variant>
      <vt:variant>
        <vt:lpwstr/>
      </vt:variant>
      <vt:variant>
        <vt:i4>2097275</vt:i4>
      </vt:variant>
      <vt:variant>
        <vt:i4>45</vt:i4>
      </vt:variant>
      <vt:variant>
        <vt:i4>0</vt:i4>
      </vt:variant>
      <vt:variant>
        <vt:i4>5</vt:i4>
      </vt:variant>
      <vt:variant>
        <vt:lpwstr>http://www.ipieca.org/resources/good-practice/managing-biodiversity-ecosystem-services-bes-issues-along-the-asset-lifecycle-in-any-environment-10-tips-for-success-in-the-oil-and-gas-industry/</vt:lpwstr>
      </vt:variant>
      <vt:variant>
        <vt:lpwstr/>
      </vt:variant>
      <vt:variant>
        <vt:i4>4653146</vt:i4>
      </vt:variant>
      <vt:variant>
        <vt:i4>42</vt:i4>
      </vt:variant>
      <vt:variant>
        <vt:i4>0</vt:i4>
      </vt:variant>
      <vt:variant>
        <vt:i4>5</vt:i4>
      </vt:variant>
      <vt:variant>
        <vt:lpwstr>http://www.ipieca.org/publication/ecosystem-servicesguidance</vt:lpwstr>
      </vt:variant>
      <vt:variant>
        <vt:lpwstr/>
      </vt:variant>
      <vt:variant>
        <vt:i4>619103173</vt:i4>
      </vt:variant>
      <vt:variant>
        <vt:i4>39</vt:i4>
      </vt:variant>
      <vt:variant>
        <vt:i4>0</vt:i4>
      </vt:variant>
      <vt:variant>
        <vt:i4>5</vt:i4>
      </vt:variant>
      <vt:variant>
        <vt:lpwstr>http://www.ogp.org.uk/pubs/510.pdf；石环协会(2011</vt:lpwstr>
      </vt:variant>
      <vt:variant>
        <vt:lpwstr/>
      </vt:variant>
      <vt:variant>
        <vt:i4>3211320</vt:i4>
      </vt:variant>
      <vt:variant>
        <vt:i4>36</vt:i4>
      </vt:variant>
      <vt:variant>
        <vt:i4>0</vt:i4>
      </vt:variant>
      <vt:variant>
        <vt:i4>5</vt:i4>
      </vt:variant>
      <vt:variant>
        <vt:lpwstr>http://www.csbi.org.uk/tools-andguidance/biodiversity-data-collection/</vt:lpwstr>
      </vt:variant>
      <vt:variant>
        <vt:lpwstr/>
      </vt:variant>
      <vt:variant>
        <vt:i4>3342391</vt:i4>
      </vt:variant>
      <vt:variant>
        <vt:i4>33</vt:i4>
      </vt:variant>
      <vt:variant>
        <vt:i4>0</vt:i4>
      </vt:variant>
      <vt:variant>
        <vt:i4>5</vt:i4>
      </vt:variant>
      <vt:variant>
        <vt:lpwstr>http://www.csbi.org.uk/</vt:lpwstr>
      </vt:variant>
      <vt:variant>
        <vt:lpwstr/>
      </vt:variant>
      <vt:variant>
        <vt:i4>-1468968436</vt:i4>
      </vt:variant>
      <vt:variant>
        <vt:i4>30</vt:i4>
      </vt:variant>
      <vt:variant>
        <vt:i4>0</vt:i4>
      </vt:variant>
      <vt:variant>
        <vt:i4>5</vt:i4>
      </vt:variant>
      <vt:variant>
        <vt:lpwstr>http://www.csbi.org.uk/tools-andguidance/mitigation-hierarchy；跨部门生物多样性倡议(201</vt:lpwstr>
      </vt:variant>
      <vt:variant>
        <vt:lpwstr/>
      </vt:variant>
      <vt:variant>
        <vt:i4>6684726</vt:i4>
      </vt:variant>
      <vt:variant>
        <vt:i4>27</vt:i4>
      </vt:variant>
      <vt:variant>
        <vt:i4>0</vt:i4>
      </vt:variant>
      <vt:variant>
        <vt:i4>5</vt:i4>
      </vt:variant>
      <vt:variant>
        <vt:lpwstr>http://www.csbi.org.uk/tools-and-guidance/timeline-tool</vt:lpwstr>
      </vt:variant>
      <vt:variant>
        <vt:lpwstr/>
      </vt:variant>
      <vt:variant>
        <vt:i4>2621443</vt:i4>
      </vt:variant>
      <vt:variant>
        <vt:i4>24</vt:i4>
      </vt:variant>
      <vt:variant>
        <vt:i4>0</vt:i4>
      </vt:variant>
      <vt:variant>
        <vt:i4>5</vt:i4>
      </vt:variant>
      <vt:variant>
        <vt:lpwstr>http://www.sciencedirect.com/science?_ob=PublicationURL&amp;_hubEid=1-s2.0-S0167880911X00075&amp;_cid=271239&amp;_pubType=JL&amp;view=c&amp;_auth=y&amp;_acct=C000063040&amp;_version=1&amp;_urlVersion=0&amp;_userid=4380432&amp;md5=bd792108d1ef7656ea2ef5a656799c5b</vt:lpwstr>
      </vt:variant>
      <vt:variant>
        <vt:lpwstr/>
      </vt:variant>
      <vt:variant>
        <vt:i4>8192108</vt:i4>
      </vt:variant>
      <vt:variant>
        <vt:i4>21</vt:i4>
      </vt:variant>
      <vt:variant>
        <vt:i4>0</vt:i4>
      </vt:variant>
      <vt:variant>
        <vt:i4>5</vt:i4>
      </vt:variant>
      <vt:variant>
        <vt:lpwstr>https://innovation-forum.co.uk/analysis.php?s=minings-amazon-deforestation-impact-uncovered</vt:lpwstr>
      </vt:variant>
      <vt:variant>
        <vt:lpwstr/>
      </vt:variant>
      <vt:variant>
        <vt:i4>6684732</vt:i4>
      </vt:variant>
      <vt:variant>
        <vt:i4>18</vt:i4>
      </vt:variant>
      <vt:variant>
        <vt:i4>0</vt:i4>
      </vt:variant>
      <vt:variant>
        <vt:i4>5</vt:i4>
      </vt:variant>
      <vt:variant>
        <vt:lpwstr>http://www.levinsources.com/assets/pages/Global-Solutions-Study.pdf</vt:lpwstr>
      </vt:variant>
      <vt:variant>
        <vt:lpwstr/>
      </vt:variant>
      <vt:variant>
        <vt:i4>4915206</vt:i4>
      </vt:variant>
      <vt:variant>
        <vt:i4>15</vt:i4>
      </vt:variant>
      <vt:variant>
        <vt:i4>0</vt:i4>
      </vt:variant>
      <vt:variant>
        <vt:i4>5</vt:i4>
      </vt:variant>
      <vt:variant>
        <vt:lpwstr>http://documents.worldbank.org/curated/en/207371500386458722/pdf/117581-WP-P159838-PUBLIC-ClimateSmartMiningJuly.pdf</vt:lpwstr>
      </vt:variant>
      <vt:variant>
        <vt:lpwstr/>
      </vt:variant>
      <vt:variant>
        <vt:i4>3407904</vt:i4>
      </vt:variant>
      <vt:variant>
        <vt:i4>12</vt:i4>
      </vt:variant>
      <vt:variant>
        <vt:i4>0</vt:i4>
      </vt:variant>
      <vt:variant>
        <vt:i4>5</vt:i4>
      </vt:variant>
      <vt:variant>
        <vt:lpwstr>http://www.iea.org/weo2017/</vt:lpwstr>
      </vt:variant>
      <vt:variant>
        <vt:lpwstr/>
      </vt:variant>
      <vt:variant>
        <vt:i4>5636187</vt:i4>
      </vt:variant>
      <vt:variant>
        <vt:i4>9</vt:i4>
      </vt:variant>
      <vt:variant>
        <vt:i4>0</vt:i4>
      </vt:variant>
      <vt:variant>
        <vt:i4>5</vt:i4>
      </vt:variant>
      <vt:variant>
        <vt:lpwstr>https://www.cbd.int/doc/c/c125/07dd/2358396617a20036dbf4d5ad/sbstta-21-inf-15-en.pdf</vt:lpwstr>
      </vt:variant>
      <vt:variant>
        <vt:lpwstr/>
      </vt:variant>
      <vt:variant>
        <vt:i4>5439493</vt:i4>
      </vt:variant>
      <vt:variant>
        <vt:i4>6</vt:i4>
      </vt:variant>
      <vt:variant>
        <vt:i4>0</vt:i4>
      </vt:variant>
      <vt:variant>
        <vt:i4>5</vt:i4>
      </vt:variant>
      <vt:variant>
        <vt:lpwstr>https://www.cbd.int/doc/c/f02a/9d5f/7a27e1798492f4738014ba62/sbstta-21-inf-13-en.pdf</vt:lpwstr>
      </vt:variant>
      <vt:variant>
        <vt:lpwstr/>
      </vt:variant>
      <vt:variant>
        <vt:i4>5898241</vt:i4>
      </vt:variant>
      <vt:variant>
        <vt:i4>3</vt:i4>
      </vt:variant>
      <vt:variant>
        <vt:i4>0</vt:i4>
      </vt:variant>
      <vt:variant>
        <vt:i4>5</vt:i4>
      </vt:variant>
      <vt:variant>
        <vt:lpwstr>https://www.cbd.int/doc/c/d9d0/7a53/95df6ca3ac3515b5ad812b04/sbstta-21-inf-09-en.pdf</vt:lpwstr>
      </vt:variant>
      <vt:variant>
        <vt:lpwstr/>
      </vt:variant>
      <vt:variant>
        <vt:i4>5439503</vt:i4>
      </vt:variant>
      <vt:variant>
        <vt:i4>0</vt:i4>
      </vt:variant>
      <vt:variant>
        <vt:i4>0</vt:i4>
      </vt:variant>
      <vt:variant>
        <vt:i4>5</vt:i4>
      </vt:variant>
      <vt:variant>
        <vt:lpwstr>https://www.cbd.int/doc/c/7067/fa8a/8388cacd75481ce3cd300963/sbstta-21-inf-05-en.pdf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SCBD</dc:creator>
  <cp:keywords/>
  <cp:lastModifiedBy>Yunqi Jia</cp:lastModifiedBy>
  <cp:revision>23</cp:revision>
  <cp:lastPrinted>2018-06-24T22:10:00Z</cp:lastPrinted>
  <dcterms:created xsi:type="dcterms:W3CDTF">2018-06-24T01:56:00Z</dcterms:created>
  <dcterms:modified xsi:type="dcterms:W3CDTF">2018-06-29T15:57:00Z</dcterms:modified>
  <cp:category>Chinese Template</cp:category>
</cp:coreProperties>
</file>