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73"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73"/>
        <w:gridCol w:w="3924"/>
      </w:tblGrid>
      <w:tr w:rsidR="00947263" w:rsidRPr="009C2D9A" w14:paraId="039FE36A" w14:textId="77777777" w:rsidTr="00947263">
        <w:trPr>
          <w:trHeight w:val="839"/>
        </w:trPr>
        <w:tc>
          <w:tcPr>
            <w:tcW w:w="944" w:type="dxa"/>
            <w:tcBorders>
              <w:bottom w:val="single" w:sz="12" w:space="0" w:color="auto"/>
            </w:tcBorders>
          </w:tcPr>
          <w:p w14:paraId="0473E668" w14:textId="77777777" w:rsidR="00947263" w:rsidRPr="009C2D9A" w:rsidRDefault="00947263" w:rsidP="003A0E64">
            <w:pPr>
              <w:suppressLineNumbers/>
              <w:suppressAutoHyphens/>
              <w:rPr>
                <w:kern w:val="22"/>
                <w:lang w:val="es-ES_tradnl"/>
              </w:rPr>
            </w:pPr>
            <w:bookmarkStart w:id="0" w:name="_Hlk118048100"/>
            <w:r w:rsidRPr="009C2D9A">
              <w:rPr>
                <w:noProof/>
                <w:lang w:val="es-ES_tradnl"/>
              </w:rPr>
              <w:drawing>
                <wp:inline distT="0" distB="0" distL="0" distR="0" wp14:anchorId="510E5382" wp14:editId="2DA67B05">
                  <wp:extent cx="476494" cy="403200"/>
                  <wp:effectExtent l="0" t="0" r="6350" b="3810"/>
                  <wp:docPr id="13" name="Picture 1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973" w:type="dxa"/>
            <w:tcBorders>
              <w:bottom w:val="single" w:sz="12" w:space="0" w:color="auto"/>
            </w:tcBorders>
            <w:shd w:val="clear" w:color="auto" w:fill="auto"/>
            <w:tcFitText/>
          </w:tcPr>
          <w:p w14:paraId="6D5AE125" w14:textId="77777777" w:rsidR="00947263" w:rsidRPr="009C2D9A" w:rsidRDefault="00947263" w:rsidP="003A0E64">
            <w:pPr>
              <w:suppressLineNumbers/>
              <w:suppressAutoHyphens/>
              <w:rPr>
                <w:kern w:val="22"/>
                <w:lang w:val="es-ES_tradnl"/>
              </w:rPr>
            </w:pPr>
            <w:r w:rsidRPr="009C2D9A">
              <w:rPr>
                <w:noProof/>
                <w:lang w:val="es-ES_tradnl" w:eastAsia="en-CA"/>
              </w:rPr>
              <w:drawing>
                <wp:anchor distT="0" distB="0" distL="114300" distR="114300" simplePos="0" relativeHeight="251663360" behindDoc="0" locked="0" layoutInCell="1" allowOverlap="1" wp14:anchorId="66CA2BA8" wp14:editId="74F9B8C0">
                  <wp:simplePos x="0" y="0"/>
                  <wp:positionH relativeFrom="column">
                    <wp:posOffset>-1270</wp:posOffset>
                  </wp:positionH>
                  <wp:positionV relativeFrom="paragraph">
                    <wp:posOffset>6350</wp:posOffset>
                  </wp:positionV>
                  <wp:extent cx="676275" cy="386080"/>
                  <wp:effectExtent l="0" t="0" r="9525" b="0"/>
                  <wp:wrapSquare wrapText="bothSides"/>
                  <wp:docPr id="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6275" cy="386080"/>
                          </a:xfrm>
                          <a:prstGeom prst="rect">
                            <a:avLst/>
                          </a:prstGeom>
                          <a:noFill/>
                        </pic:spPr>
                      </pic:pic>
                    </a:graphicData>
                  </a:graphic>
                  <wp14:sizeRelH relativeFrom="page">
                    <wp14:pctWidth>0</wp14:pctWidth>
                  </wp14:sizeRelH>
                  <wp14:sizeRelV relativeFrom="page">
                    <wp14:pctHeight>0</wp14:pctHeight>
                  </wp14:sizeRelV>
                </wp:anchor>
              </w:drawing>
            </w:r>
          </w:p>
        </w:tc>
        <w:tc>
          <w:tcPr>
            <w:tcW w:w="3956" w:type="dxa"/>
            <w:tcBorders>
              <w:bottom w:val="single" w:sz="12" w:space="0" w:color="auto"/>
            </w:tcBorders>
          </w:tcPr>
          <w:p w14:paraId="527C3F94" w14:textId="77777777" w:rsidR="00947263" w:rsidRPr="009C2D9A" w:rsidRDefault="00947263" w:rsidP="003A0E64">
            <w:pPr>
              <w:suppressLineNumbers/>
              <w:suppressAutoHyphens/>
              <w:jc w:val="right"/>
              <w:rPr>
                <w:rFonts w:ascii="Arial" w:hAnsi="Arial" w:cs="Arial"/>
                <w:b/>
                <w:kern w:val="22"/>
                <w:sz w:val="32"/>
                <w:szCs w:val="32"/>
                <w:lang w:val="es-ES_tradnl"/>
              </w:rPr>
            </w:pPr>
            <w:r w:rsidRPr="009C2D9A">
              <w:rPr>
                <w:rFonts w:ascii="Arial" w:hAnsi="Arial"/>
                <w:b/>
                <w:sz w:val="32"/>
                <w:lang w:val="es-ES_tradnl"/>
              </w:rPr>
              <w:t>CBD</w:t>
            </w:r>
          </w:p>
        </w:tc>
      </w:tr>
      <w:tr w:rsidR="00947263" w:rsidRPr="009C2D9A" w14:paraId="0AB524B2" w14:textId="77777777" w:rsidTr="00947263">
        <w:trPr>
          <w:trHeight w:val="1994"/>
        </w:trPr>
        <w:tc>
          <w:tcPr>
            <w:tcW w:w="5917" w:type="dxa"/>
            <w:gridSpan w:val="2"/>
            <w:tcBorders>
              <w:top w:val="single" w:sz="12" w:space="0" w:color="auto"/>
              <w:bottom w:val="single" w:sz="36" w:space="0" w:color="auto"/>
            </w:tcBorders>
            <w:vAlign w:val="center"/>
          </w:tcPr>
          <w:p w14:paraId="27E41A66" w14:textId="77777777" w:rsidR="00947263" w:rsidRPr="009C2D9A" w:rsidRDefault="00947263" w:rsidP="003A0E64">
            <w:pPr>
              <w:suppressLineNumbers/>
              <w:suppressAutoHyphens/>
              <w:rPr>
                <w:kern w:val="22"/>
                <w:lang w:val="es-ES_tradnl"/>
              </w:rPr>
            </w:pPr>
            <w:r w:rsidRPr="009C2D9A">
              <w:rPr>
                <w:noProof/>
                <w:lang w:val="es-ES_tradnl" w:eastAsia="en-CA"/>
              </w:rPr>
              <w:drawing>
                <wp:inline distT="0" distB="0" distL="0" distR="0" wp14:anchorId="2B318D18" wp14:editId="26FEA890">
                  <wp:extent cx="2905125" cy="1076325"/>
                  <wp:effectExtent l="0" t="0" r="9525" b="9525"/>
                  <wp:docPr id="1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3956" w:type="dxa"/>
            <w:tcBorders>
              <w:top w:val="single" w:sz="12" w:space="0" w:color="auto"/>
              <w:bottom w:val="single" w:sz="36" w:space="0" w:color="auto"/>
            </w:tcBorders>
          </w:tcPr>
          <w:p w14:paraId="102B4A49" w14:textId="77777777" w:rsidR="00947263" w:rsidRPr="009C2D9A" w:rsidRDefault="00947263" w:rsidP="00947263">
            <w:pPr>
              <w:ind w:left="914"/>
              <w:rPr>
                <w:kern w:val="22"/>
                <w:szCs w:val="22"/>
                <w:lang w:val="es-ES_tradnl"/>
              </w:rPr>
            </w:pPr>
            <w:proofErr w:type="spellStart"/>
            <w:r w:rsidRPr="009C2D9A">
              <w:rPr>
                <w:kern w:val="22"/>
                <w:szCs w:val="22"/>
                <w:lang w:val="es-ES_tradnl"/>
              </w:rPr>
              <w:t>Distr</w:t>
            </w:r>
            <w:proofErr w:type="spellEnd"/>
            <w:r w:rsidRPr="009C2D9A">
              <w:rPr>
                <w:kern w:val="22"/>
                <w:szCs w:val="22"/>
                <w:lang w:val="es-ES_tradnl"/>
              </w:rPr>
              <w:t>.</w:t>
            </w:r>
          </w:p>
          <w:p w14:paraId="67CD7D3A" w14:textId="77777777" w:rsidR="00947263" w:rsidRPr="009C2D9A" w:rsidRDefault="00947263" w:rsidP="00947263">
            <w:pPr>
              <w:ind w:left="914"/>
              <w:rPr>
                <w:kern w:val="22"/>
                <w:szCs w:val="22"/>
                <w:lang w:val="es-ES_tradnl"/>
              </w:rPr>
            </w:pPr>
            <w:r w:rsidRPr="009C2D9A">
              <w:rPr>
                <w:kern w:val="22"/>
                <w:szCs w:val="22"/>
                <w:lang w:val="es-ES_tradnl"/>
              </w:rPr>
              <w:t>GENERAL</w:t>
            </w:r>
          </w:p>
          <w:p w14:paraId="514A0870" w14:textId="77777777" w:rsidR="00947263" w:rsidRPr="009C2D9A" w:rsidRDefault="00947263" w:rsidP="00947263">
            <w:pPr>
              <w:ind w:left="914"/>
              <w:rPr>
                <w:kern w:val="22"/>
                <w:szCs w:val="22"/>
                <w:lang w:val="es-ES_tradnl"/>
              </w:rPr>
            </w:pPr>
          </w:p>
          <w:p w14:paraId="20329FE2" w14:textId="77777777" w:rsidR="00947263" w:rsidRPr="009C2D9A" w:rsidRDefault="002F6CB6" w:rsidP="00947263">
            <w:pPr>
              <w:ind w:left="914"/>
              <w:rPr>
                <w:kern w:val="22"/>
                <w:lang w:val="es-ES_tradnl"/>
              </w:rPr>
            </w:pPr>
            <w:sdt>
              <w:sdtPr>
                <w:rPr>
                  <w:kern w:val="22"/>
                  <w:lang w:val="es-ES_tradnl"/>
                </w:rPr>
                <w:alias w:val="Subject"/>
                <w:tag w:val=""/>
                <w:id w:val="2045015144"/>
                <w:placeholder>
                  <w:docPart w:val="6AB94EB1A13F4AD091D62960A34ACB95"/>
                </w:placeholder>
                <w:dataBinding w:prefixMappings="xmlns:ns0='http://purl.org/dc/elements/1.1/' xmlns:ns1='http://schemas.openxmlformats.org/package/2006/metadata/core-properties' " w:xpath="/ns1:coreProperties[1]/ns0:subject[1]" w:storeItemID="{6C3C8BC8-F283-45AE-878A-BAB7291924A1}"/>
                <w:text/>
              </w:sdtPr>
              <w:sdtEndPr/>
              <w:sdtContent>
                <w:r w:rsidR="00947263" w:rsidRPr="009C2D9A">
                  <w:rPr>
                    <w:kern w:val="22"/>
                    <w:lang w:val="es-ES_tradnl"/>
                  </w:rPr>
                  <w:t>CBD/NP/MOP/4/5</w:t>
                </w:r>
              </w:sdtContent>
            </w:sdt>
            <w:r w:rsidR="00947263" w:rsidRPr="009C2D9A">
              <w:rPr>
                <w:kern w:val="22"/>
                <w:lang w:val="es-ES_tradnl"/>
              </w:rPr>
              <w:t xml:space="preserve"> </w:t>
            </w:r>
          </w:p>
          <w:p w14:paraId="512C69DB" w14:textId="38ACFF6A" w:rsidR="00947263" w:rsidRPr="009C2D9A" w:rsidRDefault="00947263" w:rsidP="00947263">
            <w:pPr>
              <w:ind w:left="914"/>
              <w:rPr>
                <w:kern w:val="22"/>
                <w:szCs w:val="22"/>
                <w:lang w:val="es-ES_tradnl"/>
              </w:rPr>
            </w:pPr>
            <w:r w:rsidRPr="009C2D9A">
              <w:rPr>
                <w:kern w:val="22"/>
                <w:szCs w:val="22"/>
                <w:lang w:val="es-ES_tradnl"/>
              </w:rPr>
              <w:t>21 de octubre de 2022</w:t>
            </w:r>
          </w:p>
          <w:p w14:paraId="2FE5DEB6" w14:textId="77777777" w:rsidR="00947263" w:rsidRPr="009C2D9A" w:rsidRDefault="00947263" w:rsidP="00947263">
            <w:pPr>
              <w:ind w:left="914"/>
              <w:rPr>
                <w:kern w:val="22"/>
                <w:szCs w:val="22"/>
                <w:lang w:val="es-ES_tradnl"/>
              </w:rPr>
            </w:pPr>
          </w:p>
          <w:p w14:paraId="7FFC3CCB" w14:textId="249D25D5" w:rsidR="00947263" w:rsidRPr="009C2D9A" w:rsidRDefault="00947263" w:rsidP="00947263">
            <w:pPr>
              <w:suppressLineNumbers/>
              <w:suppressAutoHyphens/>
              <w:ind w:left="894"/>
              <w:rPr>
                <w:rFonts w:cs="Times New Roman"/>
                <w:kern w:val="22"/>
                <w:sz w:val="21"/>
                <w:szCs w:val="21"/>
                <w:lang w:val="es-ES_tradnl"/>
              </w:rPr>
            </w:pPr>
            <w:r w:rsidRPr="009C2D9A">
              <w:rPr>
                <w:kern w:val="22"/>
                <w:szCs w:val="22"/>
                <w:lang w:val="es-ES_tradnl"/>
              </w:rPr>
              <w:t>ESPAÑOL</w:t>
            </w:r>
            <w:r w:rsidRPr="009C2D9A">
              <w:rPr>
                <w:kern w:val="22"/>
                <w:szCs w:val="22"/>
                <w:lang w:val="es-ES_tradnl"/>
              </w:rPr>
              <w:br/>
              <w:t xml:space="preserve">ORIGINAL:  </w:t>
            </w:r>
            <w:r w:rsidR="00256407">
              <w:rPr>
                <w:kern w:val="22"/>
                <w:szCs w:val="22"/>
                <w:lang w:val="es-ES_tradnl"/>
              </w:rPr>
              <w:t>INGLÉS</w:t>
            </w:r>
            <w:r w:rsidRPr="009C2D9A">
              <w:rPr>
                <w:rFonts w:cs="Times New Roman"/>
                <w:kern w:val="22"/>
                <w:sz w:val="21"/>
                <w:szCs w:val="21"/>
                <w:lang w:val="es-ES_tradnl"/>
              </w:rPr>
              <w:t xml:space="preserve"> </w:t>
            </w:r>
          </w:p>
        </w:tc>
      </w:tr>
    </w:tbl>
    <w:p w14:paraId="3F9AFE3A" w14:textId="77777777" w:rsidR="00DC28E4" w:rsidRPr="009C2D9A" w:rsidRDefault="00DC28E4" w:rsidP="00DC28E4">
      <w:pPr>
        <w:pStyle w:val="meetingname"/>
        <w:ind w:right="3690"/>
        <w:rPr>
          <w:kern w:val="22"/>
          <w:lang w:val="es-ES_tradnl"/>
        </w:rPr>
      </w:pPr>
      <w:r w:rsidRPr="009C2D9A">
        <w:rPr>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776341D8" w14:textId="1EA41FA0" w:rsidR="00313030" w:rsidRPr="009C2D9A" w:rsidRDefault="00947263" w:rsidP="00313030">
      <w:pPr>
        <w:suppressLineNumbers/>
        <w:suppressAutoHyphens/>
        <w:kinsoku w:val="0"/>
        <w:overflowPunct w:val="0"/>
        <w:autoSpaceDE w:val="0"/>
        <w:autoSpaceDN w:val="0"/>
        <w:ind w:left="170" w:right="3119" w:hanging="170"/>
        <w:jc w:val="left"/>
        <w:rPr>
          <w:rFonts w:eastAsia="Batang" w:cs="Times New Roman"/>
          <w:snapToGrid w:val="0"/>
          <w:kern w:val="22"/>
          <w:szCs w:val="22"/>
          <w:lang w:val="es-ES_tradnl"/>
        </w:rPr>
      </w:pPr>
      <w:r w:rsidRPr="009C2D9A">
        <w:rPr>
          <w:rFonts w:eastAsia="Batang" w:cs="Times New Roman"/>
          <w:snapToGrid w:val="0"/>
          <w:kern w:val="22"/>
          <w:szCs w:val="22"/>
          <w:lang w:val="es-ES_tradnl"/>
        </w:rPr>
        <w:t>Cuarta reunión</w:t>
      </w:r>
    </w:p>
    <w:p w14:paraId="35E20018" w14:textId="40311ACD" w:rsidR="00313030" w:rsidRPr="009C2D9A" w:rsidRDefault="003A61A2" w:rsidP="00313030">
      <w:pPr>
        <w:suppressLineNumbers/>
        <w:suppressAutoHyphens/>
        <w:kinsoku w:val="0"/>
        <w:overflowPunct w:val="0"/>
        <w:autoSpaceDE w:val="0"/>
        <w:autoSpaceDN w:val="0"/>
        <w:ind w:right="4422"/>
        <w:jc w:val="left"/>
        <w:rPr>
          <w:rFonts w:cs="Times New Roman"/>
          <w:snapToGrid w:val="0"/>
          <w:kern w:val="22"/>
          <w:szCs w:val="22"/>
          <w:lang w:val="es-ES_tradnl" w:eastAsia="en-CA"/>
        </w:rPr>
      </w:pPr>
      <w:r w:rsidRPr="009C2D9A">
        <w:rPr>
          <w:rFonts w:cs="Times New Roman"/>
          <w:snapToGrid w:val="0"/>
          <w:kern w:val="22"/>
          <w:szCs w:val="22"/>
          <w:lang w:val="es-ES_tradnl" w:eastAsia="en-CA"/>
        </w:rPr>
        <w:t>Montreal</w:t>
      </w:r>
      <w:r w:rsidR="00947263" w:rsidRPr="009C2D9A">
        <w:rPr>
          <w:rFonts w:cs="Times New Roman"/>
          <w:snapToGrid w:val="0"/>
          <w:kern w:val="22"/>
          <w:szCs w:val="22"/>
          <w:lang w:val="es-ES_tradnl" w:eastAsia="en-CA"/>
        </w:rPr>
        <w:t xml:space="preserve"> (Canadá), </w:t>
      </w:r>
      <w:r w:rsidR="00694229" w:rsidRPr="009C2D9A">
        <w:rPr>
          <w:rFonts w:cs="Times New Roman"/>
          <w:snapToGrid w:val="0"/>
          <w:kern w:val="22"/>
          <w:szCs w:val="22"/>
          <w:lang w:val="es-ES_tradnl" w:eastAsia="en-CA"/>
        </w:rPr>
        <w:t>7</w:t>
      </w:r>
      <w:r w:rsidR="00947263" w:rsidRPr="009C2D9A">
        <w:rPr>
          <w:rFonts w:cs="Times New Roman"/>
          <w:snapToGrid w:val="0"/>
          <w:kern w:val="22"/>
          <w:szCs w:val="22"/>
          <w:lang w:val="es-ES_tradnl" w:eastAsia="en-CA"/>
        </w:rPr>
        <w:t xml:space="preserve"> a </w:t>
      </w:r>
      <w:r w:rsidR="00694229" w:rsidRPr="009C2D9A">
        <w:rPr>
          <w:rFonts w:cs="Times New Roman"/>
          <w:snapToGrid w:val="0"/>
          <w:kern w:val="22"/>
          <w:szCs w:val="22"/>
          <w:lang w:val="es-ES_tradnl" w:eastAsia="en-CA"/>
        </w:rPr>
        <w:t xml:space="preserve">19 </w:t>
      </w:r>
      <w:r w:rsidR="00947263" w:rsidRPr="009C2D9A">
        <w:rPr>
          <w:rFonts w:cs="Times New Roman"/>
          <w:snapToGrid w:val="0"/>
          <w:kern w:val="22"/>
          <w:szCs w:val="22"/>
          <w:lang w:val="es-ES_tradnl" w:eastAsia="en-CA"/>
        </w:rPr>
        <w:t xml:space="preserve">de diciembre de </w:t>
      </w:r>
      <w:r w:rsidR="00694229" w:rsidRPr="009C2D9A">
        <w:rPr>
          <w:rFonts w:cs="Times New Roman"/>
          <w:snapToGrid w:val="0"/>
          <w:kern w:val="22"/>
          <w:szCs w:val="22"/>
          <w:lang w:val="es-ES_tradnl" w:eastAsia="en-CA"/>
        </w:rPr>
        <w:t>2022</w:t>
      </w:r>
    </w:p>
    <w:p w14:paraId="3A2A5FAD" w14:textId="3F1E1155" w:rsidR="003F4914" w:rsidRPr="009C2D9A" w:rsidRDefault="00947263" w:rsidP="003F4914">
      <w:pPr>
        <w:pStyle w:val="Cornernotation"/>
        <w:ind w:right="3548"/>
        <w:rPr>
          <w:rFonts w:cs="Times New Roman"/>
          <w:kern w:val="22"/>
          <w:szCs w:val="22"/>
          <w:lang w:val="es-ES_tradnl"/>
        </w:rPr>
      </w:pPr>
      <w:r w:rsidRPr="009C2D9A">
        <w:rPr>
          <w:rFonts w:cs="Times New Roman"/>
          <w:kern w:val="22"/>
          <w:szCs w:val="22"/>
          <w:lang w:val="es-ES_tradnl"/>
        </w:rPr>
        <w:t xml:space="preserve">Tema </w:t>
      </w:r>
      <w:r w:rsidR="00737283" w:rsidRPr="009C2D9A">
        <w:rPr>
          <w:rFonts w:cs="Times New Roman"/>
          <w:kern w:val="22"/>
          <w:szCs w:val="22"/>
          <w:lang w:val="es-ES_tradnl"/>
        </w:rPr>
        <w:t xml:space="preserve">8 </w:t>
      </w:r>
    </w:p>
    <w:p w14:paraId="06A54A37" w14:textId="55FF3A21" w:rsidR="00FD4E03" w:rsidRPr="009C2D9A" w:rsidRDefault="00426CC4" w:rsidP="00F37E96">
      <w:pPr>
        <w:pStyle w:val="Heading1"/>
        <w:tabs>
          <w:tab w:val="clear" w:pos="720"/>
        </w:tabs>
        <w:rPr>
          <w:rFonts w:cs="Times New Roman"/>
          <w:kern w:val="22"/>
          <w:szCs w:val="22"/>
          <w:lang w:val="es-ES_tradnl"/>
        </w:rPr>
      </w:pPr>
      <w:bookmarkStart w:id="1" w:name="_Hlk526272635"/>
      <w:r w:rsidRPr="009C2D9A">
        <w:rPr>
          <w:noProof/>
          <w:kern w:val="22"/>
          <w:lang w:val="es-ES_tradnl"/>
        </w:rPr>
        <w:t xml:space="preserve">Informe sobre los ProgresoS en las Medidas para brindar asistencia para la creación de capacidades </w:t>
      </w:r>
      <w:r w:rsidR="00DC28E4" w:rsidRPr="009C2D9A">
        <w:rPr>
          <w:rFonts w:cs="Times New Roman"/>
          <w:kern w:val="22"/>
          <w:szCs w:val="22"/>
          <w:lang w:val="es-ES_tradnl"/>
        </w:rPr>
        <w:t xml:space="preserve">y </w:t>
      </w:r>
      <w:r w:rsidR="00DC28E4" w:rsidRPr="009C2D9A">
        <w:rPr>
          <w:snapToGrid w:val="0"/>
          <w:lang w:val="es-ES_tradnl"/>
        </w:rPr>
        <w:t>para aumentar la concienciación</w:t>
      </w:r>
      <w:r w:rsidR="00DC28E4" w:rsidRPr="009C2D9A">
        <w:rPr>
          <w:rFonts w:cs="Times New Roman"/>
          <w:kern w:val="22"/>
          <w:szCs w:val="22"/>
          <w:lang w:val="es-ES_tradnl"/>
        </w:rPr>
        <w:t xml:space="preserve"> </w:t>
      </w:r>
      <w:r w:rsidR="00A91DB0" w:rsidRPr="009C2D9A">
        <w:rPr>
          <w:rFonts w:cs="Times New Roman"/>
          <w:kern w:val="22"/>
          <w:szCs w:val="22"/>
          <w:lang w:val="es-ES_tradnl"/>
        </w:rPr>
        <w:t>(Ar</w:t>
      </w:r>
      <w:r w:rsidR="00947263" w:rsidRPr="009C2D9A">
        <w:rPr>
          <w:rFonts w:cs="Times New Roman"/>
          <w:kern w:val="22"/>
          <w:szCs w:val="22"/>
          <w:lang w:val="es-ES_tradnl"/>
        </w:rPr>
        <w:t>tículos</w:t>
      </w:r>
      <w:r w:rsidR="00A91DB0" w:rsidRPr="009C2D9A">
        <w:rPr>
          <w:rFonts w:cs="Times New Roman"/>
          <w:kern w:val="22"/>
          <w:szCs w:val="22"/>
          <w:lang w:val="es-ES_tradnl"/>
        </w:rPr>
        <w:t xml:space="preserve"> </w:t>
      </w:r>
      <w:r w:rsidR="00E3618F" w:rsidRPr="009C2D9A">
        <w:rPr>
          <w:rFonts w:cs="Times New Roman"/>
          <w:kern w:val="22"/>
          <w:szCs w:val="22"/>
          <w:lang w:val="es-ES_tradnl"/>
        </w:rPr>
        <w:t xml:space="preserve">22 </w:t>
      </w:r>
      <w:r w:rsidR="00947263" w:rsidRPr="009C2D9A">
        <w:rPr>
          <w:rFonts w:cs="Times New Roman"/>
          <w:kern w:val="22"/>
          <w:szCs w:val="22"/>
          <w:lang w:val="es-ES_tradnl"/>
        </w:rPr>
        <w:t>y</w:t>
      </w:r>
      <w:r w:rsidR="00E3618F" w:rsidRPr="009C2D9A">
        <w:rPr>
          <w:rFonts w:cs="Times New Roman"/>
          <w:kern w:val="22"/>
          <w:szCs w:val="22"/>
          <w:lang w:val="es-ES_tradnl"/>
        </w:rPr>
        <w:t xml:space="preserve"> 21</w:t>
      </w:r>
      <w:r w:rsidR="00A91DB0" w:rsidRPr="009C2D9A">
        <w:rPr>
          <w:rFonts w:cs="Times New Roman"/>
          <w:kern w:val="22"/>
          <w:szCs w:val="22"/>
          <w:lang w:val="es-ES_tradnl"/>
        </w:rPr>
        <w:t>)</w:t>
      </w:r>
      <w:r w:rsidR="00E3618F" w:rsidRPr="009C2D9A">
        <w:rPr>
          <w:rFonts w:cs="Times New Roman"/>
          <w:kern w:val="22"/>
          <w:szCs w:val="22"/>
          <w:lang w:val="es-ES_tradnl"/>
        </w:rPr>
        <w:t xml:space="preserve"> </w:t>
      </w:r>
    </w:p>
    <w:bookmarkEnd w:id="1"/>
    <w:p w14:paraId="0E1CD5B5" w14:textId="5DD82642" w:rsidR="00687288" w:rsidRPr="009C2D9A" w:rsidRDefault="00947263" w:rsidP="00687288">
      <w:pPr>
        <w:pStyle w:val="Heading2"/>
        <w:rPr>
          <w:rFonts w:cs="Times New Roman"/>
          <w:b w:val="0"/>
          <w:i/>
          <w:kern w:val="22"/>
          <w:szCs w:val="22"/>
          <w:lang w:val="es-ES_tradnl"/>
        </w:rPr>
      </w:pPr>
      <w:r w:rsidRPr="009C2D9A">
        <w:rPr>
          <w:rFonts w:cs="Times New Roman"/>
          <w:b w:val="0"/>
          <w:i/>
          <w:kern w:val="22"/>
          <w:szCs w:val="22"/>
          <w:lang w:val="es-ES_tradnl"/>
        </w:rPr>
        <w:t xml:space="preserve">Nota de la </w:t>
      </w:r>
      <w:proofErr w:type="gramStart"/>
      <w:r w:rsidRPr="009C2D9A">
        <w:rPr>
          <w:rFonts w:cs="Times New Roman"/>
          <w:b w:val="0"/>
          <w:i/>
          <w:kern w:val="22"/>
          <w:szCs w:val="22"/>
          <w:lang w:val="es-ES_tradnl"/>
        </w:rPr>
        <w:t>Secretaria Ejecutiva</w:t>
      </w:r>
      <w:proofErr w:type="gramEnd"/>
    </w:p>
    <w:p w14:paraId="033F3D4D" w14:textId="22548D9C" w:rsidR="00320CFC" w:rsidRPr="009C2D9A" w:rsidRDefault="00F8670A" w:rsidP="00F37E96">
      <w:pPr>
        <w:pStyle w:val="Heading1"/>
        <w:spacing w:before="120"/>
        <w:ind w:left="1077" w:hanging="720"/>
        <w:rPr>
          <w:rFonts w:cs="Times New Roman"/>
          <w:szCs w:val="22"/>
          <w:lang w:val="es-ES_tradnl"/>
        </w:rPr>
      </w:pPr>
      <w:r w:rsidRPr="009C2D9A">
        <w:rPr>
          <w:rFonts w:cs="Times New Roman"/>
          <w:szCs w:val="22"/>
          <w:lang w:val="es-ES_tradnl"/>
        </w:rPr>
        <w:t>I.</w:t>
      </w:r>
      <w:r w:rsidRPr="009C2D9A">
        <w:rPr>
          <w:rFonts w:cs="Times New Roman"/>
          <w:szCs w:val="22"/>
          <w:lang w:val="es-ES_tradnl"/>
        </w:rPr>
        <w:tab/>
      </w:r>
      <w:r w:rsidR="00320CFC" w:rsidRPr="009C2D9A">
        <w:rPr>
          <w:rFonts w:cs="Times New Roman"/>
          <w:szCs w:val="22"/>
          <w:lang w:val="es-ES_tradnl"/>
        </w:rPr>
        <w:t>INTRODUC</w:t>
      </w:r>
      <w:r w:rsidR="00947263" w:rsidRPr="009C2D9A">
        <w:rPr>
          <w:rFonts w:cs="Times New Roman"/>
          <w:szCs w:val="22"/>
          <w:lang w:val="es-ES_tradnl"/>
        </w:rPr>
        <w:t>ción</w:t>
      </w:r>
    </w:p>
    <w:p w14:paraId="543DAD1B" w14:textId="04765E1F" w:rsidR="008C1A8B" w:rsidRPr="009C2D9A" w:rsidRDefault="00F8670A" w:rsidP="009B6BFB">
      <w:pPr>
        <w:pStyle w:val="Para1"/>
        <w:numPr>
          <w:ilvl w:val="0"/>
          <w:numId w:val="0"/>
        </w:numPr>
        <w:pBdr>
          <w:top w:val="nil"/>
          <w:left w:val="nil"/>
          <w:bottom w:val="nil"/>
          <w:right w:val="nil"/>
          <w:between w:val="nil"/>
          <w:bar w:val="nil"/>
        </w:pBdr>
        <w:tabs>
          <w:tab w:val="left" w:pos="720"/>
        </w:tabs>
        <w:spacing w:before="120"/>
        <w:rPr>
          <w:rFonts w:cs="Times New Roman"/>
          <w:snapToGrid/>
          <w:kern w:val="22"/>
          <w:szCs w:val="22"/>
          <w:lang w:val="es-ES_tradnl"/>
        </w:rPr>
      </w:pPr>
      <w:r w:rsidRPr="009C2D9A">
        <w:rPr>
          <w:rFonts w:cs="Times New Roman"/>
          <w:snapToGrid/>
          <w:color w:val="000000"/>
          <w:kern w:val="22"/>
          <w:szCs w:val="22"/>
          <w:lang w:val="es-ES_tradnl"/>
        </w:rPr>
        <w:t>1.</w:t>
      </w:r>
      <w:r w:rsidRPr="009C2D9A">
        <w:rPr>
          <w:rFonts w:cs="Times New Roman"/>
          <w:snapToGrid/>
          <w:color w:val="000000"/>
          <w:kern w:val="22"/>
          <w:szCs w:val="22"/>
          <w:lang w:val="es-ES_tradnl"/>
        </w:rPr>
        <w:tab/>
      </w:r>
      <w:r w:rsidR="008C1A8B" w:rsidRPr="009C2D9A">
        <w:rPr>
          <w:rFonts w:cs="Times New Roman"/>
          <w:kern w:val="22"/>
          <w:szCs w:val="24"/>
          <w:lang w:val="es-ES_tradnl"/>
        </w:rPr>
        <w:t xml:space="preserve">En el artículo 22 del Protocolo de Nagoya se dispone que las Partes cooperarán en el fortalecimiento de los recursos humanos y las capacidades institucionales para aplicar el Protocolo de manera efectiva en las Partes que son países en desarrollo y las Partes con economías en transición. Al hacerlo, las Partes deberán tener plenamente en cuenta las necesidades de las Partes que son países en desarrollo y las Partes con economías en transición y facilitar la participación de las comunidades indígenas y locales y los interesados directos pertinentes. Además, en el artículo 21 del Protocolo de Nagoya se pide que </w:t>
      </w:r>
      <w:r w:rsidR="008E7853">
        <w:rPr>
          <w:lang w:val="es-ES_tradnl"/>
        </w:rPr>
        <w:t>c</w:t>
      </w:r>
      <w:r w:rsidR="008C1A8B" w:rsidRPr="009C2D9A">
        <w:rPr>
          <w:lang w:val="es-ES_tradnl"/>
        </w:rPr>
        <w:t>ada Parte adopte medidas para aumentar la concienciación acerca de la importancia de los recursos genéticos y conocimientos tradicionales asociados a recursos genéticos y de las cuestiones conexas de acceso y participación en los beneficios.</w:t>
      </w:r>
    </w:p>
    <w:p w14:paraId="4A512AF8" w14:textId="614B179F" w:rsidR="003E2C54" w:rsidRPr="009C2D9A" w:rsidRDefault="00310E67" w:rsidP="48732A80">
      <w:pPr>
        <w:rPr>
          <w:rFonts w:cs="Times New Roman"/>
          <w:kern w:val="22"/>
          <w:lang w:val="es-ES_tradnl"/>
        </w:rPr>
      </w:pPr>
      <w:r w:rsidRPr="009C2D9A">
        <w:rPr>
          <w:rFonts w:cs="Times New Roman"/>
          <w:kern w:val="22"/>
          <w:lang w:val="es-ES_tradnl"/>
        </w:rPr>
        <w:t>2.</w:t>
      </w:r>
      <w:r w:rsidRPr="009C2D9A">
        <w:rPr>
          <w:rFonts w:cs="Times New Roman"/>
          <w:kern w:val="22"/>
          <w:szCs w:val="22"/>
          <w:lang w:val="es-ES_tradnl"/>
        </w:rPr>
        <w:tab/>
      </w:r>
      <w:r w:rsidR="00BE2D3C" w:rsidRPr="009C2D9A">
        <w:rPr>
          <w:rFonts w:cs="Times New Roman"/>
          <w:kern w:val="22"/>
          <w:szCs w:val="22"/>
          <w:lang w:val="es-ES_tradnl"/>
        </w:rPr>
        <w:t xml:space="preserve">En </w:t>
      </w:r>
      <w:r w:rsidR="00BE2D3C" w:rsidRPr="009C2D9A">
        <w:rPr>
          <w:rFonts w:cs="Times New Roman"/>
          <w:kern w:val="22"/>
          <w:lang w:val="es-ES_tradnl"/>
        </w:rPr>
        <w:t xml:space="preserve">su decisión </w:t>
      </w:r>
      <w:hyperlink r:id="rId14" w:history="1">
        <w:r w:rsidR="00BE2D3C" w:rsidRPr="009C2D9A">
          <w:rPr>
            <w:rStyle w:val="Hyperlink"/>
            <w:rFonts w:cs="Times New Roman"/>
            <w:kern w:val="22"/>
            <w:lang w:val="es-ES_tradnl"/>
          </w:rPr>
          <w:t>NP-1/8</w:t>
        </w:r>
      </w:hyperlink>
      <w:r w:rsidR="00BE2D3C" w:rsidRPr="009C2D9A">
        <w:rPr>
          <w:rFonts w:cs="Times New Roman"/>
          <w:kern w:val="22"/>
          <w:lang w:val="es-ES_tradnl"/>
        </w:rPr>
        <w:t xml:space="preserve">, las Partes en el Protocolo de Nagoya adoptaron un marco estratégico para la creación y el desarrollo de capacidad en apoyo a la aplicación efectiva del Protocolo y establecieron un </w:t>
      </w:r>
      <w:r w:rsidR="008C5729" w:rsidRPr="009C2D9A">
        <w:rPr>
          <w:rFonts w:cs="Times New Roman"/>
          <w:kern w:val="22"/>
          <w:lang w:val="es-ES_tradnl"/>
        </w:rPr>
        <w:t xml:space="preserve">comité asesor oficioso </w:t>
      </w:r>
      <w:r w:rsidR="00BE2D3C" w:rsidRPr="009C2D9A">
        <w:rPr>
          <w:rFonts w:cs="Times New Roman"/>
          <w:kern w:val="22"/>
          <w:lang w:val="es-ES_tradnl"/>
        </w:rPr>
        <w:t>para asesorar a</w:t>
      </w:r>
      <w:r w:rsidR="008E7853">
        <w:rPr>
          <w:rFonts w:cs="Times New Roman"/>
          <w:kern w:val="22"/>
          <w:lang w:val="es-ES_tradnl"/>
        </w:rPr>
        <w:t xml:space="preserve"> </w:t>
      </w:r>
      <w:r w:rsidR="00BE2D3C" w:rsidRPr="009C2D9A">
        <w:rPr>
          <w:rFonts w:cs="Times New Roman"/>
          <w:kern w:val="22"/>
          <w:lang w:val="es-ES_tradnl"/>
        </w:rPr>
        <w:t>l</w:t>
      </w:r>
      <w:r w:rsidR="008E7853">
        <w:rPr>
          <w:rFonts w:cs="Times New Roman"/>
          <w:kern w:val="22"/>
          <w:lang w:val="es-ES_tradnl"/>
        </w:rPr>
        <w:t>a</w:t>
      </w:r>
      <w:r w:rsidR="00BE2D3C" w:rsidRPr="009C2D9A">
        <w:rPr>
          <w:rFonts w:cs="Times New Roman"/>
          <w:kern w:val="22"/>
          <w:lang w:val="es-ES_tradnl"/>
        </w:rPr>
        <w:t xml:space="preserve"> </w:t>
      </w:r>
      <w:proofErr w:type="gramStart"/>
      <w:r w:rsidR="00BE2D3C" w:rsidRPr="009C2D9A">
        <w:rPr>
          <w:rFonts w:cs="Times New Roman"/>
          <w:kern w:val="22"/>
          <w:lang w:val="es-ES_tradnl"/>
        </w:rPr>
        <w:t>Secretari</w:t>
      </w:r>
      <w:r w:rsidR="008E7853">
        <w:rPr>
          <w:rFonts w:cs="Times New Roman"/>
          <w:kern w:val="22"/>
          <w:lang w:val="es-ES_tradnl"/>
        </w:rPr>
        <w:t>a</w:t>
      </w:r>
      <w:r w:rsidR="00BE2D3C" w:rsidRPr="009C2D9A">
        <w:rPr>
          <w:rFonts w:cs="Times New Roman"/>
          <w:kern w:val="22"/>
          <w:lang w:val="es-ES_tradnl"/>
        </w:rPr>
        <w:t xml:space="preserve"> Ejecutiv</w:t>
      </w:r>
      <w:r w:rsidR="008E7853">
        <w:rPr>
          <w:rFonts w:cs="Times New Roman"/>
          <w:kern w:val="22"/>
          <w:lang w:val="es-ES_tradnl"/>
        </w:rPr>
        <w:t>a</w:t>
      </w:r>
      <w:proofErr w:type="gramEnd"/>
      <w:r w:rsidR="008E7853">
        <w:rPr>
          <w:rFonts w:cs="Times New Roman"/>
          <w:kern w:val="22"/>
          <w:lang w:val="es-ES_tradnl"/>
        </w:rPr>
        <w:t xml:space="preserve"> </w:t>
      </w:r>
      <w:r w:rsidR="00BE2D3C" w:rsidRPr="009C2D9A">
        <w:rPr>
          <w:rFonts w:cs="Times New Roman"/>
          <w:kern w:val="22"/>
          <w:lang w:val="es-ES_tradnl"/>
        </w:rPr>
        <w:t xml:space="preserve">en cuestiones relacionadas con el marco estratégico. </w:t>
      </w:r>
    </w:p>
    <w:p w14:paraId="64BBF6BF" w14:textId="0BDE5D13" w:rsidR="00BE2D3C" w:rsidRPr="009C2D9A" w:rsidRDefault="00F8670A" w:rsidP="00125DE5">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rPr>
        <w:t>3.</w:t>
      </w:r>
      <w:r w:rsidRPr="009C2D9A">
        <w:rPr>
          <w:rFonts w:cs="Times New Roman"/>
          <w:snapToGrid/>
          <w:color w:val="000000"/>
          <w:kern w:val="22"/>
          <w:szCs w:val="22"/>
          <w:lang w:val="es-ES_tradnl"/>
        </w:rPr>
        <w:tab/>
      </w:r>
      <w:r w:rsidR="00BE2D3C" w:rsidRPr="009C2D9A">
        <w:rPr>
          <w:rFonts w:cs="Times New Roman"/>
          <w:snapToGrid/>
          <w:kern w:val="22"/>
          <w:szCs w:val="22"/>
          <w:lang w:val="es-ES_tradnl"/>
        </w:rPr>
        <w:t xml:space="preserve">En la decisión </w:t>
      </w:r>
      <w:hyperlink r:id="rId15" w:history="1">
        <w:r w:rsidR="00BE2D3C" w:rsidRPr="009C2D9A">
          <w:rPr>
            <w:rStyle w:val="Hyperlink"/>
            <w:rFonts w:cs="Times New Roman"/>
            <w:snapToGrid/>
            <w:kern w:val="22"/>
            <w:szCs w:val="22"/>
            <w:lang w:val="es-ES_tradnl"/>
          </w:rPr>
          <w:t>NP-3/5</w:t>
        </w:r>
      </w:hyperlink>
      <w:r w:rsidR="00BE2D3C" w:rsidRPr="009C2D9A">
        <w:rPr>
          <w:rFonts w:cs="Times New Roman"/>
          <w:snapToGrid/>
          <w:kern w:val="22"/>
          <w:szCs w:val="22"/>
          <w:lang w:val="es-ES_tradnl"/>
        </w:rPr>
        <w:t xml:space="preserve">, las Partes decidieron </w:t>
      </w:r>
      <w:r w:rsidR="00BE2D3C" w:rsidRPr="009C2D9A">
        <w:rPr>
          <w:lang w:val="es-ES_tradnl"/>
        </w:rPr>
        <w:t xml:space="preserve">evaluar el marco estratégico para la creación y el desarrollo de capacidad en apoyo a la aplicación efectiva del Protocolo de Nagoya y pidió que la </w:t>
      </w:r>
      <w:proofErr w:type="gramStart"/>
      <w:r w:rsidR="00BE2D3C" w:rsidRPr="009C2D9A">
        <w:rPr>
          <w:lang w:val="es-ES_tradnl"/>
        </w:rPr>
        <w:t>Secretaria Ejecutiva</w:t>
      </w:r>
      <w:proofErr w:type="gramEnd"/>
      <w:r w:rsidR="00BE2D3C" w:rsidRPr="009C2D9A">
        <w:rPr>
          <w:lang w:val="es-ES_tradnl"/>
        </w:rPr>
        <w:t xml:space="preserve"> prepara</w:t>
      </w:r>
      <w:r w:rsidR="005733CE" w:rsidRPr="009C2D9A">
        <w:rPr>
          <w:lang w:val="es-ES_tradnl"/>
        </w:rPr>
        <w:t xml:space="preserve">ra </w:t>
      </w:r>
      <w:r w:rsidR="00BE2D3C" w:rsidRPr="009C2D9A">
        <w:rPr>
          <w:lang w:val="es-ES_tradnl"/>
        </w:rPr>
        <w:t>la evaluación y presenta</w:t>
      </w:r>
      <w:r w:rsidR="005733CE" w:rsidRPr="009C2D9A">
        <w:rPr>
          <w:lang w:val="es-ES_tradnl"/>
        </w:rPr>
        <w:t xml:space="preserve">ra </w:t>
      </w:r>
      <w:r w:rsidR="00BE2D3C" w:rsidRPr="009C2D9A">
        <w:rPr>
          <w:lang w:val="es-ES_tradnl"/>
        </w:rPr>
        <w:t>su informe al Órgano Subsidiario sobre la Aplicación para que lo examine en su tercera reunión. Las Partes pidieron además que aport</w:t>
      </w:r>
      <w:r w:rsidR="005733CE" w:rsidRPr="009C2D9A">
        <w:rPr>
          <w:lang w:val="es-ES_tradnl"/>
        </w:rPr>
        <w:t>ara</w:t>
      </w:r>
      <w:r w:rsidR="00BE2D3C" w:rsidRPr="009C2D9A">
        <w:rPr>
          <w:lang w:val="es-ES_tradnl"/>
        </w:rPr>
        <w:t xml:space="preserve"> insumos para la evaluación del marco estratégico mediante un examen de las conclusiones preliminares y brindando información y recomendaciones adicionales</w:t>
      </w:r>
      <w:r w:rsidR="005733CE" w:rsidRPr="009C2D9A">
        <w:rPr>
          <w:lang w:val="es-ES_tradnl"/>
        </w:rPr>
        <w:t>.</w:t>
      </w:r>
    </w:p>
    <w:p w14:paraId="1F6912F3" w14:textId="28CA3D28" w:rsidR="00310E67" w:rsidRPr="009C2D9A" w:rsidRDefault="009D32BA" w:rsidP="00010EB1">
      <w:pPr>
        <w:pStyle w:val="Para1"/>
        <w:numPr>
          <w:ilvl w:val="0"/>
          <w:numId w:val="0"/>
        </w:numPr>
        <w:pBdr>
          <w:top w:val="nil"/>
          <w:left w:val="nil"/>
          <w:bottom w:val="nil"/>
          <w:right w:val="nil"/>
          <w:between w:val="nil"/>
          <w:bar w:val="nil"/>
        </w:pBdr>
        <w:spacing w:before="120"/>
        <w:rPr>
          <w:rFonts w:cs="Times New Roman"/>
          <w:snapToGrid/>
          <w:kern w:val="22"/>
          <w:szCs w:val="22"/>
          <w:highlight w:val="yellow"/>
          <w:lang w:val="es-ES_tradnl"/>
        </w:rPr>
      </w:pPr>
      <w:r w:rsidRPr="009C2D9A">
        <w:rPr>
          <w:rFonts w:cs="Times New Roman"/>
          <w:snapToGrid/>
          <w:kern w:val="22"/>
          <w:szCs w:val="22"/>
          <w:lang w:val="es-ES_tradnl"/>
        </w:rPr>
        <w:t>4.</w:t>
      </w:r>
      <w:r w:rsidRPr="009C2D9A">
        <w:rPr>
          <w:rFonts w:cs="Times New Roman"/>
          <w:snapToGrid/>
          <w:kern w:val="22"/>
          <w:szCs w:val="22"/>
          <w:lang w:val="es-ES_tradnl"/>
        </w:rPr>
        <w:tab/>
      </w:r>
      <w:r w:rsidR="005733CE" w:rsidRPr="009C2D9A">
        <w:rPr>
          <w:rFonts w:cs="Times New Roman"/>
          <w:snapToGrid/>
          <w:kern w:val="22"/>
          <w:szCs w:val="22"/>
          <w:lang w:val="es-ES_tradnl"/>
        </w:rPr>
        <w:t xml:space="preserve">De conformidad con dicha decisión, el </w:t>
      </w:r>
      <w:r w:rsidR="005733CE" w:rsidRPr="009C2D9A">
        <w:rPr>
          <w:lang w:val="es-ES_tradnl"/>
        </w:rPr>
        <w:t xml:space="preserve">Órgano Subsidiario sobre la Aplicación </w:t>
      </w:r>
      <w:r w:rsidR="005733CE" w:rsidRPr="009C2D9A">
        <w:rPr>
          <w:rFonts w:cs="Times New Roman"/>
          <w:snapToGrid/>
          <w:kern w:val="22"/>
          <w:szCs w:val="22"/>
          <w:lang w:val="es-ES_tradnl"/>
        </w:rPr>
        <w:t xml:space="preserve">examinó la evaluación del marco estratégico y adoptó la recomendación </w:t>
      </w:r>
      <w:r w:rsidR="00FD6901" w:rsidRPr="009C2D9A">
        <w:rPr>
          <w:rFonts w:cs="Times New Roman"/>
          <w:kern w:val="22"/>
          <w:szCs w:val="22"/>
          <w:lang w:val="es-ES_tradnl"/>
        </w:rPr>
        <w:t>SBI-3/9</w:t>
      </w:r>
      <w:r w:rsidR="004B274A" w:rsidRPr="009C2D9A">
        <w:rPr>
          <w:rFonts w:cs="Times New Roman"/>
          <w:kern w:val="22"/>
          <w:szCs w:val="22"/>
          <w:lang w:val="es-ES_tradnl"/>
        </w:rPr>
        <w:t xml:space="preserve">, </w:t>
      </w:r>
      <w:r w:rsidR="005733CE" w:rsidRPr="009C2D9A">
        <w:rPr>
          <w:rFonts w:cs="Times New Roman"/>
          <w:kern w:val="22"/>
          <w:szCs w:val="22"/>
          <w:lang w:val="es-ES_tradnl"/>
        </w:rPr>
        <w:t xml:space="preserve">que contiene un proyecto de decisión </w:t>
      </w:r>
      <w:r w:rsidR="005733CE" w:rsidRPr="009C2D9A">
        <w:rPr>
          <w:rFonts w:cs="Times New Roman"/>
          <w:kern w:val="22"/>
          <w:szCs w:val="22"/>
          <w:lang w:val="es-ES_tradnl"/>
        </w:rPr>
        <w:lastRenderedPageBreak/>
        <w:t>para que lo examine la Conferencia de las Partes que actúa como reunión de las Partes en el Protocolo en relación con este tema del programa</w:t>
      </w:r>
      <w:r w:rsidR="007E1910" w:rsidRPr="009C2D9A">
        <w:rPr>
          <w:rFonts w:cs="Times New Roman"/>
          <w:kern w:val="22"/>
          <w:szCs w:val="22"/>
          <w:lang w:val="es-ES_tradnl"/>
        </w:rPr>
        <w:t xml:space="preserve">. </w:t>
      </w:r>
    </w:p>
    <w:p w14:paraId="07BBF802" w14:textId="345383F0" w:rsidR="00CC015F" w:rsidRPr="009C2D9A" w:rsidRDefault="00C96428" w:rsidP="007A3048">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rPr>
        <w:t>5</w:t>
      </w:r>
      <w:r w:rsidR="00F8670A" w:rsidRPr="009C2D9A">
        <w:rPr>
          <w:rFonts w:cs="Times New Roman"/>
          <w:snapToGrid/>
          <w:color w:val="000000"/>
          <w:kern w:val="22"/>
          <w:szCs w:val="22"/>
          <w:lang w:val="es-ES_tradnl"/>
        </w:rPr>
        <w:t>.</w:t>
      </w:r>
      <w:r w:rsidR="002F3707" w:rsidRPr="009C2D9A">
        <w:rPr>
          <w:rFonts w:cs="Times New Roman"/>
          <w:snapToGrid/>
          <w:color w:val="000000"/>
          <w:kern w:val="22"/>
          <w:szCs w:val="22"/>
          <w:lang w:val="es-ES_tradnl"/>
        </w:rPr>
        <w:tab/>
      </w:r>
      <w:r w:rsidR="00C85007" w:rsidRPr="009C2D9A">
        <w:rPr>
          <w:rFonts w:cs="Times New Roman"/>
          <w:snapToGrid/>
          <w:color w:val="000000"/>
          <w:kern w:val="22"/>
          <w:szCs w:val="22"/>
          <w:lang w:val="es-ES_tradnl"/>
        </w:rPr>
        <w:t>En la decisión</w:t>
      </w:r>
      <w:r w:rsidR="00125DE5" w:rsidRPr="009C2D9A">
        <w:rPr>
          <w:rFonts w:cs="Times New Roman"/>
          <w:snapToGrid/>
          <w:kern w:val="22"/>
          <w:szCs w:val="22"/>
          <w:lang w:val="es-ES_tradnl"/>
        </w:rPr>
        <w:t xml:space="preserve"> </w:t>
      </w:r>
      <w:hyperlink r:id="rId16" w:history="1">
        <w:r w:rsidR="00125DE5" w:rsidRPr="009C2D9A">
          <w:rPr>
            <w:rStyle w:val="Hyperlink"/>
            <w:rFonts w:cs="Times New Roman"/>
            <w:snapToGrid/>
            <w:kern w:val="22"/>
            <w:szCs w:val="22"/>
            <w:lang w:val="es-ES_tradnl"/>
          </w:rPr>
          <w:t>NP-3/1</w:t>
        </w:r>
      </w:hyperlink>
      <w:r w:rsidR="00125DE5" w:rsidRPr="009C2D9A">
        <w:rPr>
          <w:rFonts w:cs="Times New Roman"/>
          <w:snapToGrid/>
          <w:kern w:val="22"/>
          <w:szCs w:val="22"/>
          <w:lang w:val="es-ES_tradnl"/>
        </w:rPr>
        <w:t xml:space="preserve"> </w:t>
      </w:r>
      <w:r w:rsidR="006F3754">
        <w:rPr>
          <w:rFonts w:cs="Times New Roman"/>
          <w:snapToGrid/>
          <w:kern w:val="22"/>
          <w:szCs w:val="22"/>
          <w:lang w:val="es-ES_tradnl"/>
        </w:rPr>
        <w:t xml:space="preserve">se </w:t>
      </w:r>
      <w:r w:rsidR="00C85007" w:rsidRPr="009C2D9A">
        <w:rPr>
          <w:rFonts w:cs="Times New Roman"/>
          <w:snapToGrid/>
          <w:kern w:val="22"/>
          <w:szCs w:val="22"/>
          <w:lang w:val="es-ES_tradnl"/>
        </w:rPr>
        <w:t>alentó</w:t>
      </w:r>
      <w:r w:rsidR="006F3754">
        <w:rPr>
          <w:rFonts w:cs="Times New Roman"/>
          <w:snapToGrid/>
          <w:kern w:val="22"/>
          <w:szCs w:val="22"/>
          <w:lang w:val="es-ES_tradnl"/>
        </w:rPr>
        <w:t xml:space="preserve"> a intensificar los esfuerzos</w:t>
      </w:r>
      <w:r w:rsidR="00C85007" w:rsidRPr="009C2D9A">
        <w:rPr>
          <w:rFonts w:cs="Times New Roman"/>
          <w:snapToGrid/>
          <w:kern w:val="22"/>
          <w:szCs w:val="22"/>
          <w:lang w:val="es-ES_tradnl"/>
        </w:rPr>
        <w:t xml:space="preserve"> dirigidos a crear y desarrollar capacidad, teniendo en cuenta los </w:t>
      </w:r>
      <w:r w:rsidR="00C85007" w:rsidRPr="009C2D9A">
        <w:rPr>
          <w:lang w:val="es-ES_tradnl"/>
        </w:rPr>
        <w:t xml:space="preserve">temas prioritarios </w:t>
      </w:r>
      <w:r w:rsidR="006F3754">
        <w:rPr>
          <w:lang w:val="es-ES_tradnl"/>
        </w:rPr>
        <w:t xml:space="preserve">indicados </w:t>
      </w:r>
      <w:r w:rsidR="00C85007" w:rsidRPr="009C2D9A">
        <w:rPr>
          <w:lang w:val="es-ES_tradnl"/>
        </w:rPr>
        <w:t xml:space="preserve">en la evaluación y examen de la eficacia del Protocolo, </w:t>
      </w:r>
      <w:r w:rsidR="00C85007" w:rsidRPr="009C2D9A">
        <w:rPr>
          <w:rFonts w:cs="Times New Roman"/>
          <w:snapToGrid/>
          <w:kern w:val="22"/>
          <w:szCs w:val="22"/>
          <w:lang w:val="es-ES_tradnl"/>
        </w:rPr>
        <w:t xml:space="preserve">la necesidad de </w:t>
      </w:r>
      <w:r w:rsidR="00C85007" w:rsidRPr="009C2D9A">
        <w:rPr>
          <w:lang w:val="es-ES_tradnl"/>
        </w:rPr>
        <w:t>fortalecer las capacidades institucionales</w:t>
      </w:r>
      <w:r w:rsidR="00125DE5" w:rsidRPr="009C2D9A">
        <w:rPr>
          <w:rFonts w:cs="Times New Roman"/>
          <w:snapToGrid/>
          <w:kern w:val="22"/>
          <w:szCs w:val="22"/>
          <w:lang w:val="es-ES_tradnl"/>
        </w:rPr>
        <w:t>, a</w:t>
      </w:r>
      <w:r w:rsidR="00C85007" w:rsidRPr="009C2D9A">
        <w:rPr>
          <w:rFonts w:cs="Times New Roman"/>
          <w:snapToGrid/>
          <w:kern w:val="22"/>
          <w:szCs w:val="22"/>
          <w:lang w:val="es-ES_tradnl"/>
        </w:rPr>
        <w:t>sí como las necesidades y prioridades de los pueblos indígenas y las comunidades locales y los interesados directos pertinentes</w:t>
      </w:r>
      <w:r w:rsidR="002C6370" w:rsidRPr="009C2D9A">
        <w:rPr>
          <w:rFonts w:cs="Times New Roman"/>
          <w:snapToGrid/>
          <w:kern w:val="22"/>
          <w:szCs w:val="22"/>
          <w:lang w:val="es-ES_tradnl"/>
        </w:rPr>
        <w:t>.</w:t>
      </w:r>
    </w:p>
    <w:p w14:paraId="08538C11" w14:textId="5AECCCD5" w:rsidR="000D444A" w:rsidRPr="009C2D9A" w:rsidRDefault="005D4D8E" w:rsidP="00010EB1">
      <w:pPr>
        <w:pStyle w:val="Para1"/>
        <w:numPr>
          <w:ilvl w:val="0"/>
          <w:numId w:val="0"/>
        </w:numPr>
        <w:pBdr>
          <w:top w:val="nil"/>
          <w:left w:val="nil"/>
          <w:bottom w:val="nil"/>
          <w:right w:val="nil"/>
          <w:between w:val="nil"/>
          <w:bar w:val="nil"/>
        </w:pBdr>
        <w:spacing w:before="120"/>
        <w:rPr>
          <w:rFonts w:cs="Times New Roman"/>
          <w:snapToGrid/>
          <w:color w:val="000000"/>
          <w:kern w:val="22"/>
          <w:szCs w:val="22"/>
          <w:lang w:val="es-ES_tradnl"/>
        </w:rPr>
      </w:pPr>
      <w:r w:rsidRPr="009C2D9A">
        <w:rPr>
          <w:rFonts w:cs="Times New Roman"/>
          <w:snapToGrid/>
          <w:color w:val="000000"/>
          <w:kern w:val="22"/>
          <w:szCs w:val="22"/>
          <w:lang w:val="es-ES_tradnl"/>
        </w:rPr>
        <w:t>6.</w:t>
      </w:r>
      <w:r w:rsidRPr="009C2D9A">
        <w:rPr>
          <w:rFonts w:cs="Times New Roman"/>
          <w:snapToGrid/>
          <w:color w:val="000000"/>
          <w:kern w:val="22"/>
          <w:szCs w:val="22"/>
          <w:lang w:val="es-ES_tradnl"/>
        </w:rPr>
        <w:tab/>
      </w:r>
      <w:r w:rsidR="000D444A" w:rsidRPr="009C2D9A">
        <w:rPr>
          <w:rFonts w:cs="Times New Roman"/>
          <w:snapToGrid/>
          <w:color w:val="000000"/>
          <w:kern w:val="22"/>
          <w:szCs w:val="22"/>
          <w:lang w:val="es-ES_tradnl"/>
        </w:rPr>
        <w:t xml:space="preserve">En la decisión </w:t>
      </w:r>
      <w:r w:rsidR="000D444A" w:rsidRPr="009C2D9A">
        <w:rPr>
          <w:rFonts w:cs="Times New Roman"/>
          <w:snapToGrid/>
          <w:kern w:val="22"/>
          <w:szCs w:val="22"/>
          <w:lang w:val="es-ES_tradnl"/>
        </w:rPr>
        <w:t xml:space="preserve">NP-3/5, las Partes también pidieron a la Secretaria Ejecutiva que, </w:t>
      </w:r>
      <w:r w:rsidR="000D444A" w:rsidRPr="009C2D9A">
        <w:rPr>
          <w:lang w:val="es-ES_tradnl"/>
        </w:rPr>
        <w:t>con sujeción a la disponibilidad de recursos,</w:t>
      </w:r>
      <w:r w:rsidR="000D444A" w:rsidRPr="009C2D9A">
        <w:rPr>
          <w:rFonts w:cs="Times New Roman"/>
          <w:snapToGrid/>
          <w:color w:val="000000"/>
          <w:kern w:val="22"/>
          <w:szCs w:val="22"/>
          <w:lang w:val="es-ES_tradnl"/>
        </w:rPr>
        <w:t xml:space="preserve"> c</w:t>
      </w:r>
      <w:r w:rsidR="000D444A" w:rsidRPr="009C2D9A">
        <w:rPr>
          <w:lang w:val="es-ES_tradnl"/>
        </w:rPr>
        <w:t>ontinúe llevando a cabo y facilitando actividades de creación de capacidad en apoyo a la ratificación y aplicación del Protocolo de Nagoya, según lo indicado en el plan de acción a corto plazo (</w:t>
      </w:r>
      <w:r w:rsidR="000D444A" w:rsidRPr="009C2D9A">
        <w:rPr>
          <w:rFonts w:cs="Times New Roman"/>
          <w:snapToGrid/>
          <w:color w:val="000000"/>
          <w:kern w:val="22"/>
          <w:szCs w:val="22"/>
          <w:lang w:val="es-ES_tradnl"/>
        </w:rPr>
        <w:t>2017-2020)</w:t>
      </w:r>
      <w:r w:rsidR="000D444A" w:rsidRPr="009C2D9A">
        <w:rPr>
          <w:lang w:val="es-ES_tradnl"/>
        </w:rPr>
        <w:t xml:space="preserve"> para mejorar y apoyar la creación de capacidad para la implementación del Convenio y sus Protocolos, que figura en el anexo de la decisión </w:t>
      </w:r>
      <w:hyperlink r:id="rId17" w:history="1">
        <w:r w:rsidR="000D444A" w:rsidRPr="009C2D9A">
          <w:rPr>
            <w:rStyle w:val="Hyperlink"/>
            <w:rFonts w:cs="Times New Roman"/>
            <w:snapToGrid/>
            <w:kern w:val="22"/>
            <w:szCs w:val="22"/>
            <w:lang w:val="es-ES_tradnl"/>
          </w:rPr>
          <w:t>NP-2/8</w:t>
        </w:r>
      </w:hyperlink>
      <w:r w:rsidR="000D444A" w:rsidRPr="009C2D9A">
        <w:rPr>
          <w:rFonts w:cs="Times New Roman"/>
          <w:snapToGrid/>
          <w:color w:val="000000"/>
          <w:kern w:val="22"/>
          <w:szCs w:val="22"/>
          <w:lang w:val="es-ES_tradnl"/>
        </w:rPr>
        <w:t>.</w:t>
      </w:r>
    </w:p>
    <w:p w14:paraId="1B7BA9F6" w14:textId="21157084" w:rsidR="00C85007" w:rsidRPr="009C2D9A" w:rsidRDefault="005D4D8E" w:rsidP="007A3048">
      <w:pPr>
        <w:pStyle w:val="Para1"/>
        <w:numPr>
          <w:ilvl w:val="0"/>
          <w:numId w:val="0"/>
        </w:numPr>
        <w:pBdr>
          <w:top w:val="nil"/>
          <w:left w:val="nil"/>
          <w:bottom w:val="nil"/>
          <w:right w:val="nil"/>
          <w:between w:val="nil"/>
          <w:bar w:val="nil"/>
        </w:pBdr>
        <w:spacing w:before="120"/>
        <w:rPr>
          <w:snapToGrid/>
          <w:kern w:val="22"/>
          <w:szCs w:val="22"/>
          <w:lang w:val="es-ES_tradnl"/>
        </w:rPr>
      </w:pPr>
      <w:r w:rsidRPr="009C2D9A">
        <w:rPr>
          <w:rFonts w:cs="Times New Roman"/>
          <w:snapToGrid/>
          <w:kern w:val="22"/>
          <w:szCs w:val="22"/>
          <w:lang w:val="es-ES_tradnl"/>
        </w:rPr>
        <w:t>7</w:t>
      </w:r>
      <w:r w:rsidR="007A3048" w:rsidRPr="009C2D9A">
        <w:rPr>
          <w:rFonts w:cs="Times New Roman"/>
          <w:snapToGrid/>
          <w:kern w:val="22"/>
          <w:szCs w:val="22"/>
          <w:lang w:val="es-ES_tradnl"/>
        </w:rPr>
        <w:t>.</w:t>
      </w:r>
      <w:r w:rsidR="007A3048" w:rsidRPr="009C2D9A">
        <w:rPr>
          <w:rFonts w:cs="Times New Roman"/>
          <w:snapToGrid/>
          <w:kern w:val="22"/>
          <w:szCs w:val="22"/>
          <w:lang w:val="es-ES_tradnl"/>
        </w:rPr>
        <w:tab/>
      </w:r>
      <w:r w:rsidR="00C85007" w:rsidRPr="009C2D9A">
        <w:rPr>
          <w:snapToGrid/>
          <w:kern w:val="22"/>
          <w:szCs w:val="22"/>
          <w:lang w:val="es-ES_tradnl"/>
        </w:rPr>
        <w:t xml:space="preserve">En la decisión </w:t>
      </w:r>
      <w:hyperlink r:id="rId18" w:history="1">
        <w:r w:rsidR="007A3048" w:rsidRPr="009C2D9A">
          <w:rPr>
            <w:rStyle w:val="Hyperlink"/>
            <w:lang w:val="es-ES_tradnl"/>
          </w:rPr>
          <w:t>NP</w:t>
        </w:r>
        <w:r w:rsidR="00530839" w:rsidRPr="009C2D9A">
          <w:rPr>
            <w:rStyle w:val="Hyperlink"/>
            <w:lang w:val="es-ES_tradnl"/>
          </w:rPr>
          <w:t>-</w:t>
        </w:r>
        <w:r w:rsidR="007A3048" w:rsidRPr="009C2D9A">
          <w:rPr>
            <w:rStyle w:val="Hyperlink"/>
            <w:lang w:val="es-ES_tradnl"/>
          </w:rPr>
          <w:t>1/9</w:t>
        </w:r>
      </w:hyperlink>
      <w:r w:rsidR="007A3048" w:rsidRPr="009C2D9A">
        <w:rPr>
          <w:snapToGrid/>
          <w:kern w:val="22"/>
          <w:szCs w:val="22"/>
          <w:lang w:val="es-ES_tradnl"/>
        </w:rPr>
        <w:t xml:space="preserve">, </w:t>
      </w:r>
      <w:r w:rsidR="00C85007" w:rsidRPr="009C2D9A">
        <w:rPr>
          <w:snapToGrid/>
          <w:kern w:val="22"/>
          <w:szCs w:val="22"/>
          <w:lang w:val="es-ES_tradnl"/>
        </w:rPr>
        <w:t xml:space="preserve">la Conferencia de las Partes que actúa como reunión de las Partes en el Protocolo de Nagoya adoptó una estrategia de </w:t>
      </w:r>
      <w:r w:rsidR="00C85007" w:rsidRPr="009C2D9A">
        <w:rPr>
          <w:rFonts w:cs="Times New Roman"/>
          <w:snapToGrid/>
          <w:kern w:val="22"/>
          <w:szCs w:val="22"/>
          <w:lang w:val="es-ES_tradnl"/>
        </w:rPr>
        <w:t xml:space="preserve">estrategia de aumento de la concienciación </w:t>
      </w:r>
      <w:r w:rsidR="006F3754">
        <w:rPr>
          <w:rFonts w:cs="Times New Roman"/>
          <w:snapToGrid/>
          <w:kern w:val="22"/>
          <w:szCs w:val="22"/>
          <w:lang w:val="es-ES_tradnl"/>
        </w:rPr>
        <w:t xml:space="preserve">que </w:t>
      </w:r>
      <w:r w:rsidR="00C85007" w:rsidRPr="009C2D9A">
        <w:rPr>
          <w:lang w:val="es-ES_tradnl"/>
        </w:rPr>
        <w:t>tiene como objetivo proporcionar un enfoque sistemático y coherente para ayudar a las Partes a aplicar el artículo 21</w:t>
      </w:r>
      <w:r w:rsidR="007A3048" w:rsidRPr="009C2D9A">
        <w:rPr>
          <w:snapToGrid/>
          <w:kern w:val="22"/>
          <w:szCs w:val="22"/>
          <w:lang w:val="es-ES_tradnl"/>
        </w:rPr>
        <w:t xml:space="preserve">. </w:t>
      </w:r>
      <w:r w:rsidR="00C85007" w:rsidRPr="009C2D9A">
        <w:rPr>
          <w:lang w:val="es-ES_tradnl"/>
        </w:rPr>
        <w:t xml:space="preserve">Reconoció la necesidad de vincular las actividades relacionadas con el artículo 21 a otras actividades de desarrollo de capacidad en el marco del Protocolo de Nagoya, conforme al programa de trabajo para </w:t>
      </w:r>
      <w:r w:rsidR="00A52C56" w:rsidRPr="009C2D9A">
        <w:rPr>
          <w:lang w:val="es-ES_tradnl"/>
        </w:rPr>
        <w:t>c</w:t>
      </w:r>
      <w:r w:rsidR="00C85007" w:rsidRPr="009C2D9A">
        <w:rPr>
          <w:lang w:val="es-ES_tradnl"/>
        </w:rPr>
        <w:t>omunicación, educación y conciencia pública (CEPA), y otras iniciativas de divulgación del Convenio</w:t>
      </w:r>
      <w:r w:rsidR="00A52C56" w:rsidRPr="009C2D9A">
        <w:rPr>
          <w:lang w:val="es-ES_tradnl"/>
        </w:rPr>
        <w:t xml:space="preserve"> sobre la Diversidad Biológica</w:t>
      </w:r>
      <w:r w:rsidR="006F3754">
        <w:rPr>
          <w:lang w:val="es-ES_tradnl"/>
        </w:rPr>
        <w:t>.</w:t>
      </w:r>
    </w:p>
    <w:p w14:paraId="094B0F5F" w14:textId="33D69E34" w:rsidR="00A52C56" w:rsidRPr="009C2D9A" w:rsidRDefault="005D4D8E" w:rsidP="00A52C56">
      <w:pPr>
        <w:rPr>
          <w:rFonts w:cs="Times New Roman"/>
          <w:kern w:val="22"/>
          <w:szCs w:val="22"/>
          <w:lang w:val="es-ES_tradnl"/>
        </w:rPr>
      </w:pPr>
      <w:r w:rsidRPr="009C2D9A">
        <w:rPr>
          <w:rFonts w:cs="Times New Roman"/>
          <w:kern w:val="22"/>
          <w:szCs w:val="22"/>
          <w:lang w:val="es-ES_tradnl"/>
        </w:rPr>
        <w:t>8</w:t>
      </w:r>
      <w:r w:rsidR="008F4B48" w:rsidRPr="009C2D9A">
        <w:rPr>
          <w:rFonts w:cs="Times New Roman"/>
          <w:kern w:val="22"/>
          <w:szCs w:val="22"/>
          <w:lang w:val="es-ES_tradnl"/>
        </w:rPr>
        <w:t>.</w:t>
      </w:r>
      <w:r w:rsidR="008F4B48" w:rsidRPr="009C2D9A">
        <w:rPr>
          <w:rFonts w:cs="Times New Roman"/>
          <w:kern w:val="22"/>
          <w:szCs w:val="22"/>
          <w:lang w:val="es-ES_tradnl"/>
        </w:rPr>
        <w:tab/>
      </w:r>
      <w:r w:rsidR="00A52C56" w:rsidRPr="009C2D9A">
        <w:rPr>
          <w:rFonts w:cs="Times New Roman"/>
          <w:kern w:val="22"/>
          <w:szCs w:val="22"/>
          <w:lang w:val="es-ES_tradnl"/>
        </w:rPr>
        <w:t xml:space="preserve">En la decisión </w:t>
      </w:r>
      <w:hyperlink r:id="rId19" w:history="1">
        <w:r w:rsidR="00030368" w:rsidRPr="009C2D9A">
          <w:rPr>
            <w:rStyle w:val="Hyperlink"/>
            <w:rFonts w:cs="Times New Roman"/>
            <w:kern w:val="22"/>
            <w:szCs w:val="22"/>
            <w:lang w:val="es-ES_tradnl"/>
          </w:rPr>
          <w:t>NP</w:t>
        </w:r>
        <w:r w:rsidR="00530839" w:rsidRPr="009C2D9A">
          <w:rPr>
            <w:rStyle w:val="Hyperlink"/>
            <w:rFonts w:cs="Times New Roman"/>
            <w:kern w:val="22"/>
            <w:szCs w:val="22"/>
            <w:lang w:val="es-ES_tradnl"/>
          </w:rPr>
          <w:t>-</w:t>
        </w:r>
        <w:r w:rsidR="00030368" w:rsidRPr="009C2D9A">
          <w:rPr>
            <w:rStyle w:val="Hyperlink"/>
            <w:rFonts w:cs="Times New Roman"/>
            <w:kern w:val="22"/>
            <w:szCs w:val="22"/>
            <w:lang w:val="es-ES_tradnl"/>
          </w:rPr>
          <w:t>3/6</w:t>
        </w:r>
      </w:hyperlink>
      <w:r w:rsidR="00030368" w:rsidRPr="009C2D9A">
        <w:rPr>
          <w:rFonts w:cs="Times New Roman"/>
          <w:kern w:val="22"/>
          <w:szCs w:val="22"/>
          <w:lang w:val="es-ES_tradnl"/>
        </w:rPr>
        <w:t xml:space="preserve"> </w:t>
      </w:r>
      <w:r w:rsidR="00A52C56" w:rsidRPr="009C2D9A">
        <w:rPr>
          <w:rFonts w:cs="Times New Roman"/>
          <w:kern w:val="22"/>
          <w:szCs w:val="22"/>
          <w:lang w:val="es-ES_tradnl"/>
        </w:rPr>
        <w:t xml:space="preserve">se pidió a las Partes, Estados que no son Partes, organismos pertinentes y otros actores que continúen llevando a cabo actividades de aumento de la concienciación y se pidió </w:t>
      </w:r>
      <w:r w:rsidR="006F3754">
        <w:rPr>
          <w:rFonts w:cs="Times New Roman"/>
          <w:kern w:val="22"/>
          <w:szCs w:val="22"/>
          <w:lang w:val="es-ES_tradnl"/>
        </w:rPr>
        <w:t xml:space="preserve">a </w:t>
      </w:r>
      <w:r w:rsidR="00A52C56" w:rsidRPr="009C2D9A">
        <w:rPr>
          <w:rFonts w:cs="Times New Roman"/>
          <w:kern w:val="22"/>
          <w:szCs w:val="22"/>
          <w:lang w:val="es-ES_tradnl"/>
        </w:rPr>
        <w:t>la Secretaria Ejecutiva que recab</w:t>
      </w:r>
      <w:r w:rsidR="00650C4A" w:rsidRPr="009C2D9A">
        <w:rPr>
          <w:rFonts w:cs="Times New Roman"/>
          <w:kern w:val="22"/>
          <w:szCs w:val="22"/>
          <w:lang w:val="es-ES_tradnl"/>
        </w:rPr>
        <w:t>ara</w:t>
      </w:r>
      <w:r w:rsidR="00A52C56" w:rsidRPr="009C2D9A">
        <w:rPr>
          <w:rFonts w:cs="Times New Roman"/>
          <w:kern w:val="22"/>
          <w:szCs w:val="22"/>
          <w:lang w:val="es-ES_tradnl"/>
        </w:rPr>
        <w:t xml:space="preserve"> comentarios de las Partes, Estados que no son Partes y otros actores pertinentes con respecto al paquete de herramientas de aumento de la concienciación sobre acceso y participación en los beneficios</w:t>
      </w:r>
      <w:r w:rsidR="00650C4A" w:rsidRPr="009C2D9A">
        <w:rPr>
          <w:rFonts w:cs="Times New Roman"/>
          <w:kern w:val="22"/>
          <w:szCs w:val="22"/>
          <w:lang w:val="es-ES_tradnl"/>
        </w:rPr>
        <w:t xml:space="preserve"> elaborado por la Secretaría</w:t>
      </w:r>
      <w:r w:rsidR="00A52C56" w:rsidRPr="009C2D9A">
        <w:rPr>
          <w:rFonts w:cs="Times New Roman"/>
          <w:kern w:val="22"/>
          <w:szCs w:val="22"/>
          <w:lang w:val="es-ES_tradnl"/>
        </w:rPr>
        <w:t>, y que proporcion</w:t>
      </w:r>
      <w:r w:rsidR="00650C4A" w:rsidRPr="009C2D9A">
        <w:rPr>
          <w:rFonts w:cs="Times New Roman"/>
          <w:kern w:val="22"/>
          <w:szCs w:val="22"/>
          <w:lang w:val="es-ES_tradnl"/>
        </w:rPr>
        <w:t>ara</w:t>
      </w:r>
      <w:r w:rsidR="00A52C56" w:rsidRPr="009C2D9A">
        <w:rPr>
          <w:rFonts w:cs="Times New Roman"/>
          <w:kern w:val="22"/>
          <w:szCs w:val="22"/>
          <w:lang w:val="es-ES_tradnl"/>
        </w:rPr>
        <w:t xml:space="preserve"> información actualizada sobre los progresos realizados en la aplicación de la estrategia de aumento de la concienciación para su consideración por la Conferencia de las Partes que actúa como reunión de las Partes en el Protocolo de Nagoya en su cuarta reunión.</w:t>
      </w:r>
    </w:p>
    <w:p w14:paraId="6B3D2952" w14:textId="0F7C2960" w:rsidR="00B75F96" w:rsidRPr="009C2D9A" w:rsidRDefault="005D4D8E" w:rsidP="00EE57C3">
      <w:pPr>
        <w:pStyle w:val="Para1"/>
        <w:numPr>
          <w:ilvl w:val="0"/>
          <w:numId w:val="0"/>
        </w:numPr>
        <w:pBdr>
          <w:top w:val="nil"/>
          <w:left w:val="nil"/>
          <w:bottom w:val="nil"/>
          <w:right w:val="nil"/>
          <w:between w:val="nil"/>
          <w:bar w:val="nil"/>
        </w:pBdr>
        <w:spacing w:before="120"/>
        <w:rPr>
          <w:rFonts w:cs="Times New Roman"/>
          <w:color w:val="000000"/>
          <w:kern w:val="22"/>
          <w:szCs w:val="22"/>
          <w:lang w:val="es-ES_tradnl"/>
        </w:rPr>
      </w:pPr>
      <w:r w:rsidRPr="009C2D9A">
        <w:rPr>
          <w:rFonts w:cs="Times New Roman"/>
          <w:color w:val="000000"/>
          <w:kern w:val="22"/>
          <w:szCs w:val="22"/>
          <w:lang w:val="es-ES_tradnl"/>
        </w:rPr>
        <w:t>9</w:t>
      </w:r>
      <w:r w:rsidR="00F8670A" w:rsidRPr="009C2D9A">
        <w:rPr>
          <w:rFonts w:cs="Times New Roman"/>
          <w:color w:val="000000"/>
          <w:kern w:val="22"/>
          <w:szCs w:val="22"/>
          <w:lang w:val="es-ES_tradnl"/>
        </w:rPr>
        <w:t>.</w:t>
      </w:r>
      <w:r w:rsidR="00F8670A" w:rsidRPr="009C2D9A">
        <w:rPr>
          <w:rFonts w:cs="Times New Roman"/>
          <w:color w:val="000000"/>
          <w:kern w:val="22"/>
          <w:szCs w:val="22"/>
          <w:lang w:val="es-ES_tradnl"/>
        </w:rPr>
        <w:tab/>
      </w:r>
      <w:r w:rsidR="00EE57C3" w:rsidRPr="009C2D9A">
        <w:rPr>
          <w:rFonts w:cs="Times New Roman"/>
          <w:color w:val="000000"/>
          <w:kern w:val="22"/>
          <w:szCs w:val="22"/>
          <w:lang w:val="es-ES_tradnl"/>
        </w:rPr>
        <w:t>Por último, en su 14ª reunión</w:t>
      </w:r>
      <w:r w:rsidR="00B861A2" w:rsidRPr="009C2D9A">
        <w:rPr>
          <w:rFonts w:cs="Times New Roman"/>
          <w:snapToGrid/>
          <w:kern w:val="22"/>
          <w:szCs w:val="22"/>
          <w:lang w:val="es-ES_tradnl"/>
        </w:rPr>
        <w:t xml:space="preserve"> (decisi</w:t>
      </w:r>
      <w:r w:rsidR="00EE57C3" w:rsidRPr="009C2D9A">
        <w:rPr>
          <w:rFonts w:cs="Times New Roman"/>
          <w:snapToGrid/>
          <w:kern w:val="22"/>
          <w:szCs w:val="22"/>
          <w:lang w:val="es-ES_tradnl"/>
        </w:rPr>
        <w:t xml:space="preserve">ón </w:t>
      </w:r>
      <w:hyperlink r:id="rId20" w:history="1">
        <w:r w:rsidR="009B6BFB" w:rsidRPr="009C2D9A">
          <w:rPr>
            <w:rStyle w:val="Hyperlink"/>
            <w:rFonts w:cs="Times New Roman"/>
            <w:snapToGrid/>
            <w:kern w:val="22"/>
            <w:szCs w:val="22"/>
            <w:lang w:val="es-ES_tradnl"/>
          </w:rPr>
          <w:t>14/24</w:t>
        </w:r>
      </w:hyperlink>
      <w:r w:rsidR="00B861A2" w:rsidRPr="009C2D9A">
        <w:rPr>
          <w:rFonts w:cs="Times New Roman"/>
          <w:snapToGrid/>
          <w:kern w:val="22"/>
          <w:szCs w:val="22"/>
          <w:lang w:val="es-ES_tradnl"/>
        </w:rPr>
        <w:t xml:space="preserve">), </w:t>
      </w:r>
      <w:r w:rsidR="00EE57C3" w:rsidRPr="009C2D9A">
        <w:rPr>
          <w:rFonts w:cs="Times New Roman"/>
          <w:snapToGrid/>
          <w:kern w:val="22"/>
          <w:szCs w:val="22"/>
          <w:lang w:val="es-ES_tradnl"/>
        </w:rPr>
        <w:t xml:space="preserve">la Conferencia de las Partes pidió a la Secretaria Ejecutiva que presentara un </w:t>
      </w:r>
      <w:r w:rsidR="00EE57C3" w:rsidRPr="009C2D9A">
        <w:rPr>
          <w:rFonts w:cs="Times New Roman"/>
          <w:color w:val="000000"/>
          <w:kern w:val="22"/>
          <w:szCs w:val="22"/>
          <w:lang w:val="es-ES_tradnl"/>
        </w:rPr>
        <w:t>proyecto de marco estratégico a largo plazo para la creación de capacidad armonizado con el proyecto de marco de la diversidad biológica posterior a 2020 y la Agenda 2030 para el Desarrollo Sostenible, para que sea examinado por el Órgano Subsidiario sobre la Aplicación en su 3ª reunión y, posteriormente, por la Conferencia de las Partes en su 15ª reunión.</w:t>
      </w:r>
      <w:r w:rsidR="009B6BFB" w:rsidRPr="009C2D9A">
        <w:rPr>
          <w:snapToGrid/>
          <w:kern w:val="22"/>
          <w:szCs w:val="22"/>
          <w:lang w:val="es-ES_tradnl"/>
        </w:rPr>
        <w:t xml:space="preserve"> </w:t>
      </w:r>
      <w:r w:rsidR="00747B14" w:rsidRPr="009C2D9A">
        <w:rPr>
          <w:snapToGrid/>
          <w:kern w:val="22"/>
          <w:szCs w:val="22"/>
          <w:lang w:val="es-ES_tradnl"/>
        </w:rPr>
        <w:t xml:space="preserve">De conformidad con dicha decisión, el </w:t>
      </w:r>
      <w:r w:rsidR="00747B14" w:rsidRPr="009C2D9A">
        <w:rPr>
          <w:rFonts w:cs="Times New Roman"/>
          <w:color w:val="000000"/>
          <w:kern w:val="22"/>
          <w:szCs w:val="22"/>
          <w:lang w:val="es-ES_tradnl"/>
        </w:rPr>
        <w:t>Órgano Subsidiario sobre la Aplicación examin</w:t>
      </w:r>
      <w:r w:rsidR="006F3754">
        <w:rPr>
          <w:rFonts w:cs="Times New Roman"/>
          <w:color w:val="000000"/>
          <w:kern w:val="22"/>
          <w:szCs w:val="22"/>
          <w:lang w:val="es-ES_tradnl"/>
        </w:rPr>
        <w:t xml:space="preserve">ó </w:t>
      </w:r>
      <w:r w:rsidR="00747B14" w:rsidRPr="009C2D9A">
        <w:rPr>
          <w:rFonts w:cs="Times New Roman"/>
          <w:color w:val="000000"/>
          <w:kern w:val="22"/>
          <w:szCs w:val="22"/>
          <w:lang w:val="es-ES_tradnl"/>
        </w:rPr>
        <w:t xml:space="preserve">el proyecto de marco estratégico a largo plazo para la creación y desarrollo de capacidad </w:t>
      </w:r>
      <w:bookmarkStart w:id="2" w:name="_Hlk89085964"/>
      <w:r w:rsidR="00747B14" w:rsidRPr="009C2D9A">
        <w:rPr>
          <w:lang w:val="es-ES_tradnl"/>
        </w:rPr>
        <w:t xml:space="preserve">en apoyo a la aplicación del marco mundial de la diversidad biológica posterior a 2020, y adoptó la recomendación </w:t>
      </w:r>
      <w:hyperlink r:id="rId21" w:history="1">
        <w:r w:rsidR="00371C5B" w:rsidRPr="009C2D9A">
          <w:rPr>
            <w:rStyle w:val="Hyperlink"/>
            <w:rFonts w:cs="Times New Roman"/>
            <w:kern w:val="22"/>
            <w:szCs w:val="22"/>
            <w:lang w:val="es-ES_tradnl"/>
          </w:rPr>
          <w:t>3/8</w:t>
        </w:r>
        <w:bookmarkEnd w:id="2"/>
      </w:hyperlink>
      <w:r w:rsidR="000B225F" w:rsidRPr="009C2D9A">
        <w:rPr>
          <w:rFonts w:cs="Times New Roman"/>
          <w:kern w:val="22"/>
          <w:szCs w:val="22"/>
          <w:lang w:val="es-ES_tradnl"/>
        </w:rPr>
        <w:t>.</w:t>
      </w:r>
    </w:p>
    <w:p w14:paraId="26AF9D50" w14:textId="2BC073DB" w:rsidR="00426CC4" w:rsidRPr="009C2D9A" w:rsidRDefault="002C6370" w:rsidP="00991202">
      <w:pPr>
        <w:pStyle w:val="Para1"/>
        <w:numPr>
          <w:ilvl w:val="0"/>
          <w:numId w:val="0"/>
        </w:numPr>
        <w:pBdr>
          <w:top w:val="nil"/>
          <w:left w:val="nil"/>
          <w:bottom w:val="nil"/>
          <w:right w:val="nil"/>
          <w:between w:val="nil"/>
          <w:bar w:val="nil"/>
        </w:pBdr>
        <w:spacing w:before="120"/>
        <w:rPr>
          <w:rFonts w:cs="Times New Roman"/>
          <w:kern w:val="22"/>
          <w:szCs w:val="22"/>
          <w:lang w:val="es-ES_tradnl"/>
        </w:rPr>
      </w:pPr>
      <w:r w:rsidRPr="009C2D9A">
        <w:rPr>
          <w:rFonts w:cs="Times New Roman"/>
          <w:color w:val="000000"/>
          <w:kern w:val="22"/>
          <w:szCs w:val="22"/>
          <w:lang w:val="es-ES_tradnl"/>
        </w:rPr>
        <w:t>10</w:t>
      </w:r>
      <w:r w:rsidR="00F8670A" w:rsidRPr="009C2D9A">
        <w:rPr>
          <w:rFonts w:cs="Times New Roman"/>
          <w:color w:val="000000"/>
          <w:kern w:val="22"/>
          <w:szCs w:val="22"/>
          <w:lang w:val="es-ES_tradnl"/>
        </w:rPr>
        <w:t>.</w:t>
      </w:r>
      <w:r w:rsidR="00F8670A" w:rsidRPr="009C2D9A">
        <w:rPr>
          <w:rFonts w:cs="Times New Roman"/>
          <w:color w:val="000000"/>
          <w:kern w:val="22"/>
          <w:szCs w:val="22"/>
          <w:lang w:val="es-ES_tradnl"/>
        </w:rPr>
        <w:tab/>
      </w:r>
      <w:r w:rsidR="00426CC4" w:rsidRPr="009C2D9A">
        <w:rPr>
          <w:rFonts w:cs="Times New Roman"/>
          <w:kern w:val="22"/>
          <w:szCs w:val="22"/>
          <w:lang w:val="es-ES_tradnl"/>
        </w:rPr>
        <w:t xml:space="preserve">En este contexto, la sección II describe las actividades entre sesiones realizadas por la Secretaría durante 2019-2022 para mejorar y apoyar la creación de capacidad y la concienciación para la </w:t>
      </w:r>
      <w:r w:rsidR="0002643E" w:rsidRPr="009C2D9A">
        <w:rPr>
          <w:rFonts w:cs="Times New Roman"/>
          <w:kern w:val="22"/>
          <w:szCs w:val="22"/>
          <w:lang w:val="es-ES_tradnl"/>
        </w:rPr>
        <w:t xml:space="preserve">aplicación </w:t>
      </w:r>
      <w:r w:rsidR="00426CC4" w:rsidRPr="009C2D9A">
        <w:rPr>
          <w:rFonts w:cs="Times New Roman"/>
          <w:kern w:val="22"/>
          <w:szCs w:val="22"/>
          <w:lang w:val="es-ES_tradnl"/>
        </w:rPr>
        <w:t xml:space="preserve">del Protocolo de Nagoya. La Sección III proporciona una descripción general actualizada de las iniciativas y recursos de creación y desarrollo de capacidades que respaldan la </w:t>
      </w:r>
      <w:r w:rsidR="00D80FBA" w:rsidRPr="009C2D9A">
        <w:rPr>
          <w:rFonts w:cs="Times New Roman"/>
          <w:kern w:val="22"/>
          <w:szCs w:val="22"/>
          <w:lang w:val="es-ES_tradnl"/>
        </w:rPr>
        <w:t>aplica</w:t>
      </w:r>
      <w:r w:rsidR="00426CC4" w:rsidRPr="009C2D9A">
        <w:rPr>
          <w:rFonts w:cs="Times New Roman"/>
          <w:kern w:val="22"/>
          <w:szCs w:val="22"/>
          <w:lang w:val="es-ES_tradnl"/>
        </w:rPr>
        <w:t xml:space="preserve">ción del Protocolo de Nagoya. La Sección IV destaca el trabajo realizado por el Comité Asesor </w:t>
      </w:r>
      <w:r w:rsidR="00D776F4">
        <w:rPr>
          <w:rFonts w:cs="Times New Roman"/>
          <w:kern w:val="22"/>
          <w:szCs w:val="22"/>
          <w:lang w:val="es-ES_tradnl"/>
        </w:rPr>
        <w:t xml:space="preserve">Oficioso </w:t>
      </w:r>
      <w:r w:rsidR="00426CC4" w:rsidRPr="009C2D9A">
        <w:rPr>
          <w:rFonts w:cs="Times New Roman"/>
          <w:kern w:val="22"/>
          <w:szCs w:val="22"/>
          <w:lang w:val="es-ES_tradnl"/>
        </w:rPr>
        <w:t xml:space="preserve">para apoyar la evaluación del marco estratégico para la creación y desarrollo de capacidades para apoyar la </w:t>
      </w:r>
      <w:r w:rsidR="00B83C1C">
        <w:rPr>
          <w:rFonts w:cs="Times New Roman"/>
          <w:kern w:val="22"/>
          <w:szCs w:val="22"/>
          <w:lang w:val="es-ES_tradnl"/>
        </w:rPr>
        <w:t>aplic</w:t>
      </w:r>
      <w:r w:rsidR="00426CC4" w:rsidRPr="009C2D9A">
        <w:rPr>
          <w:rFonts w:cs="Times New Roman"/>
          <w:kern w:val="22"/>
          <w:szCs w:val="22"/>
          <w:lang w:val="es-ES_tradnl"/>
        </w:rPr>
        <w:t xml:space="preserve">ación efectiva del Protocolo de Nagoya. La sección V proporciona un resumen de los comentarios recibidos sobre </w:t>
      </w:r>
      <w:r w:rsidR="00D80FBA" w:rsidRPr="009C2D9A">
        <w:rPr>
          <w:rFonts w:cs="Times New Roman"/>
          <w:kern w:val="22"/>
          <w:szCs w:val="22"/>
          <w:lang w:val="es-ES_tradnl"/>
        </w:rPr>
        <w:t xml:space="preserve">la Guía práctica </w:t>
      </w:r>
      <w:r w:rsidR="00426CC4" w:rsidRPr="009C2D9A">
        <w:rPr>
          <w:rFonts w:cs="Times New Roman"/>
          <w:kern w:val="22"/>
          <w:szCs w:val="22"/>
          <w:lang w:val="es-ES_tradnl"/>
        </w:rPr>
        <w:t xml:space="preserve">de sensibilización sobre </w:t>
      </w:r>
      <w:r w:rsidR="00133BFF" w:rsidRPr="009C2D9A">
        <w:rPr>
          <w:rFonts w:cs="Times New Roman"/>
          <w:kern w:val="22"/>
          <w:szCs w:val="22"/>
          <w:lang w:val="es-ES_tradnl"/>
        </w:rPr>
        <w:t>el acceso y la participación en los</w:t>
      </w:r>
      <w:r w:rsidR="00426CC4" w:rsidRPr="009C2D9A">
        <w:rPr>
          <w:rFonts w:cs="Times New Roman"/>
          <w:kern w:val="22"/>
          <w:szCs w:val="22"/>
          <w:lang w:val="es-ES_tradnl"/>
        </w:rPr>
        <w:t xml:space="preserve"> beneficios </w:t>
      </w:r>
      <w:r w:rsidR="00D80FBA" w:rsidRPr="009C2D9A">
        <w:rPr>
          <w:rFonts w:cs="Times New Roman"/>
          <w:kern w:val="22"/>
          <w:szCs w:val="22"/>
          <w:lang w:val="es-ES_tradnl"/>
        </w:rPr>
        <w:t xml:space="preserve">elaborada </w:t>
      </w:r>
      <w:r w:rsidR="00426CC4" w:rsidRPr="009C2D9A">
        <w:rPr>
          <w:rFonts w:cs="Times New Roman"/>
          <w:kern w:val="22"/>
          <w:szCs w:val="22"/>
          <w:lang w:val="es-ES_tradnl"/>
        </w:rPr>
        <w:t xml:space="preserve">por la Secretaría y una actualización de las medidas adoptadas por las Partes y las partes interesadas pertinentes para implementar la estrategia de sensibilización. Finalmente, la sección VI contiene elementos para un proyecto de decisión </w:t>
      </w:r>
      <w:r w:rsidR="00D80FBA" w:rsidRPr="009C2D9A">
        <w:rPr>
          <w:rFonts w:cs="Times New Roman"/>
          <w:kern w:val="22"/>
          <w:szCs w:val="22"/>
          <w:lang w:val="es-ES_tradnl"/>
        </w:rPr>
        <w:t xml:space="preserve">que se someterá a la consideración de la </w:t>
      </w:r>
      <w:r w:rsidR="00426CC4" w:rsidRPr="009C2D9A">
        <w:rPr>
          <w:rFonts w:cs="Times New Roman"/>
          <w:kern w:val="22"/>
          <w:szCs w:val="22"/>
          <w:lang w:val="es-ES_tradnl"/>
        </w:rPr>
        <w:t>Conferencia de las Partes que actúa como reunión de las Partes en el Protocolo en su cuarta reunión.</w:t>
      </w:r>
    </w:p>
    <w:p w14:paraId="1CC66585" w14:textId="4DC49EDA" w:rsidR="003E2C54" w:rsidRPr="009C2D9A" w:rsidRDefault="00F8670A" w:rsidP="00010EB1">
      <w:pPr>
        <w:pStyle w:val="Heading1"/>
        <w:tabs>
          <w:tab w:val="clear" w:pos="720"/>
        </w:tabs>
        <w:spacing w:before="120"/>
        <w:ind w:left="1276" w:right="429" w:hanging="720"/>
        <w:jc w:val="left"/>
        <w:rPr>
          <w:rFonts w:cs="Times New Roman"/>
          <w:kern w:val="22"/>
          <w:lang w:val="es-ES_tradnl"/>
        </w:rPr>
      </w:pPr>
      <w:r w:rsidRPr="009C2D9A">
        <w:rPr>
          <w:rFonts w:cs="Times New Roman"/>
          <w:kern w:val="22"/>
          <w:lang w:val="es-ES_tradnl"/>
        </w:rPr>
        <w:lastRenderedPageBreak/>
        <w:t>II.</w:t>
      </w:r>
      <w:r w:rsidRPr="009C2D9A">
        <w:rPr>
          <w:rFonts w:cs="Times New Roman"/>
          <w:kern w:val="22"/>
          <w:szCs w:val="22"/>
          <w:lang w:val="es-ES_tradnl"/>
        </w:rPr>
        <w:tab/>
      </w:r>
      <w:r w:rsidR="00426CC4" w:rsidRPr="009C2D9A">
        <w:rPr>
          <w:rFonts w:cs="Times New Roman"/>
          <w:kern w:val="22"/>
          <w:lang w:val="es-ES_tradnl"/>
        </w:rPr>
        <w:t>PANORAMA GENERAL DE LAS ACTIVIDADES ENTRE SESIONES REALIZADAS POR LA SECRETARÍA</w:t>
      </w:r>
    </w:p>
    <w:p w14:paraId="6547731B" w14:textId="2943DF57" w:rsidR="00426CC4" w:rsidRPr="009C2D9A" w:rsidRDefault="002C6370" w:rsidP="48732A80">
      <w:pPr>
        <w:pStyle w:val="Para1"/>
        <w:numPr>
          <w:ilvl w:val="0"/>
          <w:numId w:val="0"/>
        </w:numPr>
        <w:pBdr>
          <w:top w:val="nil"/>
          <w:left w:val="nil"/>
          <w:bottom w:val="nil"/>
          <w:right w:val="nil"/>
          <w:between w:val="nil"/>
          <w:bar w:val="nil"/>
        </w:pBdr>
        <w:spacing w:before="120"/>
        <w:rPr>
          <w:rFonts w:cs="Times New Roman"/>
          <w:snapToGrid/>
          <w:color w:val="000000"/>
          <w:kern w:val="22"/>
          <w:lang w:val="es-ES_tradnl"/>
        </w:rPr>
      </w:pPr>
      <w:r w:rsidRPr="009C2D9A">
        <w:rPr>
          <w:rFonts w:cs="Times New Roman"/>
          <w:snapToGrid/>
          <w:color w:val="000000"/>
          <w:kern w:val="22"/>
          <w:lang w:val="es-ES_tradnl"/>
        </w:rPr>
        <w:t>1</w:t>
      </w:r>
      <w:r w:rsidR="004F55BE" w:rsidRPr="009C2D9A">
        <w:rPr>
          <w:rFonts w:cs="Times New Roman"/>
          <w:snapToGrid/>
          <w:color w:val="000000"/>
          <w:kern w:val="22"/>
          <w:lang w:val="es-ES_tradnl"/>
        </w:rPr>
        <w:t>1</w:t>
      </w:r>
      <w:r w:rsidR="00F8670A" w:rsidRPr="009C2D9A">
        <w:rPr>
          <w:rFonts w:cs="Times New Roman"/>
          <w:snapToGrid/>
          <w:color w:val="000000"/>
          <w:kern w:val="22"/>
          <w:lang w:val="es-ES_tradnl"/>
        </w:rPr>
        <w:t>.</w:t>
      </w:r>
      <w:r w:rsidRPr="009C2D9A">
        <w:rPr>
          <w:lang w:val="es-ES_tradnl"/>
        </w:rPr>
        <w:tab/>
      </w:r>
      <w:r w:rsidR="00426CC4" w:rsidRPr="009C2D9A">
        <w:rPr>
          <w:rFonts w:cs="Times New Roman"/>
          <w:snapToGrid/>
          <w:kern w:val="22"/>
          <w:lang w:val="es-ES_tradnl"/>
        </w:rPr>
        <w:t xml:space="preserve">Durante el período entre sesiones, la Secretaría </w:t>
      </w:r>
      <w:r w:rsidR="00D80FBA" w:rsidRPr="009C2D9A">
        <w:rPr>
          <w:rFonts w:cs="Times New Roman"/>
          <w:snapToGrid/>
          <w:kern w:val="22"/>
          <w:lang w:val="es-ES_tradnl"/>
        </w:rPr>
        <w:t>realiz</w:t>
      </w:r>
      <w:r w:rsidR="00426CC4" w:rsidRPr="009C2D9A">
        <w:rPr>
          <w:rFonts w:cs="Times New Roman"/>
          <w:snapToGrid/>
          <w:kern w:val="22"/>
          <w:lang w:val="es-ES_tradnl"/>
        </w:rPr>
        <w:t xml:space="preserve">ó, facilitó y apoyó varias actividades de creación y </w:t>
      </w:r>
      <w:r w:rsidR="00D80FBA" w:rsidRPr="009C2D9A">
        <w:rPr>
          <w:rFonts w:cs="Times New Roman"/>
          <w:snapToGrid/>
          <w:kern w:val="22"/>
          <w:lang w:val="es-ES_tradnl"/>
        </w:rPr>
        <w:t xml:space="preserve">desarrollo </w:t>
      </w:r>
      <w:r w:rsidR="00426CC4" w:rsidRPr="009C2D9A">
        <w:rPr>
          <w:rFonts w:cs="Times New Roman"/>
          <w:snapToGrid/>
          <w:kern w:val="22"/>
          <w:lang w:val="es-ES_tradnl"/>
        </w:rPr>
        <w:t xml:space="preserve">de capacidades para mejorar y apoyar la creación de capacidades para la </w:t>
      </w:r>
      <w:r w:rsidR="00D80FBA" w:rsidRPr="009C2D9A">
        <w:rPr>
          <w:rFonts w:cs="Times New Roman"/>
          <w:snapToGrid/>
          <w:kern w:val="22"/>
          <w:lang w:val="es-ES_tradnl"/>
        </w:rPr>
        <w:t xml:space="preserve">aplicación del Convenio </w:t>
      </w:r>
      <w:r w:rsidR="00426CC4" w:rsidRPr="009C2D9A">
        <w:rPr>
          <w:rFonts w:cs="Times New Roman"/>
          <w:snapToGrid/>
          <w:kern w:val="22"/>
          <w:lang w:val="es-ES_tradnl"/>
        </w:rPr>
        <w:t xml:space="preserve">y sus Protocolos que figuran en el anexo de las decisiones XIII/23 y NP 2/8. Las siguientes subsecciones proporcionan una descripción general de estas actividades y los recursos </w:t>
      </w:r>
      <w:r w:rsidR="00D80FBA" w:rsidRPr="009C2D9A">
        <w:rPr>
          <w:rFonts w:cs="Times New Roman"/>
          <w:snapToGrid/>
          <w:kern w:val="22"/>
          <w:lang w:val="es-ES_tradnl"/>
        </w:rPr>
        <w:t>elaborados</w:t>
      </w:r>
      <w:r w:rsidR="00426CC4" w:rsidRPr="009C2D9A">
        <w:rPr>
          <w:rFonts w:cs="Times New Roman"/>
          <w:snapToGrid/>
          <w:kern w:val="22"/>
          <w:lang w:val="es-ES_tradnl"/>
        </w:rPr>
        <w:t>.</w:t>
      </w:r>
      <w:r w:rsidR="00BD4AB9">
        <w:rPr>
          <w:rFonts w:cs="Times New Roman"/>
          <w:snapToGrid/>
          <w:kern w:val="22"/>
          <w:lang w:val="es-ES_tradnl"/>
        </w:rPr>
        <w:t xml:space="preserve"> </w:t>
      </w:r>
    </w:p>
    <w:p w14:paraId="3902CA44" w14:textId="258DC1BC" w:rsidR="003E2C54" w:rsidRPr="009C2D9A" w:rsidRDefault="00F8670A" w:rsidP="00F37E96">
      <w:pPr>
        <w:pStyle w:val="Heading2"/>
        <w:tabs>
          <w:tab w:val="clear" w:pos="720"/>
          <w:tab w:val="left" w:pos="426"/>
        </w:tabs>
        <w:rPr>
          <w:rFonts w:cs="Times New Roman"/>
          <w:kern w:val="22"/>
          <w:szCs w:val="22"/>
          <w:lang w:val="es-ES_tradnl"/>
        </w:rPr>
      </w:pPr>
      <w:r w:rsidRPr="009C2D9A">
        <w:rPr>
          <w:rFonts w:cs="Times New Roman"/>
          <w:color w:val="000000"/>
          <w:kern w:val="22"/>
          <w:szCs w:val="22"/>
          <w:lang w:val="es-ES_tradnl"/>
        </w:rPr>
        <w:t>A.</w:t>
      </w:r>
      <w:r w:rsidRPr="009C2D9A">
        <w:rPr>
          <w:rFonts w:cs="Times New Roman"/>
          <w:color w:val="000000"/>
          <w:kern w:val="22"/>
          <w:szCs w:val="22"/>
          <w:lang w:val="es-ES_tradnl"/>
        </w:rPr>
        <w:tab/>
      </w:r>
      <w:r w:rsidR="00D11C52" w:rsidRPr="009C2D9A">
        <w:rPr>
          <w:rFonts w:cs="Times New Roman"/>
          <w:kern w:val="22"/>
          <w:szCs w:val="22"/>
          <w:lang w:val="es-ES_tradnl"/>
        </w:rPr>
        <w:t>Actividades y recursos de creación de capacidad y sensibilización</w:t>
      </w:r>
    </w:p>
    <w:p w14:paraId="4CBD6EF6" w14:textId="2FF5AC48" w:rsidR="00C259F9" w:rsidRPr="009C2D9A" w:rsidRDefault="00F8670A" w:rsidP="00010EB1">
      <w:pPr>
        <w:pStyle w:val="Heading3"/>
        <w:rPr>
          <w:lang w:val="es-ES_tradnl"/>
        </w:rPr>
      </w:pPr>
      <w:r w:rsidRPr="009C2D9A">
        <w:rPr>
          <w:color w:val="000000"/>
          <w:lang w:val="es-ES_tradnl"/>
        </w:rPr>
        <w:t>1.</w:t>
      </w:r>
      <w:r w:rsidRPr="009C2D9A">
        <w:rPr>
          <w:color w:val="000000"/>
          <w:lang w:val="es-ES_tradnl"/>
        </w:rPr>
        <w:tab/>
      </w:r>
      <w:r w:rsidR="00D11C52" w:rsidRPr="009C2D9A">
        <w:rPr>
          <w:color w:val="000000"/>
          <w:lang w:val="es-ES_tradnl"/>
        </w:rPr>
        <w:t>A</w:t>
      </w:r>
      <w:r w:rsidR="00D11C52" w:rsidRPr="009C2D9A">
        <w:rPr>
          <w:lang w:val="es-ES_tradnl"/>
        </w:rPr>
        <w:t>ctividades de creación de capacidad y sensibilización</w:t>
      </w:r>
    </w:p>
    <w:p w14:paraId="516A0A53" w14:textId="2877B7AE" w:rsidR="00D11C52" w:rsidRPr="009C2D9A" w:rsidRDefault="00F8670A" w:rsidP="00010EB1">
      <w:pPr>
        <w:autoSpaceDE w:val="0"/>
        <w:autoSpaceDN w:val="0"/>
        <w:adjustRightInd w:val="0"/>
        <w:rPr>
          <w:rFonts w:cs="Times New Roman"/>
          <w:color w:val="000000"/>
          <w:kern w:val="22"/>
          <w:szCs w:val="22"/>
          <w:lang w:val="es-ES_tradnl"/>
        </w:rPr>
      </w:pPr>
      <w:r w:rsidRPr="009C2D9A">
        <w:rPr>
          <w:rFonts w:cs="Times New Roman"/>
          <w:color w:val="000000"/>
          <w:kern w:val="22"/>
          <w:szCs w:val="22"/>
          <w:lang w:val="es-ES_tradnl"/>
        </w:rPr>
        <w:t>1</w:t>
      </w:r>
      <w:r w:rsidR="004F55BE" w:rsidRPr="009C2D9A">
        <w:rPr>
          <w:rFonts w:cs="Times New Roman"/>
          <w:color w:val="000000"/>
          <w:kern w:val="22"/>
          <w:szCs w:val="22"/>
          <w:lang w:val="es-ES_tradnl"/>
        </w:rPr>
        <w:t>2</w:t>
      </w:r>
      <w:r w:rsidRPr="009C2D9A">
        <w:rPr>
          <w:rFonts w:cs="Times New Roman"/>
          <w:color w:val="000000"/>
          <w:kern w:val="22"/>
          <w:szCs w:val="22"/>
          <w:lang w:val="es-ES_tradnl"/>
        </w:rPr>
        <w:t>.</w:t>
      </w:r>
      <w:r w:rsidRPr="009C2D9A">
        <w:rPr>
          <w:rFonts w:cs="Times New Roman"/>
          <w:color w:val="000000"/>
          <w:kern w:val="22"/>
          <w:szCs w:val="22"/>
          <w:lang w:val="es-ES_tradnl"/>
        </w:rPr>
        <w:tab/>
      </w:r>
      <w:r w:rsidR="00D11C52" w:rsidRPr="009C2D9A">
        <w:rPr>
          <w:rFonts w:cs="Times New Roman"/>
          <w:color w:val="000000"/>
          <w:kern w:val="22"/>
          <w:szCs w:val="22"/>
          <w:lang w:val="es-ES_tradnl"/>
        </w:rPr>
        <w:t>Del 11 al 14 de junio de 2019, la Secretaría del Convenio (SC</w:t>
      </w:r>
      <w:r w:rsidR="00BB5361" w:rsidRPr="009C2D9A">
        <w:rPr>
          <w:rFonts w:cs="Times New Roman"/>
          <w:color w:val="000000"/>
          <w:kern w:val="22"/>
          <w:szCs w:val="22"/>
          <w:lang w:val="es-ES_tradnl"/>
        </w:rPr>
        <w:t>DB</w:t>
      </w:r>
      <w:r w:rsidR="00D11C52" w:rsidRPr="009C2D9A">
        <w:rPr>
          <w:rFonts w:cs="Times New Roman"/>
          <w:color w:val="000000"/>
          <w:kern w:val="22"/>
          <w:szCs w:val="22"/>
          <w:lang w:val="es-ES_tradnl"/>
        </w:rPr>
        <w:t>), en colaboración con la Organización Internacional para el Derecho del Desarrollo (IDLO</w:t>
      </w:r>
      <w:r w:rsidR="0002643E" w:rsidRPr="009C2D9A">
        <w:rPr>
          <w:rFonts w:cs="Times New Roman"/>
          <w:color w:val="000000"/>
          <w:kern w:val="22"/>
          <w:szCs w:val="22"/>
          <w:lang w:val="es-ES_tradnl"/>
        </w:rPr>
        <w:t>, por sus siglas en inglés</w:t>
      </w:r>
      <w:r w:rsidR="00D11C52" w:rsidRPr="009C2D9A">
        <w:rPr>
          <w:rFonts w:cs="Times New Roman"/>
          <w:color w:val="000000"/>
          <w:kern w:val="22"/>
          <w:szCs w:val="22"/>
          <w:lang w:val="es-ES_tradnl"/>
        </w:rPr>
        <w:t xml:space="preserve">) y con el apoyo del </w:t>
      </w:r>
      <w:r w:rsidR="0002643E" w:rsidRPr="009C2D9A">
        <w:rPr>
          <w:rFonts w:cs="Times New Roman"/>
          <w:color w:val="000000"/>
          <w:kern w:val="22"/>
          <w:szCs w:val="22"/>
          <w:lang w:val="es-ES_tradnl"/>
        </w:rPr>
        <w:t>Fondo de Japón para la diversidad biológica</w:t>
      </w:r>
      <w:r w:rsidR="00D11C52" w:rsidRPr="009C2D9A">
        <w:rPr>
          <w:rFonts w:cs="Times New Roman"/>
          <w:color w:val="000000"/>
          <w:kern w:val="22"/>
          <w:szCs w:val="22"/>
          <w:lang w:val="es-ES_tradnl"/>
        </w:rPr>
        <w:t>, brindó un</w:t>
      </w:r>
      <w:r w:rsidR="00BB5361" w:rsidRPr="009C2D9A">
        <w:rPr>
          <w:rFonts w:cs="Times New Roman"/>
          <w:color w:val="000000"/>
          <w:kern w:val="22"/>
          <w:szCs w:val="22"/>
          <w:lang w:val="es-ES_tradnl"/>
        </w:rPr>
        <w:t xml:space="preserve"> curso </w:t>
      </w:r>
      <w:r w:rsidR="001A6E5E" w:rsidRPr="009C2D9A">
        <w:rPr>
          <w:rFonts w:cs="Times New Roman"/>
          <w:color w:val="000000"/>
          <w:kern w:val="22"/>
          <w:szCs w:val="22"/>
          <w:lang w:val="es-ES_tradnl"/>
        </w:rPr>
        <w:t xml:space="preserve">de capacitación </w:t>
      </w:r>
      <w:r w:rsidR="00D11C52" w:rsidRPr="009C2D9A">
        <w:rPr>
          <w:rFonts w:cs="Times New Roman"/>
          <w:color w:val="000000"/>
          <w:kern w:val="22"/>
          <w:szCs w:val="22"/>
          <w:lang w:val="es-ES_tradnl"/>
        </w:rPr>
        <w:t xml:space="preserve">de </w:t>
      </w:r>
      <w:r w:rsidR="0002643E" w:rsidRPr="009C2D9A">
        <w:rPr>
          <w:rFonts w:cs="Times New Roman"/>
          <w:color w:val="000000"/>
          <w:kern w:val="22"/>
          <w:szCs w:val="22"/>
          <w:lang w:val="es-ES_tradnl"/>
        </w:rPr>
        <w:t xml:space="preserve">instructores </w:t>
      </w:r>
      <w:r w:rsidR="00D11C52" w:rsidRPr="009C2D9A">
        <w:rPr>
          <w:rFonts w:cs="Times New Roman"/>
          <w:color w:val="000000"/>
          <w:kern w:val="22"/>
          <w:szCs w:val="22"/>
          <w:lang w:val="es-ES_tradnl"/>
        </w:rPr>
        <w:t xml:space="preserve">para </w:t>
      </w:r>
      <w:r w:rsidR="00BB5361" w:rsidRPr="009C2D9A">
        <w:rPr>
          <w:rFonts w:cs="Times New Roman"/>
          <w:color w:val="000000"/>
          <w:kern w:val="22"/>
          <w:szCs w:val="22"/>
          <w:lang w:val="es-ES_tradnl"/>
        </w:rPr>
        <w:t>la red de a</w:t>
      </w:r>
      <w:r w:rsidR="00D11C52" w:rsidRPr="009C2D9A">
        <w:rPr>
          <w:rFonts w:cs="Times New Roman"/>
          <w:color w:val="000000"/>
          <w:kern w:val="22"/>
          <w:szCs w:val="22"/>
          <w:lang w:val="es-ES_tradnl"/>
        </w:rPr>
        <w:t xml:space="preserve">cceso y </w:t>
      </w:r>
      <w:r w:rsidR="00D860E9" w:rsidRPr="009C2D9A">
        <w:rPr>
          <w:rFonts w:cs="Times New Roman"/>
          <w:color w:val="000000"/>
          <w:kern w:val="22"/>
          <w:szCs w:val="22"/>
          <w:lang w:val="es-ES_tradnl"/>
        </w:rPr>
        <w:t xml:space="preserve">participación en los </w:t>
      </w:r>
      <w:r w:rsidR="00BB5361" w:rsidRPr="009C2D9A">
        <w:rPr>
          <w:lang w:val="es-ES_tradnl"/>
        </w:rPr>
        <w:t>beneficios</w:t>
      </w:r>
      <w:r w:rsidR="00BB5361" w:rsidRPr="009C2D9A">
        <w:rPr>
          <w:rFonts w:cs="Times New Roman"/>
          <w:color w:val="000000"/>
          <w:kern w:val="22"/>
          <w:szCs w:val="22"/>
          <w:lang w:val="es-ES_tradnl"/>
        </w:rPr>
        <w:t xml:space="preserve"> </w:t>
      </w:r>
      <w:r w:rsidR="001A6E5E" w:rsidRPr="009C2D9A">
        <w:rPr>
          <w:rFonts w:cs="Times New Roman"/>
          <w:color w:val="000000"/>
          <w:kern w:val="22"/>
          <w:szCs w:val="22"/>
          <w:lang w:val="es-ES_tradnl"/>
        </w:rPr>
        <w:t>(</w:t>
      </w:r>
      <w:r w:rsidR="00D860E9" w:rsidRPr="009C2D9A">
        <w:rPr>
          <w:rFonts w:cs="Times New Roman"/>
          <w:color w:val="000000"/>
          <w:kern w:val="22"/>
          <w:szCs w:val="22"/>
          <w:lang w:val="es-ES_tradnl"/>
        </w:rPr>
        <w:t>APB</w:t>
      </w:r>
      <w:r w:rsidR="001A6E5E" w:rsidRPr="009C2D9A">
        <w:rPr>
          <w:rFonts w:cs="Times New Roman"/>
          <w:color w:val="000000"/>
          <w:kern w:val="22"/>
          <w:szCs w:val="22"/>
          <w:lang w:val="es-ES_tradnl"/>
        </w:rPr>
        <w:t xml:space="preserve">) </w:t>
      </w:r>
      <w:r w:rsidR="00D11C52" w:rsidRPr="009C2D9A">
        <w:rPr>
          <w:rFonts w:cs="Times New Roman"/>
          <w:color w:val="000000"/>
          <w:kern w:val="22"/>
          <w:szCs w:val="22"/>
          <w:lang w:val="es-ES_tradnl"/>
        </w:rPr>
        <w:t>de</w:t>
      </w:r>
      <w:r w:rsidR="0002643E" w:rsidRPr="009C2D9A">
        <w:rPr>
          <w:rFonts w:cs="Times New Roman"/>
          <w:color w:val="000000"/>
          <w:kern w:val="22"/>
          <w:szCs w:val="22"/>
          <w:lang w:val="es-ES_tradnl"/>
        </w:rPr>
        <w:t>l</w:t>
      </w:r>
      <w:r w:rsidR="00D11C52" w:rsidRPr="009C2D9A">
        <w:rPr>
          <w:rFonts w:cs="Times New Roman"/>
          <w:color w:val="000000"/>
          <w:kern w:val="22"/>
          <w:szCs w:val="22"/>
          <w:lang w:val="es-ES_tradnl"/>
        </w:rPr>
        <w:t xml:space="preserve"> África Francófona</w:t>
      </w:r>
      <w:r w:rsidR="001A6E5E" w:rsidRPr="009C2D9A">
        <w:rPr>
          <w:rFonts w:cs="Times New Roman"/>
          <w:color w:val="000000"/>
          <w:kern w:val="22"/>
          <w:szCs w:val="22"/>
          <w:lang w:val="es-ES_tradnl"/>
        </w:rPr>
        <w:t>,</w:t>
      </w:r>
      <w:r w:rsidR="00BB5361" w:rsidRPr="009C2D9A">
        <w:rPr>
          <w:rFonts w:cs="Times New Roman"/>
          <w:color w:val="000000"/>
          <w:kern w:val="22"/>
          <w:szCs w:val="22"/>
          <w:lang w:val="es-ES_tradnl"/>
        </w:rPr>
        <w:t xml:space="preserve"> </w:t>
      </w:r>
      <w:r w:rsidR="00D11C52" w:rsidRPr="009C2D9A">
        <w:rPr>
          <w:rFonts w:cs="Times New Roman"/>
          <w:color w:val="000000"/>
          <w:kern w:val="22"/>
          <w:szCs w:val="22"/>
          <w:lang w:val="es-ES_tradnl"/>
        </w:rPr>
        <w:t xml:space="preserve">en asociación con el Programa de las Naciones Unidas para el Desarrollo (PNUD) </w:t>
      </w:r>
      <w:r w:rsidR="00BB5361" w:rsidRPr="009C2D9A">
        <w:rPr>
          <w:rFonts w:cs="Times New Roman"/>
          <w:color w:val="000000"/>
          <w:kern w:val="22"/>
          <w:szCs w:val="22"/>
          <w:lang w:val="es-ES_tradnl"/>
        </w:rPr>
        <w:t xml:space="preserve">en </w:t>
      </w:r>
      <w:r w:rsidR="00D11C52" w:rsidRPr="009C2D9A">
        <w:rPr>
          <w:rFonts w:cs="Times New Roman"/>
          <w:color w:val="000000"/>
          <w:kern w:val="22"/>
          <w:szCs w:val="22"/>
          <w:lang w:val="es-ES_tradnl"/>
        </w:rPr>
        <w:t xml:space="preserve">Marruecos, con dos objetivos: a) poner a prueba un manual </w:t>
      </w:r>
      <w:r w:rsidR="001A6E5E" w:rsidRPr="009C2D9A">
        <w:rPr>
          <w:rFonts w:cs="Times New Roman"/>
          <w:color w:val="000000"/>
          <w:kern w:val="22"/>
          <w:szCs w:val="22"/>
          <w:lang w:val="es-ES_tradnl"/>
        </w:rPr>
        <w:t xml:space="preserve">para instructores </w:t>
      </w:r>
      <w:r w:rsidR="00D11C52" w:rsidRPr="009C2D9A">
        <w:rPr>
          <w:rFonts w:cs="Times New Roman"/>
          <w:color w:val="000000"/>
          <w:kern w:val="22"/>
          <w:szCs w:val="22"/>
          <w:lang w:val="es-ES_tradnl"/>
        </w:rPr>
        <w:t xml:space="preserve">basado en los cursos regionales de capacitación </w:t>
      </w:r>
      <w:r w:rsidR="001A6E5E" w:rsidRPr="009C2D9A">
        <w:rPr>
          <w:rFonts w:cs="Times New Roman"/>
          <w:color w:val="000000"/>
          <w:kern w:val="22"/>
          <w:szCs w:val="22"/>
          <w:lang w:val="es-ES_tradnl"/>
        </w:rPr>
        <w:t xml:space="preserve">de </w:t>
      </w:r>
      <w:r w:rsidR="00D11C52" w:rsidRPr="009C2D9A">
        <w:rPr>
          <w:rFonts w:cs="Times New Roman"/>
          <w:color w:val="000000"/>
          <w:kern w:val="22"/>
          <w:szCs w:val="22"/>
          <w:lang w:val="es-ES_tradnl"/>
        </w:rPr>
        <w:t>SC</w:t>
      </w:r>
      <w:r w:rsidR="00BB5361" w:rsidRPr="009C2D9A">
        <w:rPr>
          <w:rFonts w:cs="Times New Roman"/>
          <w:color w:val="000000"/>
          <w:kern w:val="22"/>
          <w:szCs w:val="22"/>
          <w:lang w:val="es-ES_tradnl"/>
        </w:rPr>
        <w:t>DB</w:t>
      </w:r>
      <w:r w:rsidR="00D11C52" w:rsidRPr="009C2D9A">
        <w:rPr>
          <w:rFonts w:cs="Times New Roman"/>
          <w:color w:val="000000"/>
          <w:kern w:val="22"/>
          <w:szCs w:val="22"/>
          <w:lang w:val="es-ES_tradnl"/>
        </w:rPr>
        <w:t xml:space="preserve">-IDLO; y b) desarrollar las capacidades de los participantes para usar el </w:t>
      </w:r>
      <w:r w:rsidR="001A6E5E" w:rsidRPr="009C2D9A">
        <w:rPr>
          <w:rFonts w:cs="Times New Roman"/>
          <w:color w:val="000000"/>
          <w:kern w:val="22"/>
          <w:szCs w:val="22"/>
          <w:lang w:val="es-ES_tradnl"/>
        </w:rPr>
        <w:t xml:space="preserve">módulo </w:t>
      </w:r>
      <w:r w:rsidR="00D11C52" w:rsidRPr="009C2D9A">
        <w:rPr>
          <w:rFonts w:cs="Times New Roman"/>
          <w:color w:val="000000"/>
          <w:kern w:val="22"/>
          <w:szCs w:val="22"/>
          <w:lang w:val="es-ES_tradnl"/>
        </w:rPr>
        <w:t>de capacitación para diseñar actividades nacionales de capacitación</w:t>
      </w:r>
      <w:r w:rsidR="001A6E5E" w:rsidRPr="009C2D9A">
        <w:rPr>
          <w:rFonts w:cs="Times New Roman"/>
          <w:color w:val="000000"/>
          <w:kern w:val="22"/>
          <w:szCs w:val="22"/>
          <w:lang w:val="es-ES_tradnl"/>
        </w:rPr>
        <w:t xml:space="preserve"> en materia de A</w:t>
      </w:r>
      <w:r w:rsidR="00D860E9" w:rsidRPr="009C2D9A">
        <w:rPr>
          <w:rFonts w:cs="Times New Roman"/>
          <w:color w:val="000000"/>
          <w:kern w:val="22"/>
          <w:szCs w:val="22"/>
          <w:lang w:val="es-ES_tradnl"/>
        </w:rPr>
        <w:t>P</w:t>
      </w:r>
      <w:r w:rsidR="001A6E5E" w:rsidRPr="009C2D9A">
        <w:rPr>
          <w:rFonts w:cs="Times New Roman"/>
          <w:color w:val="000000"/>
          <w:kern w:val="22"/>
          <w:szCs w:val="22"/>
          <w:lang w:val="es-ES_tradnl"/>
        </w:rPr>
        <w:t>B</w:t>
      </w:r>
      <w:r w:rsidR="00D11C52" w:rsidRPr="009C2D9A">
        <w:rPr>
          <w:rFonts w:cs="Times New Roman"/>
          <w:color w:val="000000"/>
          <w:kern w:val="22"/>
          <w:szCs w:val="22"/>
          <w:lang w:val="es-ES_tradnl"/>
        </w:rPr>
        <w:t>. Un total de 22 participantes (14 hombres y 8 mujeres) en representación de 10 países africanos francófonos participaron en la formación.</w:t>
      </w:r>
    </w:p>
    <w:p w14:paraId="0C03ED52" w14:textId="2A618069" w:rsidR="00D11C52" w:rsidRPr="009C2D9A" w:rsidRDefault="00A279AC" w:rsidP="007A452C">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szCs w:val="22"/>
          <w:lang w:val="es-ES_tradnl"/>
        </w:rPr>
        <w:t>1</w:t>
      </w:r>
      <w:r w:rsidR="004F55BE" w:rsidRPr="009C2D9A">
        <w:rPr>
          <w:rFonts w:cs="Times New Roman"/>
          <w:snapToGrid/>
          <w:color w:val="000000"/>
          <w:kern w:val="22"/>
          <w:szCs w:val="22"/>
          <w:lang w:val="es-ES_tradnl"/>
        </w:rPr>
        <w:t>3</w:t>
      </w:r>
      <w:r w:rsidRPr="009C2D9A">
        <w:rPr>
          <w:rFonts w:cs="Times New Roman"/>
          <w:snapToGrid/>
          <w:color w:val="000000"/>
          <w:kern w:val="22"/>
          <w:szCs w:val="22"/>
          <w:lang w:val="es-ES_tradnl"/>
        </w:rPr>
        <w:t>.</w:t>
      </w:r>
      <w:r w:rsidRPr="009C2D9A">
        <w:rPr>
          <w:rFonts w:cs="Times New Roman"/>
          <w:snapToGrid/>
          <w:color w:val="000000"/>
          <w:kern w:val="22"/>
          <w:szCs w:val="22"/>
          <w:lang w:val="es-ES_tradnl"/>
        </w:rPr>
        <w:tab/>
      </w:r>
      <w:r w:rsidR="00D11C52" w:rsidRPr="009C2D9A">
        <w:rPr>
          <w:lang w:val="es-ES_tradnl"/>
        </w:rPr>
        <w:t xml:space="preserve">La Secretaría, con el apoyo del </w:t>
      </w:r>
      <w:r w:rsidR="001A6E5E" w:rsidRPr="009C2D9A">
        <w:rPr>
          <w:rFonts w:cs="Times New Roman"/>
          <w:color w:val="000000"/>
          <w:kern w:val="22"/>
          <w:szCs w:val="22"/>
          <w:lang w:val="es-ES_tradnl"/>
        </w:rPr>
        <w:t>Fondo de Japón para la diversidad biológica</w:t>
      </w:r>
      <w:r w:rsidR="00D11C52" w:rsidRPr="009C2D9A">
        <w:rPr>
          <w:lang w:val="es-ES_tradnl"/>
        </w:rPr>
        <w:t xml:space="preserve">, la Unión Europea y el Gobierno de Alemania, y en colaboración con la Iniciativa de Desarrollo de Capacidades </w:t>
      </w:r>
      <w:r w:rsidR="001A6E5E" w:rsidRPr="009C2D9A">
        <w:rPr>
          <w:lang w:val="es-ES_tradnl"/>
        </w:rPr>
        <w:t xml:space="preserve">en materia de </w:t>
      </w:r>
      <w:r w:rsidR="00D860E9" w:rsidRPr="009C2D9A">
        <w:rPr>
          <w:lang w:val="es-ES_tradnl"/>
        </w:rPr>
        <w:t xml:space="preserve">APB </w:t>
      </w:r>
      <w:r w:rsidR="00D11C52" w:rsidRPr="009C2D9A">
        <w:rPr>
          <w:lang w:val="es-ES_tradnl"/>
        </w:rPr>
        <w:t>y el PNUD, organizó un taller en Bonn, del 30 de septiembre al 2 de octubre. El Taller mundial de creación de capacidad sobre el seguimiento de la utilización de los recursos genéticos</w:t>
      </w:r>
      <w:r w:rsidR="00D860E9" w:rsidRPr="009C2D9A">
        <w:rPr>
          <w:rStyle w:val="FootnoteReference"/>
          <w:rFonts w:cs="Times New Roman"/>
          <w:snapToGrid/>
          <w:color w:val="000000"/>
          <w:kern w:val="22"/>
          <w:szCs w:val="22"/>
          <w:lang w:val="es-ES_tradnl"/>
        </w:rPr>
        <w:footnoteReference w:id="2"/>
      </w:r>
      <w:r w:rsidR="00BD4AB9">
        <w:rPr>
          <w:rFonts w:cs="Times New Roman"/>
          <w:snapToGrid/>
          <w:color w:val="000000"/>
          <w:kern w:val="22"/>
          <w:szCs w:val="22"/>
          <w:lang w:val="es-ES_tradnl"/>
        </w:rPr>
        <w:t xml:space="preserve"> </w:t>
      </w:r>
      <w:r w:rsidR="00D11C52" w:rsidRPr="009C2D9A">
        <w:rPr>
          <w:lang w:val="es-ES_tradnl"/>
        </w:rPr>
        <w:t xml:space="preserve">en el marco del Protocolo tuvo como objetivo crear conciencia y compartir experiencias prácticas sobre el seguimiento de la utilización de los recursos genéticos, y desarrollar una mejor comprensión de cómo utilizar el </w:t>
      </w:r>
      <w:r w:rsidR="007A452C" w:rsidRPr="009C2D9A">
        <w:rPr>
          <w:lang w:val="es-ES_tradnl"/>
        </w:rPr>
        <w:t>Centro de intercambio de información sobre APB</w:t>
      </w:r>
      <w:r w:rsidR="00D11C52" w:rsidRPr="009C2D9A">
        <w:rPr>
          <w:lang w:val="es-ES_tradnl"/>
        </w:rPr>
        <w:t>. El taller brindó capacitación a 68 participantes, que representaban a 54 países (35 mujeres y 33 hombres).</w:t>
      </w:r>
    </w:p>
    <w:p w14:paraId="0D1A6356" w14:textId="3005510C" w:rsidR="00D11C52" w:rsidRPr="009C2D9A" w:rsidRDefault="00F8670A" w:rsidP="000536B0">
      <w:pPr>
        <w:pStyle w:val="Para1"/>
        <w:numPr>
          <w:ilvl w:val="0"/>
          <w:numId w:val="0"/>
        </w:numPr>
        <w:pBdr>
          <w:top w:val="nil"/>
          <w:left w:val="nil"/>
          <w:bottom w:val="nil"/>
          <w:right w:val="nil"/>
          <w:between w:val="nil"/>
          <w:bar w:val="nil"/>
        </w:pBdr>
        <w:spacing w:before="120"/>
        <w:rPr>
          <w:rFonts w:cs="Times New Roman"/>
          <w:snapToGrid/>
          <w:color w:val="000000"/>
          <w:kern w:val="22"/>
          <w:szCs w:val="22"/>
          <w:lang w:val="es-ES_tradnl"/>
        </w:rPr>
      </w:pPr>
      <w:r w:rsidRPr="009C2D9A">
        <w:rPr>
          <w:rFonts w:cs="Times New Roman"/>
          <w:snapToGrid/>
          <w:color w:val="000000"/>
          <w:kern w:val="22"/>
          <w:szCs w:val="22"/>
          <w:lang w:val="es-ES_tradnl"/>
        </w:rPr>
        <w:t>1</w:t>
      </w:r>
      <w:r w:rsidR="004F55BE" w:rsidRPr="009C2D9A">
        <w:rPr>
          <w:rFonts w:cs="Times New Roman"/>
          <w:snapToGrid/>
          <w:color w:val="000000"/>
          <w:kern w:val="22"/>
          <w:szCs w:val="22"/>
          <w:lang w:val="es-ES_tradnl"/>
        </w:rPr>
        <w:t>4</w:t>
      </w:r>
      <w:r w:rsidRPr="009C2D9A">
        <w:rPr>
          <w:rFonts w:cs="Times New Roman"/>
          <w:snapToGrid/>
          <w:color w:val="000000"/>
          <w:kern w:val="22"/>
          <w:szCs w:val="22"/>
          <w:lang w:val="es-ES_tradnl"/>
        </w:rPr>
        <w:t>.</w:t>
      </w:r>
      <w:r w:rsidR="00765972" w:rsidRPr="009C2D9A">
        <w:rPr>
          <w:rFonts w:cs="Times New Roman"/>
          <w:snapToGrid/>
          <w:color w:val="000000"/>
          <w:kern w:val="22"/>
          <w:szCs w:val="22"/>
          <w:lang w:val="es-ES_tradnl"/>
        </w:rPr>
        <w:tab/>
      </w:r>
      <w:r w:rsidR="00D11C52" w:rsidRPr="009C2D9A">
        <w:rPr>
          <w:rFonts w:cs="Times New Roman"/>
          <w:snapToGrid/>
          <w:color w:val="000000"/>
          <w:kern w:val="22"/>
          <w:szCs w:val="22"/>
          <w:lang w:val="es-ES_tradnl"/>
        </w:rPr>
        <w:t xml:space="preserve">Para celebrar el décimo aniversario de la adopción del Protocolo de Nagoya, la Secretaría, en colaboración con el PNUD y con el apoyo del </w:t>
      </w:r>
      <w:r w:rsidR="00E967A8" w:rsidRPr="009C2D9A">
        <w:rPr>
          <w:rFonts w:cs="Times New Roman"/>
          <w:color w:val="000000"/>
          <w:kern w:val="22"/>
          <w:szCs w:val="22"/>
          <w:lang w:val="es-ES_tradnl"/>
        </w:rPr>
        <w:t>Fondo de Japón para la diversidad biológica</w:t>
      </w:r>
      <w:r w:rsidR="00D11C52" w:rsidRPr="009C2D9A">
        <w:rPr>
          <w:rFonts w:cs="Times New Roman"/>
          <w:snapToGrid/>
          <w:color w:val="000000"/>
          <w:kern w:val="22"/>
          <w:szCs w:val="22"/>
          <w:lang w:val="es-ES_tradnl"/>
        </w:rPr>
        <w:t xml:space="preserve">, lanzó una campaña de comunicación bajo el lema “el </w:t>
      </w:r>
      <w:r w:rsidR="00E967A8" w:rsidRPr="009C2D9A">
        <w:rPr>
          <w:rFonts w:cs="Times New Roman"/>
          <w:snapToGrid/>
          <w:color w:val="000000"/>
          <w:kern w:val="22"/>
          <w:szCs w:val="22"/>
          <w:lang w:val="es-ES_tradnl"/>
        </w:rPr>
        <w:t>APB</w:t>
      </w:r>
      <w:r w:rsidR="00D11C52" w:rsidRPr="009C2D9A">
        <w:rPr>
          <w:rFonts w:cs="Times New Roman"/>
          <w:snapToGrid/>
          <w:color w:val="000000"/>
          <w:kern w:val="22"/>
          <w:szCs w:val="22"/>
          <w:lang w:val="es-ES_tradnl"/>
        </w:rPr>
        <w:t xml:space="preserve"> que todos necesitamos”. Uno de los principales eventos de la campaña consistió en la Conferencia </w:t>
      </w:r>
      <w:r w:rsidR="00E967A8" w:rsidRPr="009C2D9A">
        <w:rPr>
          <w:rFonts w:cs="Times New Roman"/>
          <w:snapToGrid/>
          <w:color w:val="000000"/>
          <w:kern w:val="22"/>
          <w:szCs w:val="22"/>
          <w:lang w:val="es-ES_tradnl"/>
        </w:rPr>
        <w:t xml:space="preserve">Mundial sobre APB </w:t>
      </w:r>
      <w:r w:rsidR="00D11C52" w:rsidRPr="009C2D9A">
        <w:rPr>
          <w:rFonts w:cs="Times New Roman"/>
          <w:snapToGrid/>
          <w:color w:val="000000"/>
          <w:kern w:val="22"/>
          <w:szCs w:val="22"/>
          <w:lang w:val="es-ES_tradnl"/>
        </w:rPr>
        <w:t xml:space="preserve">que se llevó a cabo del 29 de octubre al 25 de noviembre de 2020. Las cinco sesiones en línea reunieron a </w:t>
      </w:r>
      <w:r w:rsidR="00E967A8" w:rsidRPr="009C2D9A">
        <w:rPr>
          <w:rFonts w:cs="Times New Roman"/>
          <w:snapToGrid/>
          <w:color w:val="000000"/>
          <w:kern w:val="22"/>
          <w:szCs w:val="22"/>
          <w:lang w:val="es-ES_tradnl"/>
        </w:rPr>
        <w:t>G</w:t>
      </w:r>
      <w:r w:rsidR="00D11C52" w:rsidRPr="009C2D9A">
        <w:rPr>
          <w:rFonts w:cs="Times New Roman"/>
          <w:snapToGrid/>
          <w:color w:val="000000"/>
          <w:kern w:val="22"/>
          <w:szCs w:val="22"/>
          <w:lang w:val="es-ES_tradnl"/>
        </w:rPr>
        <w:t>obiernos, pueblos indígenas y comunidades locales y partes interesadas, como investigadores y la comunidad empresarial, de</w:t>
      </w:r>
      <w:r w:rsidR="00E967A8" w:rsidRPr="009C2D9A">
        <w:rPr>
          <w:rFonts w:cs="Times New Roman"/>
          <w:snapToGrid/>
          <w:color w:val="000000"/>
          <w:kern w:val="22"/>
          <w:szCs w:val="22"/>
          <w:lang w:val="es-ES_tradnl"/>
        </w:rPr>
        <w:t xml:space="preserve"> países </w:t>
      </w:r>
      <w:r w:rsidR="00D11C52" w:rsidRPr="009C2D9A">
        <w:rPr>
          <w:rFonts w:cs="Times New Roman"/>
          <w:snapToGrid/>
          <w:color w:val="000000"/>
          <w:kern w:val="22"/>
          <w:szCs w:val="22"/>
          <w:lang w:val="es-ES_tradnl"/>
        </w:rPr>
        <w:t>proveedor</w:t>
      </w:r>
      <w:r w:rsidR="00E967A8" w:rsidRPr="009C2D9A">
        <w:rPr>
          <w:rFonts w:cs="Times New Roman"/>
          <w:snapToGrid/>
          <w:color w:val="000000"/>
          <w:kern w:val="22"/>
          <w:szCs w:val="22"/>
          <w:lang w:val="es-ES_tradnl"/>
        </w:rPr>
        <w:t>es</w:t>
      </w:r>
      <w:r w:rsidR="00D11C52" w:rsidRPr="009C2D9A">
        <w:rPr>
          <w:rFonts w:cs="Times New Roman"/>
          <w:snapToGrid/>
          <w:color w:val="000000"/>
          <w:kern w:val="22"/>
          <w:szCs w:val="22"/>
          <w:lang w:val="es-ES_tradnl"/>
        </w:rPr>
        <w:t xml:space="preserve"> y usuarios, para compartir experiencias y </w:t>
      </w:r>
      <w:r w:rsidR="00E967A8" w:rsidRPr="009C2D9A">
        <w:rPr>
          <w:rFonts w:cs="Times New Roman"/>
          <w:snapToGrid/>
          <w:color w:val="000000"/>
          <w:kern w:val="22"/>
          <w:szCs w:val="22"/>
          <w:lang w:val="es-ES_tradnl"/>
        </w:rPr>
        <w:t>enseñanzas extraídas</w:t>
      </w:r>
      <w:r w:rsidR="00D11C52" w:rsidRPr="009C2D9A">
        <w:rPr>
          <w:rFonts w:cs="Times New Roman"/>
          <w:snapToGrid/>
          <w:color w:val="000000"/>
          <w:kern w:val="22"/>
          <w:szCs w:val="22"/>
          <w:lang w:val="es-ES_tradnl"/>
        </w:rPr>
        <w:t>. En total, 888 participantes de todo el mundo asistieron a la conferencia en línea.</w:t>
      </w:r>
    </w:p>
    <w:p w14:paraId="21F5E050" w14:textId="4766B9F6" w:rsidR="00655909" w:rsidRPr="009C2D9A" w:rsidRDefault="000536B0" w:rsidP="48732A80">
      <w:pPr>
        <w:pStyle w:val="Para1"/>
        <w:numPr>
          <w:ilvl w:val="0"/>
          <w:numId w:val="0"/>
        </w:numPr>
        <w:pBdr>
          <w:top w:val="nil"/>
          <w:left w:val="nil"/>
          <w:bottom w:val="nil"/>
          <w:right w:val="nil"/>
          <w:between w:val="nil"/>
          <w:bar w:val="nil"/>
        </w:pBdr>
        <w:spacing w:before="120"/>
        <w:rPr>
          <w:rFonts w:cs="Times New Roman"/>
          <w:snapToGrid/>
          <w:color w:val="000000"/>
          <w:kern w:val="22"/>
          <w:lang w:val="es-ES_tradnl"/>
        </w:rPr>
      </w:pPr>
      <w:r w:rsidRPr="009C2D9A">
        <w:rPr>
          <w:rFonts w:cs="Times New Roman"/>
          <w:snapToGrid/>
          <w:color w:val="000000"/>
          <w:kern w:val="22"/>
          <w:lang w:val="es-ES_tradnl"/>
        </w:rPr>
        <w:t>1</w:t>
      </w:r>
      <w:r w:rsidR="004F55BE" w:rsidRPr="009C2D9A">
        <w:rPr>
          <w:rFonts w:cs="Times New Roman"/>
          <w:snapToGrid/>
          <w:color w:val="000000"/>
          <w:kern w:val="22"/>
          <w:lang w:val="es-ES_tradnl"/>
        </w:rPr>
        <w:t>5</w:t>
      </w:r>
      <w:r w:rsidRPr="009C2D9A">
        <w:rPr>
          <w:rFonts w:cs="Times New Roman"/>
          <w:snapToGrid/>
          <w:color w:val="000000"/>
          <w:kern w:val="22"/>
          <w:lang w:val="es-ES_tradnl"/>
        </w:rPr>
        <w:t>.</w:t>
      </w:r>
      <w:r w:rsidRPr="009C2D9A">
        <w:rPr>
          <w:rFonts w:cs="Times New Roman"/>
          <w:snapToGrid/>
          <w:color w:val="000000"/>
          <w:kern w:val="22"/>
          <w:szCs w:val="22"/>
          <w:lang w:val="es-ES_tradnl"/>
        </w:rPr>
        <w:tab/>
      </w:r>
      <w:r w:rsidR="00D11C52" w:rsidRPr="009C2D9A">
        <w:rPr>
          <w:rFonts w:cs="Times New Roman"/>
          <w:snapToGrid/>
          <w:color w:val="000000"/>
          <w:kern w:val="22"/>
          <w:lang w:val="es-ES_tradnl"/>
        </w:rPr>
        <w:t xml:space="preserve">En 2021 se llevó a cabo una campaña de comunicación adicional con el apoyo del </w:t>
      </w:r>
      <w:r w:rsidR="00361990" w:rsidRPr="009C2D9A">
        <w:rPr>
          <w:rFonts w:cs="Times New Roman"/>
          <w:snapToGrid/>
          <w:color w:val="000000"/>
          <w:kern w:val="22"/>
          <w:lang w:val="es-ES_tradnl"/>
        </w:rPr>
        <w:t>Fondo de Japón para la diversidad biológica</w:t>
      </w:r>
      <w:r w:rsidR="00D11C52" w:rsidRPr="009C2D9A">
        <w:rPr>
          <w:rFonts w:cs="Times New Roman"/>
          <w:snapToGrid/>
          <w:color w:val="000000"/>
          <w:kern w:val="22"/>
          <w:lang w:val="es-ES_tradnl"/>
        </w:rPr>
        <w:t xml:space="preserve"> para crear conciencia sobre </w:t>
      </w:r>
      <w:r w:rsidR="00361990" w:rsidRPr="009C2D9A">
        <w:rPr>
          <w:lang w:val="es-ES_tradnl"/>
        </w:rPr>
        <w:t>el acceso y la participación en los beneficios</w:t>
      </w:r>
      <w:r w:rsidR="00361990" w:rsidRPr="009C2D9A">
        <w:rPr>
          <w:rFonts w:cs="Times New Roman"/>
          <w:snapToGrid/>
          <w:color w:val="000000"/>
          <w:kern w:val="22"/>
          <w:lang w:val="es-ES_tradnl"/>
        </w:rPr>
        <w:t xml:space="preserve"> </w:t>
      </w:r>
      <w:r w:rsidR="00D11C52" w:rsidRPr="009C2D9A">
        <w:rPr>
          <w:rFonts w:cs="Times New Roman"/>
          <w:snapToGrid/>
          <w:color w:val="000000"/>
          <w:kern w:val="22"/>
          <w:lang w:val="es-ES_tradnl"/>
        </w:rPr>
        <w:t xml:space="preserve">y el Protocolo de Nagoya en el período previo a la </w:t>
      </w:r>
      <w:r w:rsidR="00361990" w:rsidRPr="009C2D9A">
        <w:rPr>
          <w:rFonts w:cs="Times New Roman"/>
          <w:snapToGrid/>
          <w:color w:val="000000"/>
          <w:kern w:val="22"/>
          <w:lang w:val="es-ES_tradnl"/>
        </w:rPr>
        <w:t xml:space="preserve">15ª </w:t>
      </w:r>
      <w:r w:rsidR="00D11C52" w:rsidRPr="009C2D9A">
        <w:rPr>
          <w:rFonts w:cs="Times New Roman"/>
          <w:snapToGrid/>
          <w:color w:val="000000"/>
          <w:kern w:val="22"/>
          <w:lang w:val="es-ES_tradnl"/>
        </w:rPr>
        <w:t xml:space="preserve">reunión de la Conferencia de las Partes. La campaña publicó cuatro entrevistas con partes interesadas </w:t>
      </w:r>
      <w:r w:rsidR="00361990" w:rsidRPr="009C2D9A">
        <w:rPr>
          <w:rFonts w:cs="Times New Roman"/>
          <w:snapToGrid/>
          <w:color w:val="000000"/>
          <w:kern w:val="22"/>
          <w:lang w:val="es-ES_tradnl"/>
        </w:rPr>
        <w:t xml:space="preserve">en APB </w:t>
      </w:r>
      <w:r w:rsidR="00D11C52" w:rsidRPr="009C2D9A">
        <w:rPr>
          <w:rFonts w:cs="Times New Roman"/>
          <w:snapToGrid/>
          <w:color w:val="000000"/>
          <w:kern w:val="22"/>
          <w:lang w:val="es-ES_tradnl"/>
        </w:rPr>
        <w:t xml:space="preserve">que destacan los desafíos clave de </w:t>
      </w:r>
      <w:r w:rsidR="00361990" w:rsidRPr="009C2D9A">
        <w:rPr>
          <w:rFonts w:cs="Times New Roman"/>
          <w:snapToGrid/>
          <w:color w:val="000000"/>
          <w:kern w:val="22"/>
          <w:lang w:val="es-ES_tradnl"/>
        </w:rPr>
        <w:t>APB</w:t>
      </w:r>
      <w:r w:rsidR="00D11C52" w:rsidRPr="009C2D9A">
        <w:rPr>
          <w:rFonts w:cs="Times New Roman"/>
          <w:snapToGrid/>
          <w:color w:val="000000"/>
          <w:kern w:val="22"/>
          <w:lang w:val="es-ES_tradnl"/>
        </w:rPr>
        <w:t xml:space="preserve">, historias de éxito e ideas innovadoras a través de narraciones y experiencias de la vida real que se difundieron a través de los cinco canales de redes sociales de la Secretaría y el </w:t>
      </w:r>
      <w:r w:rsidR="00361990" w:rsidRPr="009C2D9A">
        <w:rPr>
          <w:rFonts w:cs="Times New Roman"/>
          <w:snapToGrid/>
          <w:color w:val="000000"/>
          <w:kern w:val="22"/>
          <w:lang w:val="es-ES_tradnl"/>
        </w:rPr>
        <w:t>Centro de intercambio de información sobre APB</w:t>
      </w:r>
      <w:r w:rsidR="00D11C52" w:rsidRPr="009C2D9A">
        <w:rPr>
          <w:rFonts w:cs="Times New Roman"/>
          <w:snapToGrid/>
          <w:color w:val="000000"/>
          <w:kern w:val="22"/>
          <w:lang w:val="es-ES_tradnl"/>
        </w:rPr>
        <w:t xml:space="preserve">. Además, la campaña generó 198 publicaciones relacionadas con </w:t>
      </w:r>
      <w:r w:rsidR="00361990" w:rsidRPr="009C2D9A">
        <w:rPr>
          <w:rFonts w:cs="Times New Roman"/>
          <w:snapToGrid/>
          <w:color w:val="000000"/>
          <w:kern w:val="22"/>
          <w:lang w:val="es-ES_tradnl"/>
        </w:rPr>
        <w:t>APB</w:t>
      </w:r>
      <w:r w:rsidR="00D11C52" w:rsidRPr="009C2D9A">
        <w:rPr>
          <w:rFonts w:cs="Times New Roman"/>
          <w:snapToGrid/>
          <w:color w:val="000000"/>
          <w:kern w:val="22"/>
          <w:lang w:val="es-ES_tradnl"/>
        </w:rPr>
        <w:t xml:space="preserve"> que proporcionaron enlaces a publicaciones, informes, eventos y noticias </w:t>
      </w:r>
      <w:r w:rsidR="00361990" w:rsidRPr="009C2D9A">
        <w:rPr>
          <w:rFonts w:cs="Times New Roman"/>
          <w:snapToGrid/>
          <w:color w:val="000000"/>
          <w:kern w:val="22"/>
          <w:lang w:val="es-ES_tradnl"/>
        </w:rPr>
        <w:t xml:space="preserve">pertinentes </w:t>
      </w:r>
      <w:r w:rsidR="00D11C52" w:rsidRPr="009C2D9A">
        <w:rPr>
          <w:rFonts w:cs="Times New Roman"/>
          <w:snapToGrid/>
          <w:color w:val="000000"/>
          <w:kern w:val="22"/>
          <w:lang w:val="es-ES_tradnl"/>
        </w:rPr>
        <w:t xml:space="preserve">que se etiquetaron estratégicamente para atraer la atención de los grupos objetivo de partes interesadas </w:t>
      </w:r>
      <w:r w:rsidR="00361990" w:rsidRPr="009C2D9A">
        <w:rPr>
          <w:rFonts w:cs="Times New Roman"/>
          <w:snapToGrid/>
          <w:color w:val="000000"/>
          <w:kern w:val="22"/>
          <w:lang w:val="es-ES_tradnl"/>
        </w:rPr>
        <w:t>en APB</w:t>
      </w:r>
      <w:r w:rsidR="00D11C52" w:rsidRPr="009C2D9A">
        <w:rPr>
          <w:rFonts w:cs="Times New Roman"/>
          <w:snapToGrid/>
          <w:color w:val="000000"/>
          <w:kern w:val="22"/>
          <w:lang w:val="es-ES_tradnl"/>
        </w:rPr>
        <w:t xml:space="preserve">. Este trabajo </w:t>
      </w:r>
      <w:r w:rsidR="00755D54" w:rsidRPr="009C2D9A">
        <w:rPr>
          <w:rFonts w:cs="Times New Roman"/>
          <w:snapToGrid/>
          <w:color w:val="000000"/>
          <w:kern w:val="22"/>
          <w:lang w:val="es-ES_tradnl"/>
        </w:rPr>
        <w:t xml:space="preserve">tuvo como resultado </w:t>
      </w:r>
      <w:r w:rsidR="00D11C52" w:rsidRPr="009C2D9A">
        <w:rPr>
          <w:rFonts w:cs="Times New Roman"/>
          <w:snapToGrid/>
          <w:color w:val="000000"/>
          <w:kern w:val="22"/>
          <w:lang w:val="es-ES_tradnl"/>
        </w:rPr>
        <w:t>un total de 571</w:t>
      </w:r>
      <w:r w:rsidR="00CF2CB3" w:rsidRPr="009C2D9A">
        <w:rPr>
          <w:rFonts w:cs="Times New Roman"/>
          <w:snapToGrid/>
          <w:color w:val="000000"/>
          <w:kern w:val="22"/>
          <w:lang w:val="es-ES_tradnl"/>
        </w:rPr>
        <w:t>.</w:t>
      </w:r>
      <w:r w:rsidR="00D11C52" w:rsidRPr="009C2D9A">
        <w:rPr>
          <w:rFonts w:cs="Times New Roman"/>
          <w:snapToGrid/>
          <w:color w:val="000000"/>
          <w:kern w:val="22"/>
          <w:lang w:val="es-ES_tradnl"/>
        </w:rPr>
        <w:t>380 impresiones y 17</w:t>
      </w:r>
      <w:r w:rsidR="00CF2CB3" w:rsidRPr="009C2D9A">
        <w:rPr>
          <w:rFonts w:cs="Times New Roman"/>
          <w:snapToGrid/>
          <w:color w:val="000000"/>
          <w:kern w:val="22"/>
          <w:lang w:val="es-ES_tradnl"/>
        </w:rPr>
        <w:t>.</w:t>
      </w:r>
      <w:r w:rsidR="00D11C52" w:rsidRPr="009C2D9A">
        <w:rPr>
          <w:rFonts w:cs="Times New Roman"/>
          <w:snapToGrid/>
          <w:color w:val="000000"/>
          <w:kern w:val="22"/>
          <w:lang w:val="es-ES_tradnl"/>
        </w:rPr>
        <w:t>471 interacciones en las redes sociales.</w:t>
      </w:r>
    </w:p>
    <w:p w14:paraId="5038A173" w14:textId="478DF50D" w:rsidR="00D11C52" w:rsidRPr="009C2D9A" w:rsidRDefault="00066A4A" w:rsidP="00755D54">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lang w:val="es-ES_tradnl"/>
        </w:rPr>
        <w:lastRenderedPageBreak/>
        <w:t>1</w:t>
      </w:r>
      <w:r w:rsidR="004F55BE" w:rsidRPr="009C2D9A">
        <w:rPr>
          <w:rFonts w:cs="Times New Roman"/>
          <w:snapToGrid/>
          <w:color w:val="000000"/>
          <w:kern w:val="22"/>
          <w:lang w:val="es-ES_tradnl"/>
        </w:rPr>
        <w:t>6</w:t>
      </w:r>
      <w:r w:rsidRPr="009C2D9A">
        <w:rPr>
          <w:rFonts w:cs="Times New Roman"/>
          <w:snapToGrid/>
          <w:color w:val="000000"/>
          <w:kern w:val="22"/>
          <w:lang w:val="es-ES_tradnl"/>
        </w:rPr>
        <w:t>.</w:t>
      </w:r>
      <w:r w:rsidRPr="009C2D9A">
        <w:rPr>
          <w:rFonts w:cs="Times New Roman"/>
          <w:snapToGrid/>
          <w:color w:val="000000"/>
          <w:kern w:val="22"/>
          <w:szCs w:val="22"/>
          <w:lang w:val="es-ES_tradnl"/>
        </w:rPr>
        <w:tab/>
      </w:r>
      <w:bookmarkStart w:id="3" w:name="_Hlk86938992"/>
      <w:r w:rsidR="00D11C52" w:rsidRPr="009C2D9A">
        <w:rPr>
          <w:lang w:val="es-ES_tradnl"/>
        </w:rPr>
        <w:t xml:space="preserve">Con el apoyo de la Unión Europea y en colaboración con </w:t>
      </w:r>
      <w:r w:rsidR="00755D54" w:rsidRPr="009C2D9A">
        <w:rPr>
          <w:lang w:val="es-ES_tradnl"/>
        </w:rPr>
        <w:t>la Iniciativa para el Desarrollo de Capacidades en materia de APB</w:t>
      </w:r>
      <w:r w:rsidR="00D11C52" w:rsidRPr="009C2D9A">
        <w:rPr>
          <w:lang w:val="es-ES_tradnl"/>
        </w:rPr>
        <w:t xml:space="preserve">, la Secretaría organizó una serie de cuatro seminarios </w:t>
      </w:r>
      <w:r w:rsidR="007E242B">
        <w:rPr>
          <w:lang w:val="es-ES_tradnl"/>
        </w:rPr>
        <w:t xml:space="preserve">en línea </w:t>
      </w:r>
      <w:r w:rsidR="00D11C52" w:rsidRPr="009C2D9A">
        <w:rPr>
          <w:lang w:val="es-ES_tradnl"/>
        </w:rPr>
        <w:t xml:space="preserve">sobre </w:t>
      </w:r>
      <w:r w:rsidR="00755D54" w:rsidRPr="009C2D9A">
        <w:rPr>
          <w:lang w:val="es-ES_tradnl"/>
        </w:rPr>
        <w:t>información digital sobre secuencias de recursos genéticos</w:t>
      </w:r>
      <w:r w:rsidR="00755D54" w:rsidRPr="009C2D9A">
        <w:rPr>
          <w:rStyle w:val="FootnoteReference"/>
          <w:rFonts w:cs="Times New Roman"/>
          <w:snapToGrid/>
          <w:kern w:val="22"/>
          <w:lang w:val="es-ES_tradnl"/>
        </w:rPr>
        <w:footnoteReference w:id="3"/>
      </w:r>
      <w:r w:rsidR="00755D54" w:rsidRPr="009C2D9A">
        <w:rPr>
          <w:lang w:val="es-ES_tradnl"/>
        </w:rPr>
        <w:t xml:space="preserve"> (DSI, por sus siglas en inglés) </w:t>
      </w:r>
      <w:r w:rsidR="00D11C52" w:rsidRPr="009C2D9A">
        <w:rPr>
          <w:lang w:val="es-ES_tradnl"/>
        </w:rPr>
        <w:t xml:space="preserve">para difundir información y fomentar una comprensión común de </w:t>
      </w:r>
      <w:r w:rsidR="00755D54" w:rsidRPr="009C2D9A">
        <w:rPr>
          <w:lang w:val="es-ES_tradnl"/>
        </w:rPr>
        <w:t xml:space="preserve">la </w:t>
      </w:r>
      <w:r w:rsidR="00D11C52" w:rsidRPr="009C2D9A">
        <w:rPr>
          <w:lang w:val="es-ES_tradnl"/>
        </w:rPr>
        <w:t>DSI y de los problemas que se abordan</w:t>
      </w:r>
      <w:r w:rsidR="007E242B">
        <w:rPr>
          <w:lang w:val="es-ES_tradnl"/>
        </w:rPr>
        <w:t xml:space="preserve"> en </w:t>
      </w:r>
      <w:r w:rsidR="00D11C52" w:rsidRPr="009C2D9A">
        <w:rPr>
          <w:lang w:val="es-ES_tradnl"/>
        </w:rPr>
        <w:t xml:space="preserve">procesos formales e informales en el contexto del Convenio sobre la Diversidad Biológica. El primer seminario </w:t>
      </w:r>
      <w:r w:rsidR="007E242B">
        <w:rPr>
          <w:lang w:val="es-ES_tradnl"/>
        </w:rPr>
        <w:t>en línea</w:t>
      </w:r>
      <w:r w:rsidR="00D11C52" w:rsidRPr="009C2D9A">
        <w:rPr>
          <w:lang w:val="es-ES_tradnl"/>
        </w:rPr>
        <w:t xml:space="preserve"> se centró en proporcionar una introducción técnica a </w:t>
      </w:r>
      <w:r w:rsidR="00755D54" w:rsidRPr="009C2D9A">
        <w:rPr>
          <w:lang w:val="es-ES_tradnl"/>
        </w:rPr>
        <w:t xml:space="preserve">la </w:t>
      </w:r>
      <w:r w:rsidR="00D11C52" w:rsidRPr="009C2D9A">
        <w:rPr>
          <w:lang w:val="es-ES_tradnl"/>
        </w:rPr>
        <w:t xml:space="preserve">DSI (389 participantes); el segundo proporcionó una descripción general de los resultados de los procesos en el marco del Convenio sobre la Diversidad Biológica, con un enfoque en los resultados del </w:t>
      </w:r>
      <w:r w:rsidR="00755D54" w:rsidRPr="009C2D9A">
        <w:rPr>
          <w:lang w:val="es-ES_tradnl"/>
        </w:rPr>
        <w:t xml:space="preserve">Grupo Especial de Expertos Técnicos (GEET) sobre Información Digital sobre Secuencias de Recursos Genéticos, </w:t>
      </w:r>
      <w:r w:rsidR="00D11C52" w:rsidRPr="009C2D9A">
        <w:rPr>
          <w:lang w:val="es-ES_tradnl"/>
        </w:rPr>
        <w:t xml:space="preserve">que tuvo lugar en marzo de 2020 (389 participantes); y el tercer seminario </w:t>
      </w:r>
      <w:r w:rsidR="007E242B">
        <w:rPr>
          <w:lang w:val="es-ES_tradnl"/>
        </w:rPr>
        <w:t>en línea</w:t>
      </w:r>
      <w:r w:rsidR="00D11C52" w:rsidRPr="009C2D9A">
        <w:rPr>
          <w:lang w:val="es-ES_tradnl"/>
        </w:rPr>
        <w:t xml:space="preserve"> presentó varias opciones de políticas que han surgido a través de estudios y procesos informales (330 participantes). El cuarto y último seminario web tuvo lugar en abril de 2021 para presentar un conjunto de criterios que podrían usarse para considerar las diversas opciones de políticas (187 participantes). La serie de seminarios </w:t>
      </w:r>
      <w:r w:rsidR="007E242B">
        <w:rPr>
          <w:lang w:val="es-ES_tradnl"/>
        </w:rPr>
        <w:t>en línea</w:t>
      </w:r>
      <w:r w:rsidR="00D11C52" w:rsidRPr="009C2D9A">
        <w:rPr>
          <w:lang w:val="es-ES_tradnl"/>
        </w:rPr>
        <w:t xml:space="preserve"> fue seguida </w:t>
      </w:r>
      <w:r w:rsidR="007E242B">
        <w:rPr>
          <w:lang w:val="es-ES_tradnl"/>
        </w:rPr>
        <w:t>de</w:t>
      </w:r>
      <w:r w:rsidR="00D11C52" w:rsidRPr="009C2D9A">
        <w:rPr>
          <w:lang w:val="es-ES_tradnl"/>
        </w:rPr>
        <w:t xml:space="preserve"> un foro de debat</w:t>
      </w:r>
      <w:r w:rsidR="00755D54" w:rsidRPr="009C2D9A">
        <w:rPr>
          <w:lang w:val="es-ES_tradnl"/>
        </w:rPr>
        <w:t>e</w:t>
      </w:r>
      <w:r w:rsidR="00755D54" w:rsidRPr="009C2D9A">
        <w:rPr>
          <w:rStyle w:val="FootnoteReference"/>
          <w:rFonts w:cs="Times New Roman"/>
          <w:snapToGrid/>
          <w:kern w:val="22"/>
          <w:lang w:val="es-ES_tradnl"/>
        </w:rPr>
        <w:footnoteReference w:id="4"/>
      </w:r>
      <w:r w:rsidR="00D11C52" w:rsidRPr="009C2D9A">
        <w:rPr>
          <w:lang w:val="es-ES_tradnl"/>
        </w:rPr>
        <w:t xml:space="preserve"> en línea organizado por la Secretaría sobre las opciones de políticas propuestas y el marco de criterios para la </w:t>
      </w:r>
      <w:r w:rsidR="00755D54" w:rsidRPr="009C2D9A">
        <w:rPr>
          <w:lang w:val="es-ES_tradnl"/>
        </w:rPr>
        <w:t>información digital sobre secuencias de recursos genéticos</w:t>
      </w:r>
      <w:r w:rsidR="00D11C52" w:rsidRPr="009C2D9A">
        <w:rPr>
          <w:lang w:val="es-ES_tradnl"/>
        </w:rPr>
        <w:t xml:space="preserve"> (21 de abril a 2 de mayo de 2021).</w:t>
      </w:r>
    </w:p>
    <w:bookmarkEnd w:id="3"/>
    <w:p w14:paraId="3A18212F" w14:textId="5141FC77" w:rsidR="00D11C52" w:rsidRPr="009C2D9A" w:rsidRDefault="00F8670A" w:rsidP="48732A80">
      <w:pPr>
        <w:pStyle w:val="Para1"/>
        <w:numPr>
          <w:ilvl w:val="0"/>
          <w:numId w:val="0"/>
        </w:numPr>
        <w:pBdr>
          <w:top w:val="nil"/>
          <w:left w:val="nil"/>
          <w:bottom w:val="nil"/>
          <w:right w:val="nil"/>
          <w:between w:val="nil"/>
          <w:bar w:val="nil"/>
        </w:pBdr>
        <w:spacing w:before="120"/>
        <w:rPr>
          <w:rFonts w:cs="Times New Roman"/>
          <w:color w:val="000000" w:themeColor="text1"/>
          <w:kern w:val="22"/>
          <w:lang w:val="es-ES_tradnl"/>
        </w:rPr>
      </w:pPr>
      <w:r w:rsidRPr="009C2D9A">
        <w:rPr>
          <w:rFonts w:cs="Times New Roman"/>
          <w:color w:val="000000"/>
          <w:kern w:val="22"/>
          <w:lang w:val="es-ES_tradnl"/>
        </w:rPr>
        <w:t>1</w:t>
      </w:r>
      <w:r w:rsidR="004F55BE" w:rsidRPr="009C2D9A">
        <w:rPr>
          <w:rFonts w:cs="Times New Roman"/>
          <w:color w:val="000000"/>
          <w:kern w:val="22"/>
          <w:lang w:val="es-ES_tradnl"/>
        </w:rPr>
        <w:t>7</w:t>
      </w:r>
      <w:r w:rsidRPr="009C2D9A">
        <w:rPr>
          <w:rFonts w:cs="Times New Roman"/>
          <w:color w:val="000000"/>
          <w:kern w:val="22"/>
          <w:lang w:val="es-ES_tradnl"/>
        </w:rPr>
        <w:t>.</w:t>
      </w:r>
      <w:r w:rsidRPr="009C2D9A">
        <w:rPr>
          <w:rFonts w:cs="Times New Roman"/>
          <w:color w:val="000000"/>
          <w:kern w:val="22"/>
          <w:szCs w:val="22"/>
          <w:lang w:val="es-ES_tradnl"/>
        </w:rPr>
        <w:tab/>
      </w:r>
      <w:r w:rsidR="00D11C52" w:rsidRPr="009C2D9A">
        <w:rPr>
          <w:rFonts w:cs="Times New Roman"/>
          <w:kern w:val="22"/>
          <w:lang w:val="es-ES_tradnl"/>
        </w:rPr>
        <w:t xml:space="preserve">Las Partes destacaron la necesidad de creación de capacidad para facilitar el uso del </w:t>
      </w:r>
      <w:r w:rsidR="00C83421" w:rsidRPr="009C2D9A">
        <w:rPr>
          <w:rFonts w:cs="Times New Roman"/>
          <w:kern w:val="22"/>
          <w:lang w:val="es-ES_tradnl"/>
        </w:rPr>
        <w:t>Centro de intercambio de información sobre APB</w:t>
      </w:r>
      <w:r w:rsidR="00D11C52" w:rsidRPr="009C2D9A">
        <w:rPr>
          <w:rFonts w:cs="Times New Roman"/>
          <w:kern w:val="22"/>
          <w:lang w:val="es-ES_tradnl"/>
        </w:rPr>
        <w:t xml:space="preserve"> en las decisiones adoptadas en la </w:t>
      </w:r>
      <w:r w:rsidR="00C83421" w:rsidRPr="009C2D9A">
        <w:rPr>
          <w:rFonts w:cs="Times New Roman"/>
          <w:kern w:val="22"/>
          <w:lang w:val="es-ES_tradnl"/>
        </w:rPr>
        <w:t xml:space="preserve">14ª </w:t>
      </w:r>
      <w:r w:rsidR="00D11C52" w:rsidRPr="009C2D9A">
        <w:rPr>
          <w:rFonts w:cs="Times New Roman"/>
          <w:kern w:val="22"/>
          <w:lang w:val="es-ES_tradnl"/>
        </w:rPr>
        <w:t xml:space="preserve">reunión de la Conferencia de las Partes y la tercera reunión de las Partes en el Protocolo de Nagoya. Estas decisiones subrayan la relación crucial entre las obligaciones de intercambio de información de las Partes a través del </w:t>
      </w:r>
      <w:r w:rsidR="00C83421" w:rsidRPr="009C2D9A">
        <w:rPr>
          <w:rFonts w:cs="Times New Roman"/>
          <w:kern w:val="22"/>
          <w:lang w:val="es-ES_tradnl"/>
        </w:rPr>
        <w:t>Centro de intercambio de información sobre APB</w:t>
      </w:r>
      <w:r w:rsidR="00D11C52" w:rsidRPr="009C2D9A">
        <w:rPr>
          <w:rFonts w:cs="Times New Roman"/>
          <w:kern w:val="22"/>
          <w:lang w:val="es-ES_tradnl"/>
        </w:rPr>
        <w:t xml:space="preserve"> y la </w:t>
      </w:r>
      <w:r w:rsidR="00C83421" w:rsidRPr="009C2D9A">
        <w:rPr>
          <w:rFonts w:cs="Times New Roman"/>
          <w:kern w:val="22"/>
          <w:lang w:val="es-ES_tradnl"/>
        </w:rPr>
        <w:t xml:space="preserve">aplicación </w:t>
      </w:r>
      <w:r w:rsidR="00D11C52" w:rsidRPr="009C2D9A">
        <w:rPr>
          <w:rFonts w:cs="Times New Roman"/>
          <w:kern w:val="22"/>
          <w:lang w:val="es-ES_tradnl"/>
        </w:rPr>
        <w:t xml:space="preserve">exitosa del Protocolo. En este sentido, la Secretaría ha estado llevando a cabo la creación de capacidad de muchas maneras. Desde la tercera reunión de las Partes en el Protocolo, la Secretaría ha realizado 13 capacitaciones remotas de creación de capacidad para el uso del </w:t>
      </w:r>
      <w:r w:rsidR="00C83421" w:rsidRPr="009C2D9A">
        <w:rPr>
          <w:rFonts w:cs="Times New Roman"/>
          <w:kern w:val="22"/>
          <w:lang w:val="es-ES_tradnl"/>
        </w:rPr>
        <w:t>Centro de intercambio de información sobre APB</w:t>
      </w:r>
      <w:r w:rsidR="00D11C52" w:rsidRPr="009C2D9A">
        <w:rPr>
          <w:rFonts w:cs="Times New Roman"/>
          <w:kern w:val="22"/>
          <w:lang w:val="es-ES_tradnl"/>
        </w:rPr>
        <w:t xml:space="preserve"> y cinco talleres presenciales de creación de capacidad</w:t>
      </w:r>
      <w:r w:rsidR="004001F9" w:rsidRPr="009C2D9A">
        <w:rPr>
          <w:rStyle w:val="FootnoteReference"/>
          <w:rFonts w:cs="Times New Roman"/>
          <w:kern w:val="22"/>
          <w:lang w:val="es-ES_tradnl"/>
        </w:rPr>
        <w:footnoteReference w:id="5"/>
      </w:r>
      <w:r w:rsidR="00D11C52" w:rsidRPr="009C2D9A">
        <w:rPr>
          <w:rFonts w:cs="Times New Roman"/>
          <w:kern w:val="22"/>
          <w:lang w:val="es-ES_tradnl"/>
        </w:rPr>
        <w:t xml:space="preserve">. Además, la Secretaría ha emprendido una campaña de divulgación proactiva para generar conciencia y aumentar el compromiso con las Partes. Más información sobre estas actividades está disponible en el documento CBD/NP/MOP/4/6 sobre el </w:t>
      </w:r>
      <w:r w:rsidR="00C83421" w:rsidRPr="009C2D9A">
        <w:rPr>
          <w:rFonts w:cs="Times New Roman"/>
          <w:kern w:val="22"/>
          <w:lang w:val="es-ES_tradnl"/>
        </w:rPr>
        <w:t>Centro de intercambio de información sobre APB</w:t>
      </w:r>
      <w:r w:rsidR="00D11C52" w:rsidRPr="009C2D9A">
        <w:rPr>
          <w:rFonts w:cs="Times New Roman"/>
          <w:kern w:val="22"/>
          <w:lang w:val="es-ES_tradnl"/>
        </w:rPr>
        <w:t xml:space="preserve"> y será </w:t>
      </w:r>
      <w:r w:rsidR="00C83421" w:rsidRPr="009C2D9A">
        <w:rPr>
          <w:rFonts w:cs="Times New Roman"/>
          <w:kern w:val="22"/>
          <w:lang w:val="es-ES_tradnl"/>
        </w:rPr>
        <w:t xml:space="preserve">examinada </w:t>
      </w:r>
      <w:r w:rsidR="00D11C52" w:rsidRPr="009C2D9A">
        <w:rPr>
          <w:rFonts w:cs="Times New Roman"/>
          <w:kern w:val="22"/>
          <w:lang w:val="es-ES_tradnl"/>
        </w:rPr>
        <w:t>por la Conferencia de las Partes que actúa como reunión de las Partes en el Protocolo de Nagoya en su cuarta reunión</w:t>
      </w:r>
      <w:r w:rsidR="00C83421" w:rsidRPr="009C2D9A">
        <w:rPr>
          <w:rFonts w:cs="Times New Roman"/>
          <w:kern w:val="22"/>
          <w:lang w:val="es-ES_tradnl"/>
        </w:rPr>
        <w:t xml:space="preserve">, </w:t>
      </w:r>
      <w:r w:rsidR="00D11C52" w:rsidRPr="009C2D9A">
        <w:rPr>
          <w:rFonts w:cs="Times New Roman"/>
          <w:kern w:val="22"/>
          <w:lang w:val="es-ES_tradnl"/>
        </w:rPr>
        <w:t>en el tema 9 del programa.</w:t>
      </w:r>
    </w:p>
    <w:p w14:paraId="0304BDB1" w14:textId="1485C037" w:rsidR="00176288" w:rsidRPr="009C2D9A" w:rsidRDefault="00F8670A" w:rsidP="00176288">
      <w:pPr>
        <w:pStyle w:val="Para1"/>
        <w:numPr>
          <w:ilvl w:val="0"/>
          <w:numId w:val="0"/>
        </w:numPr>
        <w:pBdr>
          <w:top w:val="nil"/>
          <w:left w:val="nil"/>
          <w:bottom w:val="nil"/>
          <w:right w:val="nil"/>
          <w:between w:val="nil"/>
          <w:bar w:val="nil"/>
        </w:pBdr>
        <w:spacing w:before="120"/>
        <w:rPr>
          <w:rFonts w:cs="Times New Roman"/>
          <w:snapToGrid/>
          <w:kern w:val="22"/>
          <w:lang w:val="es-ES_tradnl"/>
        </w:rPr>
      </w:pPr>
      <w:bookmarkStart w:id="4" w:name="_Hlk76481478"/>
      <w:r w:rsidRPr="009C2D9A">
        <w:rPr>
          <w:rFonts w:cs="Times New Roman"/>
          <w:snapToGrid/>
          <w:color w:val="000000"/>
          <w:kern w:val="22"/>
          <w:lang w:val="es-ES_tradnl"/>
        </w:rPr>
        <w:t>1</w:t>
      </w:r>
      <w:r w:rsidR="004F55BE" w:rsidRPr="009C2D9A">
        <w:rPr>
          <w:rFonts w:cs="Times New Roman"/>
          <w:snapToGrid/>
          <w:color w:val="000000"/>
          <w:kern w:val="22"/>
          <w:lang w:val="es-ES_tradnl"/>
        </w:rPr>
        <w:t>8</w:t>
      </w:r>
      <w:r w:rsidRPr="009C2D9A">
        <w:rPr>
          <w:rFonts w:cs="Times New Roman"/>
          <w:snapToGrid/>
          <w:color w:val="000000"/>
          <w:kern w:val="22"/>
          <w:lang w:val="es-ES_tradnl"/>
        </w:rPr>
        <w:t>.</w:t>
      </w:r>
      <w:r w:rsidRPr="009C2D9A">
        <w:rPr>
          <w:rFonts w:cs="Times New Roman"/>
          <w:snapToGrid/>
          <w:color w:val="000000"/>
          <w:kern w:val="22"/>
          <w:szCs w:val="22"/>
          <w:lang w:val="es-ES_tradnl"/>
        </w:rPr>
        <w:tab/>
      </w:r>
      <w:bookmarkEnd w:id="4"/>
      <w:r w:rsidR="00176288" w:rsidRPr="009C2D9A">
        <w:rPr>
          <w:lang w:val="es-ES_tradnl"/>
        </w:rPr>
        <w:t>Durante este período entre sesiones, la Iniciativa Bio Bridge</w:t>
      </w:r>
      <w:r w:rsidR="00460CD2" w:rsidRPr="009C2D9A">
        <w:rPr>
          <w:rStyle w:val="FootnoteReference"/>
          <w:rFonts w:cs="Times New Roman"/>
          <w:lang w:val="es-ES_tradnl"/>
        </w:rPr>
        <w:footnoteReference w:id="6"/>
      </w:r>
      <w:r w:rsidR="00460CD2" w:rsidRPr="009C2D9A">
        <w:rPr>
          <w:rFonts w:cs="Times New Roman"/>
          <w:lang w:val="es-ES_tradnl"/>
        </w:rPr>
        <w:t xml:space="preserve"> </w:t>
      </w:r>
      <w:r w:rsidR="00176288" w:rsidRPr="009C2D9A">
        <w:rPr>
          <w:lang w:val="es-ES_tradnl"/>
        </w:rPr>
        <w:t>(</w:t>
      </w:r>
      <w:r w:rsidR="00460CD2" w:rsidRPr="009C2D9A">
        <w:rPr>
          <w:lang w:val="es-ES_tradnl"/>
        </w:rPr>
        <w:t>I</w:t>
      </w:r>
      <w:r w:rsidR="00176288" w:rsidRPr="009C2D9A">
        <w:rPr>
          <w:lang w:val="es-ES_tradnl"/>
        </w:rPr>
        <w:t xml:space="preserve">BB) ha seguido proporcionando y manteniendo herramientas y servicios para promover y facilitar la cooperación técnica y científica para apoyar a las Partes. Uno de los principales mecanismos de apoyo de </w:t>
      </w:r>
      <w:r w:rsidR="007E242B">
        <w:rPr>
          <w:lang w:val="es-ES_tradnl"/>
        </w:rPr>
        <w:t>la I</w:t>
      </w:r>
      <w:r w:rsidR="00176288" w:rsidRPr="009C2D9A">
        <w:rPr>
          <w:lang w:val="es-ES_tradnl"/>
        </w:rPr>
        <w:t>BB</w:t>
      </w:r>
      <w:r w:rsidR="007E242B">
        <w:rPr>
          <w:lang w:val="es-ES_tradnl"/>
        </w:rPr>
        <w:t xml:space="preserve"> </w:t>
      </w:r>
      <w:r w:rsidR="00176288" w:rsidRPr="009C2D9A">
        <w:rPr>
          <w:lang w:val="es-ES_tradnl"/>
        </w:rPr>
        <w:t xml:space="preserve">es el mecanismo de financiación inicial, que proporciona pequeñas subvenciones para catalizar proyectos de demostración que promuevan enfoques de cooperación técnica y científica, en particular a través de la cooperación Sur-Sur y triangular. Desde la </w:t>
      </w:r>
      <w:r w:rsidR="00460CD2" w:rsidRPr="009C2D9A">
        <w:rPr>
          <w:lang w:val="es-ES_tradnl"/>
        </w:rPr>
        <w:t xml:space="preserve">14ª </w:t>
      </w:r>
      <w:r w:rsidR="00176288" w:rsidRPr="009C2D9A">
        <w:rPr>
          <w:lang w:val="es-ES_tradnl"/>
        </w:rPr>
        <w:t xml:space="preserve">reunión de la Conferencia de las </w:t>
      </w:r>
      <w:r w:rsidR="007E242B">
        <w:rPr>
          <w:lang w:val="es-ES_tradnl"/>
        </w:rPr>
        <w:t>Partes en el Convenio</w:t>
      </w:r>
      <w:r w:rsidR="00176288" w:rsidRPr="009C2D9A">
        <w:rPr>
          <w:lang w:val="es-ES_tradnl"/>
        </w:rPr>
        <w:t>, la Iniciativa ha</w:t>
      </w:r>
      <w:r w:rsidR="00460CD2" w:rsidRPr="009C2D9A">
        <w:rPr>
          <w:lang w:val="es-ES_tradnl"/>
        </w:rPr>
        <w:t xml:space="preserve"> estimulado </w:t>
      </w:r>
      <w:r w:rsidR="00176288" w:rsidRPr="009C2D9A">
        <w:rPr>
          <w:lang w:val="es-ES_tradnl"/>
        </w:rPr>
        <w:t xml:space="preserve">25 proyectos y alianzas a través de dos convocatorias de propuestas. Tres de las propuestas seleccionadas son relevantes para el acceso y la participación en los beneficios. El primer proyecto se llevó a cabo en Namibia para fortalecer las capacidades institucionales a través del intercambio de conocimientos y el acceso a la biotecnología en la región sudafricana para abordar la explotación insostenible de plantas medicinales de la familia </w:t>
      </w:r>
      <w:proofErr w:type="spellStart"/>
      <w:r w:rsidR="00176288" w:rsidRPr="009C2D9A">
        <w:rPr>
          <w:i/>
          <w:iCs/>
          <w:lang w:val="es-ES_tradnl"/>
        </w:rPr>
        <w:t>Apocynaceae</w:t>
      </w:r>
      <w:proofErr w:type="spellEnd"/>
      <w:r w:rsidR="00176288" w:rsidRPr="009C2D9A">
        <w:rPr>
          <w:lang w:val="es-ES_tradnl"/>
        </w:rPr>
        <w:t xml:space="preserve">. El segundo proyecto </w:t>
      </w:r>
      <w:r w:rsidR="00460CD2" w:rsidRPr="009C2D9A">
        <w:rPr>
          <w:lang w:val="es-ES_tradnl"/>
        </w:rPr>
        <w:t xml:space="preserve">entraña </w:t>
      </w:r>
      <w:r w:rsidR="00176288" w:rsidRPr="009C2D9A">
        <w:rPr>
          <w:lang w:val="es-ES_tradnl"/>
        </w:rPr>
        <w:t xml:space="preserve">la colaboración entre </w:t>
      </w:r>
      <w:proofErr w:type="spellStart"/>
      <w:r w:rsidR="00176288" w:rsidRPr="009C2D9A">
        <w:rPr>
          <w:lang w:val="es-ES_tradnl"/>
        </w:rPr>
        <w:t>B</w:t>
      </w:r>
      <w:r w:rsidR="00460CD2" w:rsidRPr="009C2D9A">
        <w:rPr>
          <w:lang w:val="es-ES_tradnl"/>
        </w:rPr>
        <w:t>h</w:t>
      </w:r>
      <w:r w:rsidR="00176288" w:rsidRPr="009C2D9A">
        <w:rPr>
          <w:lang w:val="es-ES_tradnl"/>
        </w:rPr>
        <w:t>után</w:t>
      </w:r>
      <w:proofErr w:type="spellEnd"/>
      <w:r w:rsidR="00176288" w:rsidRPr="009C2D9A">
        <w:rPr>
          <w:lang w:val="es-ES_tradnl"/>
        </w:rPr>
        <w:t xml:space="preserve"> y Japón para fortalecer las capacidades nacionales en investigación de </w:t>
      </w:r>
      <w:proofErr w:type="spellStart"/>
      <w:r w:rsidR="00176288" w:rsidRPr="009C2D9A">
        <w:rPr>
          <w:lang w:val="es-ES_tradnl"/>
        </w:rPr>
        <w:t>biodescubrimiento</w:t>
      </w:r>
      <w:proofErr w:type="spellEnd"/>
      <w:r w:rsidR="00176288" w:rsidRPr="009C2D9A">
        <w:rPr>
          <w:lang w:val="es-ES_tradnl"/>
        </w:rPr>
        <w:t xml:space="preserve"> y la implementación efectiva del régimen de acceso y </w:t>
      </w:r>
      <w:r w:rsidR="00A178A7" w:rsidRPr="009C2D9A">
        <w:rPr>
          <w:lang w:val="es-ES_tradnl"/>
        </w:rPr>
        <w:t xml:space="preserve">participación en los </w:t>
      </w:r>
      <w:r w:rsidR="00176288" w:rsidRPr="009C2D9A">
        <w:rPr>
          <w:lang w:val="es-ES_tradnl"/>
        </w:rPr>
        <w:t xml:space="preserve">beneficios en </w:t>
      </w:r>
      <w:proofErr w:type="spellStart"/>
      <w:r w:rsidR="00176288" w:rsidRPr="009C2D9A">
        <w:rPr>
          <w:lang w:val="es-ES_tradnl"/>
        </w:rPr>
        <w:t>B</w:t>
      </w:r>
      <w:r w:rsidR="00460CD2" w:rsidRPr="009C2D9A">
        <w:rPr>
          <w:lang w:val="es-ES_tradnl"/>
        </w:rPr>
        <w:t>h</w:t>
      </w:r>
      <w:r w:rsidR="00176288" w:rsidRPr="009C2D9A">
        <w:rPr>
          <w:lang w:val="es-ES_tradnl"/>
        </w:rPr>
        <w:t>után</w:t>
      </w:r>
      <w:proofErr w:type="spellEnd"/>
      <w:r w:rsidR="00176288" w:rsidRPr="009C2D9A">
        <w:rPr>
          <w:lang w:val="es-ES_tradnl"/>
        </w:rPr>
        <w:t>. El tercer proyecto lo</w:t>
      </w:r>
      <w:r w:rsidR="00460CD2" w:rsidRPr="009C2D9A">
        <w:rPr>
          <w:lang w:val="es-ES_tradnl"/>
        </w:rPr>
        <w:t xml:space="preserve"> lleva a cabo </w:t>
      </w:r>
      <w:r w:rsidR="00176288" w:rsidRPr="009C2D9A">
        <w:rPr>
          <w:lang w:val="es-ES_tradnl"/>
        </w:rPr>
        <w:t xml:space="preserve">Chile en colaboración con Ecuador para aislar bacterias altamente resistentes a metales pesados ​​con miras a generar </w:t>
      </w:r>
      <w:r w:rsidR="00176288" w:rsidRPr="009C2D9A">
        <w:rPr>
          <w:lang w:val="es-ES_tradnl"/>
        </w:rPr>
        <w:lastRenderedPageBreak/>
        <w:t>aplicaciones biotecnológicas que eviten que poblaciones humanas y animales consuman agua o alimentos contaminados</w:t>
      </w:r>
      <w:r w:rsidR="00176288" w:rsidRPr="009C2D9A">
        <w:rPr>
          <w:rStyle w:val="FootnoteReference"/>
          <w:rFonts w:cs="Times New Roman"/>
          <w:snapToGrid/>
          <w:kern w:val="22"/>
          <w:lang w:val="es-ES_tradnl"/>
        </w:rPr>
        <w:footnoteReference w:id="7"/>
      </w:r>
      <w:r w:rsidR="00176288" w:rsidRPr="009C2D9A">
        <w:rPr>
          <w:lang w:val="es-ES_tradnl"/>
        </w:rPr>
        <w:t>.</w:t>
      </w:r>
    </w:p>
    <w:p w14:paraId="094CD202" w14:textId="2BBE5FCA" w:rsidR="00292649" w:rsidRPr="009C2D9A" w:rsidRDefault="00292649" w:rsidP="00010EB1">
      <w:pPr>
        <w:pStyle w:val="Heading3"/>
        <w:rPr>
          <w:lang w:val="es-ES_tradnl"/>
        </w:rPr>
      </w:pPr>
      <w:r w:rsidRPr="009C2D9A">
        <w:rPr>
          <w:lang w:val="es-ES_tradnl"/>
        </w:rPr>
        <w:t>2.</w:t>
      </w:r>
      <w:r w:rsidR="00C7074B" w:rsidRPr="009C2D9A">
        <w:rPr>
          <w:szCs w:val="22"/>
          <w:lang w:val="es-ES_tradnl"/>
        </w:rPr>
        <w:tab/>
      </w:r>
      <w:r w:rsidR="00DC67F8" w:rsidRPr="009C2D9A">
        <w:rPr>
          <w:lang w:val="es-ES_tradnl"/>
        </w:rPr>
        <w:t>Recursos para la creación de capacidad y sensibilización</w:t>
      </w:r>
    </w:p>
    <w:p w14:paraId="63213CCA" w14:textId="75E97E59" w:rsidR="00292649" w:rsidRPr="009C2D9A" w:rsidRDefault="004F55BE" w:rsidP="00010EB1">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rPr>
        <w:t>19</w:t>
      </w:r>
      <w:r w:rsidR="00F8670A" w:rsidRPr="009C2D9A">
        <w:rPr>
          <w:rFonts w:cs="Times New Roman"/>
          <w:snapToGrid/>
          <w:color w:val="000000"/>
          <w:kern w:val="22"/>
          <w:szCs w:val="22"/>
          <w:lang w:val="es-ES_tradnl"/>
        </w:rPr>
        <w:t>.</w:t>
      </w:r>
      <w:r w:rsidR="00F8670A" w:rsidRPr="009C2D9A">
        <w:rPr>
          <w:rFonts w:cs="Times New Roman"/>
          <w:snapToGrid/>
          <w:color w:val="000000"/>
          <w:kern w:val="22"/>
          <w:szCs w:val="22"/>
          <w:lang w:val="es-ES_tradnl"/>
        </w:rPr>
        <w:tab/>
      </w:r>
      <w:r w:rsidR="0072646B" w:rsidRPr="009C2D9A">
        <w:rPr>
          <w:rFonts w:cs="Times New Roman"/>
          <w:snapToGrid/>
          <w:kern w:val="22"/>
          <w:szCs w:val="22"/>
          <w:lang w:val="es-ES_tradnl"/>
        </w:rPr>
        <w:t xml:space="preserve">Además de los materiales </w:t>
      </w:r>
      <w:r w:rsidR="00460CD2" w:rsidRPr="009C2D9A">
        <w:rPr>
          <w:rFonts w:cs="Times New Roman"/>
          <w:snapToGrid/>
          <w:kern w:val="22"/>
          <w:szCs w:val="22"/>
          <w:lang w:val="es-ES_tradnl"/>
        </w:rPr>
        <w:t xml:space="preserve">elaborados </w:t>
      </w:r>
      <w:r w:rsidR="0072646B" w:rsidRPr="009C2D9A">
        <w:rPr>
          <w:rFonts w:cs="Times New Roman"/>
          <w:snapToGrid/>
          <w:kern w:val="22"/>
          <w:szCs w:val="22"/>
          <w:lang w:val="es-ES_tradnl"/>
        </w:rPr>
        <w:t xml:space="preserve">para las actividades mencionadas anteriormente, la Secretaría, en colaboración con los socios, ha </w:t>
      </w:r>
      <w:r w:rsidR="00460CD2" w:rsidRPr="009C2D9A">
        <w:rPr>
          <w:rFonts w:cs="Times New Roman"/>
          <w:snapToGrid/>
          <w:kern w:val="22"/>
          <w:szCs w:val="22"/>
          <w:lang w:val="es-ES_tradnl"/>
        </w:rPr>
        <w:t xml:space="preserve">preparado </w:t>
      </w:r>
      <w:r w:rsidR="0072646B" w:rsidRPr="009C2D9A">
        <w:rPr>
          <w:rFonts w:cs="Times New Roman"/>
          <w:snapToGrid/>
          <w:kern w:val="22"/>
          <w:szCs w:val="22"/>
          <w:lang w:val="es-ES_tradnl"/>
        </w:rPr>
        <w:t>los siguientes</w:t>
      </w:r>
      <w:r w:rsidR="009F7B78" w:rsidRPr="009C2D9A">
        <w:rPr>
          <w:rFonts w:cs="Times New Roman"/>
          <w:snapToGrid/>
          <w:kern w:val="22"/>
          <w:szCs w:val="22"/>
          <w:lang w:val="es-ES_tradnl"/>
        </w:rPr>
        <w:t>:</w:t>
      </w:r>
    </w:p>
    <w:p w14:paraId="67EAB29F" w14:textId="2D311318" w:rsidR="003846B6" w:rsidRPr="009C2D9A" w:rsidRDefault="009F7B78" w:rsidP="00C20E3D">
      <w:pPr>
        <w:pStyle w:val="Para1"/>
        <w:numPr>
          <w:ilvl w:val="0"/>
          <w:numId w:val="0"/>
        </w:numPr>
        <w:pBdr>
          <w:top w:val="nil"/>
          <w:left w:val="nil"/>
          <w:bottom w:val="nil"/>
          <w:right w:val="nil"/>
          <w:between w:val="nil"/>
          <w:bar w:val="nil"/>
        </w:pBdr>
        <w:spacing w:before="120"/>
        <w:ind w:firstLine="709"/>
        <w:rPr>
          <w:rFonts w:cs="Times New Roman"/>
          <w:snapToGrid/>
          <w:kern w:val="22"/>
          <w:lang w:val="es-ES_tradnl"/>
        </w:rPr>
      </w:pPr>
      <w:r w:rsidRPr="009C2D9A">
        <w:rPr>
          <w:rFonts w:cs="Times New Roman"/>
          <w:snapToGrid/>
          <w:kern w:val="22"/>
          <w:lang w:val="es-ES_tradnl"/>
        </w:rPr>
        <w:t>a)</w:t>
      </w:r>
      <w:r w:rsidR="005F25BC" w:rsidRPr="009C2D9A">
        <w:rPr>
          <w:rFonts w:cs="Times New Roman"/>
          <w:snapToGrid/>
          <w:kern w:val="22"/>
          <w:szCs w:val="22"/>
          <w:lang w:val="es-ES_tradnl"/>
        </w:rPr>
        <w:tab/>
      </w:r>
      <w:r w:rsidR="003846B6" w:rsidRPr="009C2D9A">
        <w:rPr>
          <w:lang w:val="es-ES_tradnl"/>
        </w:rPr>
        <w:t xml:space="preserve">Con el apoyo del </w:t>
      </w:r>
      <w:r w:rsidR="00361990" w:rsidRPr="009C2D9A">
        <w:rPr>
          <w:lang w:val="es-ES_tradnl"/>
        </w:rPr>
        <w:t>Fondo de Japón para la diversidad biológica</w:t>
      </w:r>
      <w:r w:rsidR="003846B6" w:rsidRPr="009C2D9A">
        <w:rPr>
          <w:lang w:val="es-ES_tradnl"/>
        </w:rPr>
        <w:t xml:space="preserve"> y en colaboración con la Escuela Superior del Personal de las Naciones Unidas, se finalizaron y pusieron a disposición dos cursos de aprendizaje electrónico. El primero es un curso introductorio de aprendizaje electrónico sobre acceso y participación en los beneficios. El curso introduce a los participantes a los conceptos básicos asociados con el acceso y la participación en los beneficios y proporciona una descripción general de los principales hitos de las políticas sobre acceso y participación en los beneficios en el marco del Convenio sobre la Diversidad Biológica. El segundo módulo de aprendizaje electrónico ofrece una descripción completa de los conceptos y funcionalidades importantes relacionados con el </w:t>
      </w:r>
      <w:r w:rsidR="00AC42BD" w:rsidRPr="009C2D9A">
        <w:rPr>
          <w:lang w:val="es-ES_tradnl"/>
        </w:rPr>
        <w:t xml:space="preserve">Centro de Intercambio de Información sobre Acceso y Participación en los Beneficios </w:t>
      </w:r>
      <w:r w:rsidR="003846B6" w:rsidRPr="009C2D9A">
        <w:rPr>
          <w:lang w:val="es-ES_tradnl"/>
        </w:rPr>
        <w:t>y está disponible en inglés, francés y español. Se puede acceder a estos recursos en la plataforma de aprendizaje electrónico sobre biodiversidad</w:t>
      </w:r>
      <w:r w:rsidR="003846B6" w:rsidRPr="009C2D9A">
        <w:rPr>
          <w:rStyle w:val="FootnoteReference"/>
          <w:rFonts w:cs="Times New Roman"/>
          <w:snapToGrid/>
          <w:kern w:val="22"/>
          <w:lang w:val="es-ES_tradnl"/>
        </w:rPr>
        <w:footnoteReference w:id="8"/>
      </w:r>
      <w:r w:rsidR="003846B6" w:rsidRPr="009C2D9A">
        <w:rPr>
          <w:lang w:val="es-ES_tradnl"/>
        </w:rPr>
        <w:t>;</w:t>
      </w:r>
    </w:p>
    <w:p w14:paraId="2F9C097B" w14:textId="5EFCD2D9" w:rsidR="00874729" w:rsidRPr="009C2D9A" w:rsidRDefault="008F3917" w:rsidP="00AC42BD">
      <w:pPr>
        <w:pStyle w:val="Para1"/>
        <w:numPr>
          <w:ilvl w:val="0"/>
          <w:numId w:val="0"/>
        </w:numPr>
        <w:pBdr>
          <w:top w:val="nil"/>
          <w:left w:val="nil"/>
          <w:bottom w:val="nil"/>
          <w:right w:val="nil"/>
          <w:between w:val="nil"/>
          <w:bar w:val="nil"/>
        </w:pBdr>
        <w:spacing w:before="120" w:after="0"/>
        <w:ind w:firstLine="709"/>
        <w:rPr>
          <w:lang w:val="es-ES_tradnl"/>
        </w:rPr>
      </w:pPr>
      <w:r w:rsidRPr="009C2D9A">
        <w:rPr>
          <w:rFonts w:cs="Times New Roman"/>
          <w:snapToGrid/>
          <w:kern w:val="22"/>
          <w:szCs w:val="22"/>
          <w:lang w:val="es-ES_tradnl"/>
        </w:rPr>
        <w:t>b)</w:t>
      </w:r>
      <w:r w:rsidRPr="009C2D9A">
        <w:rPr>
          <w:rFonts w:cs="Times New Roman"/>
          <w:snapToGrid/>
          <w:kern w:val="22"/>
          <w:szCs w:val="22"/>
          <w:lang w:val="es-ES_tradnl"/>
        </w:rPr>
        <w:tab/>
      </w:r>
      <w:r w:rsidR="00AC42BD" w:rsidRPr="009C2D9A">
        <w:rPr>
          <w:rFonts w:cs="Times New Roman"/>
          <w:snapToGrid/>
          <w:kern w:val="22"/>
          <w:szCs w:val="22"/>
          <w:lang w:val="es-ES_tradnl"/>
        </w:rPr>
        <w:t xml:space="preserve">En el marco del </w:t>
      </w:r>
      <w:r w:rsidR="00874729" w:rsidRPr="009C2D9A">
        <w:rPr>
          <w:lang w:val="es-ES_tradnl"/>
        </w:rPr>
        <w:t xml:space="preserve">Taller </w:t>
      </w:r>
      <w:r w:rsidR="00C20E3D" w:rsidRPr="009C2D9A">
        <w:rPr>
          <w:lang w:val="es-ES_tradnl"/>
        </w:rPr>
        <w:t xml:space="preserve">mundial </w:t>
      </w:r>
      <w:r w:rsidR="00874729" w:rsidRPr="009C2D9A">
        <w:rPr>
          <w:lang w:val="es-ES_tradnl"/>
        </w:rPr>
        <w:t xml:space="preserve">de </w:t>
      </w:r>
      <w:r w:rsidR="00C20E3D" w:rsidRPr="009C2D9A">
        <w:rPr>
          <w:lang w:val="es-ES_tradnl"/>
        </w:rPr>
        <w:t>creación de capacidades sobre el seguimiento de la utilización de los recursos genéticos</w:t>
      </w:r>
      <w:r w:rsidR="00874729" w:rsidRPr="009C2D9A">
        <w:rPr>
          <w:lang w:val="es-ES_tradnl"/>
        </w:rPr>
        <w:t xml:space="preserve">, la </w:t>
      </w:r>
      <w:r w:rsidR="00C20E3D" w:rsidRPr="009C2D9A">
        <w:rPr>
          <w:lang w:val="es-ES_tradnl"/>
        </w:rPr>
        <w:t>Iniciativa de Desarrollo de Capacidades para el APB</w:t>
      </w:r>
      <w:r w:rsidR="00874729" w:rsidRPr="009C2D9A">
        <w:rPr>
          <w:lang w:val="es-ES_tradnl"/>
        </w:rPr>
        <w:t xml:space="preserve"> produjo</w:t>
      </w:r>
      <w:r w:rsidR="00944940">
        <w:rPr>
          <w:lang w:val="es-ES_tradnl"/>
        </w:rPr>
        <w:t xml:space="preserve">, </w:t>
      </w:r>
      <w:r w:rsidR="00944940" w:rsidRPr="009C2D9A">
        <w:rPr>
          <w:lang w:val="es-ES_tradnl"/>
        </w:rPr>
        <w:t>en cooperación con la Secretaría</w:t>
      </w:r>
      <w:r w:rsidR="00944940">
        <w:rPr>
          <w:lang w:val="es-ES_tradnl"/>
        </w:rPr>
        <w:t>,</w:t>
      </w:r>
      <w:r w:rsidR="00874729" w:rsidRPr="009C2D9A">
        <w:rPr>
          <w:lang w:val="es-ES_tradnl"/>
        </w:rPr>
        <w:t xml:space="preserve"> el breve video animado </w:t>
      </w:r>
      <w:r w:rsidR="00C20E3D" w:rsidRPr="009C2D9A">
        <w:rPr>
          <w:rFonts w:cs="Times New Roman"/>
          <w:i/>
          <w:iCs/>
          <w:snapToGrid/>
          <w:kern w:val="22"/>
          <w:szCs w:val="22"/>
          <w:lang w:val="es-ES_tradnl"/>
        </w:rPr>
        <w:t xml:space="preserve">ABS </w:t>
      </w:r>
      <w:proofErr w:type="spellStart"/>
      <w:r w:rsidR="00C20E3D" w:rsidRPr="009C2D9A">
        <w:rPr>
          <w:rFonts w:cs="Times New Roman"/>
          <w:i/>
          <w:iCs/>
          <w:snapToGrid/>
          <w:kern w:val="22"/>
          <w:szCs w:val="22"/>
          <w:lang w:val="es-ES_tradnl"/>
        </w:rPr>
        <w:t>Monitoring</w:t>
      </w:r>
      <w:proofErr w:type="spellEnd"/>
      <w:r w:rsidR="00C20E3D" w:rsidRPr="009C2D9A">
        <w:rPr>
          <w:rStyle w:val="FootnoteReference"/>
          <w:rFonts w:cs="Times New Roman"/>
          <w:snapToGrid/>
          <w:kern w:val="22"/>
          <w:szCs w:val="22"/>
          <w:lang w:val="es-ES_tradnl"/>
        </w:rPr>
        <w:footnoteReference w:id="9"/>
      </w:r>
      <w:r w:rsidR="00C20E3D" w:rsidRPr="009C2D9A">
        <w:rPr>
          <w:rFonts w:cs="Times New Roman"/>
          <w:snapToGrid/>
          <w:kern w:val="22"/>
          <w:szCs w:val="22"/>
          <w:lang w:val="es-ES_tradnl"/>
        </w:rPr>
        <w:t xml:space="preserve"> </w:t>
      </w:r>
      <w:r w:rsidR="00C20E3D" w:rsidRPr="009C2D9A">
        <w:rPr>
          <w:rFonts w:cs="Times New Roman"/>
          <w:kern w:val="22"/>
          <w:szCs w:val="22"/>
          <w:lang w:val="es-ES_tradnl"/>
        </w:rPr>
        <w:t xml:space="preserve">(en inglés) </w:t>
      </w:r>
      <w:r w:rsidR="00874729" w:rsidRPr="009C2D9A">
        <w:rPr>
          <w:lang w:val="es-ES_tradnl"/>
        </w:rPr>
        <w:t xml:space="preserve">para explicar el </w:t>
      </w:r>
      <w:r w:rsidR="00C20E3D" w:rsidRPr="009C2D9A">
        <w:rPr>
          <w:lang w:val="es-ES_tradnl"/>
        </w:rPr>
        <w:t xml:space="preserve">seguimiento </w:t>
      </w:r>
      <w:r w:rsidR="00874729" w:rsidRPr="009C2D9A">
        <w:rPr>
          <w:lang w:val="es-ES_tradnl"/>
        </w:rPr>
        <w:t xml:space="preserve">de la utilización de recursos genéticos a través del </w:t>
      </w:r>
      <w:r w:rsidR="00AC42BD" w:rsidRPr="009C2D9A">
        <w:rPr>
          <w:lang w:val="es-ES_tradnl"/>
        </w:rPr>
        <w:t>Centro de intercambio de información sobre APB</w:t>
      </w:r>
      <w:r w:rsidR="00874729" w:rsidRPr="009C2D9A">
        <w:rPr>
          <w:lang w:val="es-ES_tradnl"/>
        </w:rPr>
        <w:t>;</w:t>
      </w:r>
    </w:p>
    <w:p w14:paraId="008B4755" w14:textId="518F9968" w:rsidR="00874729" w:rsidRPr="009C2D9A" w:rsidRDefault="000D62B7" w:rsidP="00BD603A">
      <w:pPr>
        <w:pStyle w:val="Para1"/>
        <w:numPr>
          <w:ilvl w:val="0"/>
          <w:numId w:val="0"/>
        </w:numPr>
        <w:pBdr>
          <w:top w:val="nil"/>
          <w:left w:val="nil"/>
          <w:bottom w:val="nil"/>
          <w:right w:val="nil"/>
          <w:between w:val="nil"/>
          <w:bar w:val="nil"/>
        </w:pBdr>
        <w:spacing w:before="120"/>
        <w:ind w:firstLine="709"/>
        <w:rPr>
          <w:rFonts w:cs="Times New Roman"/>
          <w:snapToGrid/>
          <w:kern w:val="22"/>
          <w:szCs w:val="22"/>
          <w:lang w:val="es-ES_tradnl"/>
        </w:rPr>
      </w:pPr>
      <w:r w:rsidRPr="009C2D9A">
        <w:rPr>
          <w:rFonts w:cs="Times New Roman"/>
          <w:snapToGrid/>
          <w:kern w:val="22"/>
          <w:szCs w:val="22"/>
          <w:lang w:val="es-ES_tradnl"/>
        </w:rPr>
        <w:t>c)</w:t>
      </w:r>
      <w:r w:rsidR="005419F6" w:rsidRPr="009C2D9A">
        <w:rPr>
          <w:rFonts w:cs="Times New Roman"/>
          <w:snapToGrid/>
          <w:kern w:val="22"/>
          <w:szCs w:val="22"/>
          <w:lang w:val="es-ES_tradnl"/>
        </w:rPr>
        <w:t xml:space="preserve"> </w:t>
      </w:r>
      <w:r w:rsidR="005419F6" w:rsidRPr="009C2D9A">
        <w:rPr>
          <w:rFonts w:cs="Times New Roman"/>
          <w:snapToGrid/>
          <w:kern w:val="22"/>
          <w:szCs w:val="22"/>
          <w:lang w:val="es-ES_tradnl"/>
        </w:rPr>
        <w:tab/>
      </w:r>
      <w:r w:rsidR="00357822">
        <w:rPr>
          <w:rFonts w:cs="Times New Roman"/>
          <w:snapToGrid/>
          <w:kern w:val="22"/>
          <w:szCs w:val="22"/>
          <w:lang w:val="es-ES_tradnl"/>
        </w:rPr>
        <w:t xml:space="preserve">Junto </w:t>
      </w:r>
      <w:r w:rsidR="00357822" w:rsidRPr="009C2D9A">
        <w:rPr>
          <w:rFonts w:cs="Times New Roman"/>
          <w:snapToGrid/>
          <w:kern w:val="22"/>
          <w:szCs w:val="22"/>
          <w:lang w:val="es-ES_tradnl"/>
        </w:rPr>
        <w:t xml:space="preserve">con la Iniciativa de Desarrollo de Capacidades para el APB </w:t>
      </w:r>
      <w:r w:rsidR="00357822">
        <w:rPr>
          <w:rFonts w:cs="Times New Roman"/>
          <w:snapToGrid/>
          <w:kern w:val="22"/>
          <w:szCs w:val="22"/>
          <w:lang w:val="es-ES_tradnl"/>
        </w:rPr>
        <w:t>se elaboró o</w:t>
      </w:r>
      <w:r w:rsidR="00874729" w:rsidRPr="009C2D9A">
        <w:rPr>
          <w:rFonts w:cs="Times New Roman"/>
          <w:snapToGrid/>
          <w:kern w:val="22"/>
          <w:szCs w:val="22"/>
          <w:lang w:val="es-ES_tradnl"/>
        </w:rPr>
        <w:t xml:space="preserve">tro video animado titulado </w:t>
      </w:r>
      <w:r w:rsidR="00BD603A" w:rsidRPr="009C2D9A">
        <w:rPr>
          <w:rFonts w:cs="Times New Roman"/>
          <w:i/>
          <w:iCs/>
          <w:snapToGrid/>
          <w:kern w:val="22"/>
          <w:szCs w:val="22"/>
          <w:lang w:val="es-ES_tradnl"/>
        </w:rPr>
        <w:t xml:space="preserve">DSI </w:t>
      </w:r>
      <w:proofErr w:type="spellStart"/>
      <w:r w:rsidR="00BD603A" w:rsidRPr="009C2D9A">
        <w:rPr>
          <w:rFonts w:cs="Times New Roman"/>
          <w:i/>
          <w:iCs/>
          <w:snapToGrid/>
          <w:kern w:val="22"/>
          <w:szCs w:val="22"/>
          <w:lang w:val="es-ES_tradnl"/>
        </w:rPr>
        <w:t>simply</w:t>
      </w:r>
      <w:proofErr w:type="spellEnd"/>
      <w:r w:rsidR="00BD603A" w:rsidRPr="009C2D9A">
        <w:rPr>
          <w:rFonts w:cs="Times New Roman"/>
          <w:i/>
          <w:iCs/>
          <w:snapToGrid/>
          <w:kern w:val="22"/>
          <w:szCs w:val="22"/>
          <w:lang w:val="es-ES_tradnl"/>
        </w:rPr>
        <w:t xml:space="preserve"> </w:t>
      </w:r>
      <w:proofErr w:type="spellStart"/>
      <w:r w:rsidR="00BD603A" w:rsidRPr="009C2D9A">
        <w:rPr>
          <w:rFonts w:cs="Times New Roman"/>
          <w:i/>
          <w:iCs/>
          <w:snapToGrid/>
          <w:kern w:val="22"/>
          <w:szCs w:val="22"/>
          <w:lang w:val="es-ES_tradnl"/>
        </w:rPr>
        <w:t>explained</w:t>
      </w:r>
      <w:proofErr w:type="spellEnd"/>
      <w:r w:rsidR="00BD603A" w:rsidRPr="009C2D9A">
        <w:rPr>
          <w:rStyle w:val="FootnoteReference"/>
          <w:rFonts w:cs="Times New Roman"/>
          <w:snapToGrid/>
          <w:kern w:val="22"/>
          <w:szCs w:val="22"/>
          <w:lang w:val="es-ES_tradnl"/>
        </w:rPr>
        <w:t xml:space="preserve"> </w:t>
      </w:r>
      <w:r w:rsidR="00874729" w:rsidRPr="009C2D9A">
        <w:rPr>
          <w:rStyle w:val="FootnoteReference"/>
          <w:rFonts w:cs="Times New Roman"/>
          <w:snapToGrid/>
          <w:kern w:val="22"/>
          <w:szCs w:val="22"/>
          <w:lang w:val="es-ES_tradnl"/>
        </w:rPr>
        <w:footnoteReference w:id="10"/>
      </w:r>
      <w:r w:rsidR="00874729" w:rsidRPr="009C2D9A">
        <w:rPr>
          <w:rFonts w:cs="Times New Roman"/>
          <w:snapToGrid/>
          <w:kern w:val="22"/>
          <w:szCs w:val="22"/>
          <w:lang w:val="es-ES_tradnl"/>
        </w:rPr>
        <w:t xml:space="preserve"> </w:t>
      </w:r>
      <w:r w:rsidR="00BD603A" w:rsidRPr="009C2D9A">
        <w:rPr>
          <w:rFonts w:cs="Times New Roman"/>
          <w:snapToGrid/>
          <w:kern w:val="22"/>
          <w:szCs w:val="22"/>
          <w:lang w:val="es-ES_tradnl"/>
        </w:rPr>
        <w:t xml:space="preserve">(en inglés) </w:t>
      </w:r>
      <w:r w:rsidR="00874729" w:rsidRPr="009C2D9A">
        <w:rPr>
          <w:rFonts w:cs="Times New Roman"/>
          <w:snapToGrid/>
          <w:kern w:val="22"/>
          <w:szCs w:val="22"/>
          <w:lang w:val="es-ES_tradnl"/>
        </w:rPr>
        <w:t xml:space="preserve">para explicar la </w:t>
      </w:r>
      <w:r w:rsidR="00755D54" w:rsidRPr="009C2D9A">
        <w:rPr>
          <w:rFonts w:cs="Times New Roman"/>
          <w:snapToGrid/>
          <w:kern w:val="22"/>
          <w:szCs w:val="22"/>
          <w:lang w:val="es-ES_tradnl"/>
        </w:rPr>
        <w:t>información digital sobre secuencias de recursos genéticos</w:t>
      </w:r>
      <w:r w:rsidR="00874729" w:rsidRPr="009C2D9A">
        <w:rPr>
          <w:rFonts w:cs="Times New Roman"/>
          <w:snapToGrid/>
          <w:kern w:val="22"/>
          <w:szCs w:val="22"/>
          <w:lang w:val="es-ES_tradnl"/>
        </w:rPr>
        <w:t>.</w:t>
      </w:r>
    </w:p>
    <w:p w14:paraId="19830EE5" w14:textId="2B636C42" w:rsidR="003E2C54" w:rsidRPr="009C2D9A" w:rsidRDefault="0095325D" w:rsidP="00010EB1">
      <w:pPr>
        <w:pStyle w:val="Heading2"/>
        <w:tabs>
          <w:tab w:val="clear" w:pos="720"/>
          <w:tab w:val="left" w:pos="426"/>
        </w:tabs>
        <w:rPr>
          <w:rFonts w:cs="Times New Roman"/>
          <w:kern w:val="22"/>
          <w:szCs w:val="22"/>
          <w:lang w:val="es-ES_tradnl"/>
        </w:rPr>
      </w:pPr>
      <w:r w:rsidRPr="009C2D9A">
        <w:rPr>
          <w:rFonts w:cs="Times New Roman"/>
          <w:kern w:val="22"/>
          <w:szCs w:val="22"/>
          <w:lang w:val="es-ES_tradnl"/>
        </w:rPr>
        <w:t>B</w:t>
      </w:r>
      <w:r w:rsidR="0084482F" w:rsidRPr="009C2D9A">
        <w:rPr>
          <w:rFonts w:cs="Times New Roman"/>
          <w:kern w:val="22"/>
          <w:szCs w:val="22"/>
          <w:lang w:val="es-ES_tradnl"/>
        </w:rPr>
        <w:t>.</w:t>
      </w:r>
      <w:r w:rsidR="0084482F" w:rsidRPr="009C2D9A">
        <w:rPr>
          <w:rFonts w:cs="Times New Roman"/>
          <w:kern w:val="22"/>
          <w:szCs w:val="22"/>
          <w:lang w:val="es-ES_tradnl"/>
        </w:rPr>
        <w:tab/>
      </w:r>
      <w:r w:rsidR="00874729" w:rsidRPr="009C2D9A">
        <w:rPr>
          <w:rFonts w:cs="Times New Roman"/>
          <w:kern w:val="22"/>
          <w:szCs w:val="22"/>
          <w:lang w:val="es-ES_tradnl"/>
        </w:rPr>
        <w:t>Participación en actividades de creación y desarrollo de capacidades de organizaciones asociadas</w:t>
      </w:r>
    </w:p>
    <w:p w14:paraId="53DF2BAD" w14:textId="699F95BE" w:rsidR="004438D5" w:rsidRPr="009C2D9A" w:rsidRDefault="002C6370" w:rsidP="00F37E96">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rPr>
        <w:t>2</w:t>
      </w:r>
      <w:r w:rsidR="004F55BE" w:rsidRPr="009C2D9A">
        <w:rPr>
          <w:rFonts w:cs="Times New Roman"/>
          <w:snapToGrid/>
          <w:color w:val="000000"/>
          <w:kern w:val="22"/>
          <w:szCs w:val="22"/>
          <w:lang w:val="es-ES_tradnl"/>
        </w:rPr>
        <w:t>0</w:t>
      </w:r>
      <w:r w:rsidR="00F8670A" w:rsidRPr="009C2D9A">
        <w:rPr>
          <w:rFonts w:cs="Times New Roman"/>
          <w:snapToGrid/>
          <w:color w:val="000000"/>
          <w:kern w:val="22"/>
          <w:szCs w:val="22"/>
          <w:lang w:val="es-ES_tradnl"/>
        </w:rPr>
        <w:t>.</w:t>
      </w:r>
      <w:r w:rsidR="00F8670A" w:rsidRPr="009C2D9A">
        <w:rPr>
          <w:rFonts w:cs="Times New Roman"/>
          <w:snapToGrid/>
          <w:color w:val="000000"/>
          <w:kern w:val="22"/>
          <w:szCs w:val="22"/>
          <w:lang w:val="es-ES_tradnl"/>
        </w:rPr>
        <w:tab/>
      </w:r>
      <w:r w:rsidR="0072646B" w:rsidRPr="009C2D9A">
        <w:rPr>
          <w:rFonts w:cs="Times New Roman"/>
          <w:snapToGrid/>
          <w:kern w:val="22"/>
          <w:szCs w:val="22"/>
          <w:lang w:val="es-ES_tradnl"/>
        </w:rPr>
        <w:t>La Secretaría participó en varias reuniones organizadas por organizaciones asociadas. En el documento CBD/NP/MOP/4/8 sobre cooperación con otras organizaciones internacionales, convenios e iniciativas que se abordarán en el tema</w:t>
      </w:r>
      <w:r w:rsidR="00874729" w:rsidRPr="009C2D9A">
        <w:rPr>
          <w:rFonts w:cs="Times New Roman"/>
          <w:snapToGrid/>
          <w:kern w:val="22"/>
          <w:szCs w:val="22"/>
          <w:lang w:val="es-ES_tradnl"/>
        </w:rPr>
        <w:t xml:space="preserve"> 11</w:t>
      </w:r>
      <w:r w:rsidR="0072646B" w:rsidRPr="009C2D9A">
        <w:rPr>
          <w:rFonts w:cs="Times New Roman"/>
          <w:snapToGrid/>
          <w:kern w:val="22"/>
          <w:szCs w:val="22"/>
          <w:lang w:val="es-ES_tradnl"/>
        </w:rPr>
        <w:t xml:space="preserve"> del programa se incluye más información sobre la cooperación con las organizaciones pertinentes.</w:t>
      </w:r>
    </w:p>
    <w:p w14:paraId="5BBED99A" w14:textId="5C94BD39" w:rsidR="00874729" w:rsidRPr="009C2D9A" w:rsidRDefault="002C6370" w:rsidP="00F37E96">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rPr>
        <w:t>2</w:t>
      </w:r>
      <w:r w:rsidR="004F55BE" w:rsidRPr="009C2D9A">
        <w:rPr>
          <w:rFonts w:cs="Times New Roman"/>
          <w:snapToGrid/>
          <w:color w:val="000000"/>
          <w:kern w:val="22"/>
          <w:szCs w:val="22"/>
          <w:lang w:val="es-ES_tradnl"/>
        </w:rPr>
        <w:t>1</w:t>
      </w:r>
      <w:r w:rsidR="00F8670A" w:rsidRPr="009C2D9A">
        <w:rPr>
          <w:rFonts w:cs="Times New Roman"/>
          <w:snapToGrid/>
          <w:color w:val="000000"/>
          <w:kern w:val="22"/>
          <w:szCs w:val="22"/>
          <w:lang w:val="es-ES_tradnl"/>
        </w:rPr>
        <w:t>.</w:t>
      </w:r>
      <w:r w:rsidR="00F8670A" w:rsidRPr="009C2D9A">
        <w:rPr>
          <w:rFonts w:cs="Times New Roman"/>
          <w:snapToGrid/>
          <w:color w:val="000000"/>
          <w:kern w:val="22"/>
          <w:szCs w:val="22"/>
          <w:lang w:val="es-ES_tradnl"/>
        </w:rPr>
        <w:tab/>
      </w:r>
      <w:r w:rsidR="00874729" w:rsidRPr="009C2D9A">
        <w:rPr>
          <w:rFonts w:cs="Times New Roman"/>
          <w:snapToGrid/>
          <w:kern w:val="22"/>
          <w:szCs w:val="22"/>
          <w:lang w:val="es-ES_tradnl"/>
        </w:rPr>
        <w:t xml:space="preserve">La Secretaría también continuó sirviendo en el comité directivo de la </w:t>
      </w:r>
      <w:r w:rsidR="00DC4D3A" w:rsidRPr="009C2D9A">
        <w:rPr>
          <w:lang w:val="es-ES_tradnl"/>
        </w:rPr>
        <w:t xml:space="preserve">Iniciativa de Desarrollo de Capacidades </w:t>
      </w:r>
      <w:r w:rsidR="00C964F5" w:rsidRPr="009C2D9A">
        <w:rPr>
          <w:rFonts w:cs="Times New Roman"/>
          <w:snapToGrid/>
          <w:kern w:val="22"/>
          <w:szCs w:val="22"/>
          <w:lang w:val="es-ES_tradnl"/>
        </w:rPr>
        <w:t>en materia de APB </w:t>
      </w:r>
      <w:r w:rsidR="00874729" w:rsidRPr="009C2D9A">
        <w:rPr>
          <w:rFonts w:cs="Times New Roman"/>
          <w:snapToGrid/>
          <w:kern w:val="22"/>
          <w:szCs w:val="22"/>
          <w:lang w:val="es-ES_tradnl"/>
        </w:rPr>
        <w:t xml:space="preserve">de múltiples donantes y participó en el Taller Panafricano sobre Acceso </w:t>
      </w:r>
      <w:r w:rsidR="00C964F5" w:rsidRPr="009C2D9A">
        <w:rPr>
          <w:rFonts w:cs="Times New Roman"/>
          <w:snapToGrid/>
          <w:kern w:val="22"/>
          <w:szCs w:val="22"/>
          <w:lang w:val="es-ES_tradnl"/>
        </w:rPr>
        <w:t xml:space="preserve">a los </w:t>
      </w:r>
      <w:r w:rsidR="00874729" w:rsidRPr="009C2D9A">
        <w:rPr>
          <w:rFonts w:cs="Times New Roman"/>
          <w:snapToGrid/>
          <w:kern w:val="22"/>
          <w:szCs w:val="22"/>
          <w:lang w:val="es-ES_tradnl"/>
        </w:rPr>
        <w:t xml:space="preserve">Recursos Genéticos y </w:t>
      </w:r>
      <w:r w:rsidR="00C964F5" w:rsidRPr="009C2D9A">
        <w:rPr>
          <w:rFonts w:cs="Times New Roman"/>
          <w:snapToGrid/>
          <w:kern w:val="22"/>
          <w:szCs w:val="22"/>
          <w:lang w:val="es-ES_tradnl"/>
        </w:rPr>
        <w:t xml:space="preserve">Participación en los </w:t>
      </w:r>
      <w:r w:rsidR="00874729" w:rsidRPr="009C2D9A">
        <w:rPr>
          <w:rFonts w:cs="Times New Roman"/>
          <w:snapToGrid/>
          <w:kern w:val="22"/>
          <w:szCs w:val="22"/>
          <w:lang w:val="es-ES_tradnl"/>
        </w:rPr>
        <w:t xml:space="preserve">Beneficios que se </w:t>
      </w:r>
      <w:r w:rsidR="00C964F5" w:rsidRPr="009C2D9A">
        <w:rPr>
          <w:rFonts w:cs="Times New Roman"/>
          <w:snapToGrid/>
          <w:kern w:val="22"/>
          <w:szCs w:val="22"/>
          <w:lang w:val="es-ES_tradnl"/>
        </w:rPr>
        <w:t xml:space="preserve">Deriven </w:t>
      </w:r>
      <w:r w:rsidR="00874729" w:rsidRPr="009C2D9A">
        <w:rPr>
          <w:rFonts w:cs="Times New Roman"/>
          <w:snapToGrid/>
          <w:kern w:val="22"/>
          <w:szCs w:val="22"/>
          <w:lang w:val="es-ES_tradnl"/>
        </w:rPr>
        <w:t>de su Utilización que tuvo lugar en Ciudad del Cabo</w:t>
      </w:r>
      <w:r w:rsidR="00C964F5" w:rsidRPr="009C2D9A">
        <w:rPr>
          <w:rFonts w:cs="Times New Roman"/>
          <w:snapToGrid/>
          <w:kern w:val="22"/>
          <w:szCs w:val="22"/>
          <w:lang w:val="es-ES_tradnl"/>
        </w:rPr>
        <w:t xml:space="preserve"> (</w:t>
      </w:r>
      <w:r w:rsidR="00874729" w:rsidRPr="009C2D9A">
        <w:rPr>
          <w:rFonts w:cs="Times New Roman"/>
          <w:snapToGrid/>
          <w:kern w:val="22"/>
          <w:szCs w:val="22"/>
          <w:lang w:val="es-ES_tradnl"/>
        </w:rPr>
        <w:t>Sudáfrica</w:t>
      </w:r>
      <w:r w:rsidR="00C964F5" w:rsidRPr="009C2D9A">
        <w:rPr>
          <w:rFonts w:cs="Times New Roman"/>
          <w:snapToGrid/>
          <w:kern w:val="22"/>
          <w:szCs w:val="22"/>
          <w:lang w:val="es-ES_tradnl"/>
        </w:rPr>
        <w:t>)</w:t>
      </w:r>
      <w:r w:rsidR="00874729" w:rsidRPr="009C2D9A">
        <w:rPr>
          <w:rFonts w:cs="Times New Roman"/>
          <w:snapToGrid/>
          <w:kern w:val="22"/>
          <w:szCs w:val="22"/>
          <w:lang w:val="es-ES_tradnl"/>
        </w:rPr>
        <w:t xml:space="preserve"> del 9 al 13 de septiembre de 2019 y contribuyó a la evaluación externa de la iniciativa realizada en 2021.</w:t>
      </w:r>
      <w:r w:rsidR="00BD4AB9">
        <w:rPr>
          <w:rFonts w:cs="Times New Roman"/>
          <w:snapToGrid/>
          <w:kern w:val="22"/>
          <w:szCs w:val="22"/>
          <w:lang w:val="es-ES_tradnl"/>
        </w:rPr>
        <w:t xml:space="preserve"> </w:t>
      </w:r>
      <w:r w:rsidR="00470D6E">
        <w:rPr>
          <w:rFonts w:cs="Times New Roman"/>
          <w:snapToGrid/>
          <w:kern w:val="22"/>
          <w:szCs w:val="22"/>
          <w:lang w:val="es-ES_tradnl"/>
        </w:rPr>
        <w:t xml:space="preserve"> </w:t>
      </w:r>
    </w:p>
    <w:p w14:paraId="31FA76F8" w14:textId="361E2D7A" w:rsidR="003E2C54" w:rsidRPr="009C2D9A" w:rsidRDefault="00F8670A" w:rsidP="48732A80">
      <w:pPr>
        <w:pStyle w:val="Heading1"/>
        <w:tabs>
          <w:tab w:val="clear" w:pos="720"/>
        </w:tabs>
        <w:spacing w:before="120"/>
        <w:ind w:left="1077" w:right="714" w:hanging="720"/>
        <w:jc w:val="left"/>
        <w:rPr>
          <w:rFonts w:cs="Times New Roman"/>
          <w:kern w:val="22"/>
          <w:lang w:val="es-ES_tradnl"/>
        </w:rPr>
      </w:pPr>
      <w:r w:rsidRPr="009C2D9A">
        <w:rPr>
          <w:rFonts w:cs="Times New Roman"/>
          <w:kern w:val="22"/>
          <w:lang w:val="es-ES_tradnl"/>
        </w:rPr>
        <w:lastRenderedPageBreak/>
        <w:t>III.</w:t>
      </w:r>
      <w:r w:rsidRPr="009C2D9A">
        <w:rPr>
          <w:rFonts w:cs="Times New Roman"/>
          <w:kern w:val="22"/>
          <w:szCs w:val="22"/>
          <w:lang w:val="es-ES_tradnl"/>
        </w:rPr>
        <w:tab/>
      </w:r>
      <w:r w:rsidR="00874729" w:rsidRPr="009C2D9A">
        <w:rPr>
          <w:rFonts w:cs="Times New Roman"/>
          <w:kern w:val="22"/>
          <w:lang w:val="es-ES_tradnl"/>
        </w:rPr>
        <w:t xml:space="preserve">ACTUALIZACIÓN SOBRE LAS INICIATIVAS Y LOS RECURSOS EXISTENTES DE CREACIÓN DE CAPACIDAD Y DESARROLLO QUE APOYAN LA </w:t>
      </w:r>
      <w:r w:rsidR="00C964F5" w:rsidRPr="009C2D9A">
        <w:rPr>
          <w:rFonts w:cs="Times New Roman"/>
          <w:kern w:val="22"/>
          <w:lang w:val="es-ES_tradnl"/>
        </w:rPr>
        <w:t xml:space="preserve">APLICACIÓN </w:t>
      </w:r>
      <w:r w:rsidR="00874729" w:rsidRPr="009C2D9A">
        <w:rPr>
          <w:rFonts w:cs="Times New Roman"/>
          <w:kern w:val="22"/>
          <w:lang w:val="es-ES_tradnl"/>
        </w:rPr>
        <w:t>DEL PROTOCOLO DE NAGOYA</w:t>
      </w:r>
    </w:p>
    <w:p w14:paraId="70B2DA23" w14:textId="352E4FDD" w:rsidR="0072109E" w:rsidRPr="009C2D9A" w:rsidRDefault="002C6370" w:rsidP="00C25CE5">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rPr>
        <w:t>2</w:t>
      </w:r>
      <w:r w:rsidR="004F55BE" w:rsidRPr="009C2D9A">
        <w:rPr>
          <w:rFonts w:cs="Times New Roman"/>
          <w:snapToGrid/>
          <w:color w:val="000000"/>
          <w:kern w:val="22"/>
          <w:szCs w:val="22"/>
          <w:lang w:val="es-ES_tradnl"/>
        </w:rPr>
        <w:t>2</w:t>
      </w:r>
      <w:r w:rsidR="00F8670A" w:rsidRPr="009C2D9A">
        <w:rPr>
          <w:rFonts w:cs="Times New Roman"/>
          <w:snapToGrid/>
          <w:color w:val="000000"/>
          <w:kern w:val="22"/>
          <w:szCs w:val="22"/>
          <w:lang w:val="es-ES_tradnl"/>
        </w:rPr>
        <w:t>.</w:t>
      </w:r>
      <w:r w:rsidR="00F8670A" w:rsidRPr="009C2D9A">
        <w:rPr>
          <w:rFonts w:cs="Times New Roman"/>
          <w:snapToGrid/>
          <w:color w:val="000000"/>
          <w:kern w:val="22"/>
          <w:szCs w:val="22"/>
          <w:lang w:val="es-ES_tradnl"/>
        </w:rPr>
        <w:tab/>
      </w:r>
      <w:r w:rsidR="0072646B" w:rsidRPr="009C2D9A">
        <w:rPr>
          <w:rFonts w:cs="Times New Roman"/>
          <w:snapToGrid/>
          <w:kern w:val="22"/>
          <w:szCs w:val="22"/>
          <w:lang w:val="es-ES_tradnl"/>
        </w:rPr>
        <w:t>De acuerdo con la decisión NP-1/8, párrafo 10</w:t>
      </w:r>
      <w:r w:rsidR="00C964F5" w:rsidRPr="009C2D9A">
        <w:rPr>
          <w:rFonts w:cs="Times New Roman"/>
          <w:snapToGrid/>
          <w:kern w:val="22"/>
          <w:szCs w:val="22"/>
          <w:lang w:val="es-ES_tradnl"/>
        </w:rPr>
        <w:t> </w:t>
      </w:r>
      <w:r w:rsidR="0072646B" w:rsidRPr="009C2D9A">
        <w:rPr>
          <w:rFonts w:cs="Times New Roman"/>
          <w:snapToGrid/>
          <w:kern w:val="22"/>
          <w:szCs w:val="22"/>
          <w:lang w:val="es-ES_tradnl"/>
        </w:rPr>
        <w:t>e), la presente sección proporciona una actualización sobre las iniciativas de creación y desarrollo de capacidad implementadas en apoyo del marco estratégico para la creación de capacidad</w:t>
      </w:r>
      <w:r w:rsidR="00C964F5" w:rsidRPr="009C2D9A">
        <w:rPr>
          <w:rFonts w:cs="Times New Roman"/>
          <w:snapToGrid/>
          <w:kern w:val="22"/>
          <w:szCs w:val="22"/>
          <w:lang w:val="es-ES_tradnl"/>
        </w:rPr>
        <w:t>.</w:t>
      </w:r>
    </w:p>
    <w:p w14:paraId="18676CF3" w14:textId="7DEC3677" w:rsidR="003E2C54" w:rsidRPr="009C2D9A" w:rsidRDefault="00F8670A">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rPr>
        <w:t>2</w:t>
      </w:r>
      <w:r w:rsidR="004F55BE" w:rsidRPr="009C2D9A">
        <w:rPr>
          <w:rFonts w:cs="Times New Roman"/>
          <w:snapToGrid/>
          <w:color w:val="000000"/>
          <w:kern w:val="22"/>
          <w:szCs w:val="22"/>
          <w:lang w:val="es-ES_tradnl"/>
        </w:rPr>
        <w:t>3</w:t>
      </w:r>
      <w:r w:rsidRPr="009C2D9A">
        <w:rPr>
          <w:rFonts w:cs="Times New Roman"/>
          <w:snapToGrid/>
          <w:color w:val="000000"/>
          <w:kern w:val="22"/>
          <w:szCs w:val="22"/>
          <w:lang w:val="es-ES_tradnl"/>
        </w:rPr>
        <w:t>.</w:t>
      </w:r>
      <w:r w:rsidRPr="009C2D9A">
        <w:rPr>
          <w:rFonts w:cs="Times New Roman"/>
          <w:snapToGrid/>
          <w:color w:val="000000"/>
          <w:kern w:val="22"/>
          <w:szCs w:val="22"/>
          <w:lang w:val="es-ES_tradnl"/>
        </w:rPr>
        <w:tab/>
      </w:r>
      <w:r w:rsidR="0072646B" w:rsidRPr="009C2D9A">
        <w:rPr>
          <w:rFonts w:cs="Times New Roman"/>
          <w:snapToGrid/>
          <w:kern w:val="22"/>
          <w:szCs w:val="22"/>
          <w:lang w:val="es-ES_tradnl"/>
        </w:rPr>
        <w:t xml:space="preserve">La subsección A brinda una descripción general de las iniciativas de creación de capacidad conocidas que contribuyen a la implementación del marco estratégico, llamando la atención sobre las iniciativas de creación de capacidad que brindan apoyo directo para las actividades a nivel nacional relacionadas con la ratificación </w:t>
      </w:r>
      <w:r w:rsidR="00C964F5" w:rsidRPr="009C2D9A">
        <w:rPr>
          <w:rFonts w:cs="Times New Roman"/>
          <w:snapToGrid/>
          <w:kern w:val="22"/>
          <w:szCs w:val="22"/>
          <w:lang w:val="es-ES_tradnl"/>
        </w:rPr>
        <w:t xml:space="preserve">y aplicación </w:t>
      </w:r>
      <w:r w:rsidR="0072646B" w:rsidRPr="009C2D9A">
        <w:rPr>
          <w:rFonts w:cs="Times New Roman"/>
          <w:snapToGrid/>
          <w:kern w:val="22"/>
          <w:szCs w:val="22"/>
          <w:lang w:val="es-ES_tradnl"/>
        </w:rPr>
        <w:t>del Protocolo de Nagoya. También proporciona información sobre el estado, la duración, el nivel de financiación y la cobertura geográfica y temática de las iniciativas existentes. La subsección B presenta recursos de creación de capacidad y sensibilización.</w:t>
      </w:r>
    </w:p>
    <w:p w14:paraId="52CB600C" w14:textId="69F28051" w:rsidR="009B2A10" w:rsidRPr="009C2D9A" w:rsidRDefault="00F8670A" w:rsidP="34F95163">
      <w:pPr>
        <w:pStyle w:val="Para1"/>
        <w:numPr>
          <w:ilvl w:val="0"/>
          <w:numId w:val="0"/>
        </w:numPr>
        <w:pBdr>
          <w:top w:val="nil"/>
          <w:left w:val="nil"/>
          <w:bottom w:val="nil"/>
          <w:right w:val="nil"/>
          <w:between w:val="nil"/>
          <w:bar w:val="nil"/>
        </w:pBdr>
        <w:spacing w:before="120"/>
        <w:rPr>
          <w:rFonts w:cs="Times New Roman"/>
          <w:kern w:val="22"/>
          <w:lang w:val="es-ES_tradnl"/>
        </w:rPr>
      </w:pPr>
      <w:r w:rsidRPr="009C2D9A">
        <w:rPr>
          <w:rFonts w:cs="Times New Roman"/>
          <w:color w:val="000000"/>
          <w:kern w:val="22"/>
          <w:lang w:val="es-ES_tradnl"/>
        </w:rPr>
        <w:t>2</w:t>
      </w:r>
      <w:r w:rsidR="004F55BE" w:rsidRPr="009C2D9A">
        <w:rPr>
          <w:rFonts w:cs="Times New Roman"/>
          <w:color w:val="000000"/>
          <w:kern w:val="22"/>
          <w:lang w:val="es-ES_tradnl"/>
        </w:rPr>
        <w:t>4</w:t>
      </w:r>
      <w:r w:rsidRPr="009C2D9A">
        <w:rPr>
          <w:rFonts w:cs="Times New Roman"/>
          <w:color w:val="000000"/>
          <w:kern w:val="22"/>
          <w:lang w:val="es-ES_tradnl"/>
        </w:rPr>
        <w:t>.</w:t>
      </w:r>
      <w:r w:rsidRPr="009C2D9A">
        <w:rPr>
          <w:rFonts w:cs="Times New Roman"/>
          <w:color w:val="000000"/>
          <w:kern w:val="22"/>
          <w:szCs w:val="22"/>
          <w:lang w:val="es-ES_tradnl"/>
        </w:rPr>
        <w:tab/>
      </w:r>
      <w:r w:rsidR="0072646B" w:rsidRPr="009C2D9A">
        <w:rPr>
          <w:rFonts w:cs="Times New Roman"/>
          <w:kern w:val="22"/>
          <w:lang w:val="es-ES_tradnl"/>
        </w:rPr>
        <w:t>En los documentos de información CBD/NP/MOP/4/INF/1 y CBD/NP/MOP/4/INF/se encuentra disponible una descripción detallada de las iniciativas y recursos de creación y desarrollo de capacidades que brindan apoyo directo a las actividades a nivel nacional en varios países.</w:t>
      </w:r>
    </w:p>
    <w:p w14:paraId="5F3087EC" w14:textId="7655566C" w:rsidR="003E2C54" w:rsidRPr="009C2D9A" w:rsidRDefault="00F8670A" w:rsidP="00010EB1">
      <w:pPr>
        <w:pStyle w:val="Heading2"/>
        <w:tabs>
          <w:tab w:val="clear" w:pos="720"/>
        </w:tabs>
        <w:rPr>
          <w:rFonts w:cs="Times New Roman"/>
          <w:kern w:val="22"/>
          <w:szCs w:val="22"/>
          <w:lang w:val="es-ES_tradnl"/>
        </w:rPr>
      </w:pPr>
      <w:r w:rsidRPr="009C2D9A">
        <w:rPr>
          <w:rFonts w:cs="Times New Roman"/>
          <w:kern w:val="22"/>
          <w:szCs w:val="22"/>
          <w:lang w:val="es-ES_tradnl"/>
        </w:rPr>
        <w:t>A.</w:t>
      </w:r>
      <w:r w:rsidRPr="009C2D9A">
        <w:rPr>
          <w:rFonts w:cs="Times New Roman"/>
          <w:kern w:val="22"/>
          <w:szCs w:val="22"/>
          <w:lang w:val="es-ES_tradnl"/>
        </w:rPr>
        <w:tab/>
      </w:r>
      <w:r w:rsidR="0072646B" w:rsidRPr="009C2D9A">
        <w:rPr>
          <w:rFonts w:cs="Times New Roman"/>
          <w:kern w:val="22"/>
          <w:szCs w:val="22"/>
          <w:lang w:val="es-ES_tradnl"/>
        </w:rPr>
        <w:t xml:space="preserve">Iniciativas de fomento de la capacidad </w:t>
      </w:r>
      <w:r w:rsidR="00874729" w:rsidRPr="009C2D9A">
        <w:rPr>
          <w:rFonts w:cs="Times New Roman"/>
          <w:kern w:val="22"/>
          <w:szCs w:val="22"/>
          <w:lang w:val="es-ES_tradnl"/>
        </w:rPr>
        <w:t xml:space="preserve">realizadas </w:t>
      </w:r>
      <w:r w:rsidR="0072646B" w:rsidRPr="009C2D9A">
        <w:rPr>
          <w:rFonts w:cs="Times New Roman"/>
          <w:kern w:val="22"/>
          <w:szCs w:val="22"/>
          <w:lang w:val="es-ES_tradnl"/>
        </w:rPr>
        <w:t>en apoyo del marco estratégico</w:t>
      </w:r>
    </w:p>
    <w:p w14:paraId="39951C59" w14:textId="512C0F6B" w:rsidR="0072646B" w:rsidRPr="009C2D9A" w:rsidRDefault="00F8670A" w:rsidP="00C964F5">
      <w:pPr>
        <w:pStyle w:val="Para1"/>
        <w:numPr>
          <w:ilvl w:val="0"/>
          <w:numId w:val="0"/>
        </w:numPr>
        <w:pBdr>
          <w:top w:val="nil"/>
          <w:left w:val="nil"/>
          <w:bottom w:val="nil"/>
          <w:right w:val="nil"/>
          <w:between w:val="nil"/>
          <w:bar w:val="nil"/>
        </w:pBdr>
        <w:spacing w:before="120"/>
        <w:rPr>
          <w:lang w:val="es-ES_tradnl"/>
        </w:rPr>
      </w:pPr>
      <w:r w:rsidRPr="009C2D9A">
        <w:rPr>
          <w:rFonts w:cs="Times New Roman"/>
          <w:color w:val="000000"/>
          <w:kern w:val="22"/>
          <w:szCs w:val="22"/>
          <w:lang w:val="es-ES_tradnl"/>
        </w:rPr>
        <w:t>2</w:t>
      </w:r>
      <w:r w:rsidR="004F55BE" w:rsidRPr="009C2D9A">
        <w:rPr>
          <w:rFonts w:cs="Times New Roman"/>
          <w:color w:val="000000"/>
          <w:kern w:val="22"/>
          <w:szCs w:val="22"/>
          <w:lang w:val="es-ES_tradnl"/>
        </w:rPr>
        <w:t>5</w:t>
      </w:r>
      <w:r w:rsidRPr="009C2D9A">
        <w:rPr>
          <w:rFonts w:cs="Times New Roman"/>
          <w:color w:val="000000"/>
          <w:kern w:val="22"/>
          <w:szCs w:val="22"/>
          <w:lang w:val="es-ES_tradnl"/>
        </w:rPr>
        <w:t>.</w:t>
      </w:r>
      <w:r w:rsidRPr="009C2D9A">
        <w:rPr>
          <w:rFonts w:cs="Times New Roman"/>
          <w:color w:val="000000"/>
          <w:kern w:val="22"/>
          <w:szCs w:val="22"/>
          <w:lang w:val="es-ES_tradnl"/>
        </w:rPr>
        <w:tab/>
      </w:r>
      <w:r w:rsidR="0072646B" w:rsidRPr="009C2D9A">
        <w:rPr>
          <w:lang w:val="es-ES_tradnl"/>
        </w:rPr>
        <w:t xml:space="preserve">Desde la adopción del Protocolo de Nagoya se han </w:t>
      </w:r>
      <w:r w:rsidR="00C964F5" w:rsidRPr="009C2D9A">
        <w:rPr>
          <w:lang w:val="es-ES_tradnl"/>
        </w:rPr>
        <w:t xml:space="preserve">realizado </w:t>
      </w:r>
      <w:r w:rsidR="0072646B" w:rsidRPr="009C2D9A">
        <w:rPr>
          <w:lang w:val="es-ES_tradnl"/>
        </w:rPr>
        <w:t xml:space="preserve">diferentes iniciativas de creación y desarrollo de capacidades para apoyar su ratificación </w:t>
      </w:r>
      <w:r w:rsidR="00C964F5" w:rsidRPr="009C2D9A">
        <w:rPr>
          <w:lang w:val="es-ES_tradnl"/>
        </w:rPr>
        <w:t>y aplicación</w:t>
      </w:r>
      <w:r w:rsidR="0072646B" w:rsidRPr="009C2D9A">
        <w:rPr>
          <w:lang w:val="es-ES_tradnl"/>
        </w:rPr>
        <w:t>. Estas incluyen amplias iniciativas y actividades mundiales o regionales destinadas a beneficiar a todos los países, así como iniciativas destinadas a apoyar y beneficiar directamente a países específicos.</w:t>
      </w:r>
    </w:p>
    <w:p w14:paraId="3AAD23F4" w14:textId="0D6F7F41" w:rsidR="0072646B" w:rsidRPr="009C2D9A" w:rsidRDefault="001246EE" w:rsidP="0072646B">
      <w:pPr>
        <w:rPr>
          <w:lang w:val="es-ES_tradnl"/>
        </w:rPr>
      </w:pPr>
      <w:r w:rsidRPr="009C2D9A">
        <w:rPr>
          <w:rFonts w:cs="Times New Roman"/>
          <w:color w:val="000000"/>
          <w:kern w:val="22"/>
          <w:szCs w:val="22"/>
          <w:lang w:val="es-ES_tradnl"/>
        </w:rPr>
        <w:t>2</w:t>
      </w:r>
      <w:r w:rsidR="004F55BE" w:rsidRPr="009C2D9A">
        <w:rPr>
          <w:rFonts w:cs="Times New Roman"/>
          <w:color w:val="000000"/>
          <w:kern w:val="22"/>
          <w:szCs w:val="22"/>
          <w:lang w:val="es-ES_tradnl"/>
        </w:rPr>
        <w:t>6</w:t>
      </w:r>
      <w:r w:rsidR="00F8670A" w:rsidRPr="009C2D9A">
        <w:rPr>
          <w:rFonts w:cs="Times New Roman"/>
          <w:color w:val="000000"/>
          <w:kern w:val="22"/>
          <w:szCs w:val="22"/>
          <w:lang w:val="es-ES_tradnl"/>
        </w:rPr>
        <w:t>.</w:t>
      </w:r>
      <w:r w:rsidR="00F8670A" w:rsidRPr="009C2D9A">
        <w:rPr>
          <w:rFonts w:cs="Times New Roman"/>
          <w:color w:val="000000"/>
          <w:kern w:val="22"/>
          <w:szCs w:val="22"/>
          <w:lang w:val="es-ES_tradnl"/>
        </w:rPr>
        <w:tab/>
      </w:r>
      <w:r w:rsidR="0072646B" w:rsidRPr="009C2D9A">
        <w:rPr>
          <w:lang w:val="es-ES_tradnl"/>
        </w:rPr>
        <w:t xml:space="preserve">La subsección 1 ofrece una actualización sobre las iniciativas de creación y desarrollo de capacidades que han brindado o están brindando apoyo directo a los países para permitirles ratificar y/o </w:t>
      </w:r>
      <w:r w:rsidR="00C964F5" w:rsidRPr="009C2D9A">
        <w:rPr>
          <w:lang w:val="es-ES_tradnl"/>
        </w:rPr>
        <w:t xml:space="preserve">aplicar </w:t>
      </w:r>
      <w:r w:rsidR="0072646B" w:rsidRPr="009C2D9A">
        <w:rPr>
          <w:lang w:val="es-ES_tradnl"/>
        </w:rPr>
        <w:t xml:space="preserve">el Protocolo de Nagoya. También </w:t>
      </w:r>
      <w:r w:rsidR="00E86CD6" w:rsidRPr="009C2D9A">
        <w:rPr>
          <w:lang w:val="es-ES_tradnl"/>
        </w:rPr>
        <w:t xml:space="preserve">pone de relieve </w:t>
      </w:r>
      <w:r w:rsidR="0072646B" w:rsidRPr="009C2D9A">
        <w:rPr>
          <w:lang w:val="es-ES_tradnl"/>
        </w:rPr>
        <w:t xml:space="preserve">el estado, la duración, el nivel de financiación y la cobertura geográfica y temática de las iniciativas existentes. La subsección 2 ofrece un breve análisis sobre la </w:t>
      </w:r>
      <w:r w:rsidR="00E86CD6" w:rsidRPr="009C2D9A">
        <w:rPr>
          <w:lang w:val="es-ES_tradnl"/>
        </w:rPr>
        <w:t xml:space="preserve">información relativa a la </w:t>
      </w:r>
      <w:r w:rsidR="0072646B" w:rsidRPr="009C2D9A">
        <w:rPr>
          <w:lang w:val="es-ES_tradnl"/>
        </w:rPr>
        <w:t xml:space="preserve">creación </w:t>
      </w:r>
      <w:r w:rsidR="00E86CD6" w:rsidRPr="009C2D9A">
        <w:rPr>
          <w:lang w:val="es-ES_tradnl"/>
        </w:rPr>
        <w:t xml:space="preserve">y el desarrollo </w:t>
      </w:r>
      <w:r w:rsidR="0072646B" w:rsidRPr="009C2D9A">
        <w:rPr>
          <w:lang w:val="es-ES_tradnl"/>
        </w:rPr>
        <w:t xml:space="preserve">de capacidad cargada en el </w:t>
      </w:r>
      <w:r w:rsidR="00C83421" w:rsidRPr="009C2D9A">
        <w:rPr>
          <w:lang w:val="es-ES_tradnl"/>
        </w:rPr>
        <w:t>Centro de intercambio de información sobre APB</w:t>
      </w:r>
      <w:r w:rsidR="0072646B" w:rsidRPr="009C2D9A">
        <w:rPr>
          <w:lang w:val="es-ES_tradnl"/>
        </w:rPr>
        <w:t>.</w:t>
      </w:r>
    </w:p>
    <w:p w14:paraId="1D43BCE6" w14:textId="7409B2B8" w:rsidR="003E2C54" w:rsidRPr="009C2D9A" w:rsidRDefault="007B1126" w:rsidP="00331917">
      <w:pPr>
        <w:pStyle w:val="Heading3"/>
        <w:rPr>
          <w:rFonts w:cs="Times New Roman"/>
          <w:kern w:val="22"/>
          <w:szCs w:val="22"/>
          <w:lang w:val="es-ES_tradnl"/>
        </w:rPr>
      </w:pPr>
      <w:r w:rsidRPr="009C2D9A">
        <w:rPr>
          <w:rFonts w:cs="Times New Roman"/>
          <w:i w:val="0"/>
          <w:kern w:val="22"/>
          <w:szCs w:val="22"/>
          <w:lang w:val="es-ES_tradnl"/>
        </w:rPr>
        <w:t>1</w:t>
      </w:r>
      <w:r w:rsidR="005B7B3C" w:rsidRPr="009C2D9A">
        <w:rPr>
          <w:rFonts w:cs="Times New Roman"/>
          <w:i w:val="0"/>
          <w:kern w:val="22"/>
          <w:szCs w:val="22"/>
          <w:lang w:val="es-ES_tradnl"/>
        </w:rPr>
        <w:t>.</w:t>
      </w:r>
      <w:r w:rsidR="008601BD" w:rsidRPr="009C2D9A">
        <w:rPr>
          <w:rFonts w:cs="Times New Roman"/>
          <w:i w:val="0"/>
          <w:kern w:val="22"/>
          <w:szCs w:val="22"/>
          <w:lang w:val="es-ES_tradnl"/>
        </w:rPr>
        <w:tab/>
      </w:r>
      <w:r w:rsidR="006971DF" w:rsidRPr="009C2D9A">
        <w:rPr>
          <w:rFonts w:cs="Times New Roman"/>
          <w:kern w:val="22"/>
          <w:szCs w:val="22"/>
          <w:lang w:val="es-ES_tradnl"/>
        </w:rPr>
        <w:t>Iniciativas de desarrollo y creación de capacidad que benefician a países específicos</w:t>
      </w:r>
    </w:p>
    <w:p w14:paraId="01726B9A" w14:textId="06BA926F" w:rsidR="00E86CD6" w:rsidRPr="009C2D9A" w:rsidRDefault="001246EE" w:rsidP="00E86CD6">
      <w:pPr>
        <w:pStyle w:val="Para1"/>
        <w:numPr>
          <w:ilvl w:val="0"/>
          <w:numId w:val="0"/>
        </w:numPr>
        <w:pBdr>
          <w:top w:val="nil"/>
          <w:left w:val="nil"/>
          <w:bottom w:val="nil"/>
          <w:right w:val="nil"/>
          <w:between w:val="nil"/>
          <w:bar w:val="nil"/>
        </w:pBdr>
        <w:spacing w:before="120"/>
        <w:rPr>
          <w:rFonts w:cs="Times New Roman"/>
          <w:snapToGrid/>
          <w:color w:val="000000"/>
          <w:kern w:val="22"/>
          <w:szCs w:val="22"/>
          <w:highlight w:val="cyan"/>
          <w:lang w:val="es-ES_tradnl"/>
        </w:rPr>
      </w:pPr>
      <w:r w:rsidRPr="009C2D9A">
        <w:rPr>
          <w:rFonts w:cs="Times New Roman"/>
          <w:snapToGrid/>
          <w:color w:val="000000"/>
          <w:kern w:val="22"/>
          <w:szCs w:val="22"/>
          <w:lang w:val="es-ES_tradnl" w:eastAsia="ko-KR"/>
        </w:rPr>
        <w:t>2</w:t>
      </w:r>
      <w:r w:rsidR="004F55BE" w:rsidRPr="009C2D9A">
        <w:rPr>
          <w:rFonts w:cs="Times New Roman"/>
          <w:snapToGrid/>
          <w:color w:val="000000"/>
          <w:kern w:val="22"/>
          <w:szCs w:val="22"/>
          <w:lang w:val="es-ES_tradnl" w:eastAsia="ko-KR"/>
        </w:rPr>
        <w:t>7</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r w:rsidR="00E86CD6" w:rsidRPr="009C2D9A">
        <w:rPr>
          <w:lang w:val="es-ES_tradnl"/>
        </w:rPr>
        <w:t>Según la información disponible en la Secretaría al 30 de junio de 2021, el número total de iniciativas ha aumentado a 103. Es importante señalar que 67 de estas iniciativas, que representan el 65 %, se han publicado en el Centro de intercambio de información sobre APB.</w:t>
      </w:r>
      <w:r w:rsidR="00345251" w:rsidRPr="009C2D9A">
        <w:rPr>
          <w:rFonts w:cs="Times New Roman"/>
          <w:snapToGrid/>
          <w:kern w:val="22"/>
          <w:szCs w:val="22"/>
          <w:lang w:val="es-ES_tradnl" w:eastAsia="ko-KR"/>
        </w:rPr>
        <w:t xml:space="preserve"> </w:t>
      </w:r>
      <w:r w:rsidR="00E86CD6" w:rsidRPr="009C2D9A">
        <w:rPr>
          <w:rFonts w:cs="Times New Roman"/>
          <w:snapToGrid/>
          <w:color w:val="000000"/>
          <w:kern w:val="22"/>
          <w:szCs w:val="22"/>
          <w:lang w:val="es-ES_tradnl"/>
        </w:rPr>
        <w:t xml:space="preserve">Desde la tercera reunión de las Partes del Protocolo en 2018, se han agregado siete nuevos proyectos. A </w:t>
      </w:r>
      <w:proofErr w:type="gramStart"/>
      <w:r w:rsidR="00E86CD6" w:rsidRPr="009C2D9A">
        <w:rPr>
          <w:rFonts w:cs="Times New Roman"/>
          <w:snapToGrid/>
          <w:color w:val="000000"/>
          <w:kern w:val="22"/>
          <w:szCs w:val="22"/>
          <w:lang w:val="es-ES_tradnl"/>
        </w:rPr>
        <w:t>continuación</w:t>
      </w:r>
      <w:proofErr w:type="gramEnd"/>
      <w:r w:rsidR="00E86CD6" w:rsidRPr="009C2D9A">
        <w:rPr>
          <w:rFonts w:cs="Times New Roman"/>
          <w:snapToGrid/>
          <w:color w:val="000000"/>
          <w:kern w:val="22"/>
          <w:szCs w:val="22"/>
          <w:lang w:val="es-ES_tradnl"/>
        </w:rPr>
        <w:t xml:space="preserve"> se proporciona una descripción general de las 103 iniciativas de creación de capacidad, incluidos el tipo, el estado, la duración, los niveles de financiación y la cobertura geográfica y temática; la lista completa está disponible en </w:t>
      </w:r>
      <w:r w:rsidR="00470D6E">
        <w:rPr>
          <w:rFonts w:cs="Times New Roman"/>
          <w:snapToGrid/>
          <w:color w:val="000000"/>
          <w:kern w:val="22"/>
          <w:szCs w:val="22"/>
          <w:lang w:val="es-ES_tradnl"/>
        </w:rPr>
        <w:t xml:space="preserve">el documento </w:t>
      </w:r>
      <w:r w:rsidR="00E86CD6" w:rsidRPr="009C2D9A">
        <w:rPr>
          <w:rFonts w:cs="Times New Roman"/>
          <w:snapToGrid/>
          <w:color w:val="000000"/>
          <w:kern w:val="22"/>
          <w:szCs w:val="22"/>
          <w:lang w:val="es-ES_tradnl"/>
        </w:rPr>
        <w:t>CBD/NP/MOP/4/INF/1.</w:t>
      </w:r>
    </w:p>
    <w:p w14:paraId="3E3C40AB" w14:textId="3D114D4C" w:rsidR="005E75A7" w:rsidRPr="009C2D9A" w:rsidRDefault="00BE4232"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val="es-ES_tradnl" w:eastAsia="ko-KR"/>
        </w:rPr>
      </w:pPr>
      <w:r w:rsidRPr="009C2D9A">
        <w:rPr>
          <w:rFonts w:cs="Times New Roman"/>
          <w:b/>
          <w:snapToGrid/>
          <w:kern w:val="22"/>
          <w:szCs w:val="22"/>
          <w:lang w:val="es-ES_tradnl" w:eastAsia="ko-KR"/>
        </w:rPr>
        <w:t>a)</w:t>
      </w:r>
      <w:r w:rsidRPr="009C2D9A">
        <w:rPr>
          <w:rFonts w:cs="Times New Roman"/>
          <w:b/>
          <w:snapToGrid/>
          <w:kern w:val="22"/>
          <w:szCs w:val="22"/>
          <w:lang w:val="es-ES_tradnl" w:eastAsia="ko-KR"/>
        </w:rPr>
        <w:tab/>
      </w:r>
      <w:r w:rsidR="00EE42A8" w:rsidRPr="009C2D9A">
        <w:rPr>
          <w:rFonts w:cs="Times New Roman"/>
          <w:b/>
          <w:snapToGrid/>
          <w:kern w:val="22"/>
          <w:szCs w:val="22"/>
          <w:lang w:val="es-ES_tradnl" w:eastAsia="ko-KR"/>
        </w:rPr>
        <w:t>Tipos de iniciativas de creación de capacidad</w:t>
      </w:r>
    </w:p>
    <w:p w14:paraId="35C72325" w14:textId="4672B0F7" w:rsidR="00EE42A8" w:rsidRPr="009C2D9A" w:rsidRDefault="001246EE" w:rsidP="00E86CD6">
      <w:pPr>
        <w:pStyle w:val="Para1"/>
        <w:numPr>
          <w:ilvl w:val="0"/>
          <w:numId w:val="0"/>
        </w:numPr>
        <w:pBdr>
          <w:top w:val="nil"/>
          <w:left w:val="nil"/>
          <w:bottom w:val="nil"/>
          <w:right w:val="nil"/>
          <w:between w:val="nil"/>
          <w:bar w:val="nil"/>
        </w:pBdr>
        <w:spacing w:before="120"/>
        <w:rPr>
          <w:rFonts w:cs="Times New Roman"/>
          <w:snapToGrid/>
          <w:kern w:val="22"/>
          <w:szCs w:val="22"/>
          <w:lang w:val="es-ES_tradnl" w:eastAsia="ko-KR"/>
        </w:rPr>
      </w:pPr>
      <w:r w:rsidRPr="009C2D9A">
        <w:rPr>
          <w:rFonts w:cs="Times New Roman"/>
          <w:snapToGrid/>
          <w:color w:val="000000"/>
          <w:kern w:val="22"/>
          <w:szCs w:val="22"/>
          <w:lang w:val="es-ES_tradnl" w:eastAsia="ko-KR"/>
        </w:rPr>
        <w:t>2</w:t>
      </w:r>
      <w:r w:rsidR="004F55BE" w:rsidRPr="009C2D9A">
        <w:rPr>
          <w:rFonts w:cs="Times New Roman"/>
          <w:snapToGrid/>
          <w:color w:val="000000"/>
          <w:kern w:val="22"/>
          <w:szCs w:val="22"/>
          <w:lang w:val="es-ES_tradnl" w:eastAsia="ko-KR"/>
        </w:rPr>
        <w:t>8</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r w:rsidR="00EE42A8" w:rsidRPr="009C2D9A">
        <w:rPr>
          <w:lang w:val="es-ES_tradnl"/>
        </w:rPr>
        <w:t xml:space="preserve">De las 103 iniciativas de </w:t>
      </w:r>
      <w:r w:rsidR="00E86CD6" w:rsidRPr="009C2D9A">
        <w:rPr>
          <w:lang w:val="es-ES_tradnl"/>
        </w:rPr>
        <w:t xml:space="preserve">creación y </w:t>
      </w:r>
      <w:r w:rsidR="00EE42A8" w:rsidRPr="009C2D9A">
        <w:rPr>
          <w:lang w:val="es-ES_tradnl"/>
        </w:rPr>
        <w:t>desarrollo de capacidad que brindan apoyo directo a países específicos, 82 (80 %) son proyectos nacionales, 18 (17 %) son proyectos regionales o subregionales y 3 (3</w:t>
      </w:r>
      <w:r w:rsidR="00F958E6">
        <w:rPr>
          <w:lang w:val="es-ES_tradnl"/>
        </w:rPr>
        <w:t> </w:t>
      </w:r>
      <w:r w:rsidR="00EE42A8" w:rsidRPr="009C2D9A">
        <w:rPr>
          <w:lang w:val="es-ES_tradnl"/>
        </w:rPr>
        <w:t>%) son mundiales.</w:t>
      </w:r>
    </w:p>
    <w:p w14:paraId="487EAF38" w14:textId="0F9E9AEC" w:rsidR="008C38C6" w:rsidRPr="009C2D9A" w:rsidRDefault="00BE4232"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val="es-ES_tradnl" w:eastAsia="ko-KR"/>
        </w:rPr>
      </w:pPr>
      <w:r w:rsidRPr="009C2D9A">
        <w:rPr>
          <w:rFonts w:cs="Times New Roman"/>
          <w:b/>
          <w:snapToGrid/>
          <w:kern w:val="22"/>
          <w:szCs w:val="22"/>
          <w:lang w:val="es-ES_tradnl" w:eastAsia="ko-KR"/>
        </w:rPr>
        <w:t>b)</w:t>
      </w:r>
      <w:r w:rsidRPr="009C2D9A">
        <w:rPr>
          <w:rFonts w:cs="Times New Roman"/>
          <w:b/>
          <w:snapToGrid/>
          <w:kern w:val="22"/>
          <w:szCs w:val="22"/>
          <w:lang w:val="es-ES_tradnl" w:eastAsia="ko-KR"/>
        </w:rPr>
        <w:tab/>
      </w:r>
      <w:r w:rsidR="00EE42A8" w:rsidRPr="009C2D9A">
        <w:rPr>
          <w:rFonts w:cs="Times New Roman"/>
          <w:b/>
          <w:snapToGrid/>
          <w:kern w:val="22"/>
          <w:szCs w:val="22"/>
          <w:lang w:val="es-ES_tradnl" w:eastAsia="ko-KR"/>
        </w:rPr>
        <w:t>Estado de las iniciativas de creación de capacidad</w:t>
      </w:r>
    </w:p>
    <w:p w14:paraId="2B6FB784" w14:textId="11044DDD" w:rsidR="00EE42A8" w:rsidRPr="009C2D9A" w:rsidRDefault="004F55BE" w:rsidP="00E86CD6">
      <w:pPr>
        <w:pStyle w:val="Para1"/>
        <w:numPr>
          <w:ilvl w:val="0"/>
          <w:numId w:val="0"/>
        </w:numPr>
        <w:pBdr>
          <w:top w:val="nil"/>
          <w:left w:val="nil"/>
          <w:bottom w:val="nil"/>
          <w:right w:val="nil"/>
          <w:between w:val="nil"/>
          <w:bar w:val="nil"/>
        </w:pBdr>
        <w:spacing w:before="120"/>
        <w:rPr>
          <w:rFonts w:cs="Times New Roman"/>
          <w:snapToGrid/>
          <w:kern w:val="22"/>
          <w:szCs w:val="22"/>
          <w:lang w:val="es-ES_tradnl" w:eastAsia="ko-KR"/>
        </w:rPr>
      </w:pPr>
      <w:r w:rsidRPr="009C2D9A">
        <w:rPr>
          <w:rFonts w:cs="Times New Roman"/>
          <w:snapToGrid/>
          <w:color w:val="000000"/>
          <w:kern w:val="22"/>
          <w:szCs w:val="22"/>
          <w:lang w:val="es-ES_tradnl" w:eastAsia="ko-KR"/>
        </w:rPr>
        <w:t>29</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r w:rsidR="00EE42A8" w:rsidRPr="009C2D9A">
        <w:rPr>
          <w:lang w:val="es-ES_tradnl"/>
        </w:rPr>
        <w:t xml:space="preserve">En cuanto al estado, según la información disponible al 30 de junio de 2021, se completaron 68 iniciativas (66 %), lo que representa un aumento significativo respecto del 41 % informado durante la cuarta </w:t>
      </w:r>
      <w:r w:rsidR="00EE42A8" w:rsidRPr="009C2D9A">
        <w:rPr>
          <w:lang w:val="es-ES_tradnl"/>
        </w:rPr>
        <w:lastRenderedPageBreak/>
        <w:t xml:space="preserve">reunión del Comité </w:t>
      </w:r>
      <w:r w:rsidR="00485E13">
        <w:rPr>
          <w:lang w:val="es-ES_tradnl"/>
        </w:rPr>
        <w:t>Asesor</w:t>
      </w:r>
      <w:r w:rsidR="00EE42A8" w:rsidRPr="009C2D9A">
        <w:rPr>
          <w:lang w:val="es-ES_tradnl"/>
        </w:rPr>
        <w:t xml:space="preserve"> Oficioso sobre Creación de Capacidad</w:t>
      </w:r>
      <w:r w:rsidR="00E86CD6" w:rsidRPr="009C2D9A">
        <w:rPr>
          <w:lang w:val="es-ES_tradnl"/>
        </w:rPr>
        <w:t xml:space="preserve"> </w:t>
      </w:r>
      <w:r w:rsidR="00EE42A8" w:rsidRPr="009C2D9A">
        <w:rPr>
          <w:lang w:val="es-ES_tradnl"/>
        </w:rPr>
        <w:t>que se llevó a cabo en octubre de 2019</w:t>
      </w:r>
      <w:r w:rsidR="00E86CD6" w:rsidRPr="009C2D9A">
        <w:rPr>
          <w:rStyle w:val="FootnoteReference"/>
          <w:rFonts w:cs="Times New Roman"/>
          <w:snapToGrid/>
          <w:kern w:val="22"/>
          <w:sz w:val="22"/>
          <w:szCs w:val="22"/>
          <w:lang w:val="es-ES_tradnl" w:eastAsia="ko-KR"/>
        </w:rPr>
        <w:footnoteReference w:id="11"/>
      </w:r>
      <w:r w:rsidR="00EE42A8" w:rsidRPr="009C2D9A">
        <w:rPr>
          <w:lang w:val="es-ES_tradnl"/>
        </w:rPr>
        <w:t xml:space="preserve">. Además, 24 iniciativas (23 </w:t>
      </w:r>
      <w:r w:rsidR="00E86CD6" w:rsidRPr="009C2D9A">
        <w:rPr>
          <w:lang w:val="es-ES_tradnl"/>
        </w:rPr>
        <w:t>%</w:t>
      </w:r>
      <w:r w:rsidR="00EE42A8" w:rsidRPr="009C2D9A">
        <w:rPr>
          <w:lang w:val="es-ES_tradnl"/>
        </w:rPr>
        <w:t xml:space="preserve">) estaban en curso, 8 iniciativas (8 </w:t>
      </w:r>
      <w:r w:rsidR="00E86CD6" w:rsidRPr="009C2D9A">
        <w:rPr>
          <w:lang w:val="es-ES_tradnl"/>
        </w:rPr>
        <w:t>%</w:t>
      </w:r>
      <w:r w:rsidR="00EE42A8" w:rsidRPr="009C2D9A">
        <w:rPr>
          <w:lang w:val="es-ES_tradnl"/>
        </w:rPr>
        <w:t xml:space="preserve">) fueron aprobadas y </w:t>
      </w:r>
      <w:r w:rsidR="00E86CD6" w:rsidRPr="009C2D9A">
        <w:rPr>
          <w:lang w:val="es-ES_tradnl"/>
        </w:rPr>
        <w:t xml:space="preserve">se propusieron </w:t>
      </w:r>
      <w:r w:rsidR="00EE42A8" w:rsidRPr="009C2D9A">
        <w:rPr>
          <w:lang w:val="es-ES_tradnl"/>
        </w:rPr>
        <w:t>3 (3</w:t>
      </w:r>
      <w:r w:rsidR="00F958E6">
        <w:rPr>
          <w:lang w:val="es-ES_tradnl"/>
        </w:rPr>
        <w:t> </w:t>
      </w:r>
      <w:r w:rsidR="00E86CD6" w:rsidRPr="009C2D9A">
        <w:rPr>
          <w:lang w:val="es-ES_tradnl"/>
        </w:rPr>
        <w:t>%</w:t>
      </w:r>
      <w:r w:rsidR="00EE42A8" w:rsidRPr="009C2D9A">
        <w:rPr>
          <w:lang w:val="es-ES_tradnl"/>
        </w:rPr>
        <w:t>) nuevas iniciativas (ver figura 1)</w:t>
      </w:r>
      <w:r w:rsidR="00E86CD6" w:rsidRPr="009C2D9A">
        <w:rPr>
          <w:rStyle w:val="FootnoteReference"/>
          <w:rFonts w:cs="Times New Roman"/>
          <w:snapToGrid/>
          <w:kern w:val="22"/>
          <w:sz w:val="22"/>
          <w:szCs w:val="22"/>
          <w:lang w:val="es-ES_tradnl" w:eastAsia="ko-KR"/>
        </w:rPr>
        <w:footnoteReference w:id="12"/>
      </w:r>
      <w:r w:rsidR="00EE42A8" w:rsidRPr="009C2D9A">
        <w:rPr>
          <w:lang w:val="es-ES_tradnl"/>
        </w:rPr>
        <w:t>. De los siete proyectos agregados a la lista, uno está en curso; dos ya están terminados, tres han sido aprobados y uno está siendo propuesto actualmente.</w:t>
      </w:r>
    </w:p>
    <w:p w14:paraId="177E8CF2" w14:textId="709DD88C" w:rsidR="00345251" w:rsidRPr="009C2D9A" w:rsidRDefault="002956A2" w:rsidP="00274F61">
      <w:pPr>
        <w:pStyle w:val="Para1"/>
        <w:numPr>
          <w:ilvl w:val="0"/>
          <w:numId w:val="0"/>
        </w:numPr>
        <w:suppressLineNumbers/>
        <w:tabs>
          <w:tab w:val="left" w:pos="720"/>
        </w:tabs>
        <w:suppressAutoHyphens/>
        <w:kinsoku w:val="0"/>
        <w:overflowPunct w:val="0"/>
        <w:autoSpaceDE w:val="0"/>
        <w:autoSpaceDN w:val="0"/>
        <w:jc w:val="center"/>
        <w:rPr>
          <w:rFonts w:cs="Times New Roman"/>
          <w:noProof/>
          <w:snapToGrid/>
          <w:kern w:val="22"/>
          <w:szCs w:val="22"/>
          <w:lang w:val="es-ES_tradnl" w:eastAsia="zh-CN"/>
        </w:rPr>
      </w:pPr>
      <w:r>
        <w:rPr>
          <w:noProof/>
        </w:rPr>
        <w:drawing>
          <wp:inline distT="0" distB="0" distL="0" distR="0" wp14:anchorId="7289771B" wp14:editId="3B19144C">
            <wp:extent cx="4594134" cy="3111500"/>
            <wp:effectExtent l="0" t="0" r="16510" b="12700"/>
            <wp:docPr id="1" name="Chart 1">
              <a:extLst xmlns:a="http://schemas.openxmlformats.org/drawingml/2006/main">
                <a:ext uri="{FF2B5EF4-FFF2-40B4-BE49-F238E27FC236}">
                  <a16:creationId xmlns:a16="http://schemas.microsoft.com/office/drawing/2014/main" i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CF1D9AE" w14:textId="1E32A096" w:rsidR="00345251" w:rsidRPr="009C2D9A" w:rsidRDefault="00BE4232"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val="es-ES_tradnl" w:eastAsia="ko-KR"/>
        </w:rPr>
      </w:pPr>
      <w:r w:rsidRPr="009C2D9A">
        <w:rPr>
          <w:rFonts w:cs="Times New Roman"/>
          <w:b/>
          <w:snapToGrid/>
          <w:kern w:val="22"/>
          <w:szCs w:val="22"/>
          <w:lang w:val="es-ES_tradnl" w:eastAsia="ko-KR"/>
        </w:rPr>
        <w:t>c)</w:t>
      </w:r>
      <w:r w:rsidRPr="009C2D9A">
        <w:rPr>
          <w:rFonts w:cs="Times New Roman"/>
          <w:b/>
          <w:snapToGrid/>
          <w:kern w:val="22"/>
          <w:szCs w:val="22"/>
          <w:lang w:val="es-ES_tradnl" w:eastAsia="ko-KR"/>
        </w:rPr>
        <w:tab/>
      </w:r>
      <w:r w:rsidR="00EE42A8" w:rsidRPr="009C2D9A">
        <w:rPr>
          <w:rFonts w:cs="Times New Roman"/>
          <w:b/>
          <w:snapToGrid/>
          <w:kern w:val="22"/>
          <w:szCs w:val="22"/>
          <w:lang w:val="es-ES_tradnl" w:eastAsia="ko-KR"/>
        </w:rPr>
        <w:t>Cobertura geográfica de las iniciativas</w:t>
      </w:r>
    </w:p>
    <w:p w14:paraId="6E69A9DB" w14:textId="509D4885" w:rsidR="00807DC1" w:rsidRDefault="00140887" w:rsidP="005B452B">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szCs w:val="22"/>
          <w:lang w:val="es-ES_tradnl" w:eastAsia="ko-KR"/>
        </w:rPr>
        <w:t>3</w:t>
      </w:r>
      <w:r w:rsidR="00BA5C93" w:rsidRPr="009C2D9A">
        <w:rPr>
          <w:rFonts w:cs="Times New Roman"/>
          <w:snapToGrid/>
          <w:color w:val="000000"/>
          <w:kern w:val="22"/>
          <w:szCs w:val="22"/>
          <w:lang w:val="es-ES_tradnl" w:eastAsia="ko-KR"/>
        </w:rPr>
        <w:t>0</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r w:rsidR="00EE42A8" w:rsidRPr="009C2D9A">
        <w:rPr>
          <w:rFonts w:cs="Times New Roman"/>
          <w:snapToGrid/>
          <w:kern w:val="22"/>
          <w:szCs w:val="22"/>
          <w:lang w:val="es-ES_tradnl" w:eastAsia="ko-KR"/>
        </w:rPr>
        <w:t xml:space="preserve">En </w:t>
      </w:r>
      <w:r w:rsidR="00807DC1" w:rsidRPr="009C2D9A">
        <w:rPr>
          <w:rFonts w:cs="Times New Roman"/>
          <w:snapToGrid/>
          <w:kern w:val="22"/>
          <w:szCs w:val="22"/>
          <w:lang w:val="es-ES_tradnl" w:eastAsia="ko-KR"/>
        </w:rPr>
        <w:t xml:space="preserve">lo que respecta a la </w:t>
      </w:r>
      <w:r w:rsidR="00EE42A8" w:rsidRPr="009C2D9A">
        <w:rPr>
          <w:rFonts w:cs="Times New Roman"/>
          <w:snapToGrid/>
          <w:kern w:val="22"/>
          <w:szCs w:val="22"/>
          <w:lang w:val="es-ES_tradnl" w:eastAsia="ko-KR"/>
        </w:rPr>
        <w:t xml:space="preserve">cobertura geográfica, la región de África sigue teniendo el mayor número de iniciativas, con 37 proyectos nacionales y ocho regionales/subregionales. Le sigue Asia y el Pacífico, con 27 proyectos nacionales y seis subregionales. En América Latina y el Caribe hay 17 proyectos nacionales y cuatro regionales/subregionales. </w:t>
      </w:r>
      <w:r w:rsidR="00807DC1" w:rsidRPr="009C2D9A">
        <w:rPr>
          <w:lang w:val="es-ES_tradnl"/>
        </w:rPr>
        <w:t>En Europa Central y Oriental, hay un proyecto nacional conocido. En la actualización preparada para la tercera reunión de las Partes</w:t>
      </w:r>
      <w:r w:rsidR="005B452B" w:rsidRPr="009C2D9A">
        <w:rPr>
          <w:lang w:val="es-ES_tradnl"/>
        </w:rPr>
        <w:t xml:space="preserve"> en el </w:t>
      </w:r>
      <w:r w:rsidR="00807DC1" w:rsidRPr="009C2D9A">
        <w:rPr>
          <w:lang w:val="es-ES_tradnl"/>
        </w:rPr>
        <w:t xml:space="preserve">Protocolo de Nagoya, se había incluido un proyecto subregional en el informe, pero no había información disponible para determinar si el proyecto alguna vez fue aprobado y, por lo tanto, se eliminó. Además, hay tres iniciativas </w:t>
      </w:r>
      <w:r w:rsidR="005B452B" w:rsidRPr="009C2D9A">
        <w:rPr>
          <w:lang w:val="es-ES_tradnl"/>
        </w:rPr>
        <w:t xml:space="preserve">mundiales </w:t>
      </w:r>
      <w:r w:rsidR="00807DC1" w:rsidRPr="009C2D9A">
        <w:rPr>
          <w:lang w:val="es-ES_tradnl"/>
        </w:rPr>
        <w:t>que también están brindando apoyo a varios países de estas regiones (ver figura 2).</w:t>
      </w:r>
    </w:p>
    <w:p w14:paraId="3CF3FDDE" w14:textId="11F83BE6" w:rsidR="00E43F8A" w:rsidRPr="00865963" w:rsidRDefault="00E43F8A" w:rsidP="005B452B">
      <w:pPr>
        <w:pStyle w:val="Para1"/>
        <w:numPr>
          <w:ilvl w:val="0"/>
          <w:numId w:val="0"/>
        </w:numPr>
        <w:pBdr>
          <w:top w:val="nil"/>
          <w:left w:val="nil"/>
          <w:bottom w:val="nil"/>
          <w:right w:val="nil"/>
          <w:between w:val="nil"/>
          <w:bar w:val="nil"/>
        </w:pBdr>
        <w:spacing w:before="120"/>
        <w:rPr>
          <w:rFonts w:cs="Times New Roman"/>
          <w:snapToGrid/>
          <w:kern w:val="22"/>
          <w:szCs w:val="22"/>
          <w:lang w:val="es-ES" w:eastAsia="ko-KR"/>
        </w:rPr>
      </w:pPr>
    </w:p>
    <w:p w14:paraId="04E7AB04" w14:textId="46986EC7" w:rsidR="002956A2" w:rsidRPr="00865963" w:rsidRDefault="002956A2" w:rsidP="005B452B">
      <w:pPr>
        <w:pStyle w:val="Para1"/>
        <w:numPr>
          <w:ilvl w:val="0"/>
          <w:numId w:val="0"/>
        </w:numPr>
        <w:pBdr>
          <w:top w:val="nil"/>
          <w:left w:val="nil"/>
          <w:bottom w:val="nil"/>
          <w:right w:val="nil"/>
          <w:between w:val="nil"/>
          <w:bar w:val="nil"/>
        </w:pBdr>
        <w:spacing w:before="120"/>
        <w:rPr>
          <w:rFonts w:cs="Times New Roman"/>
          <w:snapToGrid/>
          <w:kern w:val="22"/>
          <w:szCs w:val="22"/>
          <w:lang w:val="es-ES" w:eastAsia="ko-KR"/>
        </w:rPr>
      </w:pPr>
    </w:p>
    <w:p w14:paraId="60DEAD36" w14:textId="13DDB042" w:rsidR="002956A2" w:rsidRPr="002956A2" w:rsidRDefault="002956A2" w:rsidP="005B452B">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p>
    <w:p w14:paraId="437B195B" w14:textId="58ACD37B" w:rsidR="002C4FAF" w:rsidRPr="009C2D9A" w:rsidRDefault="002F6CB6" w:rsidP="00CD789A">
      <w:pPr>
        <w:pStyle w:val="Para1"/>
        <w:numPr>
          <w:ilvl w:val="0"/>
          <w:numId w:val="0"/>
        </w:numPr>
        <w:suppressLineNumbers/>
        <w:tabs>
          <w:tab w:val="left" w:pos="720"/>
        </w:tabs>
        <w:suppressAutoHyphens/>
        <w:kinsoku w:val="0"/>
        <w:overflowPunct w:val="0"/>
        <w:autoSpaceDE w:val="0"/>
        <w:autoSpaceDN w:val="0"/>
        <w:jc w:val="center"/>
        <w:rPr>
          <w:rFonts w:cs="Times New Roman"/>
          <w:snapToGrid/>
          <w:kern w:val="22"/>
          <w:szCs w:val="22"/>
          <w:lang w:val="es-ES_tradnl" w:eastAsia="ko-KR"/>
        </w:rPr>
      </w:pPr>
      <w:r>
        <w:rPr>
          <w:noProof/>
        </w:rPr>
        <w:lastRenderedPageBreak/>
        <w:drawing>
          <wp:inline distT="0" distB="0" distL="0" distR="0" wp14:anchorId="793A0A0B" wp14:editId="7F122D77">
            <wp:extent cx="5081905" cy="2695492"/>
            <wp:effectExtent l="0" t="0" r="4445" b="0"/>
            <wp:docPr id="18" name="Chart 18">
              <a:extLst xmlns:a="http://schemas.openxmlformats.org/drawingml/2006/main">
                <a:ext uri="{FF2B5EF4-FFF2-40B4-BE49-F238E27FC236}">
                  <a16:creationId xmlns:a16="http://schemas.microsoft.com/office/drawing/2014/main" id="{2EB989D2-8AFB-4265-B268-680441A4A6AF}"/>
                </a:ext>
                <a:ext uri="{147F2762-F138-4A5C-976F-8EAC2B608ADB}">
                  <a16:predDERef xmlns:a16="http://schemas.microsoft.com/office/drawing/2014/main" pre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39CD432" w14:textId="5EF7841E" w:rsidR="00807DC1" w:rsidRPr="009C2D9A" w:rsidRDefault="00140887" w:rsidP="00807DC1">
      <w:pPr>
        <w:rPr>
          <w:lang w:val="es-ES_tradnl"/>
        </w:rPr>
      </w:pPr>
      <w:r w:rsidRPr="009C2D9A">
        <w:rPr>
          <w:rFonts w:cs="Times New Roman"/>
          <w:color w:val="000000"/>
          <w:kern w:val="22"/>
          <w:szCs w:val="22"/>
          <w:lang w:val="es-ES_tradnl" w:eastAsia="ko-KR"/>
        </w:rPr>
        <w:t>3</w:t>
      </w:r>
      <w:r w:rsidR="00BA5C93" w:rsidRPr="009C2D9A">
        <w:rPr>
          <w:rFonts w:cs="Times New Roman"/>
          <w:color w:val="000000"/>
          <w:kern w:val="22"/>
          <w:szCs w:val="22"/>
          <w:lang w:val="es-ES_tradnl" w:eastAsia="ko-KR"/>
        </w:rPr>
        <w:t>1</w:t>
      </w:r>
      <w:r w:rsidR="00F8670A" w:rsidRPr="009C2D9A">
        <w:rPr>
          <w:rFonts w:cs="Times New Roman"/>
          <w:color w:val="000000"/>
          <w:kern w:val="22"/>
          <w:szCs w:val="22"/>
          <w:lang w:val="es-ES_tradnl" w:eastAsia="ko-KR"/>
        </w:rPr>
        <w:t>.</w:t>
      </w:r>
      <w:r w:rsidR="00F8670A" w:rsidRPr="009C2D9A">
        <w:rPr>
          <w:rFonts w:cs="Times New Roman"/>
          <w:color w:val="000000"/>
          <w:kern w:val="22"/>
          <w:szCs w:val="22"/>
          <w:lang w:val="es-ES_tradnl" w:eastAsia="ko-KR"/>
        </w:rPr>
        <w:tab/>
      </w:r>
      <w:r w:rsidR="00807DC1" w:rsidRPr="009C2D9A">
        <w:rPr>
          <w:lang w:val="es-ES_tradnl"/>
        </w:rPr>
        <w:t>La cobertura geográfica de los proyectos de creación de capacidad existentes sigue siendo desigual, siendo Europa Central y Oriental (</w:t>
      </w:r>
      <w:r w:rsidR="00B57DD8" w:rsidRPr="009C2D9A">
        <w:rPr>
          <w:lang w:val="es-ES_tradnl"/>
        </w:rPr>
        <w:t>ECO</w:t>
      </w:r>
      <w:r w:rsidR="00807DC1" w:rsidRPr="009C2D9A">
        <w:rPr>
          <w:lang w:val="es-ES_tradnl"/>
        </w:rPr>
        <w:t xml:space="preserve">) la región menos cubierta. Desde la última reunión de la Conferencia de las Partes, no ha habido un cambio en el número de proyectos implementados en esta región. Solo cinco países (22 </w:t>
      </w:r>
      <w:r w:rsidR="00E86CD6" w:rsidRPr="009C2D9A">
        <w:rPr>
          <w:lang w:val="es-ES_tradnl"/>
        </w:rPr>
        <w:t>%</w:t>
      </w:r>
      <w:r w:rsidR="00807DC1" w:rsidRPr="009C2D9A">
        <w:rPr>
          <w:lang w:val="es-ES_tradnl"/>
        </w:rPr>
        <w:t xml:space="preserve">) (Albania, Armenia, </w:t>
      </w:r>
      <w:proofErr w:type="spellStart"/>
      <w:r w:rsidR="00807DC1" w:rsidRPr="009C2D9A">
        <w:rPr>
          <w:lang w:val="es-ES_tradnl"/>
        </w:rPr>
        <w:t>B</w:t>
      </w:r>
      <w:r w:rsidR="00B57DD8" w:rsidRPr="009C2D9A">
        <w:rPr>
          <w:lang w:val="es-ES_tradnl"/>
        </w:rPr>
        <w:t>elarús</w:t>
      </w:r>
      <w:proofErr w:type="spellEnd"/>
      <w:r w:rsidR="00807DC1" w:rsidRPr="009C2D9A">
        <w:rPr>
          <w:lang w:val="es-ES_tradnl"/>
        </w:rPr>
        <w:t xml:space="preserve">, Bosnia y Herzegovina y Georgia) han recibido apoyo directo de un proyecto de desarrollo de capacidades </w:t>
      </w:r>
      <w:r w:rsidR="00B57DD8" w:rsidRPr="009C2D9A">
        <w:rPr>
          <w:lang w:val="es-ES_tradnl"/>
        </w:rPr>
        <w:t>para APB.</w:t>
      </w:r>
    </w:p>
    <w:p w14:paraId="5DF1A660" w14:textId="09AB646A" w:rsidR="00807DC1" w:rsidRPr="009C2D9A" w:rsidRDefault="00140887" w:rsidP="005942AF">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color w:val="000000"/>
          <w:kern w:val="22"/>
          <w:szCs w:val="22"/>
          <w:lang w:val="es-ES_tradnl"/>
        </w:rPr>
        <w:t>3</w:t>
      </w:r>
      <w:r w:rsidR="00BA5C93" w:rsidRPr="009C2D9A">
        <w:rPr>
          <w:rFonts w:cs="Times New Roman"/>
          <w:color w:val="000000"/>
          <w:kern w:val="22"/>
          <w:szCs w:val="22"/>
          <w:lang w:val="es-ES_tradnl"/>
        </w:rPr>
        <w:t>2</w:t>
      </w:r>
      <w:r w:rsidR="00F8670A" w:rsidRPr="009C2D9A">
        <w:rPr>
          <w:rFonts w:cs="Times New Roman"/>
          <w:color w:val="000000"/>
          <w:kern w:val="22"/>
          <w:szCs w:val="22"/>
          <w:lang w:val="es-ES_tradnl"/>
        </w:rPr>
        <w:t>.</w:t>
      </w:r>
      <w:r w:rsidR="00F8670A" w:rsidRPr="009C2D9A">
        <w:rPr>
          <w:rFonts w:cs="Times New Roman"/>
          <w:color w:val="000000"/>
          <w:kern w:val="22"/>
          <w:szCs w:val="22"/>
          <w:lang w:val="es-ES_tradnl"/>
        </w:rPr>
        <w:tab/>
      </w:r>
      <w:r w:rsidR="00B57DD8" w:rsidRPr="009C2D9A">
        <w:rPr>
          <w:rFonts w:cs="Times New Roman"/>
          <w:snapToGrid/>
          <w:kern w:val="22"/>
          <w:szCs w:val="22"/>
          <w:lang w:val="es-ES_tradnl"/>
        </w:rPr>
        <w:t xml:space="preserve">Pertinente a este tema </w:t>
      </w:r>
      <w:r w:rsidR="00807DC1" w:rsidRPr="009C2D9A">
        <w:rPr>
          <w:rFonts w:cs="Times New Roman"/>
          <w:snapToGrid/>
          <w:kern w:val="22"/>
          <w:szCs w:val="22"/>
          <w:lang w:val="es-ES_tradnl"/>
        </w:rPr>
        <w:t>es la decisión NP-3/5</w:t>
      </w:r>
      <w:r w:rsidR="00B57DD8" w:rsidRPr="009C2D9A">
        <w:rPr>
          <w:rFonts w:cs="Times New Roman"/>
          <w:snapToGrid/>
          <w:kern w:val="22"/>
          <w:szCs w:val="22"/>
          <w:lang w:val="es-ES_tradnl"/>
        </w:rPr>
        <w:t xml:space="preserve">, </w:t>
      </w:r>
      <w:r w:rsidR="00807DC1" w:rsidRPr="009C2D9A">
        <w:rPr>
          <w:rFonts w:cs="Times New Roman"/>
          <w:snapToGrid/>
          <w:kern w:val="22"/>
          <w:szCs w:val="22"/>
          <w:lang w:val="es-ES_tradnl"/>
        </w:rPr>
        <w:t xml:space="preserve">donde se invitó a las Partes, otros </w:t>
      </w:r>
      <w:r w:rsidR="00B57DD8" w:rsidRPr="009C2D9A">
        <w:rPr>
          <w:rFonts w:cs="Times New Roman"/>
          <w:snapToGrid/>
          <w:kern w:val="22"/>
          <w:szCs w:val="22"/>
          <w:lang w:val="es-ES_tradnl"/>
        </w:rPr>
        <w:t>G</w:t>
      </w:r>
      <w:r w:rsidR="00807DC1" w:rsidRPr="009C2D9A">
        <w:rPr>
          <w:rFonts w:cs="Times New Roman"/>
          <w:snapToGrid/>
          <w:kern w:val="22"/>
          <w:szCs w:val="22"/>
          <w:lang w:val="es-ES_tradnl"/>
        </w:rPr>
        <w:t xml:space="preserve">obiernos y organizaciones a considerar el desarrollo de proyectos regionales y subregionales como forma de avanzar para apoyar la cooperación regional y </w:t>
      </w:r>
      <w:r w:rsidR="00B57DD8" w:rsidRPr="009C2D9A">
        <w:rPr>
          <w:rFonts w:cs="Times New Roman"/>
          <w:snapToGrid/>
          <w:kern w:val="22"/>
          <w:szCs w:val="22"/>
          <w:lang w:val="es-ES_tradnl"/>
        </w:rPr>
        <w:t xml:space="preserve">subsanar las deficiencias en materia de </w:t>
      </w:r>
      <w:r w:rsidR="00807DC1" w:rsidRPr="009C2D9A">
        <w:rPr>
          <w:rFonts w:cs="Times New Roman"/>
          <w:snapToGrid/>
          <w:kern w:val="22"/>
          <w:szCs w:val="22"/>
          <w:lang w:val="es-ES_tradnl"/>
        </w:rPr>
        <w:t>creación de capacidad en ciertas regiones</w:t>
      </w:r>
      <w:r w:rsidR="00B57DD8" w:rsidRPr="009C2D9A">
        <w:rPr>
          <w:rFonts w:cs="Times New Roman"/>
          <w:snapToGrid/>
          <w:kern w:val="22"/>
          <w:szCs w:val="22"/>
          <w:lang w:val="es-ES_tradnl"/>
        </w:rPr>
        <w:t>,</w:t>
      </w:r>
      <w:r w:rsidR="00807DC1" w:rsidRPr="009C2D9A">
        <w:rPr>
          <w:rFonts w:cs="Times New Roman"/>
          <w:snapToGrid/>
          <w:kern w:val="22"/>
          <w:szCs w:val="22"/>
          <w:lang w:val="es-ES_tradnl"/>
        </w:rPr>
        <w:t xml:space="preserve"> </w:t>
      </w:r>
      <w:r w:rsidR="00B57DD8" w:rsidRPr="009C2D9A">
        <w:rPr>
          <w:rFonts w:cs="Times New Roman"/>
          <w:snapToGrid/>
          <w:kern w:val="22"/>
          <w:szCs w:val="22"/>
          <w:lang w:val="es-ES_tradnl"/>
        </w:rPr>
        <w:t>como Europa Central y Oriental</w:t>
      </w:r>
      <w:r w:rsidR="00807DC1" w:rsidRPr="009C2D9A">
        <w:rPr>
          <w:rFonts w:cs="Times New Roman"/>
          <w:snapToGrid/>
          <w:kern w:val="22"/>
          <w:szCs w:val="22"/>
          <w:lang w:val="es-ES_tradnl"/>
        </w:rPr>
        <w:t>.</w:t>
      </w:r>
    </w:p>
    <w:p w14:paraId="2A98AD22" w14:textId="20EE1FBC" w:rsidR="00345251" w:rsidRPr="009C2D9A" w:rsidRDefault="00C83933"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bCs/>
          <w:snapToGrid/>
          <w:kern w:val="22"/>
          <w:lang w:val="es-ES_tradnl" w:eastAsia="ko-KR"/>
        </w:rPr>
      </w:pPr>
      <w:r w:rsidRPr="009C2D9A">
        <w:rPr>
          <w:rFonts w:cs="Times New Roman"/>
          <w:b/>
          <w:bCs/>
          <w:snapToGrid/>
          <w:kern w:val="22"/>
          <w:lang w:val="es-ES_tradnl" w:eastAsia="ko-KR"/>
        </w:rPr>
        <w:t>d)</w:t>
      </w:r>
      <w:r w:rsidRPr="009C2D9A">
        <w:rPr>
          <w:rFonts w:cs="Times New Roman"/>
          <w:b/>
          <w:snapToGrid/>
          <w:kern w:val="22"/>
          <w:szCs w:val="22"/>
          <w:lang w:val="es-ES_tradnl" w:eastAsia="ko-KR"/>
        </w:rPr>
        <w:tab/>
      </w:r>
      <w:r w:rsidR="00874729" w:rsidRPr="009C2D9A">
        <w:rPr>
          <w:rFonts w:cs="Times New Roman"/>
          <w:b/>
          <w:snapToGrid/>
          <w:kern w:val="22"/>
          <w:szCs w:val="22"/>
          <w:lang w:val="es-ES_tradnl" w:eastAsia="ko-KR"/>
        </w:rPr>
        <w:t>Duración de las iniciativas</w:t>
      </w:r>
    </w:p>
    <w:p w14:paraId="0B4A52ED" w14:textId="2BB9DACF" w:rsidR="00807DC1" w:rsidRDefault="00F8670A" w:rsidP="00B57DD8">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szCs w:val="22"/>
          <w:lang w:val="es-ES_tradnl" w:eastAsia="ko-KR"/>
        </w:rPr>
        <w:t>3</w:t>
      </w:r>
      <w:r w:rsidR="00BA5C93" w:rsidRPr="009C2D9A">
        <w:rPr>
          <w:rFonts w:cs="Times New Roman"/>
          <w:snapToGrid/>
          <w:color w:val="000000"/>
          <w:kern w:val="22"/>
          <w:szCs w:val="22"/>
          <w:lang w:val="es-ES_tradnl" w:eastAsia="ko-KR"/>
        </w:rPr>
        <w:t>3</w:t>
      </w:r>
      <w:r w:rsidRPr="009C2D9A">
        <w:rPr>
          <w:rFonts w:cs="Times New Roman"/>
          <w:snapToGrid/>
          <w:color w:val="000000"/>
          <w:kern w:val="22"/>
          <w:szCs w:val="22"/>
          <w:lang w:val="es-ES_tradnl" w:eastAsia="ko-KR"/>
        </w:rPr>
        <w:t>.</w:t>
      </w:r>
      <w:r w:rsidRPr="009C2D9A">
        <w:rPr>
          <w:rFonts w:cs="Times New Roman"/>
          <w:snapToGrid/>
          <w:color w:val="000000"/>
          <w:kern w:val="22"/>
          <w:szCs w:val="22"/>
          <w:lang w:val="es-ES_tradnl" w:eastAsia="ko-KR"/>
        </w:rPr>
        <w:tab/>
      </w:r>
      <w:r w:rsidR="00807DC1" w:rsidRPr="009C2D9A">
        <w:rPr>
          <w:lang w:val="es-ES_tradnl"/>
        </w:rPr>
        <w:t>Con respecto a la duración de las iniciativas, actualmente se dispone de información para los 103 proyectos. La mayoría de las iniciativas (76</w:t>
      </w:r>
      <w:r w:rsidR="00C56987">
        <w:rPr>
          <w:lang w:val="es-ES_tradnl"/>
        </w:rPr>
        <w:t> </w:t>
      </w:r>
      <w:r w:rsidR="00E86CD6" w:rsidRPr="009C2D9A">
        <w:rPr>
          <w:lang w:val="es-ES_tradnl"/>
        </w:rPr>
        <w:t>%</w:t>
      </w:r>
      <w:r w:rsidR="00807DC1" w:rsidRPr="009C2D9A">
        <w:rPr>
          <w:lang w:val="es-ES_tradnl"/>
        </w:rPr>
        <w:t>) tienen una duración prevista de dos a cinco años; el 13</w:t>
      </w:r>
      <w:r w:rsidR="00F958E6">
        <w:rPr>
          <w:lang w:val="es-ES_tradnl"/>
        </w:rPr>
        <w:t> </w:t>
      </w:r>
      <w:r w:rsidR="00807DC1" w:rsidRPr="009C2D9A">
        <w:rPr>
          <w:lang w:val="es-ES_tradnl"/>
        </w:rPr>
        <w:t>% tiene una duración inferior a dos años y solo el 12 % tiene una duración superior a cinco años, frente al 7</w:t>
      </w:r>
      <w:r w:rsidR="00F958E6">
        <w:rPr>
          <w:lang w:val="es-ES_tradnl"/>
        </w:rPr>
        <w:t> </w:t>
      </w:r>
      <w:r w:rsidR="00807DC1" w:rsidRPr="009C2D9A">
        <w:rPr>
          <w:lang w:val="es-ES_tradnl"/>
        </w:rPr>
        <w:t>% informado durante la última reunión de las Partes en el Protocolo de Nagoya (véase la figura 3).</w:t>
      </w:r>
    </w:p>
    <w:p w14:paraId="5C27C1CC" w14:textId="0AA6027F" w:rsidR="002956A2" w:rsidRPr="009C2D9A" w:rsidRDefault="002956A2" w:rsidP="00B57DD8">
      <w:pPr>
        <w:pStyle w:val="Para1"/>
        <w:numPr>
          <w:ilvl w:val="0"/>
          <w:numId w:val="0"/>
        </w:numPr>
        <w:pBdr>
          <w:top w:val="nil"/>
          <w:left w:val="nil"/>
          <w:bottom w:val="nil"/>
          <w:right w:val="nil"/>
          <w:between w:val="nil"/>
          <w:bar w:val="nil"/>
        </w:pBdr>
        <w:spacing w:before="120"/>
        <w:rPr>
          <w:rFonts w:cs="Times New Roman"/>
          <w:snapToGrid/>
          <w:kern w:val="22"/>
          <w:szCs w:val="22"/>
          <w:lang w:val="es-ES_tradnl" w:eastAsia="ko-KR"/>
        </w:rPr>
      </w:pPr>
      <w:r>
        <w:rPr>
          <w:noProof/>
        </w:rPr>
        <w:drawing>
          <wp:inline distT="0" distB="0" distL="0" distR="0" wp14:anchorId="1DBA8A12" wp14:editId="7D01D891">
            <wp:extent cx="5748793" cy="2505075"/>
            <wp:effectExtent l="0" t="0" r="4445" b="0"/>
            <wp:docPr id="17" name="Chart 17">
              <a:extLst xmlns:a="http://schemas.openxmlformats.org/drawingml/2006/main">
                <a:ext uri="{FF2B5EF4-FFF2-40B4-BE49-F238E27FC236}">
                  <a16:creationId xmlns:a16="http://schemas.microsoft.com/office/drawing/2014/main" id="{7D55B4E0-F49C-42E0-A184-EA7DBBEF00BE}"/>
                </a:ext>
                <a:ext uri="{147F2762-F138-4A5C-976F-8EAC2B608ADB}">
                  <a16:predDERef xmlns:a16="http://schemas.microsoft.com/office/drawing/2014/main" pred="{2EB989D2-8AFB-4265-B268-680441A4A6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AE5FDA5" w14:textId="40CC88CA" w:rsidR="00345251" w:rsidRPr="009C2D9A" w:rsidRDefault="00C6143B"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val="es-ES_tradnl" w:eastAsia="ko-KR"/>
        </w:rPr>
      </w:pPr>
      <w:r w:rsidRPr="009C2D9A">
        <w:rPr>
          <w:rFonts w:cs="Times New Roman"/>
          <w:b/>
          <w:snapToGrid/>
          <w:kern w:val="22"/>
          <w:szCs w:val="22"/>
          <w:lang w:val="es-ES_tradnl" w:eastAsia="ko-KR"/>
        </w:rPr>
        <w:lastRenderedPageBreak/>
        <w:t>(e)</w:t>
      </w:r>
      <w:r w:rsidRPr="009C2D9A">
        <w:rPr>
          <w:rFonts w:cs="Times New Roman"/>
          <w:b/>
          <w:snapToGrid/>
          <w:kern w:val="22"/>
          <w:szCs w:val="22"/>
          <w:lang w:val="es-ES_tradnl" w:eastAsia="ko-KR"/>
        </w:rPr>
        <w:tab/>
      </w:r>
      <w:r w:rsidR="00874729" w:rsidRPr="009C2D9A">
        <w:rPr>
          <w:rFonts w:cs="Times New Roman"/>
          <w:b/>
          <w:snapToGrid/>
          <w:kern w:val="22"/>
          <w:szCs w:val="22"/>
          <w:lang w:val="es-ES_tradnl" w:eastAsia="ko-KR"/>
        </w:rPr>
        <w:t>Nivel de financiación</w:t>
      </w:r>
    </w:p>
    <w:p w14:paraId="4336BAC3" w14:textId="402E27F5" w:rsidR="00807DC1" w:rsidRPr="009C2D9A" w:rsidRDefault="00F8670A" w:rsidP="00F37E96">
      <w:pPr>
        <w:pStyle w:val="Para1"/>
        <w:numPr>
          <w:ilvl w:val="0"/>
          <w:numId w:val="0"/>
        </w:numPr>
        <w:pBdr>
          <w:top w:val="nil"/>
          <w:left w:val="nil"/>
          <w:bottom w:val="nil"/>
          <w:right w:val="nil"/>
          <w:between w:val="nil"/>
          <w:bar w:val="nil"/>
        </w:pBdr>
        <w:spacing w:before="120"/>
        <w:rPr>
          <w:rFonts w:cs="Times New Roman"/>
          <w:snapToGrid/>
          <w:spacing w:val="-3"/>
          <w:kern w:val="22"/>
          <w:szCs w:val="22"/>
          <w:lang w:val="es-ES_tradnl" w:eastAsia="ko-KR"/>
        </w:rPr>
      </w:pPr>
      <w:r w:rsidRPr="009C2D9A">
        <w:rPr>
          <w:rFonts w:cs="Times New Roman"/>
          <w:snapToGrid/>
          <w:color w:val="000000"/>
          <w:spacing w:val="-3"/>
          <w:kern w:val="22"/>
          <w:szCs w:val="22"/>
          <w:lang w:val="es-ES_tradnl" w:eastAsia="ko-KR"/>
        </w:rPr>
        <w:t>3</w:t>
      </w:r>
      <w:r w:rsidR="00BA5C93" w:rsidRPr="009C2D9A">
        <w:rPr>
          <w:rFonts w:cs="Times New Roman"/>
          <w:snapToGrid/>
          <w:color w:val="000000"/>
          <w:spacing w:val="-3"/>
          <w:kern w:val="22"/>
          <w:szCs w:val="22"/>
          <w:lang w:val="es-ES_tradnl" w:eastAsia="ko-KR"/>
        </w:rPr>
        <w:t>4</w:t>
      </w:r>
      <w:r w:rsidRPr="009C2D9A">
        <w:rPr>
          <w:rFonts w:cs="Times New Roman"/>
          <w:snapToGrid/>
          <w:color w:val="000000"/>
          <w:spacing w:val="-3"/>
          <w:kern w:val="22"/>
          <w:szCs w:val="22"/>
          <w:lang w:val="es-ES_tradnl" w:eastAsia="ko-KR"/>
        </w:rPr>
        <w:t>.</w:t>
      </w:r>
      <w:r w:rsidRPr="009C2D9A">
        <w:rPr>
          <w:rFonts w:cs="Times New Roman"/>
          <w:snapToGrid/>
          <w:color w:val="000000"/>
          <w:spacing w:val="-3"/>
          <w:kern w:val="22"/>
          <w:szCs w:val="22"/>
          <w:lang w:val="es-ES_tradnl" w:eastAsia="ko-KR"/>
        </w:rPr>
        <w:tab/>
      </w:r>
      <w:r w:rsidR="00807DC1" w:rsidRPr="009C2D9A">
        <w:rPr>
          <w:lang w:val="es-ES_tradnl"/>
        </w:rPr>
        <w:t>En cuanto al nivel de financiación de las iniciativas</w:t>
      </w:r>
      <w:r w:rsidR="00807DC1" w:rsidRPr="009C2D9A">
        <w:rPr>
          <w:rStyle w:val="FootnoteReference"/>
          <w:rFonts w:cs="Times New Roman"/>
          <w:snapToGrid/>
          <w:spacing w:val="-3"/>
          <w:kern w:val="22"/>
          <w:sz w:val="22"/>
          <w:szCs w:val="22"/>
          <w:lang w:val="es-ES_tradnl" w:eastAsia="ko-KR"/>
        </w:rPr>
        <w:footnoteReference w:id="13"/>
      </w:r>
      <w:r w:rsidR="00807DC1" w:rsidRPr="009C2D9A">
        <w:rPr>
          <w:lang w:val="es-ES_tradnl"/>
        </w:rPr>
        <w:t>, se dispone de información sobre la financiación básica de 81 de los 103 proyectos nacionales. De estos, 32 proyectos (40 %) son de tamaño pequeño con financiamiento de menos de 500.000</w:t>
      </w:r>
      <w:r w:rsidR="00B57DD8" w:rsidRPr="009C2D9A">
        <w:rPr>
          <w:lang w:val="es-ES_tradnl"/>
        </w:rPr>
        <w:t xml:space="preserve"> dólares </w:t>
      </w:r>
      <w:proofErr w:type="gramStart"/>
      <w:r w:rsidR="00B57DD8" w:rsidRPr="009C2D9A">
        <w:rPr>
          <w:lang w:val="es-ES_tradnl"/>
        </w:rPr>
        <w:t>EE.UU.</w:t>
      </w:r>
      <w:proofErr w:type="gramEnd"/>
      <w:r w:rsidR="00807DC1" w:rsidRPr="009C2D9A">
        <w:rPr>
          <w:lang w:val="es-ES_tradnl"/>
        </w:rPr>
        <w:t>; 24 proyectos (31 %) son de tamaño mediano, con financiamiento entre 500.000</w:t>
      </w:r>
      <w:r w:rsidR="00B57DD8" w:rsidRPr="009C2D9A">
        <w:rPr>
          <w:lang w:val="es-ES_tradnl"/>
        </w:rPr>
        <w:t xml:space="preserve"> dólares EE.UU. y 2.000.000 </w:t>
      </w:r>
      <w:r w:rsidR="00EA5A51" w:rsidRPr="009C2D9A">
        <w:rPr>
          <w:lang w:val="es-ES_tradnl"/>
        </w:rPr>
        <w:t xml:space="preserve">de </w:t>
      </w:r>
      <w:r w:rsidR="00B57DD8" w:rsidRPr="009C2D9A">
        <w:rPr>
          <w:lang w:val="es-ES_tradnl"/>
        </w:rPr>
        <w:t xml:space="preserve">dólares EE.UU., </w:t>
      </w:r>
      <w:r w:rsidR="00807DC1" w:rsidRPr="009C2D9A">
        <w:rPr>
          <w:lang w:val="es-ES_tradnl"/>
        </w:rPr>
        <w:t xml:space="preserve">y 25 proyectos (31 %) son de tamaño completo, con una financiación de más de </w:t>
      </w:r>
      <w:r w:rsidR="00B57DD8" w:rsidRPr="009C2D9A">
        <w:rPr>
          <w:lang w:val="es-ES_tradnl"/>
        </w:rPr>
        <w:t xml:space="preserve">2.000.000 </w:t>
      </w:r>
      <w:r w:rsidR="00EA5A51" w:rsidRPr="009C2D9A">
        <w:rPr>
          <w:lang w:val="es-ES_tradnl"/>
        </w:rPr>
        <w:t xml:space="preserve">de </w:t>
      </w:r>
      <w:r w:rsidR="00B57DD8" w:rsidRPr="009C2D9A">
        <w:rPr>
          <w:lang w:val="es-ES_tradnl"/>
        </w:rPr>
        <w:t>dólares EE.UU.</w:t>
      </w:r>
      <w:r w:rsidR="00807DC1" w:rsidRPr="009C2D9A">
        <w:rPr>
          <w:lang w:val="es-ES_tradnl"/>
        </w:rPr>
        <w:t xml:space="preserve"> (véase la figura 4).</w:t>
      </w:r>
    </w:p>
    <w:p w14:paraId="246DEAF7" w14:textId="4976158A" w:rsidR="00345251" w:rsidRPr="009C2D9A" w:rsidRDefault="002956A2" w:rsidP="005E234D">
      <w:pPr>
        <w:pStyle w:val="Para1"/>
        <w:numPr>
          <w:ilvl w:val="0"/>
          <w:numId w:val="0"/>
        </w:numPr>
        <w:suppressLineNumbers/>
        <w:tabs>
          <w:tab w:val="left" w:pos="720"/>
        </w:tabs>
        <w:suppressAutoHyphens/>
        <w:kinsoku w:val="0"/>
        <w:overflowPunct w:val="0"/>
        <w:autoSpaceDE w:val="0"/>
        <w:autoSpaceDN w:val="0"/>
        <w:ind w:left="720"/>
        <w:jc w:val="center"/>
        <w:rPr>
          <w:rFonts w:cs="Times New Roman"/>
          <w:snapToGrid/>
          <w:kern w:val="22"/>
          <w:szCs w:val="22"/>
          <w:lang w:val="es-ES_tradnl" w:eastAsia="ko-KR"/>
        </w:rPr>
      </w:pPr>
      <w:r>
        <w:rPr>
          <w:noProof/>
        </w:rPr>
        <w:drawing>
          <wp:inline distT="0" distB="0" distL="0" distR="0" wp14:anchorId="5225370F" wp14:editId="4EBE0B5D">
            <wp:extent cx="5943600" cy="2818765"/>
            <wp:effectExtent l="0" t="0" r="0" b="635"/>
            <wp:docPr id="19" name="Chart 19">
              <a:extLst xmlns:a="http://schemas.openxmlformats.org/drawingml/2006/main">
                <a:ext uri="{FF2B5EF4-FFF2-40B4-BE49-F238E27FC236}">
                  <a16:creationId xmlns:a16="http://schemas.microsoft.com/office/drawing/2014/main" id="{718C3861-9CB7-4D21-B798-E8B58C310C1D}"/>
                </a:ext>
                <a:ext uri="{147F2762-F138-4A5C-976F-8EAC2B608ADB}">
                  <a16:predDERef xmlns:a16="http://schemas.microsoft.com/office/drawing/2014/main" pred="{7D55B4E0-F49C-42E0-A184-EA7DBBEF00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77068FB" w14:textId="6F93B081" w:rsidR="00345251" w:rsidRPr="009C2D9A" w:rsidRDefault="009C112B" w:rsidP="008127F9">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val="es-ES_tradnl" w:eastAsia="ko-KR"/>
        </w:rPr>
      </w:pPr>
      <w:r w:rsidRPr="009C2D9A">
        <w:rPr>
          <w:rFonts w:cs="Times New Roman"/>
          <w:b/>
          <w:snapToGrid/>
          <w:kern w:val="22"/>
          <w:szCs w:val="22"/>
          <w:lang w:val="es-ES_tradnl" w:eastAsia="ko-KR"/>
        </w:rPr>
        <w:t>f)</w:t>
      </w:r>
      <w:r w:rsidRPr="009C2D9A">
        <w:rPr>
          <w:rFonts w:cs="Times New Roman"/>
          <w:b/>
          <w:snapToGrid/>
          <w:kern w:val="22"/>
          <w:szCs w:val="22"/>
          <w:lang w:val="es-ES_tradnl" w:eastAsia="ko-KR"/>
        </w:rPr>
        <w:tab/>
      </w:r>
      <w:r w:rsidR="00807DC1" w:rsidRPr="009C2D9A">
        <w:rPr>
          <w:rFonts w:cs="Times New Roman"/>
          <w:b/>
          <w:snapToGrid/>
          <w:kern w:val="22"/>
          <w:szCs w:val="22"/>
          <w:lang w:val="es-ES_tradnl" w:eastAsia="ko-KR"/>
        </w:rPr>
        <w:t>Cobertura temática por iniciativas existentes</w:t>
      </w:r>
    </w:p>
    <w:p w14:paraId="7C438E57" w14:textId="3AF3522E" w:rsidR="00522B65" w:rsidRDefault="00140887" w:rsidP="0073262A">
      <w:pPr>
        <w:pStyle w:val="Para1"/>
        <w:numPr>
          <w:ilvl w:val="0"/>
          <w:numId w:val="0"/>
        </w:numPr>
        <w:pBdr>
          <w:top w:val="nil"/>
          <w:left w:val="nil"/>
          <w:bottom w:val="nil"/>
          <w:right w:val="nil"/>
          <w:between w:val="nil"/>
          <w:bar w:val="nil"/>
        </w:pBdr>
        <w:spacing w:before="120"/>
        <w:rPr>
          <w:rFonts w:cs="Times New Roman"/>
          <w:snapToGrid/>
          <w:kern w:val="22"/>
          <w:szCs w:val="22"/>
          <w:lang w:val="es-ES_tradnl" w:eastAsia="ko-KR"/>
        </w:rPr>
      </w:pPr>
      <w:r w:rsidRPr="009C2D9A">
        <w:rPr>
          <w:rFonts w:cs="Times New Roman"/>
          <w:noProof/>
          <w:snapToGrid/>
          <w:color w:val="000000"/>
          <w:kern w:val="22"/>
          <w:szCs w:val="22"/>
          <w:lang w:val="es-ES_tradnl" w:eastAsia="zh-CN"/>
        </w:rPr>
        <w:t>3</w:t>
      </w:r>
      <w:r w:rsidR="00BA5C93" w:rsidRPr="009C2D9A">
        <w:rPr>
          <w:rFonts w:cs="Times New Roman"/>
          <w:noProof/>
          <w:snapToGrid/>
          <w:color w:val="000000"/>
          <w:kern w:val="22"/>
          <w:szCs w:val="22"/>
          <w:lang w:val="es-ES_tradnl" w:eastAsia="zh-CN"/>
        </w:rPr>
        <w:t>5</w:t>
      </w:r>
      <w:r w:rsidR="00F8670A" w:rsidRPr="009C2D9A">
        <w:rPr>
          <w:rFonts w:cs="Times New Roman"/>
          <w:noProof/>
          <w:snapToGrid/>
          <w:color w:val="000000"/>
          <w:kern w:val="22"/>
          <w:szCs w:val="22"/>
          <w:lang w:val="es-ES_tradnl" w:eastAsia="zh-CN"/>
        </w:rPr>
        <w:t>.</w:t>
      </w:r>
      <w:r w:rsidR="00F8670A" w:rsidRPr="009C2D9A">
        <w:rPr>
          <w:rFonts w:cs="Times New Roman"/>
          <w:noProof/>
          <w:snapToGrid/>
          <w:color w:val="000000"/>
          <w:kern w:val="22"/>
          <w:szCs w:val="22"/>
          <w:lang w:val="es-ES_tradnl" w:eastAsia="zh-CN"/>
        </w:rPr>
        <w:tab/>
      </w:r>
      <w:r w:rsidR="00807DC1" w:rsidRPr="009C2D9A">
        <w:rPr>
          <w:rFonts w:cs="Times New Roman"/>
          <w:snapToGrid/>
          <w:kern w:val="22"/>
          <w:szCs w:val="22"/>
          <w:lang w:val="es-ES_tradnl" w:eastAsia="ko-KR"/>
        </w:rPr>
        <w:t>En cuanto a las</w:t>
      </w:r>
      <w:r w:rsidR="005F00A6" w:rsidRPr="009C2D9A">
        <w:rPr>
          <w:rFonts w:cs="Times New Roman"/>
          <w:snapToGrid/>
          <w:kern w:val="22"/>
          <w:szCs w:val="22"/>
          <w:lang w:val="es-ES_tradnl" w:eastAsia="ko-KR"/>
        </w:rPr>
        <w:t xml:space="preserve"> </w:t>
      </w:r>
      <w:r w:rsidR="00256407">
        <w:rPr>
          <w:rFonts w:cs="Times New Roman"/>
          <w:snapToGrid/>
          <w:kern w:val="22"/>
          <w:szCs w:val="22"/>
          <w:lang w:val="es-ES_tradnl" w:eastAsia="ko-KR"/>
        </w:rPr>
        <w:t>áreas</w:t>
      </w:r>
      <w:r w:rsidR="005F00A6" w:rsidRPr="009C2D9A">
        <w:rPr>
          <w:rFonts w:cs="Times New Roman"/>
          <w:snapToGrid/>
          <w:kern w:val="22"/>
          <w:szCs w:val="22"/>
          <w:lang w:val="es-ES_tradnl" w:eastAsia="ko-KR"/>
        </w:rPr>
        <w:t xml:space="preserve"> </w:t>
      </w:r>
      <w:r w:rsidR="00807DC1" w:rsidRPr="009C2D9A">
        <w:rPr>
          <w:rFonts w:cs="Times New Roman"/>
          <w:snapToGrid/>
          <w:kern w:val="22"/>
          <w:szCs w:val="22"/>
          <w:lang w:val="es-ES_tradnl" w:eastAsia="ko-KR"/>
        </w:rPr>
        <w:t>temáticas clave</w:t>
      </w:r>
      <w:r w:rsidR="00807DC1" w:rsidRPr="009C2D9A">
        <w:rPr>
          <w:rStyle w:val="FootnoteReference"/>
          <w:rFonts w:cs="Times New Roman"/>
          <w:snapToGrid/>
          <w:kern w:val="22"/>
          <w:sz w:val="22"/>
          <w:szCs w:val="22"/>
          <w:lang w:val="es-ES_tradnl" w:eastAsia="ko-KR"/>
        </w:rPr>
        <w:footnoteReference w:id="14"/>
      </w:r>
      <w:r w:rsidR="00807DC1" w:rsidRPr="009C2D9A">
        <w:rPr>
          <w:rFonts w:cs="Times New Roman"/>
          <w:snapToGrid/>
          <w:kern w:val="22"/>
          <w:szCs w:val="22"/>
          <w:lang w:val="es-ES_tradnl" w:eastAsia="ko-KR"/>
        </w:rPr>
        <w:t xml:space="preserve"> cubiertas por las iniciativas de desarrollo de capacidades, hay información disponible para 101 de 103 proyectos (ver figura 5).</w:t>
      </w:r>
    </w:p>
    <w:p w14:paraId="23A48268" w14:textId="561DB0BC" w:rsidR="001649BD" w:rsidRDefault="00F958E6" w:rsidP="00A37998">
      <w:pPr>
        <w:pStyle w:val="Para1"/>
        <w:numPr>
          <w:ilvl w:val="0"/>
          <w:numId w:val="0"/>
        </w:numPr>
        <w:pBdr>
          <w:top w:val="nil"/>
          <w:left w:val="nil"/>
          <w:bottom w:val="nil"/>
          <w:right w:val="nil"/>
          <w:between w:val="nil"/>
          <w:bar w:val="nil"/>
        </w:pBdr>
        <w:spacing w:before="120"/>
        <w:jc w:val="center"/>
        <w:rPr>
          <w:rFonts w:cs="Times New Roman"/>
          <w:snapToGrid/>
          <w:kern w:val="22"/>
          <w:szCs w:val="22"/>
          <w:lang w:val="es-ES_tradnl" w:eastAsia="ko-KR"/>
        </w:rPr>
      </w:pPr>
      <w:r>
        <w:rPr>
          <w:noProof/>
        </w:rPr>
        <w:lastRenderedPageBreak/>
        <w:drawing>
          <wp:inline distT="0" distB="0" distL="0" distR="0" wp14:anchorId="4C11F516" wp14:editId="7D35C0B1">
            <wp:extent cx="5712460" cy="3630440"/>
            <wp:effectExtent l="0" t="0" r="2540" b="8255"/>
            <wp:docPr id="2" name="Chart 2">
              <a:extLst xmlns:a="http://schemas.openxmlformats.org/drawingml/2006/main">
                <a:ext uri="{FF2B5EF4-FFF2-40B4-BE49-F238E27FC236}">
                  <a16:creationId xmlns:a16="http://schemas.microsoft.com/office/drawing/2014/main" id="{DE1CFAFE-FD21-43D5-A0F4-DAA429D835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5DEC7D2" w14:textId="0559E01E" w:rsidR="00DF7B6E" w:rsidRPr="009C2D9A" w:rsidRDefault="00140887" w:rsidP="005F00A6">
      <w:pPr>
        <w:pStyle w:val="Para1"/>
        <w:numPr>
          <w:ilvl w:val="0"/>
          <w:numId w:val="0"/>
        </w:numPr>
        <w:pBdr>
          <w:top w:val="nil"/>
          <w:left w:val="nil"/>
          <w:bottom w:val="nil"/>
          <w:right w:val="nil"/>
          <w:between w:val="nil"/>
          <w:bar w:val="nil"/>
        </w:pBdr>
        <w:spacing w:before="120"/>
        <w:rPr>
          <w:rFonts w:cs="Times New Roman"/>
          <w:snapToGrid/>
          <w:kern w:val="22"/>
          <w:szCs w:val="22"/>
          <w:lang w:val="es-ES_tradnl" w:eastAsia="ko-KR"/>
        </w:rPr>
      </w:pPr>
      <w:r w:rsidRPr="009C2D9A">
        <w:rPr>
          <w:rFonts w:cs="Times New Roman"/>
          <w:snapToGrid/>
          <w:color w:val="000000"/>
          <w:kern w:val="22"/>
          <w:szCs w:val="22"/>
          <w:lang w:val="es-ES_tradnl" w:eastAsia="ko-KR"/>
        </w:rPr>
        <w:t>3</w:t>
      </w:r>
      <w:r w:rsidR="00BA5C93" w:rsidRPr="009C2D9A">
        <w:rPr>
          <w:rFonts w:cs="Times New Roman"/>
          <w:snapToGrid/>
          <w:color w:val="000000"/>
          <w:kern w:val="22"/>
          <w:szCs w:val="22"/>
          <w:lang w:val="es-ES_tradnl" w:eastAsia="ko-KR"/>
        </w:rPr>
        <w:t>6</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r w:rsidR="00DF7B6E" w:rsidRPr="009C2D9A">
        <w:rPr>
          <w:lang w:val="es-ES_tradnl"/>
        </w:rPr>
        <w:t xml:space="preserve">La mayoría de los proyectos (88 </w:t>
      </w:r>
      <w:r w:rsidR="00E86CD6" w:rsidRPr="009C2D9A">
        <w:rPr>
          <w:lang w:val="es-ES_tradnl"/>
        </w:rPr>
        <w:t>%</w:t>
      </w:r>
      <w:r w:rsidR="00DF7B6E" w:rsidRPr="009C2D9A">
        <w:rPr>
          <w:lang w:val="es-ES_tradnl"/>
        </w:rPr>
        <w:t>) se enfocan en</w:t>
      </w:r>
      <w:r w:rsidR="005F00A6" w:rsidRPr="009C2D9A">
        <w:rPr>
          <w:lang w:val="es-ES_tradnl"/>
        </w:rPr>
        <w:t xml:space="preserve"> </w:t>
      </w:r>
      <w:r w:rsidR="00256407">
        <w:rPr>
          <w:lang w:val="es-ES_tradnl"/>
        </w:rPr>
        <w:t>el área</w:t>
      </w:r>
      <w:r w:rsidR="005F00A6" w:rsidRPr="009C2D9A">
        <w:rPr>
          <w:lang w:val="es-ES_tradnl"/>
        </w:rPr>
        <w:t xml:space="preserve"> </w:t>
      </w:r>
      <w:r w:rsidR="00DF7B6E" w:rsidRPr="009C2D9A">
        <w:rPr>
          <w:lang w:val="es-ES_tradnl"/>
        </w:rPr>
        <w:t xml:space="preserve">clave 2 (capacidad para desarrollar, </w:t>
      </w:r>
      <w:r w:rsidR="005F00A6" w:rsidRPr="009C2D9A">
        <w:rPr>
          <w:lang w:val="es-ES_tradnl"/>
        </w:rPr>
        <w:t xml:space="preserve">aplicar </w:t>
      </w:r>
      <w:r w:rsidR="00DF7B6E" w:rsidRPr="009C2D9A">
        <w:rPr>
          <w:lang w:val="es-ES_tradnl"/>
        </w:rPr>
        <w:t xml:space="preserve">y hacer cumplir las medidas </w:t>
      </w:r>
      <w:r w:rsidR="005F00A6" w:rsidRPr="009C2D9A">
        <w:rPr>
          <w:lang w:val="es-ES_tradnl"/>
        </w:rPr>
        <w:t>en materia de APB</w:t>
      </w:r>
      <w:r w:rsidR="00DF7B6E" w:rsidRPr="009C2D9A">
        <w:rPr>
          <w:lang w:val="es-ES_tradnl"/>
        </w:rPr>
        <w:t xml:space="preserve">), seguida </w:t>
      </w:r>
      <w:r w:rsidR="005F00A6" w:rsidRPr="009C2D9A">
        <w:rPr>
          <w:lang w:val="es-ES_tradnl"/>
        </w:rPr>
        <w:t xml:space="preserve">de </w:t>
      </w:r>
      <w:r w:rsidR="00DF7B6E" w:rsidRPr="009C2D9A">
        <w:rPr>
          <w:lang w:val="es-ES_tradnl"/>
        </w:rPr>
        <w:t xml:space="preserve">78 </w:t>
      </w:r>
      <w:r w:rsidR="00E86CD6" w:rsidRPr="009C2D9A">
        <w:rPr>
          <w:lang w:val="es-ES_tradnl"/>
        </w:rPr>
        <w:t>%</w:t>
      </w:r>
      <w:r w:rsidR="00DF7B6E" w:rsidRPr="009C2D9A">
        <w:rPr>
          <w:lang w:val="es-ES_tradnl"/>
        </w:rPr>
        <w:t xml:space="preserve"> </w:t>
      </w:r>
      <w:r w:rsidR="00256407">
        <w:rPr>
          <w:lang w:val="es-ES_tradnl"/>
        </w:rPr>
        <w:t>del área</w:t>
      </w:r>
      <w:r w:rsidR="005F00A6" w:rsidRPr="009C2D9A">
        <w:rPr>
          <w:lang w:val="es-ES_tradnl"/>
        </w:rPr>
        <w:t xml:space="preserve"> </w:t>
      </w:r>
      <w:r w:rsidR="00DF7B6E" w:rsidRPr="009C2D9A">
        <w:rPr>
          <w:lang w:val="es-ES_tradnl"/>
        </w:rPr>
        <w:t xml:space="preserve">clave 4 (capacidad de los pueblos indígenas y las comunidades locales y las partes interesadas </w:t>
      </w:r>
      <w:r w:rsidR="005F00A6" w:rsidRPr="009C2D9A">
        <w:rPr>
          <w:lang w:val="es-ES_tradnl"/>
        </w:rPr>
        <w:t xml:space="preserve">pertinentes </w:t>
      </w:r>
      <w:r w:rsidR="00DF7B6E" w:rsidRPr="009C2D9A">
        <w:rPr>
          <w:lang w:val="es-ES_tradnl"/>
        </w:rPr>
        <w:t xml:space="preserve">para </w:t>
      </w:r>
      <w:r w:rsidR="005F00A6" w:rsidRPr="009C2D9A">
        <w:rPr>
          <w:lang w:val="es-ES_tradnl"/>
        </w:rPr>
        <w:t xml:space="preserve">aplicar </w:t>
      </w:r>
      <w:r w:rsidR="00DF7B6E" w:rsidRPr="009C2D9A">
        <w:rPr>
          <w:lang w:val="es-ES_tradnl"/>
        </w:rPr>
        <w:t xml:space="preserve">el Protocolo) y 71 </w:t>
      </w:r>
      <w:r w:rsidR="00E86CD6" w:rsidRPr="009C2D9A">
        <w:rPr>
          <w:lang w:val="es-ES_tradnl"/>
        </w:rPr>
        <w:t>%</w:t>
      </w:r>
      <w:r w:rsidR="00DF7B6E" w:rsidRPr="009C2D9A">
        <w:rPr>
          <w:lang w:val="es-ES_tradnl"/>
        </w:rPr>
        <w:t xml:space="preserve"> en </w:t>
      </w:r>
      <w:r w:rsidR="00256407">
        <w:rPr>
          <w:lang w:val="es-ES_tradnl"/>
        </w:rPr>
        <w:t>el área</w:t>
      </w:r>
      <w:r w:rsidR="005F00A6" w:rsidRPr="009C2D9A">
        <w:rPr>
          <w:lang w:val="es-ES_tradnl"/>
        </w:rPr>
        <w:t xml:space="preserve"> </w:t>
      </w:r>
      <w:r w:rsidR="00DF7B6E" w:rsidRPr="009C2D9A">
        <w:rPr>
          <w:lang w:val="es-ES_tradnl"/>
        </w:rPr>
        <w:t xml:space="preserve">clave 1 (capacidad para </w:t>
      </w:r>
      <w:r w:rsidR="005F00A6" w:rsidRPr="009C2D9A">
        <w:rPr>
          <w:lang w:val="es-ES_tradnl"/>
        </w:rPr>
        <w:t xml:space="preserve">aplicar </w:t>
      </w:r>
      <w:r w:rsidR="00DF7B6E" w:rsidRPr="009C2D9A">
        <w:rPr>
          <w:lang w:val="es-ES_tradnl"/>
        </w:rPr>
        <w:t xml:space="preserve">y cumplir con el Protocolo). Aproximadamente el 56 </w:t>
      </w:r>
      <w:r w:rsidR="00E86CD6" w:rsidRPr="009C2D9A">
        <w:rPr>
          <w:lang w:val="es-ES_tradnl"/>
        </w:rPr>
        <w:t>%</w:t>
      </w:r>
      <w:r w:rsidR="00DF7B6E" w:rsidRPr="009C2D9A">
        <w:rPr>
          <w:lang w:val="es-ES_tradnl"/>
        </w:rPr>
        <w:t xml:space="preserve"> de los proyectos se han centrado en </w:t>
      </w:r>
      <w:r w:rsidR="00256407">
        <w:rPr>
          <w:lang w:val="es-ES_tradnl"/>
        </w:rPr>
        <w:t>el área</w:t>
      </w:r>
      <w:r w:rsidR="005F00A6" w:rsidRPr="009C2D9A">
        <w:rPr>
          <w:lang w:val="es-ES_tradnl"/>
        </w:rPr>
        <w:t xml:space="preserve"> </w:t>
      </w:r>
      <w:r w:rsidR="00DF7B6E" w:rsidRPr="009C2D9A">
        <w:rPr>
          <w:lang w:val="es-ES_tradnl"/>
        </w:rPr>
        <w:t xml:space="preserve">clave 3 (capacidad para negociar </w:t>
      </w:r>
      <w:r w:rsidR="003B2B44">
        <w:rPr>
          <w:lang w:val="es-ES_tradnl"/>
        </w:rPr>
        <w:t xml:space="preserve">condiciones </w:t>
      </w:r>
      <w:r w:rsidR="00DF7B6E" w:rsidRPr="009C2D9A">
        <w:rPr>
          <w:lang w:val="es-ES_tradnl"/>
        </w:rPr>
        <w:t>mutuamente acordad</w:t>
      </w:r>
      <w:r w:rsidR="003B2B44">
        <w:rPr>
          <w:lang w:val="es-ES_tradnl"/>
        </w:rPr>
        <w:t>a</w:t>
      </w:r>
      <w:r w:rsidR="00DF7B6E" w:rsidRPr="009C2D9A">
        <w:rPr>
          <w:lang w:val="es-ES_tradnl"/>
        </w:rPr>
        <w:t xml:space="preserve">s) y el 59 </w:t>
      </w:r>
      <w:r w:rsidR="00E86CD6" w:rsidRPr="009C2D9A">
        <w:rPr>
          <w:lang w:val="es-ES_tradnl"/>
        </w:rPr>
        <w:t>%</w:t>
      </w:r>
      <w:r w:rsidR="00DF7B6E" w:rsidRPr="009C2D9A">
        <w:rPr>
          <w:lang w:val="es-ES_tradnl"/>
        </w:rPr>
        <w:t xml:space="preserve"> en</w:t>
      </w:r>
      <w:r w:rsidR="005F00A6" w:rsidRPr="009C2D9A">
        <w:rPr>
          <w:lang w:val="es-ES_tradnl"/>
        </w:rPr>
        <w:t xml:space="preserve"> </w:t>
      </w:r>
      <w:r w:rsidR="00256407">
        <w:rPr>
          <w:lang w:val="es-ES_tradnl"/>
        </w:rPr>
        <w:t>el área</w:t>
      </w:r>
      <w:r w:rsidR="005F00A6" w:rsidRPr="009C2D9A">
        <w:rPr>
          <w:lang w:val="es-ES_tradnl"/>
        </w:rPr>
        <w:t xml:space="preserve"> </w:t>
      </w:r>
      <w:r w:rsidR="00DF7B6E" w:rsidRPr="009C2D9A">
        <w:rPr>
          <w:lang w:val="es-ES_tradnl"/>
        </w:rPr>
        <w:t xml:space="preserve">clave 5 (capacidad para desarrollar capacidades de investigación endógenas). El enfoque en </w:t>
      </w:r>
      <w:r w:rsidR="00256407">
        <w:rPr>
          <w:lang w:val="es-ES_tradnl"/>
        </w:rPr>
        <w:t>las áreas</w:t>
      </w:r>
      <w:r w:rsidR="005F00A6" w:rsidRPr="009C2D9A">
        <w:rPr>
          <w:lang w:val="es-ES_tradnl"/>
        </w:rPr>
        <w:t xml:space="preserve"> </w:t>
      </w:r>
      <w:r w:rsidR="00DF7B6E" w:rsidRPr="009C2D9A">
        <w:rPr>
          <w:lang w:val="es-ES_tradnl"/>
        </w:rPr>
        <w:t xml:space="preserve">clave 1, 2 y 3 ha estado en consonancia con los esfuerzos para lograr la Meta 16 de Aichi para la Diversidad Biológica, que pedía que el Protocolo de Nagoya esté en vigor y operativo, de conformidad con la legislación nacional para 2015. En el futuro, se debe hacer mayor énfasis en colocarse en </w:t>
      </w:r>
      <w:r w:rsidR="00256407">
        <w:rPr>
          <w:lang w:val="es-ES_tradnl"/>
        </w:rPr>
        <w:t>las áreas</w:t>
      </w:r>
      <w:r w:rsidR="00DF7B6E" w:rsidRPr="009C2D9A">
        <w:rPr>
          <w:lang w:val="es-ES_tradnl"/>
        </w:rPr>
        <w:t xml:space="preserve"> clave 3 y 5 para apoyar a los países en sus esfuerzos por fortalecer sus capacidades para negociar </w:t>
      </w:r>
      <w:r w:rsidR="003B2B44">
        <w:rPr>
          <w:lang w:val="es-ES_tradnl"/>
        </w:rPr>
        <w:t xml:space="preserve">condiciones </w:t>
      </w:r>
      <w:r w:rsidR="00DF7B6E" w:rsidRPr="009C2D9A">
        <w:rPr>
          <w:lang w:val="es-ES_tradnl"/>
        </w:rPr>
        <w:t>mutuamente acordad</w:t>
      </w:r>
      <w:r w:rsidR="003B2B44">
        <w:rPr>
          <w:lang w:val="es-ES_tradnl"/>
        </w:rPr>
        <w:t xml:space="preserve">as </w:t>
      </w:r>
      <w:r w:rsidR="00DF7B6E" w:rsidRPr="009C2D9A">
        <w:rPr>
          <w:lang w:val="es-ES_tradnl"/>
        </w:rPr>
        <w:t xml:space="preserve">y desarrollar capacidades de investigación endógenas. </w:t>
      </w:r>
    </w:p>
    <w:p w14:paraId="7FFF1060" w14:textId="2F077574" w:rsidR="00345251" w:rsidRPr="009C2D9A" w:rsidRDefault="007802F5" w:rsidP="008127F9">
      <w:pPr>
        <w:pStyle w:val="Para1"/>
        <w:keepNext/>
        <w:numPr>
          <w:ilvl w:val="0"/>
          <w:numId w:val="0"/>
        </w:numPr>
        <w:suppressLineNumbers/>
        <w:suppressAutoHyphens/>
        <w:kinsoku w:val="0"/>
        <w:overflowPunct w:val="0"/>
        <w:autoSpaceDE w:val="0"/>
        <w:autoSpaceDN w:val="0"/>
        <w:spacing w:before="120" w:after="0"/>
        <w:rPr>
          <w:rFonts w:cs="Times New Roman"/>
          <w:b/>
          <w:bCs/>
          <w:snapToGrid/>
          <w:kern w:val="22"/>
          <w:lang w:val="es-ES_tradnl" w:eastAsia="ko-KR"/>
        </w:rPr>
      </w:pPr>
      <w:r w:rsidRPr="009C2D9A">
        <w:rPr>
          <w:rFonts w:cs="Times New Roman"/>
          <w:b/>
          <w:bCs/>
          <w:snapToGrid/>
          <w:kern w:val="22"/>
          <w:lang w:val="es-ES_tradnl" w:eastAsia="ko-KR"/>
        </w:rPr>
        <w:t xml:space="preserve">g) </w:t>
      </w:r>
      <w:r w:rsidRPr="009C2D9A">
        <w:rPr>
          <w:rFonts w:cs="Times New Roman"/>
          <w:b/>
          <w:snapToGrid/>
          <w:kern w:val="22"/>
          <w:szCs w:val="22"/>
          <w:lang w:val="es-ES_tradnl" w:eastAsia="ko-KR"/>
        </w:rPr>
        <w:tab/>
      </w:r>
      <w:r w:rsidR="00DF7B6E" w:rsidRPr="009C2D9A">
        <w:rPr>
          <w:rFonts w:cs="Times New Roman"/>
          <w:b/>
          <w:bCs/>
          <w:snapToGrid/>
          <w:kern w:val="22"/>
          <w:lang w:val="es-ES_tradnl" w:eastAsia="ko-KR"/>
        </w:rPr>
        <w:t xml:space="preserve">Organizaciones que apoyan iniciativas de </w:t>
      </w:r>
      <w:r w:rsidR="00EA5A51" w:rsidRPr="009C2D9A">
        <w:rPr>
          <w:rFonts w:cs="Times New Roman"/>
          <w:b/>
          <w:bCs/>
          <w:snapToGrid/>
          <w:kern w:val="22"/>
          <w:lang w:val="es-ES_tradnl" w:eastAsia="ko-KR"/>
        </w:rPr>
        <w:t xml:space="preserve">creación </w:t>
      </w:r>
      <w:r w:rsidR="00DF7B6E" w:rsidRPr="009C2D9A">
        <w:rPr>
          <w:rFonts w:cs="Times New Roman"/>
          <w:b/>
          <w:bCs/>
          <w:snapToGrid/>
          <w:kern w:val="22"/>
          <w:lang w:val="es-ES_tradnl" w:eastAsia="ko-KR"/>
        </w:rPr>
        <w:t>de capacidades</w:t>
      </w:r>
      <w:r w:rsidR="00EA5A51" w:rsidRPr="009C2D9A">
        <w:rPr>
          <w:rFonts w:cs="Times New Roman"/>
          <w:b/>
          <w:bCs/>
          <w:snapToGrid/>
          <w:kern w:val="22"/>
          <w:lang w:val="es-ES_tradnl" w:eastAsia="ko-KR"/>
        </w:rPr>
        <w:t xml:space="preserve"> para APB</w:t>
      </w:r>
    </w:p>
    <w:p w14:paraId="0A9EFCA0" w14:textId="75EEEBEB" w:rsidR="000941ED" w:rsidRPr="009C2D9A" w:rsidRDefault="00140887" w:rsidP="000941ED">
      <w:pPr>
        <w:pStyle w:val="Para1"/>
        <w:numPr>
          <w:ilvl w:val="0"/>
          <w:numId w:val="0"/>
        </w:numPr>
        <w:pBdr>
          <w:top w:val="nil"/>
          <w:left w:val="nil"/>
          <w:bottom w:val="nil"/>
          <w:right w:val="nil"/>
          <w:between w:val="nil"/>
          <w:bar w:val="nil"/>
        </w:pBdr>
        <w:spacing w:before="120"/>
        <w:rPr>
          <w:rFonts w:cs="Times New Roman"/>
          <w:snapToGrid/>
          <w:kern w:val="22"/>
          <w:szCs w:val="22"/>
          <w:lang w:val="es-ES_tradnl" w:eastAsia="ko-KR"/>
        </w:rPr>
      </w:pPr>
      <w:r w:rsidRPr="009C2D9A">
        <w:rPr>
          <w:rFonts w:cs="Times New Roman"/>
          <w:snapToGrid/>
          <w:color w:val="000000"/>
          <w:kern w:val="22"/>
          <w:szCs w:val="22"/>
          <w:lang w:val="es-ES_tradnl" w:eastAsia="ko-KR"/>
        </w:rPr>
        <w:t>3</w:t>
      </w:r>
      <w:r w:rsidR="00BA5C93" w:rsidRPr="009C2D9A">
        <w:rPr>
          <w:rFonts w:cs="Times New Roman"/>
          <w:snapToGrid/>
          <w:color w:val="000000"/>
          <w:kern w:val="22"/>
          <w:szCs w:val="22"/>
          <w:lang w:val="es-ES_tradnl" w:eastAsia="ko-KR"/>
        </w:rPr>
        <w:t>7</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r w:rsidR="000941ED" w:rsidRPr="009C2D9A">
        <w:rPr>
          <w:lang w:val="es-ES_tradnl"/>
        </w:rPr>
        <w:t xml:space="preserve">De las 102 iniciativas de desarrollo de capacidades </w:t>
      </w:r>
      <w:r w:rsidR="00D76D5C" w:rsidRPr="009C2D9A">
        <w:rPr>
          <w:lang w:val="es-ES_tradnl"/>
        </w:rPr>
        <w:t xml:space="preserve">realizadas </w:t>
      </w:r>
      <w:r w:rsidR="000941ED" w:rsidRPr="009C2D9A">
        <w:rPr>
          <w:lang w:val="es-ES_tradnl"/>
        </w:rPr>
        <w:t xml:space="preserve">o ejecutadas por organizaciones internacionales, 50 (2 </w:t>
      </w:r>
      <w:r w:rsidR="00D76D5C" w:rsidRPr="009C2D9A">
        <w:rPr>
          <w:lang w:val="es-ES_tradnl"/>
        </w:rPr>
        <w:t>mundiales</w:t>
      </w:r>
      <w:r w:rsidR="000941ED" w:rsidRPr="009C2D9A">
        <w:rPr>
          <w:lang w:val="es-ES_tradnl"/>
        </w:rPr>
        <w:t>, 20 de África, 18 de Asia</w:t>
      </w:r>
      <w:r w:rsidR="00D76D5C" w:rsidRPr="009C2D9A">
        <w:rPr>
          <w:lang w:val="es-ES_tradnl"/>
        </w:rPr>
        <w:t xml:space="preserve"> y </w:t>
      </w:r>
      <w:r w:rsidR="000941ED" w:rsidRPr="009C2D9A">
        <w:rPr>
          <w:lang w:val="es-ES_tradnl"/>
        </w:rPr>
        <w:t xml:space="preserve">Pacífico y 10 del GRULAC) (50 </w:t>
      </w:r>
      <w:r w:rsidR="00E86CD6" w:rsidRPr="009C2D9A">
        <w:rPr>
          <w:lang w:val="es-ES_tradnl"/>
        </w:rPr>
        <w:t>%</w:t>
      </w:r>
      <w:r w:rsidR="000941ED" w:rsidRPr="009C2D9A">
        <w:rPr>
          <w:lang w:val="es-ES_tradnl"/>
        </w:rPr>
        <w:t xml:space="preserve">) tienen o están siendo financiadas por el Fondo para el Medio Ambiente Mundial (FMAM). Con base en la información recopilada por la Secretaría para el presente informe, el FMAM ha invertido aproximadamente 100 millones </w:t>
      </w:r>
      <w:r w:rsidR="00FB3E31">
        <w:rPr>
          <w:lang w:val="es-ES_tradnl"/>
        </w:rPr>
        <w:t xml:space="preserve">de dólares </w:t>
      </w:r>
      <w:proofErr w:type="gramStart"/>
      <w:r w:rsidR="009B4177" w:rsidRPr="009C2D9A">
        <w:rPr>
          <w:lang w:val="es-ES_tradnl"/>
        </w:rPr>
        <w:t>EE.UU.</w:t>
      </w:r>
      <w:proofErr w:type="gramEnd"/>
      <w:r w:rsidR="009B4177" w:rsidRPr="009C2D9A">
        <w:rPr>
          <w:lang w:val="es-ES_tradnl"/>
        </w:rPr>
        <w:t xml:space="preserve"> </w:t>
      </w:r>
      <w:r w:rsidR="000941ED" w:rsidRPr="009C2D9A">
        <w:rPr>
          <w:lang w:val="es-ES_tradnl"/>
        </w:rPr>
        <w:t xml:space="preserve">en financiamiento básico para iniciativas de creación de capacidad sobre ABS y ha movilizado más de 300 millones </w:t>
      </w:r>
      <w:r w:rsidR="00EA5A51" w:rsidRPr="009C2D9A">
        <w:rPr>
          <w:lang w:val="es-ES_tradnl"/>
        </w:rPr>
        <w:t xml:space="preserve">de dólares EE.UU. </w:t>
      </w:r>
      <w:r w:rsidR="000941ED" w:rsidRPr="009C2D9A">
        <w:rPr>
          <w:lang w:val="es-ES_tradnl"/>
        </w:rPr>
        <w:t>en cofinanciamiento en más de 100 países</w:t>
      </w:r>
      <w:r w:rsidR="000941ED" w:rsidRPr="009C2D9A">
        <w:rPr>
          <w:rStyle w:val="FootnoteReference"/>
          <w:rFonts w:cs="Times New Roman"/>
          <w:snapToGrid/>
          <w:kern w:val="22"/>
          <w:sz w:val="22"/>
          <w:szCs w:val="22"/>
          <w:lang w:val="es-ES_tradnl" w:eastAsia="ko-KR"/>
        </w:rPr>
        <w:footnoteReference w:id="15"/>
      </w:r>
      <w:r w:rsidR="000941ED" w:rsidRPr="009C2D9A">
        <w:rPr>
          <w:lang w:val="es-ES_tradnl"/>
        </w:rPr>
        <w:t>.</w:t>
      </w:r>
    </w:p>
    <w:p w14:paraId="4D02846A" w14:textId="54C5530D" w:rsidR="000941ED" w:rsidRPr="009C2D9A" w:rsidRDefault="00140887" w:rsidP="00EA5A51">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szCs w:val="22"/>
          <w:lang w:val="es-ES_tradnl" w:eastAsia="ko-KR"/>
        </w:rPr>
        <w:t>3</w:t>
      </w:r>
      <w:r w:rsidR="00BA5C93" w:rsidRPr="009C2D9A">
        <w:rPr>
          <w:rFonts w:cs="Times New Roman"/>
          <w:snapToGrid/>
          <w:color w:val="000000"/>
          <w:kern w:val="22"/>
          <w:szCs w:val="22"/>
          <w:lang w:val="es-ES_tradnl" w:eastAsia="ko-KR"/>
        </w:rPr>
        <w:t>8</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r w:rsidR="000941ED" w:rsidRPr="009C2D9A">
        <w:rPr>
          <w:lang w:val="es-ES_tradnl"/>
        </w:rPr>
        <w:t xml:space="preserve">Como se puede observar en la tabla 1 a continuación, el Programa de las Naciones Unidas para el Desarrollo (PNUD) llevó a cabo el mayor número de iniciativas de desarrollo de capacidades en ABS, seguido por el Programa de las Naciones Unidas para el Medio Ambiente (PNUMA). La </w:t>
      </w:r>
      <w:r w:rsidR="00C20E3D" w:rsidRPr="009C2D9A">
        <w:rPr>
          <w:lang w:val="es-ES_tradnl"/>
        </w:rPr>
        <w:t xml:space="preserve">Iniciativa de </w:t>
      </w:r>
      <w:r w:rsidR="00C20E3D" w:rsidRPr="009C2D9A">
        <w:rPr>
          <w:lang w:val="es-ES_tradnl"/>
        </w:rPr>
        <w:lastRenderedPageBreak/>
        <w:t>Desarrollo de Capacidades para el APB</w:t>
      </w:r>
      <w:r w:rsidR="000941ED" w:rsidRPr="009C2D9A">
        <w:rPr>
          <w:rStyle w:val="FootnoteReference"/>
          <w:rFonts w:cs="Times New Roman"/>
          <w:snapToGrid/>
          <w:kern w:val="22"/>
          <w:szCs w:val="22"/>
          <w:lang w:val="es-ES_tradnl" w:eastAsia="ko-KR"/>
        </w:rPr>
        <w:footnoteReference w:id="16"/>
      </w:r>
      <w:r w:rsidR="000941ED" w:rsidRPr="009C2D9A">
        <w:rPr>
          <w:rFonts w:cs="Times New Roman"/>
          <w:snapToGrid/>
          <w:kern w:val="22"/>
          <w:szCs w:val="22"/>
          <w:lang w:val="es-ES_tradnl" w:eastAsia="ko-KR"/>
        </w:rPr>
        <w:t xml:space="preserve"> </w:t>
      </w:r>
      <w:r w:rsidR="000941ED" w:rsidRPr="009C2D9A">
        <w:rPr>
          <w:lang w:val="es-ES_tradnl"/>
        </w:rPr>
        <w:t>brinda apoyo para actividades de desarrollo de capacidades a nivel nacional en 15 países y colabora con la Agencia Alemana para la Cooperación Internacional (GIZ) en el apoyo a siete proyectos adicionales.</w:t>
      </w:r>
    </w:p>
    <w:p w14:paraId="61EF2D04" w14:textId="055E6987" w:rsidR="00AC3CFB" w:rsidRPr="009C2D9A" w:rsidRDefault="000941ED" w:rsidP="00AC3CFB">
      <w:pPr>
        <w:keepNext/>
        <w:suppressLineNumbers/>
        <w:suppressAutoHyphens/>
        <w:kinsoku w:val="0"/>
        <w:overflowPunct w:val="0"/>
        <w:autoSpaceDE w:val="0"/>
        <w:autoSpaceDN w:val="0"/>
        <w:spacing w:before="120" w:after="120"/>
        <w:ind w:left="990" w:hanging="990"/>
        <w:jc w:val="left"/>
        <w:rPr>
          <w:rFonts w:cs="Times New Roman"/>
          <w:b/>
          <w:kern w:val="22"/>
          <w:szCs w:val="22"/>
          <w:lang w:val="es-ES_tradnl"/>
        </w:rPr>
      </w:pPr>
      <w:r w:rsidRPr="009C2D9A">
        <w:rPr>
          <w:rFonts w:cs="Times New Roman"/>
          <w:b/>
          <w:kern w:val="22"/>
          <w:szCs w:val="22"/>
          <w:lang w:val="es-ES_tradnl"/>
        </w:rPr>
        <w:t>Cuadro</w:t>
      </w:r>
      <w:r w:rsidR="00AC3CFB" w:rsidRPr="009C2D9A">
        <w:rPr>
          <w:rFonts w:cs="Times New Roman"/>
          <w:b/>
          <w:kern w:val="22"/>
          <w:szCs w:val="22"/>
          <w:lang w:val="es-ES_tradnl"/>
        </w:rPr>
        <w:t xml:space="preserve"> 1.</w:t>
      </w:r>
      <w:r w:rsidR="00AC3CFB" w:rsidRPr="009C2D9A">
        <w:rPr>
          <w:rFonts w:cs="Times New Roman"/>
          <w:b/>
          <w:kern w:val="22"/>
          <w:szCs w:val="22"/>
          <w:lang w:val="es-ES_tradnl"/>
        </w:rPr>
        <w:tab/>
      </w:r>
      <w:r w:rsidRPr="009C2D9A">
        <w:rPr>
          <w:rFonts w:cs="Times New Roman"/>
          <w:b/>
          <w:kern w:val="22"/>
          <w:szCs w:val="22"/>
          <w:lang w:val="es-ES_tradnl"/>
        </w:rPr>
        <w:t>Número y proporción de proyectos implementados/ejecutados por organizaciones internacionales</w:t>
      </w:r>
    </w:p>
    <w:tbl>
      <w:tblPr>
        <w:tblW w:w="9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993"/>
        <w:gridCol w:w="992"/>
        <w:gridCol w:w="1134"/>
        <w:gridCol w:w="709"/>
        <w:gridCol w:w="992"/>
        <w:gridCol w:w="992"/>
        <w:gridCol w:w="1191"/>
      </w:tblGrid>
      <w:tr w:rsidR="00AC3CFB" w:rsidRPr="009C2D9A" w14:paraId="4651DFD7" w14:textId="77777777" w:rsidTr="009B3E78">
        <w:trPr>
          <w:jc w:val="center"/>
        </w:trPr>
        <w:tc>
          <w:tcPr>
            <w:tcW w:w="2830" w:type="dxa"/>
            <w:shd w:val="clear" w:color="auto" w:fill="auto"/>
            <w:noWrap/>
            <w:hideMark/>
          </w:tcPr>
          <w:p w14:paraId="2F9EE7DE" w14:textId="7C3B9F48" w:rsidR="00AC3CFB" w:rsidRPr="009C2D9A" w:rsidRDefault="00AC3CFB" w:rsidP="00914818">
            <w:pPr>
              <w:suppressLineNumbers/>
              <w:suppressAutoHyphens/>
              <w:kinsoku w:val="0"/>
              <w:overflowPunct w:val="0"/>
              <w:autoSpaceDE w:val="0"/>
              <w:autoSpaceDN w:val="0"/>
              <w:spacing w:before="60" w:after="60"/>
              <w:jc w:val="center"/>
              <w:rPr>
                <w:rFonts w:asciiTheme="majorBidi" w:hAnsiTheme="majorBidi" w:cstheme="majorBidi"/>
                <w:b/>
                <w:kern w:val="22"/>
                <w:sz w:val="20"/>
                <w:szCs w:val="20"/>
                <w:lang w:val="es-ES_tradnl"/>
              </w:rPr>
            </w:pPr>
            <w:r w:rsidRPr="009C2D9A">
              <w:rPr>
                <w:rFonts w:asciiTheme="majorBidi" w:hAnsiTheme="majorBidi" w:cstheme="majorBidi"/>
                <w:b/>
                <w:kern w:val="22"/>
                <w:sz w:val="20"/>
                <w:szCs w:val="20"/>
                <w:lang w:val="es-ES_tradnl"/>
              </w:rPr>
              <w:t>Organiza</w:t>
            </w:r>
            <w:r w:rsidR="00372549" w:rsidRPr="009C2D9A">
              <w:rPr>
                <w:rFonts w:asciiTheme="majorBidi" w:hAnsiTheme="majorBidi" w:cstheme="majorBidi"/>
                <w:b/>
                <w:kern w:val="22"/>
                <w:sz w:val="20"/>
                <w:szCs w:val="20"/>
                <w:lang w:val="es-ES_tradnl"/>
              </w:rPr>
              <w:t>ción</w:t>
            </w:r>
          </w:p>
        </w:tc>
        <w:tc>
          <w:tcPr>
            <w:tcW w:w="993" w:type="dxa"/>
            <w:shd w:val="clear" w:color="auto" w:fill="auto"/>
            <w:noWrap/>
            <w:hideMark/>
          </w:tcPr>
          <w:p w14:paraId="7E31FB53" w14:textId="2B16125C" w:rsidR="00AC3CFB" w:rsidRPr="009C2D9A" w:rsidRDefault="00372549"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es-ES_tradnl"/>
              </w:rPr>
            </w:pPr>
            <w:r w:rsidRPr="009C2D9A">
              <w:rPr>
                <w:rFonts w:asciiTheme="majorBidi" w:hAnsiTheme="majorBidi" w:cstheme="majorBidi"/>
                <w:b/>
                <w:bCs/>
                <w:kern w:val="22"/>
                <w:sz w:val="20"/>
                <w:szCs w:val="20"/>
                <w:lang w:val="es-ES_tradnl"/>
              </w:rPr>
              <w:t>Á</w:t>
            </w:r>
            <w:r w:rsidR="00AC3CFB" w:rsidRPr="009C2D9A">
              <w:rPr>
                <w:rFonts w:asciiTheme="majorBidi" w:hAnsiTheme="majorBidi" w:cstheme="majorBidi"/>
                <w:b/>
                <w:bCs/>
                <w:kern w:val="22"/>
                <w:sz w:val="20"/>
                <w:szCs w:val="20"/>
                <w:lang w:val="es-ES_tradnl"/>
              </w:rPr>
              <w:t>frica</w:t>
            </w:r>
          </w:p>
        </w:tc>
        <w:tc>
          <w:tcPr>
            <w:tcW w:w="992" w:type="dxa"/>
            <w:shd w:val="clear" w:color="auto" w:fill="auto"/>
            <w:noWrap/>
            <w:hideMark/>
          </w:tcPr>
          <w:p w14:paraId="5E838A86" w14:textId="70C32C86" w:rsidR="00AC3CFB" w:rsidRPr="009C2D9A"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es-ES_tradnl"/>
              </w:rPr>
            </w:pPr>
            <w:r w:rsidRPr="009C2D9A">
              <w:rPr>
                <w:rFonts w:asciiTheme="majorBidi" w:hAnsiTheme="majorBidi" w:cstheme="majorBidi"/>
                <w:b/>
                <w:bCs/>
                <w:kern w:val="22"/>
                <w:sz w:val="20"/>
                <w:szCs w:val="20"/>
                <w:lang w:val="es-ES_tradnl"/>
              </w:rPr>
              <w:t>Asia</w:t>
            </w:r>
            <w:r w:rsidR="009B3E78" w:rsidRPr="009C2D9A">
              <w:rPr>
                <w:rFonts w:asciiTheme="majorBidi" w:hAnsiTheme="majorBidi" w:cstheme="majorBidi"/>
                <w:b/>
                <w:bCs/>
                <w:kern w:val="22"/>
                <w:sz w:val="20"/>
                <w:szCs w:val="20"/>
                <w:lang w:val="es-ES_tradnl"/>
              </w:rPr>
              <w:t xml:space="preserve"> y el </w:t>
            </w:r>
            <w:r w:rsidRPr="009C2D9A">
              <w:rPr>
                <w:rFonts w:asciiTheme="majorBidi" w:hAnsiTheme="majorBidi" w:cstheme="majorBidi"/>
                <w:b/>
                <w:bCs/>
                <w:kern w:val="22"/>
                <w:sz w:val="20"/>
                <w:szCs w:val="20"/>
                <w:lang w:val="es-ES_tradnl"/>
              </w:rPr>
              <w:t>Pac</w:t>
            </w:r>
            <w:r w:rsidR="00372549" w:rsidRPr="009C2D9A">
              <w:rPr>
                <w:rFonts w:asciiTheme="majorBidi" w:hAnsiTheme="majorBidi" w:cstheme="majorBidi"/>
                <w:b/>
                <w:bCs/>
                <w:kern w:val="22"/>
                <w:sz w:val="20"/>
                <w:szCs w:val="20"/>
                <w:lang w:val="es-ES_tradnl"/>
              </w:rPr>
              <w:t xml:space="preserve">ífico </w:t>
            </w:r>
          </w:p>
        </w:tc>
        <w:tc>
          <w:tcPr>
            <w:tcW w:w="1134" w:type="dxa"/>
            <w:shd w:val="clear" w:color="auto" w:fill="auto"/>
            <w:noWrap/>
            <w:hideMark/>
          </w:tcPr>
          <w:p w14:paraId="77661BC1" w14:textId="77777777" w:rsidR="00AC3CFB" w:rsidRPr="009C2D9A"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spacing w:val="-10"/>
                <w:kern w:val="22"/>
                <w:sz w:val="20"/>
                <w:szCs w:val="20"/>
                <w:lang w:val="es-ES_tradnl"/>
              </w:rPr>
            </w:pPr>
            <w:r w:rsidRPr="009C2D9A">
              <w:rPr>
                <w:rFonts w:asciiTheme="majorBidi" w:hAnsiTheme="majorBidi" w:cstheme="majorBidi"/>
                <w:b/>
                <w:bCs/>
                <w:spacing w:val="-10"/>
                <w:kern w:val="22"/>
                <w:sz w:val="20"/>
                <w:szCs w:val="20"/>
                <w:lang w:val="es-ES_tradnl"/>
              </w:rPr>
              <w:t>GRULAC</w:t>
            </w:r>
          </w:p>
        </w:tc>
        <w:tc>
          <w:tcPr>
            <w:tcW w:w="709" w:type="dxa"/>
            <w:shd w:val="clear" w:color="auto" w:fill="auto"/>
            <w:noWrap/>
            <w:hideMark/>
          </w:tcPr>
          <w:p w14:paraId="2343BC97" w14:textId="4C5C0BDA" w:rsidR="00AC3CFB" w:rsidRPr="009C2D9A" w:rsidRDefault="00372549"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es-ES_tradnl"/>
              </w:rPr>
            </w:pPr>
            <w:r w:rsidRPr="009C2D9A">
              <w:rPr>
                <w:rFonts w:asciiTheme="majorBidi" w:hAnsiTheme="majorBidi" w:cstheme="majorBidi"/>
                <w:b/>
                <w:bCs/>
                <w:kern w:val="22"/>
                <w:sz w:val="20"/>
                <w:szCs w:val="20"/>
                <w:lang w:val="es-ES_tradnl"/>
              </w:rPr>
              <w:t>ECO</w:t>
            </w:r>
          </w:p>
        </w:tc>
        <w:tc>
          <w:tcPr>
            <w:tcW w:w="992" w:type="dxa"/>
            <w:shd w:val="clear" w:color="auto" w:fill="auto"/>
            <w:noWrap/>
            <w:hideMark/>
          </w:tcPr>
          <w:p w14:paraId="78A6C1E5" w14:textId="01EE3DE2" w:rsidR="00AC3CFB" w:rsidRPr="009C2D9A" w:rsidRDefault="00372549" w:rsidP="00914818">
            <w:pPr>
              <w:suppressLineNumbers/>
              <w:suppressAutoHyphens/>
              <w:kinsoku w:val="0"/>
              <w:overflowPunct w:val="0"/>
              <w:autoSpaceDE w:val="0"/>
              <w:autoSpaceDN w:val="0"/>
              <w:spacing w:before="60" w:after="60"/>
              <w:jc w:val="center"/>
              <w:rPr>
                <w:rFonts w:asciiTheme="majorBidi" w:hAnsiTheme="majorBidi" w:cstheme="majorBidi"/>
                <w:b/>
                <w:bCs/>
                <w:spacing w:val="-8"/>
                <w:kern w:val="22"/>
                <w:sz w:val="20"/>
                <w:szCs w:val="20"/>
                <w:lang w:val="es-ES_tradnl"/>
              </w:rPr>
            </w:pPr>
            <w:r w:rsidRPr="009C2D9A">
              <w:rPr>
                <w:rFonts w:asciiTheme="majorBidi" w:hAnsiTheme="majorBidi" w:cstheme="majorBidi"/>
                <w:b/>
                <w:bCs/>
                <w:spacing w:val="-8"/>
                <w:kern w:val="22"/>
                <w:sz w:val="20"/>
                <w:szCs w:val="20"/>
                <w:lang w:val="es-ES_tradnl"/>
              </w:rPr>
              <w:t>Mundial</w:t>
            </w:r>
          </w:p>
        </w:tc>
        <w:tc>
          <w:tcPr>
            <w:tcW w:w="992" w:type="dxa"/>
            <w:shd w:val="clear" w:color="auto" w:fill="auto"/>
            <w:noWrap/>
            <w:hideMark/>
          </w:tcPr>
          <w:p w14:paraId="3069749D" w14:textId="52F9CFE4" w:rsidR="00AC3CFB" w:rsidRPr="009C2D9A"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es-ES_tradnl"/>
              </w:rPr>
            </w:pPr>
            <w:r w:rsidRPr="009C2D9A">
              <w:rPr>
                <w:rFonts w:asciiTheme="majorBidi" w:hAnsiTheme="majorBidi" w:cstheme="majorBidi"/>
                <w:b/>
                <w:bCs/>
                <w:kern w:val="22"/>
                <w:sz w:val="20"/>
                <w:szCs w:val="20"/>
                <w:lang w:val="es-ES_tradnl"/>
              </w:rPr>
              <w:t>N</w:t>
            </w:r>
            <w:r w:rsidR="00372549" w:rsidRPr="009C2D9A">
              <w:rPr>
                <w:rFonts w:asciiTheme="majorBidi" w:hAnsiTheme="majorBidi" w:cstheme="majorBidi"/>
                <w:b/>
                <w:bCs/>
                <w:kern w:val="22"/>
                <w:sz w:val="20"/>
                <w:szCs w:val="20"/>
                <w:lang w:val="es-ES_tradnl"/>
              </w:rPr>
              <w:t>úmero de proyectos</w:t>
            </w:r>
          </w:p>
        </w:tc>
        <w:tc>
          <w:tcPr>
            <w:tcW w:w="1191" w:type="dxa"/>
            <w:shd w:val="clear" w:color="auto" w:fill="auto"/>
            <w:noWrap/>
            <w:hideMark/>
          </w:tcPr>
          <w:p w14:paraId="58AB7FC7" w14:textId="5FD8413C" w:rsidR="00AC3CFB" w:rsidRPr="009C2D9A" w:rsidRDefault="00AC3CFB" w:rsidP="009B3E78">
            <w:pPr>
              <w:suppressLineNumbers/>
              <w:suppressAutoHyphens/>
              <w:kinsoku w:val="0"/>
              <w:overflowPunct w:val="0"/>
              <w:autoSpaceDE w:val="0"/>
              <w:autoSpaceDN w:val="0"/>
              <w:spacing w:before="60" w:after="60"/>
              <w:jc w:val="left"/>
              <w:rPr>
                <w:rFonts w:asciiTheme="majorBidi" w:hAnsiTheme="majorBidi" w:cstheme="majorBidi"/>
                <w:b/>
                <w:bCs/>
                <w:spacing w:val="-6"/>
                <w:kern w:val="22"/>
                <w:sz w:val="20"/>
                <w:szCs w:val="20"/>
                <w:lang w:val="es-ES_tradnl"/>
              </w:rPr>
            </w:pPr>
            <w:r w:rsidRPr="009C2D9A">
              <w:rPr>
                <w:rFonts w:asciiTheme="majorBidi" w:hAnsiTheme="majorBidi" w:cstheme="majorBidi"/>
                <w:b/>
                <w:bCs/>
                <w:spacing w:val="-6"/>
                <w:kern w:val="22"/>
                <w:sz w:val="20"/>
                <w:szCs w:val="20"/>
                <w:lang w:val="es-ES_tradnl"/>
              </w:rPr>
              <w:t>P</w:t>
            </w:r>
            <w:r w:rsidR="00372549" w:rsidRPr="009C2D9A">
              <w:rPr>
                <w:rFonts w:asciiTheme="majorBidi" w:hAnsiTheme="majorBidi" w:cstheme="majorBidi"/>
                <w:b/>
                <w:bCs/>
                <w:spacing w:val="-6"/>
                <w:kern w:val="22"/>
                <w:sz w:val="20"/>
                <w:szCs w:val="20"/>
                <w:lang w:val="es-ES_tradnl"/>
              </w:rPr>
              <w:t>orcentaje</w:t>
            </w:r>
          </w:p>
        </w:tc>
      </w:tr>
      <w:tr w:rsidR="00AC3CFB" w:rsidRPr="009C2D9A" w14:paraId="257CA62B" w14:textId="77777777" w:rsidTr="009B3E78">
        <w:trPr>
          <w:jc w:val="center"/>
        </w:trPr>
        <w:tc>
          <w:tcPr>
            <w:tcW w:w="2830" w:type="dxa"/>
            <w:shd w:val="clear" w:color="auto" w:fill="auto"/>
          </w:tcPr>
          <w:p w14:paraId="4E05202F" w14:textId="4BEACFD9"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Iniciativa APB</w:t>
            </w:r>
            <w:r w:rsidR="00AC3CFB" w:rsidRPr="009C2D9A">
              <w:rPr>
                <w:rStyle w:val="FootnoteReference"/>
                <w:rFonts w:asciiTheme="majorBidi" w:hAnsiTheme="majorBidi" w:cstheme="majorBidi"/>
                <w:bCs/>
                <w:kern w:val="22"/>
                <w:sz w:val="20"/>
                <w:szCs w:val="20"/>
                <w:lang w:val="es-ES_tradnl"/>
              </w:rPr>
              <w:footnoteReference w:id="17"/>
            </w:r>
          </w:p>
        </w:tc>
        <w:tc>
          <w:tcPr>
            <w:tcW w:w="993" w:type="dxa"/>
            <w:shd w:val="clear" w:color="auto" w:fill="auto"/>
            <w:noWrap/>
          </w:tcPr>
          <w:p w14:paraId="35B0863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10</w:t>
            </w:r>
          </w:p>
        </w:tc>
        <w:tc>
          <w:tcPr>
            <w:tcW w:w="992" w:type="dxa"/>
            <w:shd w:val="clear" w:color="auto" w:fill="auto"/>
            <w:noWrap/>
          </w:tcPr>
          <w:p w14:paraId="5018B47B" w14:textId="77777777" w:rsidR="00AC3CFB" w:rsidRPr="009C2D9A" w:rsidRDefault="00AC3CFB" w:rsidP="00914818">
            <w:pPr>
              <w:suppressLineNumbers/>
              <w:tabs>
                <w:tab w:val="center" w:pos="477"/>
              </w:tab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6</w:t>
            </w:r>
          </w:p>
        </w:tc>
        <w:tc>
          <w:tcPr>
            <w:tcW w:w="1134" w:type="dxa"/>
            <w:shd w:val="clear" w:color="auto" w:fill="auto"/>
            <w:noWrap/>
          </w:tcPr>
          <w:p w14:paraId="5ED0B2BD"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3</w:t>
            </w:r>
          </w:p>
        </w:tc>
        <w:tc>
          <w:tcPr>
            <w:tcW w:w="709" w:type="dxa"/>
            <w:shd w:val="clear" w:color="auto" w:fill="auto"/>
            <w:noWrap/>
          </w:tcPr>
          <w:p w14:paraId="0765F79F"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6DD94502"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43394B0C"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19</w:t>
            </w:r>
          </w:p>
        </w:tc>
        <w:tc>
          <w:tcPr>
            <w:tcW w:w="1191" w:type="dxa"/>
            <w:shd w:val="clear" w:color="auto" w:fill="auto"/>
            <w:noWrap/>
          </w:tcPr>
          <w:p w14:paraId="0800E5CD" w14:textId="3F2E0739"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19</w:t>
            </w:r>
            <w:r w:rsidR="00133F4F" w:rsidRPr="009C2D9A">
              <w:rPr>
                <w:rFonts w:asciiTheme="majorBidi" w:hAnsiTheme="majorBidi" w:cstheme="majorBidi"/>
                <w:kern w:val="22"/>
                <w:sz w:val="20"/>
                <w:szCs w:val="20"/>
                <w:lang w:val="es-ES_tradnl"/>
              </w:rPr>
              <w:t>%</w:t>
            </w:r>
          </w:p>
        </w:tc>
      </w:tr>
      <w:tr w:rsidR="00AC3CFB" w:rsidRPr="009C2D9A" w14:paraId="46BFCE02" w14:textId="77777777" w:rsidTr="009B3E78">
        <w:trPr>
          <w:jc w:val="center"/>
        </w:trPr>
        <w:tc>
          <w:tcPr>
            <w:tcW w:w="2830" w:type="dxa"/>
            <w:shd w:val="clear" w:color="auto" w:fill="auto"/>
          </w:tcPr>
          <w:p w14:paraId="39FF780B" w14:textId="64D1EB5B"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Iniciativa APB</w:t>
            </w:r>
            <w:r w:rsidR="00AC3CFB" w:rsidRPr="009C2D9A">
              <w:rPr>
                <w:rFonts w:asciiTheme="majorBidi" w:hAnsiTheme="majorBidi" w:cstheme="majorBidi"/>
                <w:bCs/>
                <w:kern w:val="22"/>
                <w:sz w:val="20"/>
                <w:szCs w:val="20"/>
                <w:lang w:val="es-ES_tradnl"/>
              </w:rPr>
              <w:t>/GIZ</w:t>
            </w:r>
          </w:p>
        </w:tc>
        <w:tc>
          <w:tcPr>
            <w:tcW w:w="993" w:type="dxa"/>
            <w:shd w:val="clear" w:color="auto" w:fill="auto"/>
            <w:noWrap/>
          </w:tcPr>
          <w:p w14:paraId="18AD0F39"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5</w:t>
            </w:r>
          </w:p>
        </w:tc>
        <w:tc>
          <w:tcPr>
            <w:tcW w:w="992" w:type="dxa"/>
            <w:shd w:val="clear" w:color="auto" w:fill="auto"/>
            <w:noWrap/>
          </w:tcPr>
          <w:p w14:paraId="422DAD49"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1134" w:type="dxa"/>
            <w:shd w:val="clear" w:color="auto" w:fill="auto"/>
            <w:noWrap/>
          </w:tcPr>
          <w:p w14:paraId="6D5DB078"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709" w:type="dxa"/>
            <w:shd w:val="clear" w:color="auto" w:fill="auto"/>
            <w:noWrap/>
          </w:tcPr>
          <w:p w14:paraId="3E47DB76"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65BB1F0C"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56A2FFC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5</w:t>
            </w:r>
          </w:p>
        </w:tc>
        <w:tc>
          <w:tcPr>
            <w:tcW w:w="1191" w:type="dxa"/>
            <w:shd w:val="clear" w:color="auto" w:fill="auto"/>
            <w:noWrap/>
          </w:tcPr>
          <w:p w14:paraId="463A5446" w14:textId="6BBD7A2C"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5</w:t>
            </w:r>
            <w:r w:rsidR="00133F4F" w:rsidRPr="009C2D9A">
              <w:rPr>
                <w:rFonts w:asciiTheme="majorBidi" w:hAnsiTheme="majorBidi" w:cstheme="majorBidi"/>
                <w:kern w:val="22"/>
                <w:sz w:val="20"/>
                <w:szCs w:val="20"/>
                <w:lang w:val="es-ES_tradnl"/>
              </w:rPr>
              <w:t>%</w:t>
            </w:r>
          </w:p>
        </w:tc>
      </w:tr>
      <w:tr w:rsidR="00AC3CFB" w:rsidRPr="009C2D9A" w14:paraId="542CF9A7" w14:textId="77777777" w:rsidTr="009B3E78">
        <w:trPr>
          <w:jc w:val="center"/>
        </w:trPr>
        <w:tc>
          <w:tcPr>
            <w:tcW w:w="2830" w:type="dxa"/>
            <w:shd w:val="clear" w:color="auto" w:fill="auto"/>
          </w:tcPr>
          <w:p w14:paraId="474EEEA1" w14:textId="77777777" w:rsidR="00AC3CFB" w:rsidRPr="009C2D9A"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proofErr w:type="spellStart"/>
            <w:r w:rsidRPr="009C2D9A">
              <w:rPr>
                <w:rFonts w:asciiTheme="majorBidi" w:hAnsiTheme="majorBidi" w:cstheme="majorBidi"/>
                <w:bCs/>
                <w:kern w:val="22"/>
                <w:sz w:val="20"/>
                <w:szCs w:val="20"/>
                <w:lang w:val="es-ES_tradnl"/>
              </w:rPr>
              <w:t>Bioversity</w:t>
            </w:r>
            <w:proofErr w:type="spellEnd"/>
            <w:r w:rsidRPr="009C2D9A">
              <w:rPr>
                <w:rFonts w:asciiTheme="majorBidi" w:hAnsiTheme="majorBidi" w:cstheme="majorBidi"/>
                <w:bCs/>
                <w:kern w:val="22"/>
                <w:sz w:val="20"/>
                <w:szCs w:val="20"/>
                <w:lang w:val="es-ES_tradnl"/>
              </w:rPr>
              <w:t xml:space="preserve"> International</w:t>
            </w:r>
          </w:p>
        </w:tc>
        <w:tc>
          <w:tcPr>
            <w:tcW w:w="993" w:type="dxa"/>
            <w:shd w:val="clear" w:color="auto" w:fill="auto"/>
            <w:noWrap/>
          </w:tcPr>
          <w:p w14:paraId="3A257067"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992" w:type="dxa"/>
            <w:shd w:val="clear" w:color="auto" w:fill="auto"/>
            <w:noWrap/>
          </w:tcPr>
          <w:p w14:paraId="4955F80F"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p>
        </w:tc>
        <w:tc>
          <w:tcPr>
            <w:tcW w:w="1134" w:type="dxa"/>
            <w:shd w:val="clear" w:color="auto" w:fill="auto"/>
            <w:noWrap/>
          </w:tcPr>
          <w:p w14:paraId="021A2CB9"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p>
        </w:tc>
        <w:tc>
          <w:tcPr>
            <w:tcW w:w="709" w:type="dxa"/>
            <w:shd w:val="clear" w:color="auto" w:fill="auto"/>
            <w:noWrap/>
          </w:tcPr>
          <w:p w14:paraId="41325D72"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p>
        </w:tc>
        <w:tc>
          <w:tcPr>
            <w:tcW w:w="992" w:type="dxa"/>
            <w:shd w:val="clear" w:color="auto" w:fill="auto"/>
            <w:noWrap/>
          </w:tcPr>
          <w:p w14:paraId="4437A6A6"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p>
        </w:tc>
        <w:tc>
          <w:tcPr>
            <w:tcW w:w="992" w:type="dxa"/>
            <w:shd w:val="clear" w:color="auto" w:fill="auto"/>
            <w:noWrap/>
          </w:tcPr>
          <w:p w14:paraId="2600FCAE"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w:t>
            </w:r>
          </w:p>
        </w:tc>
        <w:tc>
          <w:tcPr>
            <w:tcW w:w="1191" w:type="dxa"/>
            <w:shd w:val="clear" w:color="auto" w:fill="auto"/>
            <w:noWrap/>
          </w:tcPr>
          <w:p w14:paraId="0EEA78E7" w14:textId="5585BFA3"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r w:rsidR="00133F4F" w:rsidRPr="009C2D9A">
              <w:rPr>
                <w:rFonts w:asciiTheme="majorBidi" w:hAnsiTheme="majorBidi" w:cstheme="majorBidi"/>
                <w:kern w:val="22"/>
                <w:sz w:val="20"/>
                <w:szCs w:val="20"/>
                <w:lang w:val="es-ES_tradnl"/>
              </w:rPr>
              <w:t>%</w:t>
            </w:r>
          </w:p>
        </w:tc>
      </w:tr>
      <w:tr w:rsidR="00AC3CFB" w:rsidRPr="009C2D9A" w14:paraId="449749CF" w14:textId="77777777" w:rsidTr="009B3E78">
        <w:trPr>
          <w:jc w:val="center"/>
        </w:trPr>
        <w:tc>
          <w:tcPr>
            <w:tcW w:w="2830" w:type="dxa"/>
            <w:shd w:val="clear" w:color="auto" w:fill="auto"/>
          </w:tcPr>
          <w:p w14:paraId="5C725D4C" w14:textId="090E34AC" w:rsidR="00AC3CFB" w:rsidRPr="009C2D9A"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proofErr w:type="spellStart"/>
            <w:r w:rsidRPr="009C2D9A">
              <w:rPr>
                <w:rFonts w:asciiTheme="majorBidi" w:hAnsiTheme="majorBidi" w:cstheme="majorBidi"/>
                <w:bCs/>
                <w:kern w:val="22"/>
                <w:sz w:val="20"/>
                <w:szCs w:val="20"/>
                <w:lang w:val="es-ES_tradnl"/>
              </w:rPr>
              <w:t>Bioversity</w:t>
            </w:r>
            <w:proofErr w:type="spellEnd"/>
            <w:r w:rsidRPr="009C2D9A">
              <w:rPr>
                <w:rFonts w:asciiTheme="majorBidi" w:hAnsiTheme="majorBidi" w:cstheme="majorBidi"/>
                <w:bCs/>
                <w:kern w:val="22"/>
                <w:sz w:val="20"/>
                <w:szCs w:val="20"/>
                <w:lang w:val="es-ES_tradnl"/>
              </w:rPr>
              <w:t xml:space="preserve"> International/ </w:t>
            </w:r>
            <w:r w:rsidR="009B3E78" w:rsidRPr="009C2D9A">
              <w:rPr>
                <w:rFonts w:asciiTheme="majorBidi" w:hAnsiTheme="majorBidi" w:cstheme="majorBidi"/>
                <w:bCs/>
                <w:kern w:val="22"/>
                <w:sz w:val="20"/>
                <w:szCs w:val="20"/>
                <w:lang w:val="es-ES_tradnl"/>
              </w:rPr>
              <w:t>Iniciativa APB</w:t>
            </w:r>
          </w:p>
        </w:tc>
        <w:tc>
          <w:tcPr>
            <w:tcW w:w="993" w:type="dxa"/>
            <w:shd w:val="clear" w:color="auto" w:fill="auto"/>
            <w:noWrap/>
          </w:tcPr>
          <w:p w14:paraId="2A722073"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992" w:type="dxa"/>
            <w:shd w:val="clear" w:color="auto" w:fill="auto"/>
            <w:noWrap/>
          </w:tcPr>
          <w:p w14:paraId="7753AE92"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1134" w:type="dxa"/>
            <w:shd w:val="clear" w:color="auto" w:fill="auto"/>
            <w:noWrap/>
          </w:tcPr>
          <w:p w14:paraId="605D0C3A"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709" w:type="dxa"/>
            <w:shd w:val="clear" w:color="auto" w:fill="auto"/>
            <w:noWrap/>
          </w:tcPr>
          <w:p w14:paraId="6CAAEA34"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73E7C4A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1D6F1228"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w:t>
            </w:r>
          </w:p>
        </w:tc>
        <w:tc>
          <w:tcPr>
            <w:tcW w:w="1191" w:type="dxa"/>
            <w:shd w:val="clear" w:color="auto" w:fill="auto"/>
            <w:noWrap/>
          </w:tcPr>
          <w:p w14:paraId="49184EE4" w14:textId="69541CC7"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r w:rsidR="00133F4F" w:rsidRPr="009C2D9A">
              <w:rPr>
                <w:rFonts w:asciiTheme="majorBidi" w:hAnsiTheme="majorBidi" w:cstheme="majorBidi"/>
                <w:kern w:val="22"/>
                <w:sz w:val="20"/>
                <w:szCs w:val="20"/>
                <w:lang w:val="es-ES_tradnl"/>
              </w:rPr>
              <w:t>%</w:t>
            </w:r>
          </w:p>
        </w:tc>
      </w:tr>
      <w:tr w:rsidR="00AC3CFB" w:rsidRPr="009C2D9A" w14:paraId="34F4F7F3" w14:textId="77777777" w:rsidTr="009B3E78">
        <w:trPr>
          <w:jc w:val="center"/>
        </w:trPr>
        <w:tc>
          <w:tcPr>
            <w:tcW w:w="2830" w:type="dxa"/>
            <w:shd w:val="clear" w:color="auto" w:fill="auto"/>
          </w:tcPr>
          <w:p w14:paraId="7AF760E3" w14:textId="77777777" w:rsidR="00AC3CFB" w:rsidRPr="009C2D9A"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proofErr w:type="spellStart"/>
            <w:r w:rsidRPr="009C2D9A">
              <w:rPr>
                <w:rFonts w:asciiTheme="majorBidi" w:hAnsiTheme="majorBidi" w:cstheme="majorBidi"/>
                <w:bCs/>
                <w:kern w:val="22"/>
                <w:sz w:val="20"/>
                <w:szCs w:val="20"/>
                <w:lang w:val="es-ES_tradnl"/>
              </w:rPr>
              <w:t>Botanic</w:t>
            </w:r>
            <w:proofErr w:type="spellEnd"/>
            <w:r w:rsidRPr="009C2D9A">
              <w:rPr>
                <w:rFonts w:asciiTheme="majorBidi" w:hAnsiTheme="majorBidi" w:cstheme="majorBidi"/>
                <w:bCs/>
                <w:kern w:val="22"/>
                <w:sz w:val="20"/>
                <w:szCs w:val="20"/>
                <w:lang w:val="es-ES_tradnl"/>
              </w:rPr>
              <w:t xml:space="preserve"> </w:t>
            </w:r>
            <w:proofErr w:type="spellStart"/>
            <w:r w:rsidRPr="009C2D9A">
              <w:rPr>
                <w:rFonts w:asciiTheme="majorBidi" w:hAnsiTheme="majorBidi" w:cstheme="majorBidi"/>
                <w:bCs/>
                <w:kern w:val="22"/>
                <w:sz w:val="20"/>
                <w:szCs w:val="20"/>
                <w:lang w:val="es-ES_tradnl"/>
              </w:rPr>
              <w:t>Gardens</w:t>
            </w:r>
            <w:proofErr w:type="spellEnd"/>
            <w:r w:rsidRPr="009C2D9A">
              <w:rPr>
                <w:rFonts w:asciiTheme="majorBidi" w:hAnsiTheme="majorBidi" w:cstheme="majorBidi"/>
                <w:bCs/>
                <w:kern w:val="22"/>
                <w:sz w:val="20"/>
                <w:szCs w:val="20"/>
                <w:lang w:val="es-ES_tradnl"/>
              </w:rPr>
              <w:t xml:space="preserve"> </w:t>
            </w:r>
            <w:proofErr w:type="spellStart"/>
            <w:r w:rsidRPr="009C2D9A">
              <w:rPr>
                <w:rFonts w:asciiTheme="majorBidi" w:hAnsiTheme="majorBidi" w:cstheme="majorBidi"/>
                <w:bCs/>
                <w:kern w:val="22"/>
                <w:sz w:val="20"/>
                <w:szCs w:val="20"/>
                <w:lang w:val="es-ES_tradnl"/>
              </w:rPr>
              <w:t>Conservation</w:t>
            </w:r>
            <w:proofErr w:type="spellEnd"/>
            <w:r w:rsidRPr="009C2D9A">
              <w:rPr>
                <w:rFonts w:asciiTheme="majorBidi" w:hAnsiTheme="majorBidi" w:cstheme="majorBidi"/>
                <w:bCs/>
                <w:kern w:val="22"/>
                <w:sz w:val="20"/>
                <w:szCs w:val="20"/>
                <w:lang w:val="es-ES_tradnl"/>
              </w:rPr>
              <w:t xml:space="preserve"> International</w:t>
            </w:r>
          </w:p>
        </w:tc>
        <w:tc>
          <w:tcPr>
            <w:tcW w:w="993" w:type="dxa"/>
            <w:shd w:val="clear" w:color="auto" w:fill="auto"/>
            <w:noWrap/>
          </w:tcPr>
          <w:p w14:paraId="7F4CEABC"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992" w:type="dxa"/>
            <w:shd w:val="clear" w:color="auto" w:fill="auto"/>
            <w:noWrap/>
          </w:tcPr>
          <w:p w14:paraId="44D61B51"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1134" w:type="dxa"/>
            <w:shd w:val="clear" w:color="auto" w:fill="auto"/>
            <w:noWrap/>
          </w:tcPr>
          <w:p w14:paraId="64E2D75A"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709" w:type="dxa"/>
            <w:shd w:val="clear" w:color="auto" w:fill="auto"/>
            <w:noWrap/>
          </w:tcPr>
          <w:p w14:paraId="6D6C8B3B"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78265A14"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725AB703"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w:t>
            </w:r>
          </w:p>
        </w:tc>
        <w:tc>
          <w:tcPr>
            <w:tcW w:w="1191" w:type="dxa"/>
            <w:shd w:val="clear" w:color="auto" w:fill="auto"/>
            <w:noWrap/>
          </w:tcPr>
          <w:p w14:paraId="1D2BD0C6" w14:textId="5AE0DD4D"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r w:rsidR="00133F4F" w:rsidRPr="009C2D9A">
              <w:rPr>
                <w:rFonts w:asciiTheme="majorBidi" w:hAnsiTheme="majorBidi" w:cstheme="majorBidi"/>
                <w:kern w:val="22"/>
                <w:sz w:val="20"/>
                <w:szCs w:val="20"/>
                <w:lang w:val="es-ES_tradnl"/>
              </w:rPr>
              <w:t>%</w:t>
            </w:r>
          </w:p>
        </w:tc>
      </w:tr>
      <w:tr w:rsidR="00AC3CFB" w:rsidRPr="009C2D9A" w14:paraId="6559A00E" w14:textId="77777777" w:rsidTr="009B3E78">
        <w:trPr>
          <w:jc w:val="center"/>
        </w:trPr>
        <w:tc>
          <w:tcPr>
            <w:tcW w:w="2830" w:type="dxa"/>
            <w:shd w:val="clear" w:color="auto" w:fill="auto"/>
          </w:tcPr>
          <w:p w14:paraId="34D8EBB6" w14:textId="77777777" w:rsidR="00AC3CFB" w:rsidRPr="009C2D9A" w:rsidRDefault="00AC3CFB" w:rsidP="00914818">
            <w:pPr>
              <w:suppressLineNumbers/>
              <w:suppressAutoHyphens/>
              <w:kinsoku w:val="0"/>
              <w:overflowPunct w:val="0"/>
              <w:autoSpaceDE w:val="0"/>
              <w:autoSpaceDN w:val="0"/>
              <w:spacing w:before="60" w:after="60"/>
              <w:jc w:val="lef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GIZ</w:t>
            </w:r>
          </w:p>
        </w:tc>
        <w:tc>
          <w:tcPr>
            <w:tcW w:w="993" w:type="dxa"/>
            <w:shd w:val="clear" w:color="auto" w:fill="auto"/>
            <w:noWrap/>
          </w:tcPr>
          <w:p w14:paraId="00D77512"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2</w:t>
            </w:r>
          </w:p>
        </w:tc>
        <w:tc>
          <w:tcPr>
            <w:tcW w:w="992" w:type="dxa"/>
            <w:shd w:val="clear" w:color="auto" w:fill="auto"/>
            <w:noWrap/>
          </w:tcPr>
          <w:p w14:paraId="64B2DFBF"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3</w:t>
            </w:r>
          </w:p>
        </w:tc>
        <w:tc>
          <w:tcPr>
            <w:tcW w:w="1134" w:type="dxa"/>
            <w:shd w:val="clear" w:color="auto" w:fill="auto"/>
            <w:noWrap/>
          </w:tcPr>
          <w:p w14:paraId="3D3E82AC"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4</w:t>
            </w:r>
          </w:p>
        </w:tc>
        <w:tc>
          <w:tcPr>
            <w:tcW w:w="709" w:type="dxa"/>
            <w:shd w:val="clear" w:color="auto" w:fill="auto"/>
            <w:noWrap/>
          </w:tcPr>
          <w:p w14:paraId="2227CF16"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992" w:type="dxa"/>
            <w:shd w:val="clear" w:color="auto" w:fill="auto"/>
            <w:noWrap/>
          </w:tcPr>
          <w:p w14:paraId="6C404738"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78F9337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10</w:t>
            </w:r>
          </w:p>
        </w:tc>
        <w:tc>
          <w:tcPr>
            <w:tcW w:w="1191" w:type="dxa"/>
            <w:shd w:val="clear" w:color="auto" w:fill="auto"/>
            <w:noWrap/>
          </w:tcPr>
          <w:p w14:paraId="0B3758E2" w14:textId="7F96B919"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9</w:t>
            </w:r>
            <w:r w:rsidR="00133F4F" w:rsidRPr="009C2D9A">
              <w:rPr>
                <w:rFonts w:asciiTheme="majorBidi" w:hAnsiTheme="majorBidi" w:cstheme="majorBidi"/>
                <w:kern w:val="22"/>
                <w:sz w:val="20"/>
                <w:szCs w:val="20"/>
                <w:lang w:val="es-ES_tradnl"/>
              </w:rPr>
              <w:t>%</w:t>
            </w:r>
          </w:p>
        </w:tc>
      </w:tr>
      <w:tr w:rsidR="00AC3CFB" w:rsidRPr="009C2D9A" w14:paraId="6D19B7CD" w14:textId="77777777" w:rsidTr="009B3E78">
        <w:trPr>
          <w:jc w:val="center"/>
        </w:trPr>
        <w:tc>
          <w:tcPr>
            <w:tcW w:w="2830" w:type="dxa"/>
            <w:shd w:val="clear" w:color="auto" w:fill="auto"/>
          </w:tcPr>
          <w:p w14:paraId="3A5E1DA4" w14:textId="5C4EADE0"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cs="Times New Roman"/>
                <w:kern w:val="22"/>
                <w:lang w:val="es-ES_tradnl"/>
              </w:rPr>
              <w:t>Banco Interamericano de Desarrollo</w:t>
            </w:r>
          </w:p>
        </w:tc>
        <w:tc>
          <w:tcPr>
            <w:tcW w:w="993" w:type="dxa"/>
            <w:shd w:val="clear" w:color="auto" w:fill="auto"/>
            <w:noWrap/>
          </w:tcPr>
          <w:p w14:paraId="47A3ED47"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76D28851"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1134" w:type="dxa"/>
            <w:shd w:val="clear" w:color="auto" w:fill="auto"/>
            <w:noWrap/>
          </w:tcPr>
          <w:p w14:paraId="05C48F3B"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709" w:type="dxa"/>
            <w:shd w:val="clear" w:color="auto" w:fill="auto"/>
            <w:noWrap/>
          </w:tcPr>
          <w:p w14:paraId="60B76B07"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7791C5E7"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2E62315F"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w:t>
            </w:r>
          </w:p>
        </w:tc>
        <w:tc>
          <w:tcPr>
            <w:tcW w:w="1191" w:type="dxa"/>
            <w:shd w:val="clear" w:color="auto" w:fill="auto"/>
            <w:noWrap/>
          </w:tcPr>
          <w:p w14:paraId="080CC622" w14:textId="6503A267"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r w:rsidR="00683F31" w:rsidRPr="009C2D9A">
              <w:rPr>
                <w:rFonts w:asciiTheme="majorBidi" w:hAnsiTheme="majorBidi" w:cstheme="majorBidi"/>
                <w:kern w:val="22"/>
                <w:sz w:val="20"/>
                <w:szCs w:val="20"/>
                <w:lang w:val="es-ES_tradnl"/>
              </w:rPr>
              <w:t>%</w:t>
            </w:r>
          </w:p>
        </w:tc>
      </w:tr>
      <w:tr w:rsidR="00AC3CFB" w:rsidRPr="009C2D9A" w14:paraId="4C010D5A" w14:textId="77777777" w:rsidTr="009B3E78">
        <w:trPr>
          <w:jc w:val="center"/>
        </w:trPr>
        <w:tc>
          <w:tcPr>
            <w:tcW w:w="2830" w:type="dxa"/>
            <w:shd w:val="clear" w:color="auto" w:fill="auto"/>
          </w:tcPr>
          <w:p w14:paraId="0EAD2F2F" w14:textId="5B9D0F96"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UICN</w:t>
            </w:r>
          </w:p>
        </w:tc>
        <w:tc>
          <w:tcPr>
            <w:tcW w:w="993" w:type="dxa"/>
            <w:shd w:val="clear" w:color="auto" w:fill="auto"/>
            <w:noWrap/>
          </w:tcPr>
          <w:p w14:paraId="24F7CD5B"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518DE723"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1134" w:type="dxa"/>
            <w:shd w:val="clear" w:color="auto" w:fill="auto"/>
            <w:noWrap/>
          </w:tcPr>
          <w:p w14:paraId="4BE903B4"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709" w:type="dxa"/>
            <w:shd w:val="clear" w:color="auto" w:fill="auto"/>
            <w:noWrap/>
          </w:tcPr>
          <w:p w14:paraId="453FF00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40E70126"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7923DDC7"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w:t>
            </w:r>
          </w:p>
        </w:tc>
        <w:tc>
          <w:tcPr>
            <w:tcW w:w="1191" w:type="dxa"/>
            <w:shd w:val="clear" w:color="auto" w:fill="auto"/>
            <w:noWrap/>
          </w:tcPr>
          <w:p w14:paraId="7000065D" w14:textId="0775E0D0"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r w:rsidR="00683F31" w:rsidRPr="009C2D9A">
              <w:rPr>
                <w:rFonts w:asciiTheme="majorBidi" w:hAnsiTheme="majorBidi" w:cstheme="majorBidi"/>
                <w:kern w:val="22"/>
                <w:sz w:val="20"/>
                <w:szCs w:val="20"/>
                <w:lang w:val="es-ES_tradnl"/>
              </w:rPr>
              <w:t>%</w:t>
            </w:r>
          </w:p>
        </w:tc>
      </w:tr>
      <w:tr w:rsidR="00AC3CFB" w:rsidRPr="009C2D9A" w14:paraId="10D8C579" w14:textId="77777777" w:rsidTr="009B3E78">
        <w:trPr>
          <w:jc w:val="center"/>
        </w:trPr>
        <w:tc>
          <w:tcPr>
            <w:tcW w:w="2830" w:type="dxa"/>
            <w:shd w:val="clear" w:color="auto" w:fill="auto"/>
          </w:tcPr>
          <w:p w14:paraId="5F6A215E" w14:textId="77777777" w:rsidR="00AC3CFB" w:rsidRPr="009C2D9A"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JICA/COMIFAC</w:t>
            </w:r>
          </w:p>
        </w:tc>
        <w:tc>
          <w:tcPr>
            <w:tcW w:w="993" w:type="dxa"/>
            <w:shd w:val="clear" w:color="auto" w:fill="auto"/>
            <w:noWrap/>
          </w:tcPr>
          <w:p w14:paraId="058EEDAA"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992" w:type="dxa"/>
            <w:shd w:val="clear" w:color="auto" w:fill="auto"/>
            <w:noWrap/>
          </w:tcPr>
          <w:p w14:paraId="5740566B"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1134" w:type="dxa"/>
            <w:shd w:val="clear" w:color="auto" w:fill="auto"/>
            <w:noWrap/>
          </w:tcPr>
          <w:p w14:paraId="5A402188"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709" w:type="dxa"/>
            <w:shd w:val="clear" w:color="auto" w:fill="auto"/>
            <w:noWrap/>
          </w:tcPr>
          <w:p w14:paraId="6953565D"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3D252692"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55458162"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w:t>
            </w:r>
          </w:p>
        </w:tc>
        <w:tc>
          <w:tcPr>
            <w:tcW w:w="1191" w:type="dxa"/>
            <w:shd w:val="clear" w:color="auto" w:fill="auto"/>
            <w:noWrap/>
          </w:tcPr>
          <w:p w14:paraId="66817E57" w14:textId="7C8FB0A0"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r w:rsidR="00683F31" w:rsidRPr="009C2D9A">
              <w:rPr>
                <w:rFonts w:asciiTheme="majorBidi" w:hAnsiTheme="majorBidi" w:cstheme="majorBidi"/>
                <w:kern w:val="22"/>
                <w:sz w:val="20"/>
                <w:szCs w:val="20"/>
                <w:lang w:val="es-ES_tradnl"/>
              </w:rPr>
              <w:t>%</w:t>
            </w:r>
          </w:p>
        </w:tc>
      </w:tr>
      <w:tr w:rsidR="00AC3CFB" w:rsidRPr="009C2D9A" w14:paraId="1D4DE509" w14:textId="77777777" w:rsidTr="009B3E78">
        <w:trPr>
          <w:jc w:val="center"/>
        </w:trPr>
        <w:tc>
          <w:tcPr>
            <w:tcW w:w="2830" w:type="dxa"/>
            <w:shd w:val="clear" w:color="auto" w:fill="auto"/>
          </w:tcPr>
          <w:p w14:paraId="671C5BB7" w14:textId="3B5A0A7C"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PNUD</w:t>
            </w:r>
          </w:p>
        </w:tc>
        <w:tc>
          <w:tcPr>
            <w:tcW w:w="993" w:type="dxa"/>
            <w:shd w:val="clear" w:color="auto" w:fill="auto"/>
            <w:noWrap/>
          </w:tcPr>
          <w:p w14:paraId="45F7747D"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12</w:t>
            </w:r>
          </w:p>
        </w:tc>
        <w:tc>
          <w:tcPr>
            <w:tcW w:w="992" w:type="dxa"/>
            <w:shd w:val="clear" w:color="auto" w:fill="auto"/>
            <w:noWrap/>
          </w:tcPr>
          <w:p w14:paraId="413CC6A9"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12</w:t>
            </w:r>
          </w:p>
        </w:tc>
        <w:tc>
          <w:tcPr>
            <w:tcW w:w="1134" w:type="dxa"/>
            <w:shd w:val="clear" w:color="auto" w:fill="auto"/>
            <w:noWrap/>
          </w:tcPr>
          <w:p w14:paraId="539E26C6"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8</w:t>
            </w:r>
          </w:p>
        </w:tc>
        <w:tc>
          <w:tcPr>
            <w:tcW w:w="709" w:type="dxa"/>
            <w:shd w:val="clear" w:color="auto" w:fill="auto"/>
            <w:noWrap/>
          </w:tcPr>
          <w:p w14:paraId="75424A8D"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0B32EE26"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992" w:type="dxa"/>
            <w:shd w:val="clear" w:color="auto" w:fill="auto"/>
            <w:noWrap/>
          </w:tcPr>
          <w:p w14:paraId="3BE6E313"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33</w:t>
            </w:r>
          </w:p>
        </w:tc>
        <w:tc>
          <w:tcPr>
            <w:tcW w:w="1191" w:type="dxa"/>
            <w:shd w:val="clear" w:color="auto" w:fill="auto"/>
            <w:noWrap/>
          </w:tcPr>
          <w:p w14:paraId="23A21D61" w14:textId="2399AA8B"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3</w:t>
            </w:r>
            <w:r w:rsidR="004F4B37" w:rsidRPr="009C2D9A">
              <w:rPr>
                <w:rFonts w:asciiTheme="majorBidi" w:hAnsiTheme="majorBidi" w:cstheme="majorBidi"/>
                <w:kern w:val="22"/>
                <w:sz w:val="20"/>
                <w:szCs w:val="20"/>
                <w:lang w:val="es-ES_tradnl"/>
              </w:rPr>
              <w:t>3</w:t>
            </w:r>
            <w:r w:rsidR="00683F31" w:rsidRPr="009C2D9A">
              <w:rPr>
                <w:rFonts w:asciiTheme="majorBidi" w:hAnsiTheme="majorBidi" w:cstheme="majorBidi"/>
                <w:kern w:val="22"/>
                <w:sz w:val="20"/>
                <w:szCs w:val="20"/>
                <w:lang w:val="es-ES_tradnl"/>
              </w:rPr>
              <w:t>%</w:t>
            </w:r>
          </w:p>
        </w:tc>
      </w:tr>
      <w:tr w:rsidR="00AC3CFB" w:rsidRPr="009C2D9A" w14:paraId="3E7D65D4" w14:textId="77777777" w:rsidTr="009B3E78">
        <w:trPr>
          <w:jc w:val="center"/>
        </w:trPr>
        <w:tc>
          <w:tcPr>
            <w:tcW w:w="2830" w:type="dxa"/>
            <w:shd w:val="clear" w:color="auto" w:fill="auto"/>
          </w:tcPr>
          <w:p w14:paraId="50585918" w14:textId="786ABAC2"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PNUMA</w:t>
            </w:r>
            <w:r w:rsidR="00AC3CFB" w:rsidRPr="009C2D9A">
              <w:rPr>
                <w:rStyle w:val="FootnoteReference"/>
                <w:rFonts w:asciiTheme="majorBidi" w:hAnsiTheme="majorBidi" w:cstheme="majorBidi"/>
                <w:bCs/>
                <w:kern w:val="22"/>
                <w:sz w:val="20"/>
                <w:szCs w:val="20"/>
                <w:lang w:val="es-ES_tradnl"/>
              </w:rPr>
              <w:footnoteReference w:id="18"/>
            </w:r>
          </w:p>
        </w:tc>
        <w:tc>
          <w:tcPr>
            <w:tcW w:w="993" w:type="dxa"/>
            <w:shd w:val="clear" w:color="auto" w:fill="auto"/>
            <w:noWrap/>
          </w:tcPr>
          <w:p w14:paraId="685ECADA"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11</w:t>
            </w:r>
          </w:p>
        </w:tc>
        <w:tc>
          <w:tcPr>
            <w:tcW w:w="992" w:type="dxa"/>
            <w:shd w:val="clear" w:color="auto" w:fill="auto"/>
            <w:noWrap/>
          </w:tcPr>
          <w:p w14:paraId="179904EF"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5</w:t>
            </w:r>
          </w:p>
        </w:tc>
        <w:tc>
          <w:tcPr>
            <w:tcW w:w="1134" w:type="dxa"/>
            <w:shd w:val="clear" w:color="auto" w:fill="auto"/>
            <w:noWrap/>
          </w:tcPr>
          <w:p w14:paraId="645F0257"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3</w:t>
            </w:r>
          </w:p>
        </w:tc>
        <w:tc>
          <w:tcPr>
            <w:tcW w:w="709" w:type="dxa"/>
            <w:shd w:val="clear" w:color="auto" w:fill="auto"/>
            <w:noWrap/>
          </w:tcPr>
          <w:p w14:paraId="2BE9A251"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0</w:t>
            </w:r>
          </w:p>
        </w:tc>
        <w:tc>
          <w:tcPr>
            <w:tcW w:w="992" w:type="dxa"/>
            <w:shd w:val="clear" w:color="auto" w:fill="auto"/>
            <w:noWrap/>
          </w:tcPr>
          <w:p w14:paraId="3D04C7AE"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2</w:t>
            </w:r>
          </w:p>
        </w:tc>
        <w:tc>
          <w:tcPr>
            <w:tcW w:w="992" w:type="dxa"/>
            <w:shd w:val="clear" w:color="auto" w:fill="auto"/>
            <w:noWrap/>
          </w:tcPr>
          <w:p w14:paraId="7B6D3845"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21</w:t>
            </w:r>
          </w:p>
        </w:tc>
        <w:tc>
          <w:tcPr>
            <w:tcW w:w="1191" w:type="dxa"/>
            <w:shd w:val="clear" w:color="auto" w:fill="auto"/>
            <w:noWrap/>
          </w:tcPr>
          <w:p w14:paraId="2814BC02" w14:textId="2D254089"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20</w:t>
            </w:r>
            <w:r w:rsidR="00683F31" w:rsidRPr="009C2D9A">
              <w:rPr>
                <w:rFonts w:asciiTheme="majorBidi" w:hAnsiTheme="majorBidi" w:cstheme="majorBidi"/>
                <w:kern w:val="22"/>
                <w:sz w:val="20"/>
                <w:szCs w:val="20"/>
                <w:lang w:val="es-ES_tradnl"/>
              </w:rPr>
              <w:t>%</w:t>
            </w:r>
          </w:p>
        </w:tc>
      </w:tr>
      <w:tr w:rsidR="00AC3CFB" w:rsidRPr="009C2D9A" w14:paraId="7A7F54CF" w14:textId="77777777" w:rsidTr="009B3E78">
        <w:trPr>
          <w:jc w:val="center"/>
        </w:trPr>
        <w:tc>
          <w:tcPr>
            <w:tcW w:w="2830" w:type="dxa"/>
            <w:shd w:val="clear" w:color="auto" w:fill="auto"/>
          </w:tcPr>
          <w:p w14:paraId="6BB84C55" w14:textId="282D6307"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PNUMA</w:t>
            </w:r>
            <w:r w:rsidR="00AC3CFB" w:rsidRPr="009C2D9A">
              <w:rPr>
                <w:rFonts w:asciiTheme="majorBidi" w:hAnsiTheme="majorBidi" w:cstheme="majorBidi"/>
                <w:bCs/>
                <w:kern w:val="22"/>
                <w:sz w:val="20"/>
                <w:szCs w:val="20"/>
                <w:lang w:val="es-ES_tradnl"/>
              </w:rPr>
              <w:t>/U</w:t>
            </w:r>
            <w:r w:rsidRPr="009C2D9A">
              <w:rPr>
                <w:rFonts w:asciiTheme="majorBidi" w:hAnsiTheme="majorBidi" w:cstheme="majorBidi"/>
                <w:bCs/>
                <w:kern w:val="22"/>
                <w:sz w:val="20"/>
                <w:szCs w:val="20"/>
                <w:lang w:val="es-ES_tradnl"/>
              </w:rPr>
              <w:t>I</w:t>
            </w:r>
            <w:r w:rsidR="00AC3CFB" w:rsidRPr="009C2D9A">
              <w:rPr>
                <w:rFonts w:asciiTheme="majorBidi" w:hAnsiTheme="majorBidi" w:cstheme="majorBidi"/>
                <w:bCs/>
                <w:kern w:val="22"/>
                <w:sz w:val="20"/>
                <w:szCs w:val="20"/>
                <w:lang w:val="es-ES_tradnl"/>
              </w:rPr>
              <w:t>CN</w:t>
            </w:r>
          </w:p>
        </w:tc>
        <w:tc>
          <w:tcPr>
            <w:tcW w:w="993" w:type="dxa"/>
            <w:shd w:val="clear" w:color="auto" w:fill="auto"/>
            <w:noWrap/>
          </w:tcPr>
          <w:p w14:paraId="18553C5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18F77E0A"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1134" w:type="dxa"/>
            <w:shd w:val="clear" w:color="auto" w:fill="auto"/>
            <w:noWrap/>
          </w:tcPr>
          <w:p w14:paraId="69AB0937"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2</w:t>
            </w:r>
          </w:p>
        </w:tc>
        <w:tc>
          <w:tcPr>
            <w:tcW w:w="709" w:type="dxa"/>
            <w:shd w:val="clear" w:color="auto" w:fill="auto"/>
            <w:noWrap/>
          </w:tcPr>
          <w:p w14:paraId="618D7D09"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p>
        </w:tc>
        <w:tc>
          <w:tcPr>
            <w:tcW w:w="992" w:type="dxa"/>
            <w:shd w:val="clear" w:color="auto" w:fill="auto"/>
            <w:noWrap/>
          </w:tcPr>
          <w:p w14:paraId="0C02BE5B"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604D54BD"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3</w:t>
            </w:r>
          </w:p>
        </w:tc>
        <w:tc>
          <w:tcPr>
            <w:tcW w:w="1191" w:type="dxa"/>
            <w:shd w:val="clear" w:color="auto" w:fill="auto"/>
            <w:noWrap/>
          </w:tcPr>
          <w:p w14:paraId="11B8D2E5" w14:textId="1A582FCF"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3</w:t>
            </w:r>
            <w:r w:rsidR="00683F31" w:rsidRPr="009C2D9A">
              <w:rPr>
                <w:rFonts w:asciiTheme="majorBidi" w:hAnsiTheme="majorBidi" w:cstheme="majorBidi"/>
                <w:kern w:val="22"/>
                <w:sz w:val="20"/>
                <w:szCs w:val="20"/>
                <w:lang w:val="es-ES_tradnl"/>
              </w:rPr>
              <w:t>%</w:t>
            </w:r>
          </w:p>
        </w:tc>
      </w:tr>
      <w:tr w:rsidR="00AC3CFB" w:rsidRPr="009C2D9A" w14:paraId="58A0016F" w14:textId="77777777" w:rsidTr="009B3E78">
        <w:trPr>
          <w:jc w:val="center"/>
        </w:trPr>
        <w:tc>
          <w:tcPr>
            <w:tcW w:w="2830" w:type="dxa"/>
            <w:shd w:val="clear" w:color="auto" w:fill="auto"/>
          </w:tcPr>
          <w:p w14:paraId="01E57D31" w14:textId="792EC381"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PNUMA</w:t>
            </w:r>
            <w:r w:rsidR="00AC3CFB" w:rsidRPr="009C2D9A">
              <w:rPr>
                <w:rFonts w:asciiTheme="majorBidi" w:hAnsiTheme="majorBidi" w:cstheme="majorBidi"/>
                <w:bCs/>
                <w:kern w:val="22"/>
                <w:sz w:val="20"/>
                <w:szCs w:val="20"/>
                <w:lang w:val="es-ES_tradnl"/>
              </w:rPr>
              <w:t>/</w:t>
            </w:r>
            <w:r w:rsidRPr="009C2D9A">
              <w:rPr>
                <w:rFonts w:asciiTheme="majorBidi" w:hAnsiTheme="majorBidi" w:cstheme="majorBidi"/>
                <w:bCs/>
                <w:kern w:val="22"/>
                <w:sz w:val="20"/>
                <w:szCs w:val="20"/>
                <w:lang w:val="es-ES_tradnl"/>
              </w:rPr>
              <w:t>APB</w:t>
            </w:r>
          </w:p>
        </w:tc>
        <w:tc>
          <w:tcPr>
            <w:tcW w:w="993" w:type="dxa"/>
            <w:shd w:val="clear" w:color="auto" w:fill="auto"/>
            <w:noWrap/>
          </w:tcPr>
          <w:p w14:paraId="5C007B2B"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19820D92"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3</w:t>
            </w:r>
          </w:p>
        </w:tc>
        <w:tc>
          <w:tcPr>
            <w:tcW w:w="1134" w:type="dxa"/>
            <w:shd w:val="clear" w:color="auto" w:fill="auto"/>
            <w:noWrap/>
          </w:tcPr>
          <w:p w14:paraId="2D4F6891"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709" w:type="dxa"/>
            <w:shd w:val="clear" w:color="auto" w:fill="auto"/>
            <w:noWrap/>
          </w:tcPr>
          <w:p w14:paraId="5A6B43F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601A300B"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67B1F86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3</w:t>
            </w:r>
          </w:p>
        </w:tc>
        <w:tc>
          <w:tcPr>
            <w:tcW w:w="1191" w:type="dxa"/>
            <w:shd w:val="clear" w:color="auto" w:fill="auto"/>
            <w:noWrap/>
          </w:tcPr>
          <w:p w14:paraId="319267AC" w14:textId="5200A0C0"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3</w:t>
            </w:r>
            <w:r w:rsidR="00E50388" w:rsidRPr="009C2D9A">
              <w:rPr>
                <w:rFonts w:asciiTheme="majorBidi" w:hAnsiTheme="majorBidi" w:cstheme="majorBidi"/>
                <w:kern w:val="22"/>
                <w:sz w:val="20"/>
                <w:szCs w:val="20"/>
                <w:lang w:val="es-ES_tradnl"/>
              </w:rPr>
              <w:t>%</w:t>
            </w:r>
          </w:p>
        </w:tc>
      </w:tr>
      <w:tr w:rsidR="00AC3CFB" w:rsidRPr="009C2D9A" w14:paraId="7378B572" w14:textId="77777777" w:rsidTr="009B3E78">
        <w:trPr>
          <w:jc w:val="center"/>
        </w:trPr>
        <w:tc>
          <w:tcPr>
            <w:tcW w:w="2830" w:type="dxa"/>
            <w:shd w:val="clear" w:color="auto" w:fill="auto"/>
          </w:tcPr>
          <w:p w14:paraId="0D63D1E6" w14:textId="18DDC7A1"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PNUMA</w:t>
            </w:r>
            <w:r w:rsidR="00AC3CFB" w:rsidRPr="009C2D9A">
              <w:rPr>
                <w:rFonts w:asciiTheme="majorBidi" w:hAnsiTheme="majorBidi" w:cstheme="majorBidi"/>
                <w:bCs/>
                <w:kern w:val="22"/>
                <w:sz w:val="20"/>
                <w:szCs w:val="20"/>
                <w:lang w:val="es-ES_tradnl"/>
              </w:rPr>
              <w:t>/</w:t>
            </w:r>
            <w:r w:rsidRPr="009C2D9A">
              <w:rPr>
                <w:rFonts w:asciiTheme="majorBidi" w:hAnsiTheme="majorBidi" w:cstheme="majorBidi"/>
                <w:bCs/>
                <w:kern w:val="22"/>
                <w:sz w:val="20"/>
                <w:szCs w:val="20"/>
                <w:lang w:val="es-ES_tradnl"/>
              </w:rPr>
              <w:t>Iniciativa APB</w:t>
            </w:r>
          </w:p>
        </w:tc>
        <w:tc>
          <w:tcPr>
            <w:tcW w:w="993" w:type="dxa"/>
            <w:shd w:val="clear" w:color="auto" w:fill="auto"/>
            <w:noWrap/>
          </w:tcPr>
          <w:p w14:paraId="49781E79"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992" w:type="dxa"/>
            <w:shd w:val="clear" w:color="auto" w:fill="auto"/>
            <w:noWrap/>
          </w:tcPr>
          <w:p w14:paraId="2035F175"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p>
        </w:tc>
        <w:tc>
          <w:tcPr>
            <w:tcW w:w="1134" w:type="dxa"/>
            <w:shd w:val="clear" w:color="auto" w:fill="auto"/>
            <w:noWrap/>
          </w:tcPr>
          <w:p w14:paraId="507CE5C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p>
        </w:tc>
        <w:tc>
          <w:tcPr>
            <w:tcW w:w="709" w:type="dxa"/>
            <w:shd w:val="clear" w:color="auto" w:fill="auto"/>
            <w:noWrap/>
          </w:tcPr>
          <w:p w14:paraId="6286E531"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p>
        </w:tc>
        <w:tc>
          <w:tcPr>
            <w:tcW w:w="992" w:type="dxa"/>
            <w:shd w:val="clear" w:color="auto" w:fill="auto"/>
            <w:noWrap/>
          </w:tcPr>
          <w:p w14:paraId="6C137EF6"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p>
        </w:tc>
        <w:tc>
          <w:tcPr>
            <w:tcW w:w="992" w:type="dxa"/>
            <w:shd w:val="clear" w:color="auto" w:fill="auto"/>
            <w:noWrap/>
          </w:tcPr>
          <w:p w14:paraId="42FA8E5D"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w:t>
            </w:r>
          </w:p>
        </w:tc>
        <w:tc>
          <w:tcPr>
            <w:tcW w:w="1191" w:type="dxa"/>
            <w:shd w:val="clear" w:color="auto" w:fill="auto"/>
            <w:noWrap/>
          </w:tcPr>
          <w:p w14:paraId="21346E50" w14:textId="1109C665"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r w:rsidR="00E50388" w:rsidRPr="009C2D9A">
              <w:rPr>
                <w:rFonts w:asciiTheme="majorBidi" w:hAnsiTheme="majorBidi" w:cstheme="majorBidi"/>
                <w:kern w:val="22"/>
                <w:sz w:val="20"/>
                <w:szCs w:val="20"/>
                <w:lang w:val="es-ES_tradnl"/>
              </w:rPr>
              <w:t>%</w:t>
            </w:r>
          </w:p>
        </w:tc>
      </w:tr>
      <w:tr w:rsidR="00AC3CFB" w:rsidRPr="009C2D9A" w14:paraId="2257F5BF" w14:textId="77777777" w:rsidTr="009B3E78">
        <w:trPr>
          <w:jc w:val="center"/>
        </w:trPr>
        <w:tc>
          <w:tcPr>
            <w:tcW w:w="2830" w:type="dxa"/>
            <w:shd w:val="clear" w:color="auto" w:fill="auto"/>
          </w:tcPr>
          <w:p w14:paraId="78D5D411" w14:textId="61C4E8C3" w:rsidR="00AC3CFB" w:rsidRPr="009C2D9A" w:rsidRDefault="009B3E78"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PNUMA</w:t>
            </w:r>
            <w:r w:rsidR="00AC3CFB" w:rsidRPr="009C2D9A">
              <w:rPr>
                <w:rFonts w:asciiTheme="majorBidi" w:hAnsiTheme="majorBidi" w:cstheme="majorBidi"/>
                <w:bCs/>
                <w:kern w:val="22"/>
                <w:sz w:val="20"/>
                <w:szCs w:val="20"/>
                <w:lang w:val="es-ES_tradnl"/>
              </w:rPr>
              <w:t>/SPREP</w:t>
            </w:r>
          </w:p>
        </w:tc>
        <w:tc>
          <w:tcPr>
            <w:tcW w:w="993" w:type="dxa"/>
            <w:shd w:val="clear" w:color="auto" w:fill="auto"/>
            <w:noWrap/>
          </w:tcPr>
          <w:p w14:paraId="3E35818B"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25B78498"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p>
        </w:tc>
        <w:tc>
          <w:tcPr>
            <w:tcW w:w="1134" w:type="dxa"/>
            <w:shd w:val="clear" w:color="auto" w:fill="auto"/>
            <w:noWrap/>
          </w:tcPr>
          <w:p w14:paraId="0C667F8F"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709" w:type="dxa"/>
            <w:shd w:val="clear" w:color="auto" w:fill="auto"/>
            <w:noWrap/>
          </w:tcPr>
          <w:p w14:paraId="5338373D"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2EABF208"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w:t>
            </w:r>
          </w:p>
        </w:tc>
        <w:tc>
          <w:tcPr>
            <w:tcW w:w="992" w:type="dxa"/>
            <w:shd w:val="clear" w:color="auto" w:fill="auto"/>
            <w:noWrap/>
          </w:tcPr>
          <w:p w14:paraId="1570F2B4"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es-ES_tradnl"/>
              </w:rPr>
            </w:pPr>
            <w:r w:rsidRPr="009C2D9A">
              <w:rPr>
                <w:rFonts w:asciiTheme="majorBidi" w:hAnsiTheme="majorBidi" w:cstheme="majorBidi"/>
                <w:bCs/>
                <w:kern w:val="22"/>
                <w:sz w:val="20"/>
                <w:szCs w:val="20"/>
                <w:lang w:val="es-ES_tradnl"/>
              </w:rPr>
              <w:t>1</w:t>
            </w:r>
          </w:p>
        </w:tc>
        <w:tc>
          <w:tcPr>
            <w:tcW w:w="1191" w:type="dxa"/>
            <w:shd w:val="clear" w:color="auto" w:fill="auto"/>
            <w:noWrap/>
          </w:tcPr>
          <w:p w14:paraId="291B960B" w14:textId="66F6E0FE"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es-ES_tradnl"/>
              </w:rPr>
            </w:pPr>
            <w:r w:rsidRPr="009C2D9A">
              <w:rPr>
                <w:rFonts w:asciiTheme="majorBidi" w:hAnsiTheme="majorBidi" w:cstheme="majorBidi"/>
                <w:kern w:val="22"/>
                <w:sz w:val="20"/>
                <w:szCs w:val="20"/>
                <w:lang w:val="es-ES_tradnl"/>
              </w:rPr>
              <w:t>1</w:t>
            </w:r>
            <w:r w:rsidR="00E50388" w:rsidRPr="009C2D9A">
              <w:rPr>
                <w:rFonts w:asciiTheme="majorBidi" w:hAnsiTheme="majorBidi" w:cstheme="majorBidi"/>
                <w:kern w:val="22"/>
                <w:sz w:val="20"/>
                <w:szCs w:val="20"/>
                <w:lang w:val="es-ES_tradnl"/>
              </w:rPr>
              <w:t>%</w:t>
            </w:r>
          </w:p>
        </w:tc>
      </w:tr>
      <w:tr w:rsidR="00AC3CFB" w:rsidRPr="009C2D9A" w14:paraId="777048EF" w14:textId="77777777" w:rsidTr="009B3E78">
        <w:trPr>
          <w:jc w:val="center"/>
        </w:trPr>
        <w:tc>
          <w:tcPr>
            <w:tcW w:w="2830" w:type="dxa"/>
            <w:shd w:val="clear" w:color="auto" w:fill="auto"/>
          </w:tcPr>
          <w:p w14:paraId="2F5FD426" w14:textId="77777777" w:rsidR="00AC3CFB" w:rsidRPr="009C2D9A" w:rsidRDefault="00AC3CFB" w:rsidP="00914818">
            <w:pPr>
              <w:suppressLineNumbers/>
              <w:suppressAutoHyphens/>
              <w:kinsoku w:val="0"/>
              <w:overflowPunct w:val="0"/>
              <w:autoSpaceDE w:val="0"/>
              <w:autoSpaceDN w:val="0"/>
              <w:spacing w:before="60" w:after="60"/>
              <w:jc w:val="left"/>
              <w:rPr>
                <w:rFonts w:asciiTheme="majorBidi" w:hAnsiTheme="majorBidi" w:cstheme="majorBidi"/>
                <w:b/>
                <w:bCs/>
                <w:kern w:val="22"/>
                <w:sz w:val="20"/>
                <w:szCs w:val="20"/>
                <w:lang w:val="es-ES_tradnl"/>
              </w:rPr>
            </w:pPr>
            <w:r w:rsidRPr="009C2D9A">
              <w:rPr>
                <w:rFonts w:asciiTheme="majorBidi" w:hAnsiTheme="majorBidi" w:cstheme="majorBidi"/>
                <w:b/>
                <w:bCs/>
                <w:kern w:val="22"/>
                <w:sz w:val="20"/>
                <w:szCs w:val="20"/>
                <w:lang w:val="es-ES_tradnl"/>
              </w:rPr>
              <w:t>Total</w:t>
            </w:r>
          </w:p>
        </w:tc>
        <w:tc>
          <w:tcPr>
            <w:tcW w:w="993" w:type="dxa"/>
            <w:shd w:val="clear" w:color="auto" w:fill="auto"/>
            <w:noWrap/>
          </w:tcPr>
          <w:p w14:paraId="0A5A84EF"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es-ES_tradnl"/>
              </w:rPr>
            </w:pPr>
            <w:r w:rsidRPr="009C2D9A">
              <w:rPr>
                <w:rFonts w:asciiTheme="majorBidi" w:hAnsiTheme="majorBidi" w:cstheme="majorBidi"/>
                <w:b/>
                <w:kern w:val="22"/>
                <w:sz w:val="20"/>
                <w:szCs w:val="20"/>
                <w:lang w:val="es-ES_tradnl"/>
              </w:rPr>
              <w:t>45</w:t>
            </w:r>
          </w:p>
        </w:tc>
        <w:tc>
          <w:tcPr>
            <w:tcW w:w="992" w:type="dxa"/>
            <w:shd w:val="clear" w:color="auto" w:fill="auto"/>
            <w:noWrap/>
          </w:tcPr>
          <w:p w14:paraId="4DAA711B" w14:textId="793A52C5"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es-ES_tradnl"/>
              </w:rPr>
            </w:pPr>
            <w:r w:rsidRPr="009C2D9A">
              <w:rPr>
                <w:rFonts w:asciiTheme="majorBidi" w:hAnsiTheme="majorBidi" w:cstheme="majorBidi"/>
                <w:b/>
                <w:kern w:val="22"/>
                <w:sz w:val="20"/>
                <w:szCs w:val="20"/>
                <w:lang w:val="es-ES_tradnl"/>
              </w:rPr>
              <w:t>3</w:t>
            </w:r>
            <w:r w:rsidR="00DD1A75" w:rsidRPr="009C2D9A">
              <w:rPr>
                <w:rFonts w:asciiTheme="majorBidi" w:hAnsiTheme="majorBidi" w:cstheme="majorBidi"/>
                <w:b/>
                <w:kern w:val="22"/>
                <w:sz w:val="20"/>
                <w:szCs w:val="20"/>
                <w:lang w:val="es-ES_tradnl"/>
              </w:rPr>
              <w:t>2</w:t>
            </w:r>
          </w:p>
        </w:tc>
        <w:tc>
          <w:tcPr>
            <w:tcW w:w="1134" w:type="dxa"/>
            <w:shd w:val="clear" w:color="auto" w:fill="auto"/>
            <w:noWrap/>
          </w:tcPr>
          <w:p w14:paraId="1EC20010"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es-ES_tradnl"/>
              </w:rPr>
            </w:pPr>
            <w:r w:rsidRPr="009C2D9A">
              <w:rPr>
                <w:rFonts w:asciiTheme="majorBidi" w:hAnsiTheme="majorBidi" w:cstheme="majorBidi"/>
                <w:b/>
                <w:kern w:val="22"/>
                <w:sz w:val="20"/>
                <w:szCs w:val="20"/>
                <w:lang w:val="es-ES_tradnl"/>
              </w:rPr>
              <w:t>21</w:t>
            </w:r>
          </w:p>
        </w:tc>
        <w:tc>
          <w:tcPr>
            <w:tcW w:w="709" w:type="dxa"/>
            <w:shd w:val="clear" w:color="auto" w:fill="auto"/>
            <w:noWrap/>
          </w:tcPr>
          <w:p w14:paraId="138924D5"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es-ES_tradnl"/>
              </w:rPr>
            </w:pPr>
            <w:r w:rsidRPr="009C2D9A">
              <w:rPr>
                <w:rFonts w:asciiTheme="majorBidi" w:hAnsiTheme="majorBidi" w:cstheme="majorBidi"/>
                <w:b/>
                <w:kern w:val="22"/>
                <w:sz w:val="20"/>
                <w:szCs w:val="20"/>
                <w:lang w:val="es-ES_tradnl"/>
              </w:rPr>
              <w:t>1</w:t>
            </w:r>
          </w:p>
        </w:tc>
        <w:tc>
          <w:tcPr>
            <w:tcW w:w="992" w:type="dxa"/>
            <w:shd w:val="clear" w:color="auto" w:fill="auto"/>
            <w:noWrap/>
          </w:tcPr>
          <w:p w14:paraId="0F56A9A4" w14:textId="77777777" w:rsidR="00AC3CFB" w:rsidRPr="009C2D9A"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es-ES_tradnl"/>
              </w:rPr>
            </w:pPr>
            <w:r w:rsidRPr="009C2D9A">
              <w:rPr>
                <w:rFonts w:asciiTheme="majorBidi" w:hAnsiTheme="majorBidi" w:cstheme="majorBidi"/>
                <w:b/>
                <w:kern w:val="22"/>
                <w:sz w:val="20"/>
                <w:szCs w:val="20"/>
                <w:lang w:val="es-ES_tradnl"/>
              </w:rPr>
              <w:t>3</w:t>
            </w:r>
          </w:p>
        </w:tc>
        <w:tc>
          <w:tcPr>
            <w:tcW w:w="992" w:type="dxa"/>
            <w:shd w:val="clear" w:color="auto" w:fill="auto"/>
            <w:noWrap/>
          </w:tcPr>
          <w:p w14:paraId="0AB6BD24" w14:textId="4BFEB7EC" w:rsidR="00AC3CFB" w:rsidRPr="009C2D9A" w:rsidRDefault="00667362" w:rsidP="00914818">
            <w:pPr>
              <w:suppressLineNumbers/>
              <w:suppressAutoHyphens/>
              <w:kinsoku w:val="0"/>
              <w:overflowPunct w:val="0"/>
              <w:autoSpaceDE w:val="0"/>
              <w:autoSpaceDN w:val="0"/>
              <w:spacing w:before="60" w:after="60"/>
              <w:ind w:right="284"/>
              <w:jc w:val="right"/>
              <w:rPr>
                <w:rFonts w:asciiTheme="majorBidi" w:hAnsiTheme="majorBidi" w:cstheme="majorBidi"/>
                <w:b/>
                <w:bCs/>
                <w:kern w:val="22"/>
                <w:sz w:val="20"/>
                <w:szCs w:val="20"/>
                <w:lang w:val="es-ES_tradnl"/>
              </w:rPr>
            </w:pPr>
            <w:r w:rsidRPr="009C2D9A">
              <w:rPr>
                <w:rFonts w:asciiTheme="majorBidi" w:hAnsiTheme="majorBidi" w:cstheme="majorBidi"/>
                <w:b/>
                <w:bCs/>
                <w:kern w:val="22"/>
                <w:sz w:val="20"/>
                <w:szCs w:val="20"/>
                <w:lang w:val="es-ES_tradnl"/>
              </w:rPr>
              <w:t>10</w:t>
            </w:r>
            <w:r w:rsidR="00FF550C" w:rsidRPr="009C2D9A">
              <w:rPr>
                <w:rFonts w:asciiTheme="majorBidi" w:hAnsiTheme="majorBidi" w:cstheme="majorBidi"/>
                <w:b/>
                <w:bCs/>
                <w:kern w:val="22"/>
                <w:sz w:val="20"/>
                <w:szCs w:val="20"/>
                <w:lang w:val="es-ES_tradnl"/>
              </w:rPr>
              <w:t>2</w:t>
            </w:r>
          </w:p>
        </w:tc>
        <w:tc>
          <w:tcPr>
            <w:tcW w:w="1191" w:type="dxa"/>
            <w:shd w:val="clear" w:color="auto" w:fill="auto"/>
            <w:noWrap/>
          </w:tcPr>
          <w:p w14:paraId="1F82C946" w14:textId="46C4293B" w:rsidR="00AC3CFB" w:rsidRPr="009C2D9A" w:rsidRDefault="00AC3CFB" w:rsidP="00914818">
            <w:pPr>
              <w:suppressLineNumbers/>
              <w:suppressAutoHyphens/>
              <w:kinsoku w:val="0"/>
              <w:overflowPunct w:val="0"/>
              <w:autoSpaceDE w:val="0"/>
              <w:autoSpaceDN w:val="0"/>
              <w:spacing w:before="60" w:after="60"/>
              <w:jc w:val="right"/>
              <w:rPr>
                <w:rFonts w:asciiTheme="majorBidi" w:hAnsiTheme="majorBidi" w:cstheme="majorBidi"/>
                <w:b/>
                <w:spacing w:val="-14"/>
                <w:kern w:val="22"/>
                <w:sz w:val="20"/>
                <w:szCs w:val="20"/>
                <w:lang w:val="es-ES_tradnl"/>
              </w:rPr>
            </w:pPr>
            <w:r w:rsidRPr="009C2D9A">
              <w:rPr>
                <w:rFonts w:asciiTheme="majorBidi" w:hAnsiTheme="majorBidi" w:cstheme="majorBidi"/>
                <w:b/>
                <w:spacing w:val="-14"/>
                <w:kern w:val="22"/>
                <w:sz w:val="20"/>
                <w:szCs w:val="20"/>
                <w:lang w:val="es-ES_tradnl"/>
              </w:rPr>
              <w:t>100</w:t>
            </w:r>
            <w:r w:rsidR="00E50388" w:rsidRPr="009C2D9A">
              <w:rPr>
                <w:rFonts w:asciiTheme="majorBidi" w:hAnsiTheme="majorBidi" w:cstheme="majorBidi"/>
                <w:b/>
                <w:spacing w:val="-14"/>
                <w:kern w:val="22"/>
                <w:sz w:val="20"/>
                <w:szCs w:val="20"/>
                <w:lang w:val="es-ES_tradnl"/>
              </w:rPr>
              <w:t>%</w:t>
            </w:r>
          </w:p>
        </w:tc>
      </w:tr>
    </w:tbl>
    <w:p w14:paraId="25CE93FC" w14:textId="072301A0" w:rsidR="00095933" w:rsidRPr="009C2D9A" w:rsidRDefault="00BB3DA7" w:rsidP="00010EB1">
      <w:pPr>
        <w:pStyle w:val="Heading3"/>
        <w:rPr>
          <w:lang w:val="es-ES_tradnl" w:eastAsia="ko-KR"/>
        </w:rPr>
      </w:pPr>
      <w:r w:rsidRPr="009C2D9A">
        <w:rPr>
          <w:lang w:val="es-ES_tradnl" w:eastAsia="ko-KR"/>
        </w:rPr>
        <w:t>2.</w:t>
      </w:r>
      <w:r w:rsidR="004A7F98" w:rsidRPr="009C2D9A">
        <w:rPr>
          <w:lang w:val="es-ES_tradnl" w:eastAsia="ko-KR"/>
        </w:rPr>
        <w:tab/>
      </w:r>
      <w:r w:rsidR="000941ED" w:rsidRPr="009C2D9A">
        <w:rPr>
          <w:lang w:val="es-ES_tradnl" w:eastAsia="ko-KR"/>
        </w:rPr>
        <w:t xml:space="preserve">Análisis de información sobre iniciativas de desarrollo de capacidades publicadas en </w:t>
      </w:r>
      <w:r w:rsidR="00EA5A51" w:rsidRPr="009C2D9A">
        <w:rPr>
          <w:lang w:val="es-ES_tradnl" w:eastAsia="ko-KR"/>
        </w:rPr>
        <w:t xml:space="preserve">el </w:t>
      </w:r>
      <w:r w:rsidR="00EA5A51" w:rsidRPr="009C2D9A">
        <w:rPr>
          <w:lang w:val="es-ES_tradnl"/>
        </w:rPr>
        <w:t>Centro de intercambio de información sobre APB.</w:t>
      </w:r>
    </w:p>
    <w:p w14:paraId="3E9277ED" w14:textId="44DE73D0" w:rsidR="000941ED" w:rsidRPr="009C2D9A" w:rsidRDefault="00BA5C93" w:rsidP="00EA5A51">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szCs w:val="22"/>
          <w:lang w:val="es-ES_tradnl" w:eastAsia="ko-KR"/>
        </w:rPr>
        <w:t>39</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bookmarkStart w:id="5" w:name="_Hlk86930643"/>
      <w:r w:rsidR="000941ED" w:rsidRPr="009C2D9A">
        <w:rPr>
          <w:lang w:val="es-ES_tradnl"/>
        </w:rPr>
        <w:t xml:space="preserve">Al 5 de noviembre de 2021, se han publicado 94 registros en el </w:t>
      </w:r>
      <w:r w:rsidR="00361990" w:rsidRPr="009C2D9A">
        <w:rPr>
          <w:lang w:val="es-ES_tradnl"/>
        </w:rPr>
        <w:t>Centro de intercambio de información sobre APB</w:t>
      </w:r>
      <w:r w:rsidR="000941ED" w:rsidRPr="009C2D9A">
        <w:rPr>
          <w:lang w:val="es-ES_tradnl"/>
        </w:rPr>
        <w:t xml:space="preserve"> bajo </w:t>
      </w:r>
      <w:r w:rsidR="00EA5A51" w:rsidRPr="009C2D9A">
        <w:rPr>
          <w:rFonts w:cs="Times New Roman"/>
          <w:kern w:val="22"/>
          <w:szCs w:val="22"/>
          <w:lang w:val="es-ES_tradnl" w:eastAsia="ko-KR"/>
        </w:rPr>
        <w:t>“</w:t>
      </w:r>
      <w:r w:rsidR="000941ED" w:rsidRPr="009C2D9A">
        <w:rPr>
          <w:lang w:val="es-ES_tradnl"/>
        </w:rPr>
        <w:t>iniciativas de creación de capacidad</w:t>
      </w:r>
      <w:r w:rsidR="00EA5A51" w:rsidRPr="009C2D9A">
        <w:rPr>
          <w:rFonts w:cs="Times New Roman"/>
          <w:kern w:val="22"/>
          <w:szCs w:val="22"/>
          <w:lang w:val="es-ES_tradnl" w:eastAsia="ko-KR"/>
        </w:rPr>
        <w:t>”</w:t>
      </w:r>
      <w:r w:rsidR="000941ED" w:rsidRPr="009C2D9A">
        <w:rPr>
          <w:lang w:val="es-ES_tradnl"/>
        </w:rPr>
        <w:t xml:space="preserve">, lo que refleja un aumento de solo 17 registros adicionales publicados desde la tercera reunión de las Partes </w:t>
      </w:r>
      <w:r w:rsidR="00EA5A51" w:rsidRPr="009C2D9A">
        <w:rPr>
          <w:lang w:val="es-ES_tradnl"/>
        </w:rPr>
        <w:t>en el</w:t>
      </w:r>
      <w:r w:rsidR="000941ED" w:rsidRPr="009C2D9A">
        <w:rPr>
          <w:lang w:val="es-ES_tradnl"/>
        </w:rPr>
        <w:t xml:space="preserve"> Protocolo de Nagoya. De estos registros, 53 corresponden a proyectos o programas dedicados exclusivamente a </w:t>
      </w:r>
      <w:r w:rsidR="00EA5A51" w:rsidRPr="009C2D9A">
        <w:rPr>
          <w:lang w:val="es-ES_tradnl"/>
        </w:rPr>
        <w:t>APB</w:t>
      </w:r>
      <w:r w:rsidR="000941ED" w:rsidRPr="009C2D9A">
        <w:rPr>
          <w:lang w:val="es-ES_tradnl"/>
        </w:rPr>
        <w:t xml:space="preserve">, de los cuales 40 han sido clasificados como proyectos nacionales, 7 como regionales/subregionales, 5 como </w:t>
      </w:r>
      <w:r w:rsidR="00EA5A51" w:rsidRPr="009C2D9A">
        <w:rPr>
          <w:lang w:val="es-ES_tradnl"/>
        </w:rPr>
        <w:t>mundiales</w:t>
      </w:r>
      <w:r w:rsidR="000941ED" w:rsidRPr="009C2D9A">
        <w:rPr>
          <w:lang w:val="es-ES_tradnl"/>
        </w:rPr>
        <w:t xml:space="preserve"> y 1 como subnacional. Hay 24 registros clasificados como componentes </w:t>
      </w:r>
      <w:r w:rsidR="00EA5A51" w:rsidRPr="009C2D9A">
        <w:rPr>
          <w:lang w:val="es-ES_tradnl"/>
        </w:rPr>
        <w:t xml:space="preserve">de APB </w:t>
      </w:r>
      <w:r w:rsidR="000941ED" w:rsidRPr="009C2D9A">
        <w:rPr>
          <w:lang w:val="es-ES_tradnl"/>
        </w:rPr>
        <w:t xml:space="preserve">de proyectos o programas más </w:t>
      </w:r>
      <w:r w:rsidR="000941ED" w:rsidRPr="009C2D9A">
        <w:rPr>
          <w:lang w:val="es-ES_tradnl"/>
        </w:rPr>
        <w:lastRenderedPageBreak/>
        <w:t xml:space="preserve">amplios y 14 identificados como talleres o seminarios. Vale la pena señalar que el 59 </w:t>
      </w:r>
      <w:r w:rsidR="00E86CD6" w:rsidRPr="009C2D9A">
        <w:rPr>
          <w:lang w:val="es-ES_tradnl"/>
        </w:rPr>
        <w:t>%</w:t>
      </w:r>
      <w:r w:rsidR="000941ED" w:rsidRPr="009C2D9A">
        <w:rPr>
          <w:lang w:val="es-ES_tradnl"/>
        </w:rPr>
        <w:t xml:space="preserve"> de los proyectos nacionales indican que están siendo cofinanciados con asignaciones del presupuesto nacional</w:t>
      </w:r>
      <w:r w:rsidR="008F50D8">
        <w:rPr>
          <w:lang w:val="es-ES_tradnl"/>
        </w:rPr>
        <w:t>.</w:t>
      </w:r>
    </w:p>
    <w:bookmarkEnd w:id="5"/>
    <w:p w14:paraId="10CC5348" w14:textId="155C01DC" w:rsidR="000941ED" w:rsidRPr="009C2D9A" w:rsidRDefault="00F8670A" w:rsidP="00EA5A51">
      <w:pPr>
        <w:pStyle w:val="Para1"/>
        <w:numPr>
          <w:ilvl w:val="0"/>
          <w:numId w:val="0"/>
        </w:numPr>
        <w:pBdr>
          <w:top w:val="nil"/>
          <w:left w:val="nil"/>
          <w:bottom w:val="nil"/>
          <w:right w:val="nil"/>
          <w:between w:val="nil"/>
          <w:bar w:val="nil"/>
        </w:pBdr>
        <w:spacing w:before="120"/>
        <w:rPr>
          <w:rFonts w:cs="Times New Roman"/>
          <w:snapToGrid/>
          <w:kern w:val="22"/>
          <w:lang w:val="es-ES_tradnl" w:eastAsia="ko-KR"/>
        </w:rPr>
      </w:pPr>
      <w:r w:rsidRPr="009C2D9A">
        <w:rPr>
          <w:rFonts w:cs="Times New Roman"/>
          <w:snapToGrid/>
          <w:color w:val="000000"/>
          <w:kern w:val="22"/>
          <w:lang w:val="es-ES_tradnl" w:eastAsia="ko-KR"/>
        </w:rPr>
        <w:t>4</w:t>
      </w:r>
      <w:r w:rsidR="00BA5C93" w:rsidRPr="009C2D9A">
        <w:rPr>
          <w:rFonts w:cs="Times New Roman"/>
          <w:snapToGrid/>
          <w:color w:val="000000"/>
          <w:kern w:val="22"/>
          <w:lang w:val="es-ES_tradnl" w:eastAsia="ko-KR"/>
        </w:rPr>
        <w:t>0</w:t>
      </w:r>
      <w:r w:rsidRPr="009C2D9A">
        <w:rPr>
          <w:rFonts w:cs="Times New Roman"/>
          <w:snapToGrid/>
          <w:color w:val="000000"/>
          <w:kern w:val="22"/>
          <w:lang w:val="es-ES_tradnl" w:eastAsia="ko-KR"/>
        </w:rPr>
        <w:t>.</w:t>
      </w:r>
      <w:r w:rsidRPr="009C2D9A">
        <w:rPr>
          <w:rFonts w:cs="Times New Roman"/>
          <w:snapToGrid/>
          <w:color w:val="000000"/>
          <w:kern w:val="22"/>
          <w:szCs w:val="22"/>
          <w:lang w:val="es-ES_tradnl" w:eastAsia="ko-KR"/>
        </w:rPr>
        <w:tab/>
      </w:r>
      <w:r w:rsidR="000941ED" w:rsidRPr="009C2D9A">
        <w:rPr>
          <w:lang w:val="es-ES_tradnl"/>
        </w:rPr>
        <w:t xml:space="preserve">El análisis de la información registrada en el </w:t>
      </w:r>
      <w:r w:rsidR="00361990" w:rsidRPr="009C2D9A">
        <w:rPr>
          <w:lang w:val="es-ES_tradnl"/>
        </w:rPr>
        <w:t>Centro de intercambio de información sobre APB</w:t>
      </w:r>
      <w:r w:rsidR="000941ED" w:rsidRPr="009C2D9A">
        <w:rPr>
          <w:lang w:val="es-ES_tradnl"/>
        </w:rPr>
        <w:t xml:space="preserve"> tiene limitaciones debido a la falta de información y la continua falta de actualizaciones oportunas por parte de las Partes y las partes interesadas </w:t>
      </w:r>
      <w:r w:rsidR="00735EE4">
        <w:rPr>
          <w:lang w:val="es-ES_tradnl"/>
        </w:rPr>
        <w:t>pertinentes</w:t>
      </w:r>
      <w:r w:rsidR="000941ED" w:rsidRPr="009C2D9A">
        <w:rPr>
          <w:lang w:val="es-ES_tradnl"/>
        </w:rPr>
        <w:t>.</w:t>
      </w:r>
    </w:p>
    <w:p w14:paraId="58FB42FE" w14:textId="1D559E42" w:rsidR="004F3A2D" w:rsidRPr="009C2D9A" w:rsidRDefault="00F8670A" w:rsidP="34F95163">
      <w:pPr>
        <w:pStyle w:val="Heading2"/>
        <w:tabs>
          <w:tab w:val="clear" w:pos="720"/>
        </w:tabs>
        <w:rPr>
          <w:rFonts w:cs="Times New Roman"/>
          <w:lang w:val="es-ES_tradnl"/>
        </w:rPr>
      </w:pPr>
      <w:r w:rsidRPr="009C2D9A">
        <w:rPr>
          <w:rFonts w:cs="Times New Roman"/>
          <w:lang w:val="es-ES_tradnl"/>
        </w:rPr>
        <w:t>B.</w:t>
      </w:r>
      <w:r w:rsidRPr="009C2D9A">
        <w:rPr>
          <w:rFonts w:cs="Times New Roman"/>
          <w:szCs w:val="22"/>
          <w:lang w:val="es-ES_tradnl"/>
        </w:rPr>
        <w:tab/>
      </w:r>
      <w:r w:rsidR="000941ED" w:rsidRPr="009C2D9A">
        <w:rPr>
          <w:rFonts w:cs="Times New Roman"/>
          <w:kern w:val="22"/>
          <w:lang w:val="es-ES_tradnl"/>
        </w:rPr>
        <w:t>Recursos para la creación de capacidad y la sensibilización</w:t>
      </w:r>
    </w:p>
    <w:p w14:paraId="0CACA38F" w14:textId="0C5EEDD7" w:rsidR="00416521" w:rsidRPr="009C2D9A" w:rsidRDefault="00F8670A" w:rsidP="000E2053">
      <w:pPr>
        <w:pStyle w:val="Para1"/>
        <w:numPr>
          <w:ilvl w:val="0"/>
          <w:numId w:val="0"/>
        </w:numPr>
        <w:pBdr>
          <w:top w:val="nil"/>
          <w:left w:val="nil"/>
          <w:bottom w:val="nil"/>
          <w:right w:val="nil"/>
          <w:between w:val="nil"/>
          <w:bar w:val="nil"/>
        </w:pBdr>
        <w:spacing w:before="120"/>
        <w:rPr>
          <w:rFonts w:cs="Times New Roman"/>
          <w:snapToGrid/>
          <w:kern w:val="22"/>
          <w:szCs w:val="22"/>
          <w:lang w:val="es-ES_tradnl" w:eastAsia="ko-KR"/>
        </w:rPr>
      </w:pPr>
      <w:r w:rsidRPr="009C2D9A">
        <w:rPr>
          <w:rFonts w:cs="Times New Roman"/>
          <w:snapToGrid/>
          <w:color w:val="000000"/>
          <w:kern w:val="22"/>
          <w:szCs w:val="22"/>
          <w:lang w:val="es-ES_tradnl" w:eastAsia="ko-KR"/>
        </w:rPr>
        <w:t>4</w:t>
      </w:r>
      <w:r w:rsidR="00BA5C93" w:rsidRPr="009C2D9A">
        <w:rPr>
          <w:rFonts w:cs="Times New Roman"/>
          <w:snapToGrid/>
          <w:color w:val="000000"/>
          <w:kern w:val="22"/>
          <w:szCs w:val="22"/>
          <w:lang w:val="es-ES_tradnl" w:eastAsia="ko-KR"/>
        </w:rPr>
        <w:t>1</w:t>
      </w:r>
      <w:r w:rsidRPr="009C2D9A">
        <w:rPr>
          <w:rFonts w:cs="Times New Roman"/>
          <w:snapToGrid/>
          <w:color w:val="000000"/>
          <w:kern w:val="22"/>
          <w:szCs w:val="22"/>
          <w:lang w:val="es-ES_tradnl" w:eastAsia="ko-KR"/>
        </w:rPr>
        <w:t>.</w:t>
      </w:r>
      <w:r w:rsidRPr="009C2D9A">
        <w:rPr>
          <w:rFonts w:cs="Times New Roman"/>
          <w:snapToGrid/>
          <w:color w:val="000000"/>
          <w:kern w:val="22"/>
          <w:szCs w:val="22"/>
          <w:lang w:val="es-ES_tradnl" w:eastAsia="ko-KR"/>
        </w:rPr>
        <w:tab/>
      </w:r>
      <w:r w:rsidR="00416521" w:rsidRPr="009C2D9A">
        <w:rPr>
          <w:lang w:val="es-ES_tradnl"/>
        </w:rPr>
        <w:t xml:space="preserve">De conformidad con las solicitudes formuladas en los párrafos 10 a) y 10 b) de la decisión NP-1/8 y el párrafo 12 de la decisión </w:t>
      </w:r>
      <w:hyperlink r:id="rId27" w:history="1">
        <w:r w:rsidR="00416521" w:rsidRPr="009C2D9A">
          <w:rPr>
            <w:rStyle w:val="Hyperlink"/>
            <w:rFonts w:cs="Times New Roman"/>
            <w:snapToGrid/>
            <w:kern w:val="22"/>
            <w:szCs w:val="22"/>
            <w:lang w:val="es-ES_tradnl" w:eastAsia="ko-KR"/>
          </w:rPr>
          <w:t>NP-1/2</w:t>
        </w:r>
      </w:hyperlink>
      <w:r w:rsidR="00416521" w:rsidRPr="009C2D9A">
        <w:rPr>
          <w:lang w:val="es-ES_tradnl"/>
        </w:rPr>
        <w:t xml:space="preserve">, y sobre la base del asesoramiento brindado por el Comité Asesor Oficioso, la Secretaría estableció un base de datos para recursos de </w:t>
      </w:r>
      <w:r w:rsidR="000E2053" w:rsidRPr="009C2D9A">
        <w:rPr>
          <w:lang w:val="es-ES_tradnl"/>
        </w:rPr>
        <w:t xml:space="preserve">creación </w:t>
      </w:r>
      <w:r w:rsidR="00416521" w:rsidRPr="009C2D9A">
        <w:rPr>
          <w:lang w:val="es-ES_tradnl"/>
        </w:rPr>
        <w:t>de capacidades, accesible a través de la Biblioteca Virtual del Centro de intercambio de información sobre APB</w:t>
      </w:r>
      <w:r w:rsidR="00865963">
        <w:rPr>
          <w:rStyle w:val="FootnoteReference"/>
          <w:rFonts w:cs="Times New Roman"/>
          <w:snapToGrid/>
          <w:kern w:val="22"/>
          <w:szCs w:val="22"/>
          <w:lang w:eastAsia="ko-KR"/>
        </w:rPr>
        <w:footnoteReference w:id="19"/>
      </w:r>
      <w:r w:rsidR="00416521" w:rsidRPr="009C2D9A">
        <w:rPr>
          <w:lang w:val="es-ES_tradnl"/>
        </w:rPr>
        <w:t>, que está destinada a mostrar herramientas y recursos existentes de APB (incluidos materiales de capacitación, guías prácticas /directrices, estudios de casos de buenas prácticas, etc.).</w:t>
      </w:r>
    </w:p>
    <w:p w14:paraId="6E16286F" w14:textId="4C6EE895" w:rsidR="000941ED" w:rsidRPr="009C2D9A" w:rsidRDefault="00F8670A" w:rsidP="00D007D0">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szCs w:val="22"/>
          <w:lang w:val="es-ES_tradnl" w:eastAsia="ko-KR"/>
        </w:rPr>
        <w:t>4</w:t>
      </w:r>
      <w:r w:rsidR="00BA5C93" w:rsidRPr="009C2D9A">
        <w:rPr>
          <w:rFonts w:cs="Times New Roman"/>
          <w:snapToGrid/>
          <w:color w:val="000000"/>
          <w:kern w:val="22"/>
          <w:szCs w:val="22"/>
          <w:lang w:val="es-ES_tradnl" w:eastAsia="ko-KR"/>
        </w:rPr>
        <w:t>2</w:t>
      </w:r>
      <w:r w:rsidRPr="009C2D9A">
        <w:rPr>
          <w:rFonts w:cs="Times New Roman"/>
          <w:snapToGrid/>
          <w:color w:val="000000"/>
          <w:kern w:val="22"/>
          <w:szCs w:val="22"/>
          <w:lang w:val="es-ES_tradnl" w:eastAsia="ko-KR"/>
        </w:rPr>
        <w:t>.</w:t>
      </w:r>
      <w:r w:rsidRPr="009C2D9A">
        <w:rPr>
          <w:rFonts w:cs="Times New Roman"/>
          <w:snapToGrid/>
          <w:color w:val="000000"/>
          <w:kern w:val="22"/>
          <w:szCs w:val="22"/>
          <w:lang w:val="es-ES_tradnl" w:eastAsia="ko-KR"/>
        </w:rPr>
        <w:tab/>
      </w:r>
      <w:r w:rsidR="000941ED" w:rsidRPr="009C2D9A">
        <w:rPr>
          <w:lang w:val="es-ES_tradnl"/>
        </w:rPr>
        <w:t>La siguiente subsección proporciona una actualización de las herramientas y recursos</w:t>
      </w:r>
      <w:r w:rsidR="00D007D0" w:rsidRPr="009C2D9A">
        <w:rPr>
          <w:rStyle w:val="FootnoteReference"/>
          <w:rFonts w:cs="Times New Roman"/>
          <w:snapToGrid/>
          <w:kern w:val="22"/>
          <w:sz w:val="22"/>
          <w:szCs w:val="22"/>
          <w:lang w:val="es-ES_tradnl" w:eastAsia="ko-KR"/>
        </w:rPr>
        <w:footnoteReference w:id="20"/>
      </w:r>
      <w:r w:rsidR="000941ED" w:rsidRPr="009C2D9A">
        <w:rPr>
          <w:lang w:val="es-ES_tradnl"/>
        </w:rPr>
        <w:t xml:space="preserve"> de creación de capacidad existentes sobre acceso y </w:t>
      </w:r>
      <w:r w:rsidR="00A178A7" w:rsidRPr="009C2D9A">
        <w:rPr>
          <w:lang w:val="es-ES_tradnl"/>
        </w:rPr>
        <w:t xml:space="preserve">participación en los </w:t>
      </w:r>
      <w:r w:rsidR="000941ED" w:rsidRPr="009C2D9A">
        <w:rPr>
          <w:lang w:val="es-ES_tradnl"/>
        </w:rPr>
        <w:t xml:space="preserve">beneficios que la Secretaría ha compilado, incluido su propósito principal y cobertura temática. En </w:t>
      </w:r>
      <w:r w:rsidR="002D07D3">
        <w:rPr>
          <w:lang w:val="es-ES_tradnl"/>
        </w:rPr>
        <w:t xml:space="preserve">el documento </w:t>
      </w:r>
      <w:r w:rsidR="000941ED" w:rsidRPr="009C2D9A">
        <w:rPr>
          <w:lang w:val="es-ES_tradnl"/>
        </w:rPr>
        <w:t>CBD/NP/MOP/4/INF</w:t>
      </w:r>
      <w:r w:rsidR="00F70098" w:rsidRPr="009C2D9A">
        <w:rPr>
          <w:rFonts w:cs="Times New Roman"/>
          <w:snapToGrid/>
          <w:kern w:val="22"/>
          <w:szCs w:val="22"/>
          <w:lang w:val="es-ES_tradnl" w:eastAsia="ko-KR"/>
        </w:rPr>
        <w:t>/2</w:t>
      </w:r>
      <w:r w:rsidR="000941ED" w:rsidRPr="009C2D9A">
        <w:rPr>
          <w:lang w:val="es-ES_tradnl"/>
        </w:rPr>
        <w:t xml:space="preserve"> se incluye una lista de todos los recursos.</w:t>
      </w:r>
    </w:p>
    <w:p w14:paraId="34E7ADA8" w14:textId="0F3920E1" w:rsidR="00F70098" w:rsidRPr="009C2D9A" w:rsidRDefault="00F8670A" w:rsidP="00605144">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szCs w:val="22"/>
          <w:lang w:val="es-ES_tradnl" w:eastAsia="ko-KR"/>
        </w:rPr>
        <w:t>4</w:t>
      </w:r>
      <w:r w:rsidR="00BA5C93" w:rsidRPr="009C2D9A">
        <w:rPr>
          <w:rFonts w:cs="Times New Roman"/>
          <w:snapToGrid/>
          <w:color w:val="000000"/>
          <w:kern w:val="22"/>
          <w:szCs w:val="22"/>
          <w:lang w:val="es-ES_tradnl" w:eastAsia="ko-KR"/>
        </w:rPr>
        <w:t>3</w:t>
      </w:r>
      <w:r w:rsidRPr="009C2D9A">
        <w:rPr>
          <w:rFonts w:cs="Times New Roman"/>
          <w:snapToGrid/>
          <w:color w:val="000000"/>
          <w:kern w:val="22"/>
          <w:szCs w:val="22"/>
          <w:lang w:val="es-ES_tradnl" w:eastAsia="ko-KR"/>
        </w:rPr>
        <w:t>.</w:t>
      </w:r>
      <w:r w:rsidRPr="009C2D9A">
        <w:rPr>
          <w:rFonts w:cs="Times New Roman"/>
          <w:snapToGrid/>
          <w:color w:val="000000"/>
          <w:kern w:val="22"/>
          <w:szCs w:val="22"/>
          <w:lang w:val="es-ES_tradnl" w:eastAsia="ko-KR"/>
        </w:rPr>
        <w:tab/>
      </w:r>
      <w:r w:rsidR="00F70098" w:rsidRPr="009C2D9A">
        <w:rPr>
          <w:lang w:val="es-ES_tradnl"/>
        </w:rPr>
        <w:t xml:space="preserve">Según la información recopilada por la Secretaría al 30 de junio de 2021, hay 120 recursos conocidos relacionados con la creación de capacidad y la concienciación sobre el acceso y la </w:t>
      </w:r>
      <w:r w:rsidR="00605144" w:rsidRPr="009C2D9A">
        <w:rPr>
          <w:lang w:val="es-ES_tradnl"/>
        </w:rPr>
        <w:t xml:space="preserve">participación en los </w:t>
      </w:r>
      <w:r w:rsidR="00F70098" w:rsidRPr="009C2D9A">
        <w:rPr>
          <w:lang w:val="es-ES_tradnl"/>
        </w:rPr>
        <w:t xml:space="preserve">beneficios. Se han agregado 31 recursos adicionales a la lista desde la actualización preparada para la tercera reunión de las Partes en el Protocolo, en 2018. Es importante señalar que el 74 o el 62 </w:t>
      </w:r>
      <w:r w:rsidR="00E86CD6" w:rsidRPr="009C2D9A">
        <w:rPr>
          <w:lang w:val="es-ES_tradnl"/>
        </w:rPr>
        <w:t>%</w:t>
      </w:r>
      <w:r w:rsidR="00F70098" w:rsidRPr="009C2D9A">
        <w:rPr>
          <w:lang w:val="es-ES_tradnl"/>
        </w:rPr>
        <w:t xml:space="preserve"> de estos recursos se han publicado en </w:t>
      </w:r>
      <w:r w:rsidR="00D266F6" w:rsidRPr="009C2D9A">
        <w:rPr>
          <w:lang w:val="es-ES_tradnl"/>
        </w:rPr>
        <w:t>el Centro de intercambio de información sobre APB</w:t>
      </w:r>
      <w:r w:rsidR="00B15337">
        <w:rPr>
          <w:lang w:val="es-ES_tradnl"/>
        </w:rPr>
        <w:t>, lo que significa</w:t>
      </w:r>
      <w:r w:rsidR="00D266F6" w:rsidRPr="009C2D9A">
        <w:rPr>
          <w:lang w:val="es-ES_tradnl"/>
        </w:rPr>
        <w:t xml:space="preserve"> </w:t>
      </w:r>
      <w:r w:rsidR="00F70098" w:rsidRPr="009C2D9A">
        <w:rPr>
          <w:lang w:val="es-ES_tradnl"/>
        </w:rPr>
        <w:t>una mejora con respecto al último período de informe</w:t>
      </w:r>
      <w:r w:rsidR="00DC42B0">
        <w:rPr>
          <w:lang w:val="es-ES_tradnl"/>
        </w:rPr>
        <w:t>,</w:t>
      </w:r>
      <w:r w:rsidR="00F70098" w:rsidRPr="009C2D9A">
        <w:rPr>
          <w:lang w:val="es-ES_tradnl"/>
        </w:rPr>
        <w:t xml:space="preserve"> donde solo el 46 </w:t>
      </w:r>
      <w:r w:rsidR="00E86CD6" w:rsidRPr="009C2D9A">
        <w:rPr>
          <w:lang w:val="es-ES_tradnl"/>
        </w:rPr>
        <w:t>%</w:t>
      </w:r>
      <w:r w:rsidR="00F70098" w:rsidRPr="009C2D9A">
        <w:rPr>
          <w:lang w:val="es-ES_tradnl"/>
        </w:rPr>
        <w:t xml:space="preserve"> de los recursos se habían publicado en </w:t>
      </w:r>
      <w:r w:rsidR="00605144" w:rsidRPr="009C2D9A">
        <w:rPr>
          <w:lang w:val="es-ES_tradnl"/>
        </w:rPr>
        <w:t>dicho</w:t>
      </w:r>
      <w:r w:rsidR="00F70098" w:rsidRPr="009C2D9A">
        <w:rPr>
          <w:lang w:val="es-ES_tradnl"/>
        </w:rPr>
        <w:t xml:space="preserve"> </w:t>
      </w:r>
      <w:r w:rsidR="00361990" w:rsidRPr="009C2D9A">
        <w:rPr>
          <w:lang w:val="es-ES_tradnl"/>
        </w:rPr>
        <w:t>Centro</w:t>
      </w:r>
      <w:r w:rsidR="00605144" w:rsidRPr="009C2D9A">
        <w:rPr>
          <w:lang w:val="es-ES_tradnl"/>
        </w:rPr>
        <w:t>.</w:t>
      </w:r>
      <w:r w:rsidR="00361990" w:rsidRPr="009C2D9A">
        <w:rPr>
          <w:lang w:val="es-ES_tradnl"/>
        </w:rPr>
        <w:t xml:space="preserve"> </w:t>
      </w:r>
    </w:p>
    <w:p w14:paraId="0EC76AFD" w14:textId="7EFC5D73" w:rsidR="00F70098" w:rsidRPr="009C2D9A" w:rsidRDefault="00140887" w:rsidP="00B60E7E">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spacing w:val="-1"/>
          <w:kern w:val="22"/>
          <w:szCs w:val="22"/>
          <w:lang w:val="es-ES_tradnl" w:eastAsia="ko-KR"/>
        </w:rPr>
        <w:t>4</w:t>
      </w:r>
      <w:r w:rsidR="00BA5C93" w:rsidRPr="009C2D9A">
        <w:rPr>
          <w:rFonts w:cs="Times New Roman"/>
          <w:snapToGrid/>
          <w:color w:val="000000"/>
          <w:spacing w:val="-1"/>
          <w:kern w:val="22"/>
          <w:szCs w:val="22"/>
          <w:lang w:val="es-ES_tradnl" w:eastAsia="ko-KR"/>
        </w:rPr>
        <w:t>4</w:t>
      </w:r>
      <w:r w:rsidR="00F8670A" w:rsidRPr="009C2D9A">
        <w:rPr>
          <w:rFonts w:cs="Times New Roman"/>
          <w:snapToGrid/>
          <w:color w:val="000000"/>
          <w:spacing w:val="-1"/>
          <w:kern w:val="22"/>
          <w:szCs w:val="22"/>
          <w:lang w:val="es-ES_tradnl" w:eastAsia="ko-KR"/>
        </w:rPr>
        <w:t>.</w:t>
      </w:r>
      <w:r w:rsidR="00F8670A" w:rsidRPr="009C2D9A">
        <w:rPr>
          <w:rFonts w:cs="Times New Roman"/>
          <w:snapToGrid/>
          <w:color w:val="000000"/>
          <w:spacing w:val="-1"/>
          <w:kern w:val="22"/>
          <w:szCs w:val="22"/>
          <w:lang w:val="es-ES_tradnl" w:eastAsia="ko-KR"/>
        </w:rPr>
        <w:tab/>
      </w:r>
      <w:r w:rsidR="00F70098" w:rsidRPr="009C2D9A">
        <w:rPr>
          <w:lang w:val="es-ES_tradnl"/>
        </w:rPr>
        <w:t xml:space="preserve">Proporcionar orientación técnica (57 </w:t>
      </w:r>
      <w:r w:rsidR="00E86CD6" w:rsidRPr="009C2D9A">
        <w:rPr>
          <w:lang w:val="es-ES_tradnl"/>
        </w:rPr>
        <w:t>%</w:t>
      </w:r>
      <w:r w:rsidR="00F70098" w:rsidRPr="009C2D9A">
        <w:rPr>
          <w:lang w:val="es-ES_tradnl"/>
        </w:rPr>
        <w:t xml:space="preserve">) y crear conciencia (48 </w:t>
      </w:r>
      <w:r w:rsidR="00E86CD6" w:rsidRPr="009C2D9A">
        <w:rPr>
          <w:lang w:val="es-ES_tradnl"/>
        </w:rPr>
        <w:t>%</w:t>
      </w:r>
      <w:r w:rsidR="00F70098" w:rsidRPr="009C2D9A">
        <w:rPr>
          <w:lang w:val="es-ES_tradnl"/>
        </w:rPr>
        <w:t xml:space="preserve">) </w:t>
      </w:r>
      <w:r w:rsidR="00605144" w:rsidRPr="009C2D9A">
        <w:rPr>
          <w:lang w:val="es-ES_tradnl"/>
        </w:rPr>
        <w:t xml:space="preserve">sigue </w:t>
      </w:r>
      <w:r w:rsidR="00F70098" w:rsidRPr="009C2D9A">
        <w:rPr>
          <w:lang w:val="es-ES_tradnl"/>
        </w:rPr>
        <w:t>siendo el foco de la mayoría de los recursos. Solo el 10 % de los recursos están diseñados como materiales de capacitación o autodidácticos, mientras que el 2 % está destinado a ayudar a las Partes y las partes interesadas a evaluar las necesidades de creación de capacidad y/o diseñar iniciativas de creación de capacidad</w:t>
      </w:r>
      <w:r w:rsidR="00B60E7E" w:rsidRPr="009C2D9A">
        <w:rPr>
          <w:lang w:val="es-ES_tradnl"/>
        </w:rPr>
        <w:t>,</w:t>
      </w:r>
      <w:r w:rsidR="00F70098" w:rsidRPr="009C2D9A">
        <w:rPr>
          <w:lang w:val="es-ES_tradnl"/>
        </w:rPr>
        <w:t xml:space="preserve"> y el 1 % para supervisar y evaluar </w:t>
      </w:r>
      <w:r w:rsidR="00B60E7E" w:rsidRPr="009C2D9A">
        <w:rPr>
          <w:lang w:val="es-ES_tradnl"/>
        </w:rPr>
        <w:t xml:space="preserve">iniciativas y productos de creación de </w:t>
      </w:r>
      <w:r w:rsidR="00F70098" w:rsidRPr="009C2D9A">
        <w:rPr>
          <w:lang w:val="es-ES_tradnl"/>
        </w:rPr>
        <w:t>capacidad (ver figura 6). No ha habido cambios en la composición de la colección de recursos desde la última actualización proporcionada para la Conferencia de las Partes que actúa como reunión de las Partes en el Protocolo, y los nuevos recursos también se incluyen en las categorías de orientación técnica y sensibilización.</w:t>
      </w:r>
      <w:r w:rsidR="00372549" w:rsidRPr="009C2D9A">
        <w:rPr>
          <w:lang w:val="es-ES_tradnl"/>
        </w:rPr>
        <w:t xml:space="preserve"> </w:t>
      </w:r>
    </w:p>
    <w:p w14:paraId="4D55DD5E" w14:textId="70DE7B4C" w:rsidR="004F3A2D" w:rsidRPr="009C2D9A" w:rsidRDefault="008C60F5" w:rsidP="009C12FF">
      <w:pPr>
        <w:pStyle w:val="Para1"/>
        <w:numPr>
          <w:ilvl w:val="0"/>
          <w:numId w:val="0"/>
        </w:numPr>
        <w:suppressLineNumbers/>
        <w:suppressAutoHyphens/>
        <w:kinsoku w:val="0"/>
        <w:overflowPunct w:val="0"/>
        <w:autoSpaceDE w:val="0"/>
        <w:autoSpaceDN w:val="0"/>
        <w:jc w:val="center"/>
        <w:rPr>
          <w:rFonts w:cs="Times New Roman"/>
          <w:snapToGrid/>
          <w:kern w:val="22"/>
          <w:szCs w:val="22"/>
          <w:lang w:val="es-ES_tradnl" w:eastAsia="ko-KR"/>
        </w:rPr>
      </w:pPr>
      <w:r>
        <w:rPr>
          <w:noProof/>
        </w:rPr>
        <w:lastRenderedPageBreak/>
        <w:drawing>
          <wp:inline distT="0" distB="0" distL="0" distR="0" wp14:anchorId="62058E3E" wp14:editId="2CC3DC12">
            <wp:extent cx="5943600" cy="3740150"/>
            <wp:effectExtent l="0" t="0" r="0" b="0"/>
            <wp:docPr id="3" name="Chart 3">
              <a:extLst xmlns:a="http://schemas.openxmlformats.org/drawingml/2006/main">
                <a:ext uri="{FF2B5EF4-FFF2-40B4-BE49-F238E27FC236}">
                  <a16:creationId xmlns:a16="http://schemas.microsoft.com/office/drawing/2014/main" id="{AD4F079D-7E27-54B0-591D-CFC76C52B7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7AFC406" w14:textId="3AFDF429" w:rsidR="00000E9A" w:rsidRDefault="00140887" w:rsidP="0096540C">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szCs w:val="22"/>
          <w:lang w:val="es-ES_tradnl" w:eastAsia="ko-KR"/>
        </w:rPr>
        <w:t>4</w:t>
      </w:r>
      <w:r w:rsidR="00BA5C93" w:rsidRPr="009C2D9A">
        <w:rPr>
          <w:rFonts w:cs="Times New Roman"/>
          <w:snapToGrid/>
          <w:color w:val="000000"/>
          <w:kern w:val="22"/>
          <w:szCs w:val="22"/>
          <w:lang w:val="es-ES_tradnl" w:eastAsia="ko-KR"/>
        </w:rPr>
        <w:t>5</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r w:rsidR="00F70098" w:rsidRPr="009C2D9A">
        <w:rPr>
          <w:lang w:val="es-ES_tradnl"/>
        </w:rPr>
        <w:t xml:space="preserve">En relación con la cobertura temática, </w:t>
      </w:r>
      <w:r w:rsidR="00256407">
        <w:rPr>
          <w:lang w:val="es-ES_tradnl"/>
        </w:rPr>
        <w:t>las áreas</w:t>
      </w:r>
      <w:r w:rsidR="00B60E7E" w:rsidRPr="009C2D9A">
        <w:rPr>
          <w:lang w:val="es-ES_tradnl"/>
        </w:rPr>
        <w:t xml:space="preserve"> </w:t>
      </w:r>
      <w:r w:rsidR="00F70098" w:rsidRPr="009C2D9A">
        <w:rPr>
          <w:lang w:val="es-ES_tradnl"/>
        </w:rPr>
        <w:t xml:space="preserve">clave 1, 2 y 4 del marco estratégico siguen estando bien cubiertas por los recursos existentes de creación de capacidad y sensibilización, mientras que </w:t>
      </w:r>
      <w:r w:rsidR="00256407">
        <w:rPr>
          <w:lang w:val="es-ES_tradnl"/>
        </w:rPr>
        <w:t>las áreas</w:t>
      </w:r>
      <w:r w:rsidR="00F70098" w:rsidRPr="009C2D9A">
        <w:rPr>
          <w:lang w:val="es-ES_tradnl"/>
        </w:rPr>
        <w:t xml:space="preserve"> clave 3 y 5 siguen estando insuficientemente representadas (véase la figura 7). Debe reconocerse que en varios casos un recurso puede estar cubriendo más de u</w:t>
      </w:r>
      <w:r w:rsidR="00256407">
        <w:rPr>
          <w:lang w:val="es-ES_tradnl"/>
        </w:rPr>
        <w:t>n área</w:t>
      </w:r>
      <w:r w:rsidR="00F70098" w:rsidRPr="009C2D9A">
        <w:rPr>
          <w:lang w:val="es-ES_tradnl"/>
        </w:rPr>
        <w:t xml:space="preserve">. Además, es importante reconocer que desde la última reunión de las Partes del Protocolo de Nagoya ha habido un aumento importante en los recursos dedicados a la negociación de </w:t>
      </w:r>
      <w:r w:rsidR="003B2B44">
        <w:rPr>
          <w:lang w:val="es-ES_tradnl"/>
        </w:rPr>
        <w:t>condiciones mutuamente acordadas</w:t>
      </w:r>
      <w:r w:rsidR="00F70098" w:rsidRPr="009C2D9A">
        <w:rPr>
          <w:lang w:val="es-ES_tradnl"/>
        </w:rPr>
        <w:t>, pasando de 8 a 23, y un aumento más</w:t>
      </w:r>
      <w:r w:rsidR="003B2B44">
        <w:rPr>
          <w:lang w:val="es-ES_tradnl"/>
        </w:rPr>
        <w:t xml:space="preserve"> </w:t>
      </w:r>
      <w:r w:rsidR="00E811C2" w:rsidRPr="009C2D9A">
        <w:rPr>
          <w:lang w:val="es-ES_tradnl"/>
        </w:rPr>
        <w:t xml:space="preserve">moderado </w:t>
      </w:r>
      <w:r w:rsidR="00F70098" w:rsidRPr="009C2D9A">
        <w:rPr>
          <w:lang w:val="es-ES_tradnl"/>
        </w:rPr>
        <w:t>de 3 a 12 recursos</w:t>
      </w:r>
      <w:r w:rsidR="00B60E7E" w:rsidRPr="009C2D9A">
        <w:rPr>
          <w:lang w:val="es-ES_tradnl"/>
        </w:rPr>
        <w:t xml:space="preserve"> </w:t>
      </w:r>
      <w:r w:rsidR="00F70098" w:rsidRPr="009C2D9A">
        <w:rPr>
          <w:lang w:val="es-ES_tradnl"/>
        </w:rPr>
        <w:t>dedicad</w:t>
      </w:r>
      <w:r w:rsidR="00B60E7E" w:rsidRPr="009C2D9A">
        <w:rPr>
          <w:lang w:val="es-ES_tradnl"/>
        </w:rPr>
        <w:t xml:space="preserve">os </w:t>
      </w:r>
      <w:r w:rsidR="00F70098" w:rsidRPr="009C2D9A">
        <w:rPr>
          <w:lang w:val="es-ES_tradnl"/>
        </w:rPr>
        <w:t xml:space="preserve">al desarrollo de </w:t>
      </w:r>
      <w:r w:rsidR="0038600D">
        <w:rPr>
          <w:lang w:val="es-ES_tradnl"/>
        </w:rPr>
        <w:t xml:space="preserve">las </w:t>
      </w:r>
      <w:r w:rsidR="00F70098" w:rsidRPr="009C2D9A">
        <w:rPr>
          <w:lang w:val="es-ES_tradnl"/>
        </w:rPr>
        <w:t>capacidades endógenas de investigación.</w:t>
      </w:r>
    </w:p>
    <w:p w14:paraId="72D555E8" w14:textId="45A06EF0" w:rsidR="00254056" w:rsidRDefault="004E5D5B" w:rsidP="0096540C">
      <w:pPr>
        <w:pStyle w:val="Para1"/>
        <w:numPr>
          <w:ilvl w:val="0"/>
          <w:numId w:val="0"/>
        </w:numPr>
        <w:pBdr>
          <w:top w:val="nil"/>
          <w:left w:val="nil"/>
          <w:bottom w:val="nil"/>
          <w:right w:val="nil"/>
          <w:between w:val="nil"/>
          <w:bar w:val="nil"/>
        </w:pBdr>
        <w:spacing w:before="120"/>
        <w:rPr>
          <w:noProof/>
          <w:lang w:val="es-ES_tradnl"/>
        </w:rPr>
      </w:pPr>
      <w:r>
        <w:rPr>
          <w:noProof/>
        </w:rPr>
        <w:lastRenderedPageBreak/>
        <w:drawing>
          <wp:inline distT="0" distB="0" distL="0" distR="0" wp14:anchorId="36CCCD2C" wp14:editId="3E0F71AF">
            <wp:extent cx="5943600" cy="3971290"/>
            <wp:effectExtent l="0" t="0" r="0" b="10160"/>
            <wp:docPr id="4" name="Chart 4">
              <a:extLst xmlns:a="http://schemas.openxmlformats.org/drawingml/2006/main">
                <a:ext uri="{FF2B5EF4-FFF2-40B4-BE49-F238E27FC236}">
                  <a16:creationId xmlns:a16="http://schemas.microsoft.com/office/drawing/2014/main" id="{FB6BACF3-11EC-228F-A089-51C3B5B6F3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F98E3F1" w14:textId="29C130DC" w:rsidR="00F70098" w:rsidRPr="009C2D9A" w:rsidRDefault="00140887" w:rsidP="000866F7">
      <w:pPr>
        <w:pStyle w:val="Para1"/>
        <w:numPr>
          <w:ilvl w:val="0"/>
          <w:numId w:val="0"/>
        </w:numPr>
        <w:pBdr>
          <w:top w:val="nil"/>
          <w:left w:val="nil"/>
          <w:bottom w:val="nil"/>
          <w:right w:val="nil"/>
          <w:between w:val="nil"/>
          <w:bar w:val="nil"/>
        </w:pBdr>
        <w:spacing w:before="120"/>
        <w:rPr>
          <w:lang w:val="es-ES_tradnl"/>
        </w:rPr>
      </w:pPr>
      <w:r w:rsidRPr="009C2D9A">
        <w:rPr>
          <w:rFonts w:cs="Times New Roman"/>
          <w:snapToGrid/>
          <w:color w:val="000000"/>
          <w:kern w:val="22"/>
          <w:szCs w:val="22"/>
          <w:lang w:val="es-ES_tradnl"/>
        </w:rPr>
        <w:t>4</w:t>
      </w:r>
      <w:r w:rsidR="00BA5C93" w:rsidRPr="009C2D9A">
        <w:rPr>
          <w:rFonts w:cs="Times New Roman"/>
          <w:snapToGrid/>
          <w:color w:val="000000"/>
          <w:kern w:val="22"/>
          <w:szCs w:val="22"/>
          <w:lang w:val="es-ES_tradnl"/>
        </w:rPr>
        <w:t>6</w:t>
      </w:r>
      <w:r w:rsidR="00F8670A" w:rsidRPr="009C2D9A">
        <w:rPr>
          <w:rFonts w:cs="Times New Roman"/>
          <w:snapToGrid/>
          <w:color w:val="000000"/>
          <w:kern w:val="22"/>
          <w:szCs w:val="22"/>
          <w:lang w:val="es-ES_tradnl"/>
        </w:rPr>
        <w:t>.</w:t>
      </w:r>
      <w:r w:rsidR="00F8670A" w:rsidRPr="009C2D9A">
        <w:rPr>
          <w:rFonts w:cs="Times New Roman"/>
          <w:snapToGrid/>
          <w:color w:val="000000"/>
          <w:kern w:val="22"/>
          <w:szCs w:val="22"/>
          <w:lang w:val="es-ES_tradnl"/>
        </w:rPr>
        <w:tab/>
      </w:r>
      <w:r w:rsidR="00F70098" w:rsidRPr="009C2D9A">
        <w:rPr>
          <w:lang w:val="es-ES_tradnl"/>
        </w:rPr>
        <w:t xml:space="preserve">La reunión de las Partes en el Protocolo tal vez desee alentar a las Partes, otros </w:t>
      </w:r>
      <w:r w:rsidR="00B60E7E" w:rsidRPr="009C2D9A">
        <w:rPr>
          <w:lang w:val="es-ES_tradnl"/>
        </w:rPr>
        <w:t>G</w:t>
      </w:r>
      <w:r w:rsidR="00F70098" w:rsidRPr="009C2D9A">
        <w:rPr>
          <w:lang w:val="es-ES_tradnl"/>
        </w:rPr>
        <w:t xml:space="preserve">obiernos y organizaciones pertinentes a </w:t>
      </w:r>
      <w:r w:rsidR="00B60E7E" w:rsidRPr="009C2D9A">
        <w:rPr>
          <w:lang w:val="es-ES_tradnl"/>
        </w:rPr>
        <w:t xml:space="preserve">elaborar </w:t>
      </w:r>
      <w:r w:rsidR="00F70098" w:rsidRPr="009C2D9A">
        <w:rPr>
          <w:lang w:val="es-ES_tradnl"/>
        </w:rPr>
        <w:t xml:space="preserve">los materiales de orientación adicionales mencionados anteriormente, </w:t>
      </w:r>
      <w:r w:rsidR="00E43D81">
        <w:rPr>
          <w:lang w:val="es-ES_tradnl"/>
        </w:rPr>
        <w:t xml:space="preserve">en particular </w:t>
      </w:r>
      <w:r w:rsidR="00F70098" w:rsidRPr="009C2D9A">
        <w:rPr>
          <w:lang w:val="es-ES_tradnl"/>
        </w:rPr>
        <w:t>para evaluar las necesidades de creación de capacidad y/o diseñar iniciativas de creación de capacidad</w:t>
      </w:r>
      <w:r w:rsidR="00B60E7E" w:rsidRPr="009C2D9A">
        <w:rPr>
          <w:lang w:val="es-ES_tradnl"/>
        </w:rPr>
        <w:t>,</w:t>
      </w:r>
      <w:r w:rsidR="00F70098" w:rsidRPr="009C2D9A">
        <w:rPr>
          <w:lang w:val="es-ES_tradnl"/>
        </w:rPr>
        <w:t xml:space="preserve"> </w:t>
      </w:r>
      <w:r w:rsidR="00B60E7E" w:rsidRPr="009C2D9A">
        <w:rPr>
          <w:lang w:val="es-ES_tradnl"/>
        </w:rPr>
        <w:t>así como</w:t>
      </w:r>
      <w:r w:rsidR="00F70098" w:rsidRPr="009C2D9A">
        <w:rPr>
          <w:lang w:val="es-ES_tradnl"/>
        </w:rPr>
        <w:t xml:space="preserve"> para </w:t>
      </w:r>
      <w:r w:rsidR="00B60E7E" w:rsidRPr="009C2D9A">
        <w:rPr>
          <w:lang w:val="es-ES_tradnl"/>
        </w:rPr>
        <w:t xml:space="preserve">seguir de cerca </w:t>
      </w:r>
      <w:r w:rsidR="00F70098" w:rsidRPr="009C2D9A">
        <w:rPr>
          <w:lang w:val="es-ES_tradnl"/>
        </w:rPr>
        <w:t xml:space="preserve">y evaluar </w:t>
      </w:r>
      <w:r w:rsidR="00B60E7E" w:rsidRPr="009C2D9A">
        <w:rPr>
          <w:lang w:val="es-ES_tradnl"/>
        </w:rPr>
        <w:t xml:space="preserve">iniciativas y productos de creación de </w:t>
      </w:r>
      <w:r w:rsidR="00F70098" w:rsidRPr="009C2D9A">
        <w:rPr>
          <w:lang w:val="es-ES_tradnl"/>
        </w:rPr>
        <w:t>capacidad y ponerlos a disposición a través de</w:t>
      </w:r>
      <w:r w:rsidR="000866F7" w:rsidRPr="009C2D9A">
        <w:rPr>
          <w:lang w:val="es-ES_tradnl"/>
        </w:rPr>
        <w:t>l Centro de intercambio de información sobre APB</w:t>
      </w:r>
      <w:r w:rsidR="00F70098" w:rsidRPr="009C2D9A">
        <w:rPr>
          <w:lang w:val="es-ES_tradnl"/>
        </w:rPr>
        <w:t>.</w:t>
      </w:r>
    </w:p>
    <w:p w14:paraId="74F91553" w14:textId="442DE1D7" w:rsidR="00F70098" w:rsidRPr="009C2D9A" w:rsidRDefault="00D57F20" w:rsidP="00F70098">
      <w:pPr>
        <w:pStyle w:val="Heading2"/>
        <w:rPr>
          <w:iCs w:val="0"/>
          <w:lang w:val="es-ES_tradnl"/>
        </w:rPr>
      </w:pPr>
      <w:r w:rsidRPr="009C2D9A">
        <w:rPr>
          <w:lang w:val="es-ES_tradnl"/>
        </w:rPr>
        <w:t>C.</w:t>
      </w:r>
      <w:r w:rsidR="009B3B93" w:rsidRPr="009C2D9A">
        <w:rPr>
          <w:lang w:val="es-ES_tradnl"/>
        </w:rPr>
        <w:tab/>
      </w:r>
      <w:r w:rsidR="00F70098" w:rsidRPr="009C2D9A">
        <w:rPr>
          <w:iCs w:val="0"/>
          <w:lang w:val="es-ES_tradnl"/>
        </w:rPr>
        <w:t>Consideraciones derivadas del análisis de las iniciativas y recursos de creación de capacidad</w:t>
      </w:r>
    </w:p>
    <w:p w14:paraId="776D4DD8" w14:textId="45FF777E" w:rsidR="00F70098" w:rsidRPr="009C2D9A" w:rsidRDefault="0091543C" w:rsidP="00F75765">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kern w:val="22"/>
          <w:szCs w:val="22"/>
          <w:lang w:val="es-ES_tradnl"/>
        </w:rPr>
        <w:t>4</w:t>
      </w:r>
      <w:r w:rsidR="00BA5C93" w:rsidRPr="009C2D9A">
        <w:rPr>
          <w:rFonts w:cs="Times New Roman"/>
          <w:snapToGrid/>
          <w:kern w:val="22"/>
          <w:szCs w:val="22"/>
          <w:lang w:val="es-ES_tradnl"/>
        </w:rPr>
        <w:t>7</w:t>
      </w:r>
      <w:r w:rsidRPr="009C2D9A">
        <w:rPr>
          <w:rFonts w:cs="Times New Roman"/>
          <w:snapToGrid/>
          <w:kern w:val="22"/>
          <w:szCs w:val="22"/>
          <w:lang w:val="es-ES_tradnl"/>
        </w:rPr>
        <w:t>.</w:t>
      </w:r>
      <w:r w:rsidRPr="009C2D9A">
        <w:rPr>
          <w:rFonts w:cs="Times New Roman"/>
          <w:snapToGrid/>
          <w:kern w:val="22"/>
          <w:szCs w:val="22"/>
          <w:lang w:val="es-ES_tradnl"/>
        </w:rPr>
        <w:tab/>
      </w:r>
      <w:r w:rsidR="00F70098" w:rsidRPr="009C2D9A">
        <w:rPr>
          <w:rFonts w:cs="Times New Roman"/>
          <w:snapToGrid/>
          <w:kern w:val="22"/>
          <w:szCs w:val="22"/>
          <w:lang w:val="es-ES_tradnl"/>
        </w:rPr>
        <w:t xml:space="preserve">El análisis de las iniciativas de creación de capacidad ha revelado algunos desafíos persistentes que las Partes tal vez deseen abordar en el contexto de la revisión del marco estratégico para la creación y desarrollo de capacidad para apoyar la </w:t>
      </w:r>
      <w:r w:rsidR="00E43D81">
        <w:rPr>
          <w:rFonts w:cs="Times New Roman"/>
          <w:snapToGrid/>
          <w:kern w:val="22"/>
          <w:szCs w:val="22"/>
          <w:lang w:val="es-ES_tradnl"/>
        </w:rPr>
        <w:t>aplic</w:t>
      </w:r>
      <w:r w:rsidR="00F70098" w:rsidRPr="009C2D9A">
        <w:rPr>
          <w:rFonts w:cs="Times New Roman"/>
          <w:snapToGrid/>
          <w:kern w:val="22"/>
          <w:szCs w:val="22"/>
          <w:lang w:val="es-ES_tradnl"/>
        </w:rPr>
        <w:t xml:space="preserve">ación efectiva del Protocolo de Nagoya. En </w:t>
      </w:r>
      <w:r w:rsidR="00930F8E" w:rsidRPr="009C2D9A">
        <w:rPr>
          <w:rFonts w:cs="Times New Roman"/>
          <w:snapToGrid/>
          <w:kern w:val="22"/>
          <w:szCs w:val="22"/>
          <w:lang w:val="es-ES_tradnl"/>
        </w:rPr>
        <w:t xml:space="preserve">lo que respecta a </w:t>
      </w:r>
      <w:r w:rsidR="00F70098" w:rsidRPr="009C2D9A">
        <w:rPr>
          <w:rFonts w:cs="Times New Roman"/>
          <w:snapToGrid/>
          <w:kern w:val="22"/>
          <w:szCs w:val="22"/>
          <w:lang w:val="es-ES_tradnl"/>
        </w:rPr>
        <w:t xml:space="preserve">cobertura geográfica, </w:t>
      </w:r>
      <w:r w:rsidR="00930F8E" w:rsidRPr="009C2D9A">
        <w:rPr>
          <w:lang w:val="es-ES_tradnl"/>
        </w:rPr>
        <w:t xml:space="preserve">Europa Central y Oriental </w:t>
      </w:r>
      <w:r w:rsidR="00640318" w:rsidRPr="009C2D9A">
        <w:rPr>
          <w:lang w:val="es-ES_tradnl"/>
        </w:rPr>
        <w:t xml:space="preserve">ha sido sistemáticamente </w:t>
      </w:r>
      <w:r w:rsidR="00F70098" w:rsidRPr="009C2D9A">
        <w:rPr>
          <w:rFonts w:cs="Times New Roman"/>
          <w:snapToGrid/>
          <w:kern w:val="22"/>
          <w:szCs w:val="22"/>
          <w:lang w:val="es-ES_tradnl"/>
        </w:rPr>
        <w:t>la región menos cubierta. A</w:t>
      </w:r>
      <w:r w:rsidR="00930F8E" w:rsidRPr="009C2D9A">
        <w:rPr>
          <w:rFonts w:cs="Times New Roman"/>
          <w:snapToGrid/>
          <w:kern w:val="22"/>
          <w:szCs w:val="22"/>
          <w:lang w:val="es-ES_tradnl"/>
        </w:rPr>
        <w:t>l</w:t>
      </w:r>
      <w:r w:rsidR="00F70098" w:rsidRPr="009C2D9A">
        <w:rPr>
          <w:rFonts w:cs="Times New Roman"/>
          <w:snapToGrid/>
          <w:kern w:val="22"/>
          <w:szCs w:val="22"/>
          <w:lang w:val="es-ES_tradnl"/>
        </w:rPr>
        <w:t xml:space="preserve"> revisar el marco estratégico se </w:t>
      </w:r>
      <w:r w:rsidR="00E811C2" w:rsidRPr="009C2D9A">
        <w:rPr>
          <w:rFonts w:cs="Times New Roman"/>
          <w:snapToGrid/>
          <w:kern w:val="22"/>
          <w:szCs w:val="22"/>
          <w:lang w:val="es-ES_tradnl"/>
        </w:rPr>
        <w:t xml:space="preserve">podría </w:t>
      </w:r>
      <w:r w:rsidR="00F70098" w:rsidRPr="009C2D9A">
        <w:rPr>
          <w:rFonts w:cs="Times New Roman"/>
          <w:snapToGrid/>
          <w:kern w:val="22"/>
          <w:szCs w:val="22"/>
          <w:lang w:val="es-ES_tradnl"/>
        </w:rPr>
        <w:t xml:space="preserve">poner mayor énfasis en la identificación de mecanismos para desarrollar proyectos regionales y subregionales que puedan apoyar la cooperación regional y </w:t>
      </w:r>
      <w:r w:rsidR="00640318" w:rsidRPr="009C2D9A">
        <w:rPr>
          <w:rFonts w:cs="Times New Roman"/>
          <w:snapToGrid/>
          <w:kern w:val="22"/>
          <w:szCs w:val="22"/>
          <w:lang w:val="es-ES_tradnl"/>
        </w:rPr>
        <w:t xml:space="preserve">subsanar las deficiencias en materia de </w:t>
      </w:r>
      <w:r w:rsidR="00F70098" w:rsidRPr="009C2D9A">
        <w:rPr>
          <w:rFonts w:cs="Times New Roman"/>
          <w:snapToGrid/>
          <w:kern w:val="22"/>
          <w:szCs w:val="22"/>
          <w:lang w:val="es-ES_tradnl"/>
        </w:rPr>
        <w:t xml:space="preserve">creación de capacidad en ciertas regiones como </w:t>
      </w:r>
      <w:r w:rsidR="00930F8E" w:rsidRPr="009C2D9A">
        <w:rPr>
          <w:lang w:val="es-ES_tradnl"/>
        </w:rPr>
        <w:t>Europa Central y Oriental</w:t>
      </w:r>
      <w:r w:rsidR="00F70098" w:rsidRPr="009C2D9A">
        <w:rPr>
          <w:rFonts w:cs="Times New Roman"/>
          <w:snapToGrid/>
          <w:kern w:val="22"/>
          <w:szCs w:val="22"/>
          <w:lang w:val="es-ES_tradnl"/>
        </w:rPr>
        <w:t>.</w:t>
      </w:r>
    </w:p>
    <w:p w14:paraId="43F4AAF0" w14:textId="32030587" w:rsidR="00F70098" w:rsidRPr="009C2D9A" w:rsidRDefault="00D95FD7" w:rsidP="00E811C2">
      <w:pPr>
        <w:pStyle w:val="Para1"/>
        <w:numPr>
          <w:ilvl w:val="0"/>
          <w:numId w:val="0"/>
        </w:numPr>
        <w:pBdr>
          <w:top w:val="nil"/>
          <w:left w:val="nil"/>
          <w:bottom w:val="nil"/>
          <w:right w:val="nil"/>
          <w:between w:val="nil"/>
          <w:bar w:val="nil"/>
        </w:pBdr>
        <w:spacing w:before="120"/>
        <w:rPr>
          <w:rFonts w:cs="Times New Roman"/>
          <w:snapToGrid/>
          <w:kern w:val="22"/>
          <w:szCs w:val="22"/>
          <w:lang w:val="es-ES_tradnl" w:eastAsia="ko-KR"/>
        </w:rPr>
      </w:pPr>
      <w:r w:rsidRPr="009C2D9A">
        <w:rPr>
          <w:rFonts w:cs="Times New Roman"/>
          <w:snapToGrid/>
          <w:kern w:val="22"/>
          <w:szCs w:val="22"/>
          <w:lang w:val="es-ES_tradnl"/>
        </w:rPr>
        <w:t>4</w:t>
      </w:r>
      <w:r w:rsidR="00BA5C93" w:rsidRPr="009C2D9A">
        <w:rPr>
          <w:rFonts w:cs="Times New Roman"/>
          <w:snapToGrid/>
          <w:kern w:val="22"/>
          <w:szCs w:val="22"/>
          <w:lang w:val="es-ES_tradnl"/>
        </w:rPr>
        <w:t>8</w:t>
      </w:r>
      <w:r w:rsidRPr="009C2D9A">
        <w:rPr>
          <w:rFonts w:cs="Times New Roman"/>
          <w:snapToGrid/>
          <w:kern w:val="22"/>
          <w:szCs w:val="22"/>
          <w:lang w:val="es-ES_tradnl"/>
        </w:rPr>
        <w:t>.</w:t>
      </w:r>
      <w:r w:rsidRPr="009C2D9A">
        <w:rPr>
          <w:rFonts w:cs="Times New Roman"/>
          <w:snapToGrid/>
          <w:kern w:val="22"/>
          <w:szCs w:val="22"/>
          <w:lang w:val="es-ES_tradnl"/>
        </w:rPr>
        <w:tab/>
      </w:r>
      <w:r w:rsidR="00F70098" w:rsidRPr="009C2D9A">
        <w:rPr>
          <w:lang w:val="es-ES_tradnl"/>
        </w:rPr>
        <w:t>Al considerar las</w:t>
      </w:r>
      <w:r w:rsidR="00416521" w:rsidRPr="009C2D9A">
        <w:rPr>
          <w:lang w:val="es-ES_tradnl"/>
        </w:rPr>
        <w:t xml:space="preserve"> </w:t>
      </w:r>
      <w:r w:rsidR="00256407">
        <w:rPr>
          <w:lang w:val="es-ES_tradnl"/>
        </w:rPr>
        <w:t xml:space="preserve">áreas </w:t>
      </w:r>
      <w:r w:rsidR="00F70098" w:rsidRPr="009C2D9A">
        <w:rPr>
          <w:lang w:val="es-ES_tradnl"/>
        </w:rPr>
        <w:t xml:space="preserve">clave para el desarrollo y la creación de capacidad, </w:t>
      </w:r>
      <w:r w:rsidR="00256407">
        <w:rPr>
          <w:lang w:val="es-ES_tradnl"/>
        </w:rPr>
        <w:t xml:space="preserve">las áreas </w:t>
      </w:r>
      <w:r w:rsidR="00F70098" w:rsidRPr="009C2D9A">
        <w:rPr>
          <w:lang w:val="es-ES_tradnl"/>
        </w:rPr>
        <w:t xml:space="preserve">clave 3 y 5 siguen estando insuficientemente representadas. La misma tendencia aparece en los recursos de creación de capacidad y concientización, con menos materiales </w:t>
      </w:r>
      <w:r w:rsidR="00E811C2" w:rsidRPr="009C2D9A">
        <w:rPr>
          <w:lang w:val="es-ES_tradnl"/>
        </w:rPr>
        <w:t xml:space="preserve">elaborados </w:t>
      </w:r>
      <w:r w:rsidR="00F70098" w:rsidRPr="009C2D9A">
        <w:rPr>
          <w:lang w:val="es-ES_tradnl"/>
        </w:rPr>
        <w:t xml:space="preserve">para las </w:t>
      </w:r>
      <w:r w:rsidR="00256407">
        <w:rPr>
          <w:lang w:val="es-ES_tradnl"/>
        </w:rPr>
        <w:t>área</w:t>
      </w:r>
      <w:r w:rsidR="00E811C2" w:rsidRPr="009C2D9A">
        <w:rPr>
          <w:lang w:val="es-ES_tradnl"/>
        </w:rPr>
        <w:t xml:space="preserve">s </w:t>
      </w:r>
      <w:r w:rsidR="00F70098" w:rsidRPr="009C2D9A">
        <w:rPr>
          <w:lang w:val="es-ES_tradnl"/>
        </w:rPr>
        <w:t>clave 3 y 5. Durante la revisión del marco estratégico, se debe dar prioridad a</w:t>
      </w:r>
      <w:r w:rsidR="00E811C2" w:rsidRPr="009C2D9A">
        <w:rPr>
          <w:lang w:val="es-ES_tradnl"/>
        </w:rPr>
        <w:t xml:space="preserve"> la elaboración de </w:t>
      </w:r>
      <w:r w:rsidR="00F70098" w:rsidRPr="009C2D9A">
        <w:rPr>
          <w:lang w:val="es-ES_tradnl"/>
        </w:rPr>
        <w:t>intervenciones que se centren en fortalecer las capacidades para negociar</w:t>
      </w:r>
      <w:r w:rsidR="00E811C2" w:rsidRPr="009C2D9A">
        <w:rPr>
          <w:lang w:val="es-ES_tradnl"/>
        </w:rPr>
        <w:t xml:space="preserve"> </w:t>
      </w:r>
      <w:r w:rsidR="003B2B44">
        <w:rPr>
          <w:lang w:val="es-ES_tradnl"/>
        </w:rPr>
        <w:t xml:space="preserve">condiciones </w:t>
      </w:r>
      <w:r w:rsidR="00E811C2" w:rsidRPr="009C2D9A">
        <w:rPr>
          <w:lang w:val="es-ES_tradnl"/>
        </w:rPr>
        <w:t>mutuamente acordad</w:t>
      </w:r>
      <w:r w:rsidR="003B2B44">
        <w:rPr>
          <w:lang w:val="es-ES_tradnl"/>
        </w:rPr>
        <w:t>a</w:t>
      </w:r>
      <w:r w:rsidR="00E811C2" w:rsidRPr="009C2D9A">
        <w:rPr>
          <w:lang w:val="es-ES_tradnl"/>
        </w:rPr>
        <w:t>s y construir capacidades de investigación endógenas</w:t>
      </w:r>
      <w:r w:rsidR="00F70098" w:rsidRPr="009C2D9A">
        <w:rPr>
          <w:lang w:val="es-ES_tradnl"/>
        </w:rPr>
        <w:t>.</w:t>
      </w:r>
    </w:p>
    <w:p w14:paraId="173628F0" w14:textId="1AB3DAA8" w:rsidR="00F70098" w:rsidRPr="009C2D9A" w:rsidRDefault="00BA5C93" w:rsidP="00010EB1">
      <w:pPr>
        <w:pStyle w:val="Para1"/>
        <w:numPr>
          <w:ilvl w:val="0"/>
          <w:numId w:val="0"/>
        </w:numPr>
        <w:pBdr>
          <w:top w:val="nil"/>
          <w:left w:val="nil"/>
          <w:bottom w:val="nil"/>
          <w:right w:val="nil"/>
          <w:between w:val="nil"/>
          <w:bar w:val="nil"/>
        </w:pBdr>
        <w:spacing w:before="120"/>
        <w:rPr>
          <w:rFonts w:cs="Times New Roman"/>
          <w:snapToGrid/>
          <w:kern w:val="22"/>
          <w:szCs w:val="22"/>
          <w:lang w:val="es-ES_tradnl" w:eastAsia="ko-KR"/>
        </w:rPr>
      </w:pPr>
      <w:r w:rsidRPr="009C2D9A">
        <w:rPr>
          <w:rFonts w:cs="Times New Roman"/>
          <w:snapToGrid/>
          <w:kern w:val="22"/>
          <w:szCs w:val="22"/>
          <w:lang w:val="es-ES_tradnl" w:eastAsia="ko-KR"/>
        </w:rPr>
        <w:t>49</w:t>
      </w:r>
      <w:r w:rsidR="00082909" w:rsidRPr="009C2D9A">
        <w:rPr>
          <w:rFonts w:cs="Times New Roman"/>
          <w:snapToGrid/>
          <w:kern w:val="22"/>
          <w:szCs w:val="22"/>
          <w:lang w:val="es-ES_tradnl" w:eastAsia="ko-KR"/>
        </w:rPr>
        <w:t>.</w:t>
      </w:r>
      <w:r w:rsidR="007632EE" w:rsidRPr="009C2D9A">
        <w:rPr>
          <w:rFonts w:cs="Times New Roman"/>
          <w:snapToGrid/>
          <w:kern w:val="22"/>
          <w:szCs w:val="22"/>
          <w:lang w:val="es-ES_tradnl" w:eastAsia="ko-KR"/>
        </w:rPr>
        <w:tab/>
      </w:r>
      <w:r w:rsidR="00640F5B">
        <w:rPr>
          <w:rFonts w:cs="Times New Roman"/>
          <w:snapToGrid/>
          <w:kern w:val="22"/>
          <w:szCs w:val="22"/>
          <w:lang w:val="es-ES_tradnl" w:eastAsia="ko-KR"/>
        </w:rPr>
        <w:t>Por último</w:t>
      </w:r>
      <w:r w:rsidR="00F70098" w:rsidRPr="009C2D9A">
        <w:rPr>
          <w:rFonts w:cs="Times New Roman"/>
          <w:snapToGrid/>
          <w:kern w:val="22"/>
          <w:szCs w:val="22"/>
          <w:lang w:val="es-ES_tradnl" w:eastAsia="ko-KR"/>
        </w:rPr>
        <w:t xml:space="preserve">, las Partes </w:t>
      </w:r>
      <w:r w:rsidR="00372549" w:rsidRPr="009C2D9A">
        <w:rPr>
          <w:rFonts w:cs="Times New Roman"/>
          <w:snapToGrid/>
          <w:kern w:val="22"/>
          <w:szCs w:val="22"/>
          <w:lang w:val="es-ES_tradnl" w:eastAsia="ko-KR"/>
        </w:rPr>
        <w:t xml:space="preserve">tal vez deseen abordar </w:t>
      </w:r>
      <w:r w:rsidR="00F70098" w:rsidRPr="009C2D9A">
        <w:rPr>
          <w:rFonts w:cs="Times New Roman"/>
          <w:snapToGrid/>
          <w:kern w:val="22"/>
          <w:szCs w:val="22"/>
          <w:lang w:val="es-ES_tradnl" w:eastAsia="ko-KR"/>
        </w:rPr>
        <w:t>la falta de recursos relacionados con</w:t>
      </w:r>
      <w:r w:rsidR="00E811C2" w:rsidRPr="009C2D9A">
        <w:rPr>
          <w:rFonts w:cs="Times New Roman"/>
          <w:snapToGrid/>
          <w:kern w:val="22"/>
          <w:szCs w:val="22"/>
          <w:lang w:val="es-ES_tradnl" w:eastAsia="ko-KR"/>
        </w:rPr>
        <w:t xml:space="preserve"> el </w:t>
      </w:r>
      <w:r w:rsidR="00E811C2" w:rsidRPr="009C2D9A">
        <w:rPr>
          <w:rFonts w:cs="Times New Roman"/>
          <w:color w:val="000000"/>
          <w:kern w:val="22"/>
          <w:szCs w:val="22"/>
          <w:lang w:val="es-ES_tradnl"/>
        </w:rPr>
        <w:t xml:space="preserve">acceso y la participación en los </w:t>
      </w:r>
      <w:r w:rsidR="00E811C2" w:rsidRPr="009C2D9A">
        <w:rPr>
          <w:lang w:val="es-ES_tradnl"/>
        </w:rPr>
        <w:t>beneficios,</w:t>
      </w:r>
      <w:r w:rsidR="00E811C2" w:rsidRPr="009C2D9A">
        <w:rPr>
          <w:rFonts w:cs="Times New Roman"/>
          <w:snapToGrid/>
          <w:kern w:val="22"/>
          <w:szCs w:val="22"/>
          <w:lang w:val="es-ES_tradnl" w:eastAsia="ko-KR"/>
        </w:rPr>
        <w:t xml:space="preserve"> </w:t>
      </w:r>
      <w:r w:rsidR="00F70098" w:rsidRPr="009C2D9A">
        <w:rPr>
          <w:rFonts w:cs="Times New Roman"/>
          <w:snapToGrid/>
          <w:kern w:val="22"/>
          <w:szCs w:val="22"/>
          <w:lang w:val="es-ES_tradnl" w:eastAsia="ko-KR"/>
        </w:rPr>
        <w:t xml:space="preserve">cuyo propósito es la capacitación y el aprendizaje, el </w:t>
      </w:r>
      <w:r w:rsidR="00E811C2" w:rsidRPr="009C2D9A">
        <w:rPr>
          <w:rFonts w:cs="Times New Roman"/>
          <w:snapToGrid/>
          <w:kern w:val="22"/>
          <w:szCs w:val="22"/>
          <w:lang w:val="es-ES_tradnl" w:eastAsia="ko-KR"/>
        </w:rPr>
        <w:t xml:space="preserve">seguimiento </w:t>
      </w:r>
      <w:r w:rsidR="00F70098" w:rsidRPr="009C2D9A">
        <w:rPr>
          <w:rFonts w:cs="Times New Roman"/>
          <w:snapToGrid/>
          <w:kern w:val="22"/>
          <w:szCs w:val="22"/>
          <w:lang w:val="es-ES_tradnl" w:eastAsia="ko-KR"/>
        </w:rPr>
        <w:t xml:space="preserve">y la evaluación y la evaluación de las necesidades </w:t>
      </w:r>
      <w:r w:rsidR="00E811C2" w:rsidRPr="009C2D9A">
        <w:rPr>
          <w:rFonts w:cs="Times New Roman"/>
          <w:snapToGrid/>
          <w:kern w:val="22"/>
          <w:szCs w:val="22"/>
          <w:lang w:val="es-ES_tradnl" w:eastAsia="ko-KR"/>
        </w:rPr>
        <w:t xml:space="preserve">en materia </w:t>
      </w:r>
      <w:r w:rsidR="00F70098" w:rsidRPr="009C2D9A">
        <w:rPr>
          <w:rFonts w:cs="Times New Roman"/>
          <w:snapToGrid/>
          <w:kern w:val="22"/>
          <w:szCs w:val="22"/>
          <w:lang w:val="es-ES_tradnl" w:eastAsia="ko-KR"/>
        </w:rPr>
        <w:t xml:space="preserve">de creación de capacidad, al revisar el marco estratégico sobre creación y desarrollo de capacidad para la </w:t>
      </w:r>
      <w:r w:rsidR="003640C0">
        <w:rPr>
          <w:rFonts w:cs="Times New Roman"/>
          <w:snapToGrid/>
          <w:kern w:val="22"/>
          <w:szCs w:val="22"/>
          <w:lang w:val="es-ES_tradnl" w:eastAsia="ko-KR"/>
        </w:rPr>
        <w:t>aplicación efectiva</w:t>
      </w:r>
      <w:r w:rsidR="00E811C2" w:rsidRPr="009C2D9A">
        <w:rPr>
          <w:rFonts w:cs="Times New Roman"/>
          <w:snapToGrid/>
          <w:kern w:val="22"/>
          <w:szCs w:val="22"/>
          <w:lang w:val="es-ES_tradnl" w:eastAsia="ko-KR"/>
        </w:rPr>
        <w:t xml:space="preserve"> </w:t>
      </w:r>
      <w:r w:rsidR="00F70098" w:rsidRPr="009C2D9A">
        <w:rPr>
          <w:rFonts w:cs="Times New Roman"/>
          <w:snapToGrid/>
          <w:kern w:val="22"/>
          <w:szCs w:val="22"/>
          <w:lang w:val="es-ES_tradnl" w:eastAsia="ko-KR"/>
        </w:rPr>
        <w:t>del Protocolo de Nagoya.</w:t>
      </w:r>
    </w:p>
    <w:p w14:paraId="15B261EE" w14:textId="4B2E9B06" w:rsidR="00567FF5" w:rsidRPr="009C2D9A" w:rsidRDefault="00F8670A" w:rsidP="00A1070A">
      <w:pPr>
        <w:pStyle w:val="Para1"/>
        <w:keepNext/>
        <w:numPr>
          <w:ilvl w:val="0"/>
          <w:numId w:val="0"/>
        </w:numPr>
        <w:suppressLineNumbers/>
        <w:tabs>
          <w:tab w:val="left" w:pos="1134"/>
        </w:tabs>
        <w:suppressAutoHyphens/>
        <w:kinsoku w:val="0"/>
        <w:overflowPunct w:val="0"/>
        <w:autoSpaceDE w:val="0"/>
        <w:autoSpaceDN w:val="0"/>
        <w:spacing w:before="240"/>
        <w:ind w:left="1077" w:hanging="720"/>
        <w:jc w:val="left"/>
        <w:outlineLvl w:val="0"/>
        <w:rPr>
          <w:rFonts w:cs="Times New Roman"/>
          <w:b/>
          <w:snapToGrid/>
          <w:kern w:val="22"/>
          <w:szCs w:val="22"/>
          <w:lang w:val="es-ES_tradnl" w:eastAsia="ko-KR"/>
        </w:rPr>
      </w:pPr>
      <w:r w:rsidRPr="009C2D9A">
        <w:rPr>
          <w:rFonts w:cs="Times New Roman"/>
          <w:b/>
          <w:snapToGrid/>
          <w:kern w:val="22"/>
          <w:szCs w:val="22"/>
          <w:lang w:val="es-ES_tradnl" w:eastAsia="ko-KR"/>
        </w:rPr>
        <w:lastRenderedPageBreak/>
        <w:t>IV.</w:t>
      </w:r>
      <w:r w:rsidRPr="009C2D9A">
        <w:rPr>
          <w:rFonts w:cs="Times New Roman"/>
          <w:b/>
          <w:snapToGrid/>
          <w:kern w:val="22"/>
          <w:szCs w:val="22"/>
          <w:lang w:val="es-ES_tradnl" w:eastAsia="ko-KR"/>
        </w:rPr>
        <w:tab/>
      </w:r>
      <w:r w:rsidR="00451914" w:rsidRPr="009C2D9A">
        <w:rPr>
          <w:rFonts w:cs="Times New Roman"/>
          <w:b/>
          <w:snapToGrid/>
          <w:kern w:val="22"/>
          <w:szCs w:val="22"/>
          <w:lang w:val="es-ES_tradnl" w:eastAsia="ko-KR"/>
        </w:rPr>
        <w:t>COMITÉ ASESOR OFICIOSO SOBRE CREACIÓN DE CAPACIDAD PARA LA APLICACIÓN DEL PROTOCOLO DE NAGOYA</w:t>
      </w:r>
    </w:p>
    <w:p w14:paraId="0B1403F6" w14:textId="3A7CB7D2" w:rsidR="00A62C33" w:rsidRPr="009C2D9A" w:rsidRDefault="00663B9A">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rPr>
        <w:t>5</w:t>
      </w:r>
      <w:r w:rsidR="00BA5C93" w:rsidRPr="009C2D9A">
        <w:rPr>
          <w:rFonts w:cs="Times New Roman"/>
          <w:snapToGrid/>
          <w:color w:val="000000"/>
          <w:kern w:val="22"/>
          <w:szCs w:val="22"/>
          <w:lang w:val="es-ES_tradnl"/>
        </w:rPr>
        <w:t>0</w:t>
      </w:r>
      <w:r w:rsidR="00F8670A" w:rsidRPr="009C2D9A">
        <w:rPr>
          <w:rFonts w:cs="Times New Roman"/>
          <w:snapToGrid/>
          <w:color w:val="000000"/>
          <w:kern w:val="22"/>
          <w:szCs w:val="22"/>
          <w:lang w:val="es-ES_tradnl"/>
        </w:rPr>
        <w:t>.</w:t>
      </w:r>
      <w:r w:rsidR="00F8670A" w:rsidRPr="009C2D9A">
        <w:rPr>
          <w:rFonts w:cs="Times New Roman"/>
          <w:snapToGrid/>
          <w:color w:val="000000"/>
          <w:kern w:val="22"/>
          <w:szCs w:val="22"/>
          <w:lang w:val="es-ES_tradnl"/>
        </w:rPr>
        <w:tab/>
      </w:r>
      <w:r w:rsidR="00A62C33" w:rsidRPr="009C2D9A">
        <w:rPr>
          <w:lang w:val="es-ES_tradnl"/>
        </w:rPr>
        <w:t xml:space="preserve">En cumplimiento de la decisión NP-3/5, la cuarta reunión del </w:t>
      </w:r>
      <w:r w:rsidR="00451914" w:rsidRPr="009C2D9A">
        <w:rPr>
          <w:lang w:val="es-ES_tradnl"/>
        </w:rPr>
        <w:t>Comité Asesor Oficioso sobre Creación de Capacidad para la Aplicación del Protocolo</w:t>
      </w:r>
      <w:r w:rsidR="00A62C33" w:rsidRPr="009C2D9A">
        <w:rPr>
          <w:lang w:val="es-ES_tradnl"/>
        </w:rPr>
        <w:t xml:space="preserve"> se llevó a cabo en Montreal</w:t>
      </w:r>
      <w:r w:rsidR="00451914" w:rsidRPr="009C2D9A">
        <w:rPr>
          <w:lang w:val="es-ES_tradnl"/>
        </w:rPr>
        <w:t xml:space="preserve"> (</w:t>
      </w:r>
      <w:r w:rsidR="00A62C33" w:rsidRPr="009C2D9A">
        <w:rPr>
          <w:lang w:val="es-ES_tradnl"/>
        </w:rPr>
        <w:t>Canadá</w:t>
      </w:r>
      <w:r w:rsidR="00451914" w:rsidRPr="009C2D9A">
        <w:rPr>
          <w:lang w:val="es-ES_tradnl"/>
        </w:rPr>
        <w:t>)</w:t>
      </w:r>
      <w:r w:rsidR="00A62C33" w:rsidRPr="009C2D9A">
        <w:rPr>
          <w:lang w:val="es-ES_tradnl"/>
        </w:rPr>
        <w:t>, del 29 al 31 de octubre de 2019. El informe del Comité está disponible como documento CBD/ABS/CB-IAC/2019/1/4</w:t>
      </w:r>
    </w:p>
    <w:p w14:paraId="6AC1EB2C" w14:textId="454D522D" w:rsidR="00A62C33" w:rsidRPr="009C2D9A" w:rsidRDefault="00E8060D" w:rsidP="00EE3C9A">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rPr>
        <w:t>5</w:t>
      </w:r>
      <w:r w:rsidR="00BA5C93" w:rsidRPr="009C2D9A">
        <w:rPr>
          <w:rFonts w:cs="Times New Roman"/>
          <w:snapToGrid/>
          <w:color w:val="000000"/>
          <w:kern w:val="22"/>
          <w:szCs w:val="22"/>
          <w:lang w:val="es-ES_tradnl"/>
        </w:rPr>
        <w:t>1</w:t>
      </w:r>
      <w:r w:rsidR="00F8670A" w:rsidRPr="009C2D9A">
        <w:rPr>
          <w:rFonts w:cs="Times New Roman"/>
          <w:snapToGrid/>
          <w:color w:val="000000"/>
          <w:kern w:val="22"/>
          <w:szCs w:val="22"/>
          <w:lang w:val="es-ES_tradnl"/>
        </w:rPr>
        <w:t>.</w:t>
      </w:r>
      <w:r w:rsidR="00F8670A" w:rsidRPr="009C2D9A">
        <w:rPr>
          <w:rFonts w:cs="Times New Roman"/>
          <w:snapToGrid/>
          <w:color w:val="000000"/>
          <w:kern w:val="22"/>
          <w:szCs w:val="22"/>
          <w:lang w:val="es-ES_tradnl"/>
        </w:rPr>
        <w:tab/>
      </w:r>
      <w:r w:rsidR="00A62C33" w:rsidRPr="009C2D9A">
        <w:rPr>
          <w:lang w:val="es-ES_tradnl"/>
        </w:rPr>
        <w:t xml:space="preserve">El </w:t>
      </w:r>
      <w:r w:rsidR="00EE3C9A" w:rsidRPr="009C2D9A">
        <w:rPr>
          <w:lang w:val="es-ES_tradnl"/>
        </w:rPr>
        <w:t xml:space="preserve">Comité Asesor Oficioso examinó </w:t>
      </w:r>
      <w:r w:rsidR="00A62C33" w:rsidRPr="009C2D9A">
        <w:rPr>
          <w:lang w:val="es-ES_tradnl"/>
        </w:rPr>
        <w:t xml:space="preserve">una actualización sobre las iniciativas y recursos de creación de capacidad existentes que respaldan la </w:t>
      </w:r>
      <w:r w:rsidR="00EE3C9A" w:rsidRPr="009C2D9A">
        <w:rPr>
          <w:lang w:val="es-ES_tradnl"/>
        </w:rPr>
        <w:t>aplicación</w:t>
      </w:r>
      <w:r w:rsidR="00A62C33" w:rsidRPr="009C2D9A">
        <w:rPr>
          <w:lang w:val="es-ES_tradnl"/>
        </w:rPr>
        <w:t xml:space="preserve"> del Protocolo de Nagoya. Los participantes también compartieron información sobre iniciativas y recursos actualmente en desarrollo y </w:t>
      </w:r>
      <w:r w:rsidR="00EE3C9A" w:rsidRPr="009C2D9A">
        <w:rPr>
          <w:lang w:val="es-ES_tradnl"/>
        </w:rPr>
        <w:t xml:space="preserve">debatieron </w:t>
      </w:r>
      <w:r w:rsidR="00A62C33" w:rsidRPr="009C2D9A">
        <w:rPr>
          <w:lang w:val="es-ES_tradnl"/>
        </w:rPr>
        <w:t xml:space="preserve">formas de mejorar el intercambio de información sobre creación y desarrollo de capacidades a través del </w:t>
      </w:r>
      <w:r w:rsidR="00C83421" w:rsidRPr="009C2D9A">
        <w:rPr>
          <w:lang w:val="es-ES_tradnl"/>
        </w:rPr>
        <w:t>Centro de intercambio de información sobre APB</w:t>
      </w:r>
      <w:r w:rsidR="00A62C33" w:rsidRPr="009C2D9A">
        <w:rPr>
          <w:lang w:val="es-ES_tradnl"/>
        </w:rPr>
        <w:t xml:space="preserve">. Además, el </w:t>
      </w:r>
      <w:r w:rsidR="00EE3C9A" w:rsidRPr="009C2D9A">
        <w:rPr>
          <w:lang w:val="es-ES_tradnl"/>
        </w:rPr>
        <w:t xml:space="preserve">Comité Asesor Oficioso </w:t>
      </w:r>
      <w:r w:rsidR="00A62C33" w:rsidRPr="009C2D9A">
        <w:rPr>
          <w:lang w:val="es-ES_tradnl"/>
        </w:rPr>
        <w:t xml:space="preserve">proporcionó comentarios y recomendaciones sobre </w:t>
      </w:r>
      <w:r w:rsidR="00EE3C9A" w:rsidRPr="009C2D9A">
        <w:rPr>
          <w:lang w:val="es-ES_tradnl"/>
        </w:rPr>
        <w:t xml:space="preserve">las constataciones </w:t>
      </w:r>
      <w:r w:rsidR="00A62C33" w:rsidRPr="009C2D9A">
        <w:rPr>
          <w:lang w:val="es-ES_tradnl"/>
        </w:rPr>
        <w:t xml:space="preserve">preliminares de la evaluación del marco estratégico para la creación y el desarrollo de capacidades para apoyar la </w:t>
      </w:r>
      <w:r w:rsidR="003640C0">
        <w:rPr>
          <w:lang w:val="es-ES_tradnl"/>
        </w:rPr>
        <w:t>aplicación efectiva</w:t>
      </w:r>
      <w:r w:rsidR="00EE3C9A" w:rsidRPr="009C2D9A">
        <w:rPr>
          <w:lang w:val="es-ES_tradnl"/>
        </w:rPr>
        <w:t xml:space="preserve"> </w:t>
      </w:r>
      <w:r w:rsidR="00A62C33" w:rsidRPr="009C2D9A">
        <w:rPr>
          <w:lang w:val="es-ES_tradnl"/>
        </w:rPr>
        <w:t>del Protocolo de Nagoya.</w:t>
      </w:r>
    </w:p>
    <w:p w14:paraId="48540DEF" w14:textId="7C4A2562" w:rsidR="00CD4A0E" w:rsidRPr="009C2D9A" w:rsidRDefault="00993F52" w:rsidP="00010EB1">
      <w:pPr>
        <w:pStyle w:val="Para1"/>
        <w:numPr>
          <w:ilvl w:val="0"/>
          <w:numId w:val="0"/>
        </w:numPr>
        <w:pBdr>
          <w:top w:val="nil"/>
          <w:left w:val="nil"/>
          <w:bottom w:val="nil"/>
          <w:right w:val="nil"/>
          <w:between w:val="nil"/>
          <w:bar w:val="nil"/>
        </w:pBdr>
        <w:spacing w:before="120"/>
        <w:rPr>
          <w:rFonts w:cs="Times New Roman"/>
          <w:snapToGrid/>
          <w:kern w:val="22"/>
          <w:szCs w:val="22"/>
          <w:lang w:val="es-ES_tradnl"/>
        </w:rPr>
      </w:pPr>
      <w:r w:rsidRPr="009C2D9A">
        <w:rPr>
          <w:rFonts w:cs="Times New Roman"/>
          <w:snapToGrid/>
          <w:color w:val="000000"/>
          <w:kern w:val="22"/>
          <w:szCs w:val="22"/>
          <w:lang w:val="es-ES_tradnl" w:eastAsia="ko-KR"/>
        </w:rPr>
        <w:t>5</w:t>
      </w:r>
      <w:r w:rsidR="00BA5C93" w:rsidRPr="009C2D9A">
        <w:rPr>
          <w:rFonts w:cs="Times New Roman"/>
          <w:snapToGrid/>
          <w:color w:val="000000"/>
          <w:kern w:val="22"/>
          <w:szCs w:val="22"/>
          <w:lang w:val="es-ES_tradnl" w:eastAsia="ko-KR"/>
        </w:rPr>
        <w:t>2</w:t>
      </w:r>
      <w:r w:rsidR="00F8670A" w:rsidRPr="009C2D9A">
        <w:rPr>
          <w:rFonts w:cs="Times New Roman"/>
          <w:snapToGrid/>
          <w:color w:val="000000"/>
          <w:kern w:val="22"/>
          <w:szCs w:val="22"/>
          <w:lang w:val="es-ES_tradnl" w:eastAsia="ko-KR"/>
        </w:rPr>
        <w:t>.</w:t>
      </w:r>
      <w:r w:rsidR="00F8670A" w:rsidRPr="009C2D9A">
        <w:rPr>
          <w:rFonts w:cs="Times New Roman"/>
          <w:snapToGrid/>
          <w:color w:val="000000"/>
          <w:kern w:val="22"/>
          <w:szCs w:val="22"/>
          <w:lang w:val="es-ES_tradnl" w:eastAsia="ko-KR"/>
        </w:rPr>
        <w:tab/>
      </w:r>
      <w:bookmarkStart w:id="6" w:name="_Hlk118022518"/>
      <w:r w:rsidR="001112BF" w:rsidRPr="009C2D9A">
        <w:rPr>
          <w:lang w:val="es-ES_tradnl"/>
        </w:rPr>
        <w:t xml:space="preserve">Finalmente, el Comité también brindó comentarios sobre </w:t>
      </w:r>
      <w:r w:rsidR="001112BF" w:rsidRPr="009C2D9A">
        <w:rPr>
          <w:rFonts w:cs="Times New Roman"/>
          <w:snapToGrid/>
          <w:kern w:val="22"/>
          <w:szCs w:val="22"/>
          <w:lang w:val="es-ES_tradnl"/>
        </w:rPr>
        <w:t>la</w:t>
      </w:r>
      <w:bookmarkStart w:id="7" w:name="_Hlk118104350"/>
      <w:r w:rsidRPr="009C2D9A">
        <w:fldChar w:fldCharType="begin"/>
      </w:r>
      <w:r w:rsidR="001112BF" w:rsidRPr="009C2D9A">
        <w:rPr>
          <w:lang w:val="es-ES_tradnl"/>
        </w:rPr>
        <w:instrText>HYPERLINK "https://www.cbd.int/abs/doc/cepa-toolkit-es.pdf"</w:instrText>
      </w:r>
      <w:r w:rsidRPr="009C2D9A">
        <w:fldChar w:fldCharType="separate"/>
      </w:r>
      <w:bookmarkStart w:id="8" w:name="_Hlk118104297"/>
      <w:r w:rsidR="00244B39" w:rsidRPr="009C2D9A">
        <w:rPr>
          <w:rStyle w:val="Hyperlink"/>
          <w:rFonts w:cs="Times New Roman"/>
          <w:i/>
          <w:snapToGrid/>
          <w:kern w:val="22"/>
          <w:szCs w:val="22"/>
          <w:u w:val="none"/>
          <w:lang w:val="es-ES_tradnl"/>
        </w:rPr>
        <w:t xml:space="preserve"> </w:t>
      </w:r>
      <w:r w:rsidR="001112BF" w:rsidRPr="009C2D9A">
        <w:rPr>
          <w:rStyle w:val="Hyperlink"/>
          <w:rFonts w:cs="Times New Roman"/>
          <w:i/>
          <w:snapToGrid/>
          <w:kern w:val="22"/>
          <w:szCs w:val="22"/>
          <w:lang w:val="es-ES_tradnl"/>
        </w:rPr>
        <w:t>Guía práctica de Comunicación, Educación y Sensibilización del Público</w:t>
      </w:r>
      <w:bookmarkEnd w:id="8"/>
      <w:r w:rsidR="001112BF" w:rsidRPr="009C2D9A">
        <w:rPr>
          <w:rStyle w:val="Hyperlink"/>
          <w:rFonts w:cs="Times New Roman"/>
          <w:i/>
          <w:snapToGrid/>
          <w:kern w:val="22"/>
          <w:szCs w:val="22"/>
          <w:lang w:val="es-ES_tradnl"/>
        </w:rPr>
        <w:t>, incluyendo consideraciones para acceso y participación en los beneficios</w:t>
      </w:r>
      <w:r w:rsidRPr="009C2D9A">
        <w:rPr>
          <w:rStyle w:val="Hyperlink"/>
          <w:rFonts w:cs="Times New Roman"/>
          <w:i/>
          <w:snapToGrid/>
          <w:kern w:val="22"/>
          <w:szCs w:val="22"/>
          <w:lang w:val="es-ES_tradnl"/>
        </w:rPr>
        <w:fldChar w:fldCharType="end"/>
      </w:r>
      <w:bookmarkEnd w:id="7"/>
      <w:r w:rsidR="007D4AD4" w:rsidRPr="009C2D9A">
        <w:rPr>
          <w:rStyle w:val="FootnoteReference"/>
          <w:rFonts w:cs="Times New Roman"/>
          <w:iCs/>
          <w:snapToGrid/>
          <w:kern w:val="22"/>
          <w:szCs w:val="22"/>
          <w:lang w:val="es-ES_tradnl"/>
        </w:rPr>
        <w:footnoteReference w:id="21"/>
      </w:r>
      <w:r w:rsidR="00244B39" w:rsidRPr="009C2D9A">
        <w:rPr>
          <w:rFonts w:cs="Times New Roman"/>
          <w:snapToGrid/>
          <w:kern w:val="22"/>
          <w:szCs w:val="22"/>
          <w:lang w:val="es-ES_tradnl"/>
        </w:rPr>
        <w:t xml:space="preserve"> </w:t>
      </w:r>
      <w:bookmarkEnd w:id="6"/>
      <w:r w:rsidR="001112BF" w:rsidRPr="009C2D9A">
        <w:rPr>
          <w:rFonts w:cs="Times New Roman"/>
          <w:snapToGrid/>
          <w:kern w:val="22"/>
          <w:szCs w:val="22"/>
          <w:lang w:val="es-ES_tradnl"/>
        </w:rPr>
        <w:t>y ofreció recomendaciones para su mejora.</w:t>
      </w:r>
    </w:p>
    <w:p w14:paraId="4EDA2756" w14:textId="38EB3565" w:rsidR="0071217F" w:rsidRPr="009C2D9A" w:rsidRDefault="00F8670A" w:rsidP="00A1070A">
      <w:pPr>
        <w:pStyle w:val="Para1"/>
        <w:keepNext/>
        <w:keepLines/>
        <w:numPr>
          <w:ilvl w:val="0"/>
          <w:numId w:val="0"/>
        </w:numPr>
        <w:suppressLineNumbers/>
        <w:tabs>
          <w:tab w:val="left" w:pos="1134"/>
        </w:tabs>
        <w:suppressAutoHyphens/>
        <w:kinsoku w:val="0"/>
        <w:overflowPunct w:val="0"/>
        <w:autoSpaceDE w:val="0"/>
        <w:autoSpaceDN w:val="0"/>
        <w:spacing w:before="240"/>
        <w:ind w:left="1077" w:hanging="720"/>
        <w:jc w:val="left"/>
        <w:outlineLvl w:val="0"/>
        <w:rPr>
          <w:rFonts w:cs="Times New Roman"/>
          <w:b/>
          <w:snapToGrid/>
          <w:kern w:val="22"/>
          <w:szCs w:val="22"/>
          <w:lang w:val="es-ES_tradnl" w:eastAsia="ko-KR"/>
        </w:rPr>
      </w:pPr>
      <w:r w:rsidRPr="009C2D9A">
        <w:rPr>
          <w:rFonts w:cs="Times New Roman"/>
          <w:b/>
          <w:snapToGrid/>
          <w:kern w:val="22"/>
          <w:szCs w:val="22"/>
          <w:lang w:val="es-ES_tradnl" w:eastAsia="ko-KR"/>
        </w:rPr>
        <w:t>V.</w:t>
      </w:r>
      <w:r w:rsidRPr="009C2D9A">
        <w:rPr>
          <w:rFonts w:cs="Times New Roman"/>
          <w:b/>
          <w:snapToGrid/>
          <w:kern w:val="22"/>
          <w:szCs w:val="22"/>
          <w:lang w:val="es-ES_tradnl" w:eastAsia="ko-KR"/>
        </w:rPr>
        <w:tab/>
      </w:r>
      <w:r w:rsidR="001F5064" w:rsidRPr="009C2D9A">
        <w:rPr>
          <w:rFonts w:cs="Times New Roman"/>
          <w:b/>
          <w:snapToGrid/>
          <w:kern w:val="22"/>
          <w:szCs w:val="22"/>
          <w:lang w:val="es-ES_tradnl" w:eastAsia="ko-KR"/>
        </w:rPr>
        <w:t xml:space="preserve">RESUMEN DE LOS COMENTARIOS RECIBIDOS SOBRE LA GUÍA PRÁCTICA DE SENSIBILIZACIÓN SOBRE ACCESO Y PARTICIPACIÓN EN LOS BENEFICIOS Y ACTUALIZACIÓN SOBRE LAS MEDIDAS ADOPTADAS POR LAS PARTES E INTERESADOS PERTINENTES PARA APLICAR LA ESTRATEGIA DE SENSIBILIZACIÓN </w:t>
      </w:r>
    </w:p>
    <w:p w14:paraId="5AE44737" w14:textId="66DC101F" w:rsidR="00655909" w:rsidRPr="009C2D9A" w:rsidRDefault="00140887" w:rsidP="009123C3">
      <w:pPr>
        <w:pStyle w:val="Para1"/>
        <w:numPr>
          <w:ilvl w:val="0"/>
          <w:numId w:val="0"/>
        </w:numPr>
        <w:pBdr>
          <w:top w:val="nil"/>
          <w:left w:val="nil"/>
          <w:bottom w:val="nil"/>
          <w:right w:val="nil"/>
          <w:between w:val="nil"/>
          <w:bar w:val="nil"/>
        </w:pBdr>
        <w:spacing w:before="120"/>
        <w:rPr>
          <w:lang w:val="es-ES_tradnl"/>
        </w:rPr>
      </w:pPr>
      <w:r w:rsidRPr="009C2D9A">
        <w:rPr>
          <w:rFonts w:cs="Times New Roman"/>
          <w:color w:val="000000"/>
          <w:szCs w:val="22"/>
          <w:lang w:val="es-ES_tradnl"/>
        </w:rPr>
        <w:t>5</w:t>
      </w:r>
      <w:r w:rsidR="00BA5C93" w:rsidRPr="009C2D9A">
        <w:rPr>
          <w:rFonts w:cs="Times New Roman"/>
          <w:color w:val="000000"/>
          <w:szCs w:val="22"/>
          <w:lang w:val="es-ES_tradnl"/>
        </w:rPr>
        <w:t>3</w:t>
      </w:r>
      <w:r w:rsidR="00F8670A" w:rsidRPr="009C2D9A">
        <w:rPr>
          <w:rFonts w:cs="Times New Roman"/>
          <w:color w:val="000000"/>
          <w:szCs w:val="22"/>
          <w:lang w:val="es-ES_tradnl"/>
        </w:rPr>
        <w:t>.</w:t>
      </w:r>
      <w:r w:rsidR="00F8670A" w:rsidRPr="009C2D9A">
        <w:rPr>
          <w:rFonts w:cs="Times New Roman"/>
          <w:color w:val="000000"/>
          <w:szCs w:val="22"/>
          <w:lang w:val="es-ES_tradnl"/>
        </w:rPr>
        <w:tab/>
      </w:r>
      <w:r w:rsidR="00655909" w:rsidRPr="009C2D9A">
        <w:rPr>
          <w:lang w:val="es-ES_tradnl"/>
        </w:rPr>
        <w:t xml:space="preserve">En la decisión NP-3/6, relacionada con el Artículo 21, se solicitó a la Secretaria Ejecutiva que recabara comentarios de las Partes, los Estados que no son Partes y otros actores pertinentes sobre la guía práctica de sensibilización sobre el acceso y la participación en los beneficios y que proporcionara una actualización sobre </w:t>
      </w:r>
      <w:r w:rsidR="00BD4816" w:rsidRPr="009C2D9A">
        <w:rPr>
          <w:lang w:val="es-ES_tradnl"/>
        </w:rPr>
        <w:t>los avances logrados en la aplicación</w:t>
      </w:r>
      <w:r w:rsidR="00655909" w:rsidRPr="009C2D9A">
        <w:rPr>
          <w:lang w:val="es-ES_tradnl"/>
        </w:rPr>
        <w:t xml:space="preserve"> de la estrategia de sensibilización para la consideración de la Conferencia de las Partes que actúa como reunión de las Partes en el Protocolo de Nagoya.</w:t>
      </w:r>
    </w:p>
    <w:p w14:paraId="21FDBD05" w14:textId="4080838F" w:rsidR="00BD4816" w:rsidRPr="009C2D9A" w:rsidRDefault="203A6A2D" w:rsidP="00973D0A">
      <w:pPr>
        <w:pStyle w:val="Para1"/>
        <w:numPr>
          <w:ilvl w:val="0"/>
          <w:numId w:val="0"/>
        </w:numPr>
        <w:pBdr>
          <w:top w:val="nil"/>
          <w:left w:val="nil"/>
          <w:bottom w:val="nil"/>
          <w:right w:val="nil"/>
          <w:between w:val="nil"/>
          <w:bar w:val="nil"/>
        </w:pBdr>
        <w:spacing w:before="120"/>
        <w:rPr>
          <w:lang w:val="es-ES_tradnl"/>
        </w:rPr>
      </w:pPr>
      <w:r w:rsidRPr="009C2D9A">
        <w:rPr>
          <w:lang w:val="es-ES_tradnl"/>
        </w:rPr>
        <w:t>5</w:t>
      </w:r>
      <w:r w:rsidR="00BA5C93" w:rsidRPr="009C2D9A">
        <w:rPr>
          <w:lang w:val="es-ES_tradnl"/>
        </w:rPr>
        <w:t>4</w:t>
      </w:r>
      <w:r w:rsidR="0E8FF351" w:rsidRPr="009C2D9A">
        <w:rPr>
          <w:lang w:val="es-ES_tradnl"/>
        </w:rPr>
        <w:t>.</w:t>
      </w:r>
      <w:r w:rsidR="002A20EF" w:rsidRPr="009C2D9A">
        <w:rPr>
          <w:lang w:val="es-ES_tradnl"/>
        </w:rPr>
        <w:tab/>
      </w:r>
      <w:r w:rsidR="00BD4816" w:rsidRPr="009C2D9A">
        <w:rPr>
          <w:lang w:val="es-ES_tradnl"/>
        </w:rPr>
        <w:t>En respuesta a esta solicitud, se envió una invitación para compartir información sobre el desarrollo de capacidades y la concientización relacionada con el Protocolo de Nagoya y para brindar comentarios sobre la Guía práctica a través de la notificación</w:t>
      </w:r>
      <w:r w:rsidR="00973D0A" w:rsidRPr="009C2D9A">
        <w:rPr>
          <w:lang w:val="es-ES_tradnl"/>
        </w:rPr>
        <w:t xml:space="preserve"> </w:t>
      </w:r>
      <w:hyperlink r:id="rId30" w:history="1">
        <w:r w:rsidR="00973D0A" w:rsidRPr="009C2D9A">
          <w:rPr>
            <w:rStyle w:val="Hyperlink"/>
            <w:lang w:val="es-ES_tradnl"/>
          </w:rPr>
          <w:t>89605</w:t>
        </w:r>
      </w:hyperlink>
      <w:r w:rsidR="00973D0A" w:rsidRPr="009C2D9A">
        <w:rPr>
          <w:lang w:val="es-ES_tradnl"/>
        </w:rPr>
        <w:t xml:space="preserve">. </w:t>
      </w:r>
      <w:r w:rsidR="00BD4816" w:rsidRPr="009C2D9A">
        <w:rPr>
          <w:lang w:val="es-ES_tradnl"/>
        </w:rPr>
        <w:t xml:space="preserve">La siguiente sección brinda información destacada recibida a través de una encuesta para recopilar comentarios sobre la </w:t>
      </w:r>
      <w:r w:rsidR="00BD4816" w:rsidRPr="009C2D9A">
        <w:rPr>
          <w:i/>
          <w:iCs/>
          <w:lang w:val="es-ES_tradnl"/>
        </w:rPr>
        <w:t>Guía práctica de Comunicación, Educación y Sensibilización del Público, incluyendo consideraciones para acceso y participación en los beneficios</w:t>
      </w:r>
      <w:r w:rsidR="00BD4816" w:rsidRPr="009C2D9A">
        <w:rPr>
          <w:lang w:val="es-ES_tradnl"/>
        </w:rPr>
        <w:t>, y ofreció recomendaciones para su mejora y una actualización de las medidas tomadas desde 2019 para aplicar la estrategia de sensibilización. En el documento CBD/NP/MOP/4/INF/3 se proporciona un informe más detallado sobre los resultados de la encuesta.</w:t>
      </w:r>
    </w:p>
    <w:p w14:paraId="67F84E9B" w14:textId="65AB55A3" w:rsidR="00A62C33" w:rsidRPr="009C2D9A" w:rsidRDefault="0095451F" w:rsidP="001C3FEF">
      <w:pPr>
        <w:pStyle w:val="Para1"/>
        <w:numPr>
          <w:ilvl w:val="0"/>
          <w:numId w:val="0"/>
        </w:numPr>
        <w:pBdr>
          <w:top w:val="nil"/>
          <w:left w:val="nil"/>
          <w:bottom w:val="nil"/>
          <w:right w:val="nil"/>
          <w:between w:val="nil"/>
          <w:bar w:val="nil"/>
        </w:pBdr>
        <w:spacing w:before="120"/>
        <w:rPr>
          <w:lang w:val="es-ES_tradnl"/>
        </w:rPr>
      </w:pPr>
      <w:r w:rsidRPr="009C2D9A">
        <w:rPr>
          <w:lang w:val="es-ES_tradnl"/>
        </w:rPr>
        <w:t>5</w:t>
      </w:r>
      <w:r w:rsidR="00BA5C93" w:rsidRPr="009C2D9A">
        <w:rPr>
          <w:lang w:val="es-ES_tradnl"/>
        </w:rPr>
        <w:t>5</w:t>
      </w:r>
      <w:r w:rsidRPr="009C2D9A">
        <w:rPr>
          <w:lang w:val="es-ES_tradnl"/>
        </w:rPr>
        <w:t>.</w:t>
      </w:r>
      <w:r w:rsidRPr="009C2D9A">
        <w:rPr>
          <w:lang w:val="es-ES_tradnl"/>
        </w:rPr>
        <w:tab/>
      </w:r>
      <w:r w:rsidR="00A62C33" w:rsidRPr="009C2D9A">
        <w:rPr>
          <w:lang w:val="es-ES_tradnl"/>
        </w:rPr>
        <w:t xml:space="preserve">Se recibió un total de 29 respuestas a la encuesta, de las cuales 18 se identificaron como Partes, 5 como otros </w:t>
      </w:r>
      <w:r w:rsidR="001C3FEF" w:rsidRPr="009C2D9A">
        <w:rPr>
          <w:lang w:val="es-ES_tradnl"/>
        </w:rPr>
        <w:t>G</w:t>
      </w:r>
      <w:r w:rsidR="00A62C33" w:rsidRPr="009C2D9A">
        <w:rPr>
          <w:lang w:val="es-ES_tradnl"/>
        </w:rPr>
        <w:t xml:space="preserve">obiernos (que no son Partes del Protocolo de Nagoya), 2 como pueblos indígenas y comunidades locales, 3 como organizaciones internacionales y 1 como instituciones académicas. Dado el número limitado de Partes que respondieron al cuestionario, los resultados pueden no ser representativos, especialmente en lo que respecta al progreso en la </w:t>
      </w:r>
      <w:r w:rsidR="001C3FEF" w:rsidRPr="009C2D9A">
        <w:rPr>
          <w:lang w:val="es-ES_tradnl"/>
        </w:rPr>
        <w:t xml:space="preserve">aplicación </w:t>
      </w:r>
      <w:r w:rsidR="00A62C33" w:rsidRPr="009C2D9A">
        <w:rPr>
          <w:lang w:val="es-ES_tradnl"/>
        </w:rPr>
        <w:t>de las estrategias de sensibilización. Se necesitaría información adicional para obtener una imagen más precisa de la situación.</w:t>
      </w:r>
    </w:p>
    <w:p w14:paraId="6E54DFB7" w14:textId="1E7A8BC3" w:rsidR="00A62C33" w:rsidRPr="009C2D9A" w:rsidRDefault="00EF32CA" w:rsidP="001C3FEF">
      <w:pPr>
        <w:pStyle w:val="Para1"/>
        <w:numPr>
          <w:ilvl w:val="0"/>
          <w:numId w:val="0"/>
        </w:numPr>
        <w:pBdr>
          <w:top w:val="nil"/>
          <w:left w:val="nil"/>
          <w:bottom w:val="nil"/>
          <w:right w:val="nil"/>
          <w:between w:val="nil"/>
          <w:bar w:val="nil"/>
        </w:pBdr>
        <w:spacing w:before="120"/>
        <w:rPr>
          <w:lang w:val="es-ES_tradnl"/>
        </w:rPr>
      </w:pPr>
      <w:r w:rsidRPr="009C2D9A">
        <w:rPr>
          <w:lang w:val="es-ES_tradnl"/>
        </w:rPr>
        <w:lastRenderedPageBreak/>
        <w:t>5</w:t>
      </w:r>
      <w:r w:rsidR="00BA5C93" w:rsidRPr="009C2D9A">
        <w:rPr>
          <w:lang w:val="es-ES_tradnl"/>
        </w:rPr>
        <w:t>6</w:t>
      </w:r>
      <w:r w:rsidRPr="009C2D9A">
        <w:rPr>
          <w:lang w:val="es-ES_tradnl"/>
        </w:rPr>
        <w:t>.</w:t>
      </w:r>
      <w:r w:rsidRPr="009C2D9A">
        <w:rPr>
          <w:lang w:val="es-ES_tradnl"/>
        </w:rPr>
        <w:tab/>
      </w:r>
      <w:r w:rsidR="00A62C33" w:rsidRPr="009C2D9A">
        <w:rPr>
          <w:lang w:val="es-ES_tradnl"/>
        </w:rPr>
        <w:t xml:space="preserve">La mayoría de los encuestados (62 </w:t>
      </w:r>
      <w:r w:rsidR="00E86CD6" w:rsidRPr="009C2D9A">
        <w:rPr>
          <w:lang w:val="es-ES_tradnl"/>
        </w:rPr>
        <w:t>%</w:t>
      </w:r>
      <w:r w:rsidR="00A62C33" w:rsidRPr="009C2D9A">
        <w:rPr>
          <w:lang w:val="es-ES_tradnl"/>
        </w:rPr>
        <w:t xml:space="preserve">) informaron que estaban muy satisfechos con </w:t>
      </w:r>
      <w:r w:rsidR="00EB351C" w:rsidRPr="009C2D9A">
        <w:rPr>
          <w:lang w:val="es-ES_tradnl"/>
        </w:rPr>
        <w:t xml:space="preserve">la guía práctica elaborada por </w:t>
      </w:r>
      <w:r w:rsidR="00A62C33" w:rsidRPr="009C2D9A">
        <w:rPr>
          <w:lang w:val="es-ES_tradnl"/>
        </w:rPr>
        <w:t xml:space="preserve">la Secretaría. Además, el 52 </w:t>
      </w:r>
      <w:r w:rsidR="00E86CD6" w:rsidRPr="009C2D9A">
        <w:rPr>
          <w:lang w:val="es-ES_tradnl"/>
        </w:rPr>
        <w:t>%</w:t>
      </w:r>
      <w:r w:rsidR="00A62C33" w:rsidRPr="009C2D9A">
        <w:rPr>
          <w:lang w:val="es-ES_tradnl"/>
        </w:rPr>
        <w:t xml:space="preserve"> estuvo totalmente de acuerdo en que </w:t>
      </w:r>
      <w:r w:rsidR="00EB351C" w:rsidRPr="009C2D9A">
        <w:rPr>
          <w:lang w:val="es-ES_tradnl"/>
        </w:rPr>
        <w:t xml:space="preserve">la guía práctica </w:t>
      </w:r>
      <w:r w:rsidR="00A62C33" w:rsidRPr="009C2D9A">
        <w:rPr>
          <w:lang w:val="es-ES_tradnl"/>
        </w:rPr>
        <w:t xml:space="preserve">era útil para su trabajo, mientras que el 31 </w:t>
      </w:r>
      <w:r w:rsidR="00E86CD6" w:rsidRPr="009C2D9A">
        <w:rPr>
          <w:lang w:val="es-ES_tradnl"/>
        </w:rPr>
        <w:t>%</w:t>
      </w:r>
      <w:r w:rsidR="00A62C33" w:rsidRPr="009C2D9A">
        <w:rPr>
          <w:lang w:val="es-ES_tradnl"/>
        </w:rPr>
        <w:t xml:space="preserve"> estuvo algo de acuerdo en que </w:t>
      </w:r>
      <w:r w:rsidR="00EB351C" w:rsidRPr="009C2D9A">
        <w:rPr>
          <w:lang w:val="es-ES_tradnl"/>
        </w:rPr>
        <w:t xml:space="preserve">dicha guía </w:t>
      </w:r>
      <w:r w:rsidR="00A62C33" w:rsidRPr="009C2D9A">
        <w:rPr>
          <w:lang w:val="es-ES_tradnl"/>
        </w:rPr>
        <w:t xml:space="preserve">fue útil para su trabajo. </w:t>
      </w:r>
      <w:r w:rsidR="00EB351C" w:rsidRPr="009C2D9A">
        <w:rPr>
          <w:lang w:val="es-ES_tradnl"/>
        </w:rPr>
        <w:t xml:space="preserve">Entre las </w:t>
      </w:r>
      <w:r w:rsidR="00A62C33" w:rsidRPr="009C2D9A">
        <w:rPr>
          <w:lang w:val="es-ES_tradnl"/>
        </w:rPr>
        <w:t xml:space="preserve">formas más comunes en que se ha utilizado </w:t>
      </w:r>
      <w:r w:rsidR="00245C36" w:rsidRPr="009C2D9A">
        <w:rPr>
          <w:lang w:val="es-ES_tradnl"/>
        </w:rPr>
        <w:t xml:space="preserve">la guía práctica </w:t>
      </w:r>
      <w:r w:rsidR="00EB351C" w:rsidRPr="009C2D9A">
        <w:rPr>
          <w:lang w:val="es-ES_tradnl"/>
        </w:rPr>
        <w:t xml:space="preserve">se encuentran </w:t>
      </w:r>
      <w:r w:rsidR="00A62C33" w:rsidRPr="009C2D9A">
        <w:rPr>
          <w:lang w:val="es-ES_tradnl"/>
        </w:rPr>
        <w:t xml:space="preserve">el diseño de actividades de sensibilización sobre </w:t>
      </w:r>
      <w:r w:rsidR="00EB351C" w:rsidRPr="009C2D9A">
        <w:rPr>
          <w:lang w:val="es-ES_tradnl"/>
        </w:rPr>
        <w:t>APB</w:t>
      </w:r>
      <w:r w:rsidR="00A62C33" w:rsidRPr="009C2D9A">
        <w:rPr>
          <w:lang w:val="es-ES_tradnl"/>
        </w:rPr>
        <w:t xml:space="preserve"> (45 </w:t>
      </w:r>
      <w:r w:rsidR="00E86CD6" w:rsidRPr="009C2D9A">
        <w:rPr>
          <w:lang w:val="es-ES_tradnl"/>
        </w:rPr>
        <w:t>%</w:t>
      </w:r>
      <w:r w:rsidR="00A62C33" w:rsidRPr="009C2D9A">
        <w:rPr>
          <w:lang w:val="es-ES_tradnl"/>
        </w:rPr>
        <w:t xml:space="preserve"> de los encuestados) y en la capacitación y el desarrollo de capacidades (41 </w:t>
      </w:r>
      <w:r w:rsidR="00E86CD6" w:rsidRPr="009C2D9A">
        <w:rPr>
          <w:lang w:val="es-ES_tradnl"/>
        </w:rPr>
        <w:t>%</w:t>
      </w:r>
      <w:r w:rsidR="00A62C33" w:rsidRPr="009C2D9A">
        <w:rPr>
          <w:lang w:val="es-ES_tradnl"/>
        </w:rPr>
        <w:t xml:space="preserve"> de los encuestados). Aproximadamente el 31 </w:t>
      </w:r>
      <w:r w:rsidR="00E86CD6" w:rsidRPr="009C2D9A">
        <w:rPr>
          <w:lang w:val="es-ES_tradnl"/>
        </w:rPr>
        <w:t>%</w:t>
      </w:r>
      <w:r w:rsidR="00A62C33" w:rsidRPr="009C2D9A">
        <w:rPr>
          <w:lang w:val="es-ES_tradnl"/>
        </w:rPr>
        <w:t xml:space="preserve"> de los encuestados indicaron que no habían utilizado </w:t>
      </w:r>
      <w:r w:rsidR="00EB351C" w:rsidRPr="009C2D9A">
        <w:rPr>
          <w:lang w:val="es-ES_tradnl"/>
        </w:rPr>
        <w:t>la guía práctica</w:t>
      </w:r>
      <w:r w:rsidR="00A62C33" w:rsidRPr="009C2D9A">
        <w:rPr>
          <w:lang w:val="es-ES_tradnl"/>
        </w:rPr>
        <w:t xml:space="preserve">. Finalmente, el 45 </w:t>
      </w:r>
      <w:r w:rsidR="00E86CD6" w:rsidRPr="009C2D9A">
        <w:rPr>
          <w:lang w:val="es-ES_tradnl"/>
        </w:rPr>
        <w:t>%</w:t>
      </w:r>
      <w:r w:rsidR="00A62C33" w:rsidRPr="009C2D9A">
        <w:rPr>
          <w:lang w:val="es-ES_tradnl"/>
        </w:rPr>
        <w:t xml:space="preserve"> de los encuestados indicaron que habían </w:t>
      </w:r>
      <w:r w:rsidR="00EB351C" w:rsidRPr="009C2D9A">
        <w:rPr>
          <w:lang w:val="es-ES_tradnl"/>
        </w:rPr>
        <w:t xml:space="preserve">elaborado </w:t>
      </w:r>
      <w:r w:rsidR="00A62C33" w:rsidRPr="009C2D9A">
        <w:rPr>
          <w:lang w:val="es-ES_tradnl"/>
        </w:rPr>
        <w:t>materiales de sensibilización que podrían incluirse en la sección de recursos d</w:t>
      </w:r>
      <w:r w:rsidR="005C4FD6">
        <w:rPr>
          <w:lang w:val="es-ES_tradnl"/>
        </w:rPr>
        <w:t xml:space="preserve">e </w:t>
      </w:r>
      <w:r w:rsidR="005C4FD6" w:rsidRPr="009C2D9A">
        <w:rPr>
          <w:lang w:val="es-ES_tradnl"/>
        </w:rPr>
        <w:t>la guía práctica</w:t>
      </w:r>
      <w:r w:rsidR="00A62C33" w:rsidRPr="009C2D9A">
        <w:rPr>
          <w:lang w:val="es-ES_tradnl"/>
        </w:rPr>
        <w:t>.</w:t>
      </w:r>
    </w:p>
    <w:p w14:paraId="35AFA203" w14:textId="5401BCB3" w:rsidR="00A62C33" w:rsidRPr="009C2D9A" w:rsidRDefault="00426002" w:rsidP="00EB351C">
      <w:pPr>
        <w:pStyle w:val="Para1"/>
        <w:numPr>
          <w:ilvl w:val="0"/>
          <w:numId w:val="0"/>
        </w:numPr>
        <w:pBdr>
          <w:top w:val="nil"/>
          <w:left w:val="nil"/>
          <w:bottom w:val="nil"/>
          <w:right w:val="nil"/>
          <w:between w:val="nil"/>
          <w:bar w:val="nil"/>
        </w:pBdr>
        <w:spacing w:before="120"/>
        <w:rPr>
          <w:lang w:val="es-ES_tradnl"/>
        </w:rPr>
      </w:pPr>
      <w:r w:rsidRPr="009C2D9A">
        <w:rPr>
          <w:lang w:val="es-ES_tradnl"/>
        </w:rPr>
        <w:t>5</w:t>
      </w:r>
      <w:r w:rsidR="00BA5C93" w:rsidRPr="009C2D9A">
        <w:rPr>
          <w:lang w:val="es-ES_tradnl"/>
        </w:rPr>
        <w:t>7</w:t>
      </w:r>
      <w:r w:rsidRPr="009C2D9A">
        <w:rPr>
          <w:lang w:val="es-ES_tradnl"/>
        </w:rPr>
        <w:t>.</w:t>
      </w:r>
      <w:r w:rsidRPr="009C2D9A">
        <w:rPr>
          <w:lang w:val="es-ES_tradnl"/>
        </w:rPr>
        <w:tab/>
      </w:r>
      <w:r w:rsidR="00A62C33" w:rsidRPr="009C2D9A">
        <w:rPr>
          <w:lang w:val="es-ES_tradnl"/>
        </w:rPr>
        <w:t xml:space="preserve">Con respecto </w:t>
      </w:r>
      <w:r w:rsidR="00133BFF" w:rsidRPr="009C2D9A">
        <w:rPr>
          <w:lang w:val="es-ES_tradnl"/>
        </w:rPr>
        <w:t xml:space="preserve">a los avances logrados en la aplicación </w:t>
      </w:r>
      <w:r w:rsidR="00A62C33" w:rsidRPr="009C2D9A">
        <w:rPr>
          <w:lang w:val="es-ES_tradnl"/>
        </w:rPr>
        <w:t xml:space="preserve">de las estrategias de concientización, el 20 </w:t>
      </w:r>
      <w:r w:rsidR="00E86CD6" w:rsidRPr="009C2D9A">
        <w:rPr>
          <w:lang w:val="es-ES_tradnl"/>
        </w:rPr>
        <w:t>%</w:t>
      </w:r>
      <w:r w:rsidR="00A62C33" w:rsidRPr="009C2D9A">
        <w:rPr>
          <w:lang w:val="es-ES_tradnl"/>
        </w:rPr>
        <w:t xml:space="preserve"> respondió que la estrategia se había </w:t>
      </w:r>
      <w:r w:rsidR="00133BFF" w:rsidRPr="009C2D9A">
        <w:rPr>
          <w:lang w:val="es-ES_tradnl"/>
        </w:rPr>
        <w:t xml:space="preserve">elaborado </w:t>
      </w:r>
      <w:r w:rsidR="00A62C33" w:rsidRPr="009C2D9A">
        <w:rPr>
          <w:lang w:val="es-ES_tradnl"/>
        </w:rPr>
        <w:t xml:space="preserve">y se estaba </w:t>
      </w:r>
      <w:r w:rsidR="00133BFF" w:rsidRPr="009C2D9A">
        <w:rPr>
          <w:lang w:val="es-ES_tradnl"/>
        </w:rPr>
        <w:t>aplicando</w:t>
      </w:r>
      <w:r w:rsidR="00A62C33" w:rsidRPr="009C2D9A">
        <w:rPr>
          <w:lang w:val="es-ES_tradnl"/>
        </w:rPr>
        <w:t xml:space="preserve">; </w:t>
      </w:r>
      <w:r w:rsidR="00133BFF" w:rsidRPr="009C2D9A">
        <w:rPr>
          <w:lang w:val="es-ES_tradnl"/>
        </w:rPr>
        <w:t>e</w:t>
      </w:r>
      <w:r w:rsidR="00A62C33" w:rsidRPr="009C2D9A">
        <w:rPr>
          <w:lang w:val="es-ES_tradnl"/>
        </w:rPr>
        <w:t xml:space="preserve">l 27 </w:t>
      </w:r>
      <w:r w:rsidR="00E86CD6" w:rsidRPr="009C2D9A">
        <w:rPr>
          <w:lang w:val="es-ES_tradnl"/>
        </w:rPr>
        <w:t>%</w:t>
      </w:r>
      <w:r w:rsidR="00A62C33" w:rsidRPr="009C2D9A">
        <w:rPr>
          <w:lang w:val="es-ES_tradnl"/>
        </w:rPr>
        <w:t xml:space="preserve"> de los encuestados indicó que la estrategia aún </w:t>
      </w:r>
      <w:r w:rsidR="00133BFF" w:rsidRPr="009C2D9A">
        <w:rPr>
          <w:lang w:val="es-ES_tradnl"/>
        </w:rPr>
        <w:t xml:space="preserve">se </w:t>
      </w:r>
      <w:r w:rsidR="00A62C33" w:rsidRPr="009C2D9A">
        <w:rPr>
          <w:lang w:val="es-ES_tradnl"/>
        </w:rPr>
        <w:t xml:space="preserve">estaba </w:t>
      </w:r>
      <w:r w:rsidR="00133BFF" w:rsidRPr="009C2D9A">
        <w:rPr>
          <w:lang w:val="es-ES_tradnl"/>
        </w:rPr>
        <w:t>elaborando</w:t>
      </w:r>
      <w:r w:rsidR="00A62C33" w:rsidRPr="009C2D9A">
        <w:rPr>
          <w:lang w:val="es-ES_tradnl"/>
        </w:rPr>
        <w:t xml:space="preserve">, mientras que el 31 </w:t>
      </w:r>
      <w:r w:rsidR="00E86CD6" w:rsidRPr="009C2D9A">
        <w:rPr>
          <w:lang w:val="es-ES_tradnl"/>
        </w:rPr>
        <w:t>%</w:t>
      </w:r>
      <w:r w:rsidR="00A62C33" w:rsidRPr="009C2D9A">
        <w:rPr>
          <w:lang w:val="es-ES_tradnl"/>
        </w:rPr>
        <w:t xml:space="preserve"> respondió que </w:t>
      </w:r>
      <w:r w:rsidR="00133BFF" w:rsidRPr="009C2D9A">
        <w:rPr>
          <w:lang w:val="es-ES_tradnl"/>
        </w:rPr>
        <w:t xml:space="preserve">la elaboración </w:t>
      </w:r>
      <w:r w:rsidR="00A62C33" w:rsidRPr="009C2D9A">
        <w:rPr>
          <w:lang w:val="es-ES_tradnl"/>
        </w:rPr>
        <w:t xml:space="preserve">de la estrategia no había comenzado. La mayoría de los encuestados (62 </w:t>
      </w:r>
      <w:r w:rsidR="00E86CD6" w:rsidRPr="009C2D9A">
        <w:rPr>
          <w:lang w:val="es-ES_tradnl"/>
        </w:rPr>
        <w:t>%</w:t>
      </w:r>
      <w:r w:rsidR="00A62C33" w:rsidRPr="009C2D9A">
        <w:rPr>
          <w:lang w:val="es-ES_tradnl"/>
        </w:rPr>
        <w:t xml:space="preserve">) indicaron que habían </w:t>
      </w:r>
      <w:r w:rsidR="00133BFF" w:rsidRPr="009C2D9A">
        <w:rPr>
          <w:lang w:val="es-ES_tradnl"/>
        </w:rPr>
        <w:t xml:space="preserve">realizado </w:t>
      </w:r>
      <w:r w:rsidR="00A62C33" w:rsidRPr="009C2D9A">
        <w:rPr>
          <w:lang w:val="es-ES_tradnl"/>
        </w:rPr>
        <w:t xml:space="preserve">actividades de sensibilización sobre el Protocolo de Nagoya en sus países durante el período entre sesiones. Los encuestados indicaron que el principal desafío era la falta de recursos financieros para </w:t>
      </w:r>
      <w:r w:rsidR="00EB351C" w:rsidRPr="009C2D9A">
        <w:rPr>
          <w:lang w:val="es-ES_tradnl"/>
        </w:rPr>
        <w:t xml:space="preserve">aplicar </w:t>
      </w:r>
      <w:r w:rsidR="00A62C33" w:rsidRPr="009C2D9A">
        <w:rPr>
          <w:lang w:val="es-ES_tradnl"/>
        </w:rPr>
        <w:t xml:space="preserve">las estrategias. Otro desafío comúnmente mencionado se relaciona con los conceptos técnicos y la terminología sobre </w:t>
      </w:r>
      <w:r w:rsidR="00133BFF" w:rsidRPr="009C2D9A">
        <w:rPr>
          <w:lang w:val="es-ES_tradnl"/>
        </w:rPr>
        <w:t>el acceso y la participación en los</w:t>
      </w:r>
      <w:r w:rsidR="00A62C33" w:rsidRPr="009C2D9A">
        <w:rPr>
          <w:lang w:val="es-ES_tradnl"/>
        </w:rPr>
        <w:t xml:space="preserve"> beneficios y la </w:t>
      </w:r>
      <w:r w:rsidR="00EB351C" w:rsidRPr="009C2D9A">
        <w:rPr>
          <w:lang w:val="es-ES_tradnl"/>
        </w:rPr>
        <w:t xml:space="preserve">escasa </w:t>
      </w:r>
      <w:r w:rsidR="00A62C33" w:rsidRPr="009C2D9A">
        <w:rPr>
          <w:lang w:val="es-ES_tradnl"/>
        </w:rPr>
        <w:t>familiaridad con el Protocolo de Nagoya que dificulta la comunicación con los diferentes grupos de partes interesadas.</w:t>
      </w:r>
    </w:p>
    <w:p w14:paraId="65E0FD2C" w14:textId="16CE5067" w:rsidR="00A62C33" w:rsidRPr="009C2D9A" w:rsidRDefault="00140887" w:rsidP="00EB351C">
      <w:pPr>
        <w:pStyle w:val="Para1"/>
        <w:numPr>
          <w:ilvl w:val="0"/>
          <w:numId w:val="0"/>
        </w:numPr>
        <w:pBdr>
          <w:top w:val="nil"/>
          <w:left w:val="nil"/>
          <w:bottom w:val="nil"/>
          <w:right w:val="nil"/>
          <w:between w:val="nil"/>
          <w:bar w:val="nil"/>
        </w:pBdr>
        <w:spacing w:before="120"/>
        <w:rPr>
          <w:lang w:val="es-ES_tradnl"/>
        </w:rPr>
      </w:pPr>
      <w:r w:rsidRPr="009C2D9A">
        <w:rPr>
          <w:lang w:val="es-ES_tradnl"/>
        </w:rPr>
        <w:t>5</w:t>
      </w:r>
      <w:r w:rsidR="00BA5C93" w:rsidRPr="009C2D9A">
        <w:rPr>
          <w:lang w:val="es-ES_tradnl"/>
        </w:rPr>
        <w:t>8</w:t>
      </w:r>
      <w:r w:rsidR="00F2397F" w:rsidRPr="009C2D9A">
        <w:rPr>
          <w:lang w:val="es-ES_tradnl"/>
        </w:rPr>
        <w:t>.</w:t>
      </w:r>
      <w:r w:rsidR="00F2397F" w:rsidRPr="009C2D9A">
        <w:rPr>
          <w:lang w:val="es-ES_tradnl"/>
        </w:rPr>
        <w:tab/>
      </w:r>
      <w:r w:rsidR="00A62C33" w:rsidRPr="009C2D9A">
        <w:rPr>
          <w:lang w:val="es-ES_tradnl"/>
        </w:rPr>
        <w:t xml:space="preserve">Finalmente, algunas de las recomendaciones clave compartidas para los países que actualmente están </w:t>
      </w:r>
      <w:r w:rsidR="00EB351C" w:rsidRPr="009C2D9A">
        <w:rPr>
          <w:lang w:val="es-ES_tradnl"/>
        </w:rPr>
        <w:t xml:space="preserve">elaborando </w:t>
      </w:r>
      <w:r w:rsidR="00A62C33" w:rsidRPr="009C2D9A">
        <w:rPr>
          <w:lang w:val="es-ES_tradnl"/>
        </w:rPr>
        <w:t xml:space="preserve">sus estrategias de concientización incluyeron centrar las actividades iniciales en grupos de partes interesadas prioritarios, como las comunidades empresariales y de investigación, y </w:t>
      </w:r>
      <w:r w:rsidR="00EB351C" w:rsidRPr="009C2D9A">
        <w:rPr>
          <w:lang w:val="es-ES_tradnl"/>
        </w:rPr>
        <w:t xml:space="preserve">ampliarlas </w:t>
      </w:r>
      <w:r w:rsidR="00A62C33" w:rsidRPr="009C2D9A">
        <w:rPr>
          <w:lang w:val="es-ES_tradnl"/>
        </w:rPr>
        <w:t xml:space="preserve">al público en general en una etapa posterior. </w:t>
      </w:r>
      <w:r w:rsidR="00EB351C" w:rsidRPr="009C2D9A">
        <w:rPr>
          <w:lang w:val="es-ES_tradnl"/>
        </w:rPr>
        <w:t xml:space="preserve">Entre otras </w:t>
      </w:r>
      <w:r w:rsidR="00A62C33" w:rsidRPr="009C2D9A">
        <w:rPr>
          <w:lang w:val="es-ES_tradnl"/>
        </w:rPr>
        <w:t xml:space="preserve">sugerencias </w:t>
      </w:r>
      <w:r w:rsidR="00EB351C" w:rsidRPr="009C2D9A">
        <w:rPr>
          <w:lang w:val="es-ES_tradnl"/>
        </w:rPr>
        <w:t>se encuentra</w:t>
      </w:r>
      <w:r w:rsidR="00A62C33" w:rsidRPr="009C2D9A">
        <w:rPr>
          <w:lang w:val="es-ES_tradnl"/>
        </w:rPr>
        <w:t xml:space="preserve"> el diseño de estrategias basadas en las necesidades locales y el contexto</w:t>
      </w:r>
      <w:r w:rsidR="00EB351C" w:rsidRPr="009C2D9A">
        <w:rPr>
          <w:lang w:val="es-ES_tradnl"/>
        </w:rPr>
        <w:t xml:space="preserve">, </w:t>
      </w:r>
      <w:r w:rsidR="00A62C33" w:rsidRPr="009C2D9A">
        <w:rPr>
          <w:lang w:val="es-ES_tradnl"/>
        </w:rPr>
        <w:t xml:space="preserve">y adaptar los materiales a </w:t>
      </w:r>
      <w:r w:rsidR="00EB351C" w:rsidRPr="009C2D9A">
        <w:rPr>
          <w:lang w:val="es-ES_tradnl"/>
        </w:rPr>
        <w:t>los distintos públicos</w:t>
      </w:r>
      <w:r w:rsidR="00A62C33" w:rsidRPr="009C2D9A">
        <w:rPr>
          <w:lang w:val="es-ES_tradnl"/>
        </w:rPr>
        <w:t>.</w:t>
      </w:r>
    </w:p>
    <w:p w14:paraId="04C74BCD" w14:textId="081E304F" w:rsidR="00A62C33" w:rsidRPr="009C2D9A" w:rsidRDefault="00BA5C93" w:rsidP="00EB351C">
      <w:pPr>
        <w:pStyle w:val="Para1"/>
        <w:numPr>
          <w:ilvl w:val="0"/>
          <w:numId w:val="0"/>
        </w:numPr>
        <w:pBdr>
          <w:top w:val="nil"/>
          <w:left w:val="nil"/>
          <w:bottom w:val="nil"/>
          <w:right w:val="nil"/>
          <w:between w:val="nil"/>
          <w:bar w:val="nil"/>
        </w:pBdr>
        <w:spacing w:before="120"/>
        <w:rPr>
          <w:lang w:val="es-ES_tradnl"/>
        </w:rPr>
      </w:pPr>
      <w:r w:rsidRPr="009C2D9A">
        <w:rPr>
          <w:lang w:val="es-ES_tradnl"/>
        </w:rPr>
        <w:t>59</w:t>
      </w:r>
      <w:r w:rsidR="00AE6386" w:rsidRPr="009C2D9A">
        <w:rPr>
          <w:lang w:val="es-ES_tradnl"/>
        </w:rPr>
        <w:t>.</w:t>
      </w:r>
      <w:r w:rsidR="00AE6386" w:rsidRPr="009C2D9A">
        <w:rPr>
          <w:lang w:val="es-ES_tradnl"/>
        </w:rPr>
        <w:tab/>
      </w:r>
      <w:r w:rsidR="00A62C33" w:rsidRPr="009C2D9A">
        <w:rPr>
          <w:lang w:val="es-ES_tradnl"/>
        </w:rPr>
        <w:t xml:space="preserve">Teniendo en cuenta los desafíos actuales que enfrentan las Partes en el desarrollo y la </w:t>
      </w:r>
      <w:r w:rsidR="00EB351C" w:rsidRPr="009C2D9A">
        <w:rPr>
          <w:lang w:val="es-ES_tradnl"/>
        </w:rPr>
        <w:t>realización</w:t>
      </w:r>
      <w:r w:rsidR="00A62C33" w:rsidRPr="009C2D9A">
        <w:rPr>
          <w:lang w:val="es-ES_tradnl"/>
        </w:rPr>
        <w:t xml:space="preserve"> de actividades de concientización sobre el Protocolo de Nagoya a nivel nacional y en vista de los estrechos vínculos entre la concientización y la creación y el desarrollo de capacidades, las Partes tal vez deseen considerar la incorporación de elementos de la </w:t>
      </w:r>
      <w:r w:rsidR="00EB351C" w:rsidRPr="009C2D9A">
        <w:rPr>
          <w:lang w:val="es-ES_tradnl"/>
        </w:rPr>
        <w:t xml:space="preserve">estrategia de </w:t>
      </w:r>
      <w:r w:rsidR="001F5064" w:rsidRPr="009C2D9A">
        <w:rPr>
          <w:lang w:val="es-ES_tradnl"/>
        </w:rPr>
        <w:t>sensibilización</w:t>
      </w:r>
      <w:r w:rsidR="00A62C33" w:rsidRPr="009C2D9A">
        <w:rPr>
          <w:lang w:val="es-ES_tradnl"/>
        </w:rPr>
        <w:t xml:space="preserve"> (véase la decisión NP-1/9) en la revisión del marco estratégico para la creación y el desarrollo de capacidades para apoyar la </w:t>
      </w:r>
      <w:r w:rsidR="003640C0">
        <w:rPr>
          <w:lang w:val="es-ES_tradnl"/>
        </w:rPr>
        <w:t>aplicación efectiva</w:t>
      </w:r>
      <w:r w:rsidR="00EB351C" w:rsidRPr="009C2D9A">
        <w:rPr>
          <w:lang w:val="es-ES_tradnl"/>
        </w:rPr>
        <w:t xml:space="preserve"> </w:t>
      </w:r>
      <w:r w:rsidR="00A62C33" w:rsidRPr="009C2D9A">
        <w:rPr>
          <w:lang w:val="es-ES_tradnl"/>
        </w:rPr>
        <w:t xml:space="preserve">del Protocolo de Nagoya, teniendo en cuenta el marco mundial de la diversidad biológica posterior a 2020; el marco estratégico a largo plazo para la creación y el desarrollo de capacidades, y la estrategia de comunicaciones para apoyar la </w:t>
      </w:r>
      <w:r w:rsidR="00EB351C" w:rsidRPr="009C2D9A">
        <w:rPr>
          <w:lang w:val="es-ES_tradnl"/>
        </w:rPr>
        <w:t xml:space="preserve">aplicación </w:t>
      </w:r>
      <w:r w:rsidR="00A62C33" w:rsidRPr="009C2D9A">
        <w:rPr>
          <w:lang w:val="es-ES_tradnl"/>
        </w:rPr>
        <w:t>del marco mundial de la diversidad biológica posterior a 2020.</w:t>
      </w:r>
    </w:p>
    <w:p w14:paraId="4629CD2F" w14:textId="637EC0D8" w:rsidR="00CA6027" w:rsidRPr="009C2D9A" w:rsidRDefault="00F8670A" w:rsidP="00010EB1">
      <w:pPr>
        <w:pStyle w:val="Heading1"/>
        <w:rPr>
          <w:lang w:val="es-ES_tradnl"/>
        </w:rPr>
      </w:pPr>
      <w:r w:rsidRPr="009C2D9A">
        <w:rPr>
          <w:lang w:val="es-ES_tradnl"/>
        </w:rPr>
        <w:t>VI.</w:t>
      </w:r>
      <w:r w:rsidRPr="009C2D9A">
        <w:rPr>
          <w:lang w:val="es-ES_tradnl"/>
        </w:rPr>
        <w:tab/>
      </w:r>
      <w:r w:rsidR="00A178A7" w:rsidRPr="009C2D9A">
        <w:rPr>
          <w:lang w:val="es-ES_tradnl"/>
        </w:rPr>
        <w:t>elementos propuestos para un proyecto de decisión</w:t>
      </w:r>
    </w:p>
    <w:p w14:paraId="1962105E" w14:textId="1FB42AB2" w:rsidR="00A62C33" w:rsidRPr="009C2D9A" w:rsidRDefault="00571915" w:rsidP="00010EB1">
      <w:pPr>
        <w:pStyle w:val="Para1"/>
        <w:numPr>
          <w:ilvl w:val="0"/>
          <w:numId w:val="0"/>
        </w:numPr>
        <w:pBdr>
          <w:top w:val="nil"/>
          <w:left w:val="nil"/>
          <w:bottom w:val="nil"/>
          <w:right w:val="nil"/>
          <w:between w:val="nil"/>
          <w:bar w:val="nil"/>
        </w:pBdr>
        <w:spacing w:before="120"/>
        <w:rPr>
          <w:lang w:val="es-ES_tradnl" w:eastAsia="en-CA"/>
        </w:rPr>
      </w:pPr>
      <w:r w:rsidRPr="009C2D9A">
        <w:rPr>
          <w:rFonts w:cs="Times New Roman"/>
          <w:snapToGrid/>
          <w:color w:val="000000"/>
          <w:kern w:val="22"/>
          <w:szCs w:val="22"/>
          <w:lang w:val="es-ES_tradnl"/>
        </w:rPr>
        <w:t>6</w:t>
      </w:r>
      <w:r w:rsidR="00BA5C93" w:rsidRPr="009C2D9A">
        <w:rPr>
          <w:rFonts w:cs="Times New Roman"/>
          <w:snapToGrid/>
          <w:color w:val="000000"/>
          <w:kern w:val="22"/>
          <w:szCs w:val="22"/>
          <w:lang w:val="es-ES_tradnl"/>
        </w:rPr>
        <w:t>0</w:t>
      </w:r>
      <w:r w:rsidR="00F8670A" w:rsidRPr="009C2D9A">
        <w:rPr>
          <w:rFonts w:cs="Times New Roman"/>
          <w:snapToGrid/>
          <w:color w:val="000000"/>
          <w:kern w:val="22"/>
          <w:szCs w:val="22"/>
          <w:lang w:val="es-ES_tradnl"/>
        </w:rPr>
        <w:t>.</w:t>
      </w:r>
      <w:r w:rsidR="00F8670A" w:rsidRPr="009C2D9A">
        <w:rPr>
          <w:rFonts w:cs="Times New Roman"/>
          <w:snapToGrid/>
          <w:color w:val="000000"/>
          <w:kern w:val="22"/>
          <w:szCs w:val="22"/>
          <w:lang w:val="es-ES_tradnl"/>
        </w:rPr>
        <w:tab/>
      </w:r>
      <w:r w:rsidR="00A62C33" w:rsidRPr="009C2D9A">
        <w:rPr>
          <w:lang w:val="es-ES_tradnl"/>
        </w:rPr>
        <w:t>En relación con este tema del programa, se invitará a la Conferencia de las Partes que actú</w:t>
      </w:r>
      <w:r w:rsidR="00A178A7" w:rsidRPr="009C2D9A">
        <w:rPr>
          <w:lang w:val="es-ES_tradnl"/>
        </w:rPr>
        <w:t xml:space="preserve">a </w:t>
      </w:r>
      <w:r w:rsidR="00A62C33" w:rsidRPr="009C2D9A">
        <w:rPr>
          <w:lang w:val="es-ES_tradnl"/>
        </w:rPr>
        <w:t xml:space="preserve">como reunión de las Partes en el Protocolo de Nagoya a aprobar una decisión de la Conferencia de las Partes en el Convenio sobre el marco estratégico a largo plazo para la creación y el desarrollo de capacidad en apoyo de la </w:t>
      </w:r>
      <w:r w:rsidR="00A178A7" w:rsidRPr="009C2D9A">
        <w:rPr>
          <w:lang w:val="es-ES_tradnl"/>
        </w:rPr>
        <w:t>aplicación</w:t>
      </w:r>
      <w:r w:rsidR="00A62C33" w:rsidRPr="009C2D9A">
        <w:rPr>
          <w:lang w:val="es-ES_tradnl"/>
        </w:rPr>
        <w:t xml:space="preserve"> del marco mundial de la diversidad biológica posterior a 2020, sobre la base del proyecto de decisión </w:t>
      </w:r>
      <w:r w:rsidR="00A178A7" w:rsidRPr="009C2D9A">
        <w:rPr>
          <w:lang w:val="es-ES_tradnl"/>
        </w:rPr>
        <w:t xml:space="preserve">de </w:t>
      </w:r>
      <w:r w:rsidR="00A62C33" w:rsidRPr="009C2D9A">
        <w:rPr>
          <w:lang w:val="es-ES_tradnl"/>
        </w:rPr>
        <w:t xml:space="preserve">la recomendación 3/8 del Órgano Subsidiario sobre la </w:t>
      </w:r>
      <w:r w:rsidR="00A178A7" w:rsidRPr="009C2D9A">
        <w:rPr>
          <w:lang w:val="es-ES_tradnl"/>
        </w:rPr>
        <w:t>Aplicación</w:t>
      </w:r>
      <w:r w:rsidR="00A62C33" w:rsidRPr="009C2D9A">
        <w:rPr>
          <w:lang w:val="es-ES_tradnl"/>
        </w:rPr>
        <w:t xml:space="preserve">, y para considerar la recomendación </w:t>
      </w:r>
      <w:hyperlink r:id="rId31" w:history="1">
        <w:r w:rsidR="00A178A7" w:rsidRPr="009C2D9A">
          <w:rPr>
            <w:rStyle w:val="Hyperlink"/>
            <w:lang w:val="es-ES_tradnl" w:eastAsia="en-CA"/>
          </w:rPr>
          <w:t>3/9</w:t>
        </w:r>
      </w:hyperlink>
      <w:r w:rsidR="00A62C33" w:rsidRPr="009C2D9A">
        <w:rPr>
          <w:lang w:val="es-ES_tradnl"/>
        </w:rPr>
        <w:t xml:space="preserve"> del Órgano Subsidiario, que contiene un proyecto de decisión sobre la evaluación del marco estratégico para la creación y el desarrollo de capacidades para apoyar la </w:t>
      </w:r>
      <w:r w:rsidR="003640C0">
        <w:rPr>
          <w:lang w:val="es-ES_tradnl"/>
        </w:rPr>
        <w:t>aplicación efectiva</w:t>
      </w:r>
      <w:r w:rsidR="00A178A7" w:rsidRPr="009C2D9A">
        <w:rPr>
          <w:lang w:val="es-ES_tradnl"/>
        </w:rPr>
        <w:t xml:space="preserve"> del </w:t>
      </w:r>
      <w:r w:rsidR="00A62C33" w:rsidRPr="009C2D9A">
        <w:rPr>
          <w:lang w:val="es-ES_tradnl"/>
        </w:rPr>
        <w:t>Protocolo de Nagoya</w:t>
      </w:r>
      <w:r w:rsidR="00A62C33" w:rsidRPr="009C2D9A">
        <w:rPr>
          <w:rStyle w:val="FootnoteReference"/>
          <w:lang w:val="es-ES_tradnl" w:eastAsia="en-CA"/>
        </w:rPr>
        <w:footnoteReference w:id="22"/>
      </w:r>
      <w:r w:rsidR="00A62C33" w:rsidRPr="009C2D9A">
        <w:rPr>
          <w:lang w:val="es-ES_tradnl"/>
        </w:rPr>
        <w:t>.</w:t>
      </w:r>
    </w:p>
    <w:p w14:paraId="25965DE2" w14:textId="20E78BDC" w:rsidR="00A62C33" w:rsidRPr="009C2D9A" w:rsidRDefault="00571915" w:rsidP="00A62C33">
      <w:pPr>
        <w:pStyle w:val="Para1"/>
        <w:numPr>
          <w:ilvl w:val="0"/>
          <w:numId w:val="0"/>
        </w:numPr>
        <w:pBdr>
          <w:top w:val="nil"/>
          <w:left w:val="nil"/>
          <w:bottom w:val="nil"/>
          <w:right w:val="nil"/>
          <w:between w:val="nil"/>
          <w:bar w:val="nil"/>
        </w:pBdr>
        <w:spacing w:before="120"/>
        <w:rPr>
          <w:rFonts w:cs="Times New Roman"/>
          <w:snapToGrid/>
          <w:kern w:val="22"/>
          <w:lang w:val="es-ES_tradnl"/>
        </w:rPr>
      </w:pPr>
      <w:r w:rsidRPr="009C2D9A">
        <w:rPr>
          <w:rFonts w:cs="Times New Roman"/>
          <w:snapToGrid/>
          <w:color w:val="000000"/>
          <w:kern w:val="22"/>
          <w:lang w:val="es-ES_tradnl"/>
        </w:rPr>
        <w:t>6</w:t>
      </w:r>
      <w:r w:rsidR="00BA5C93" w:rsidRPr="009C2D9A">
        <w:rPr>
          <w:rFonts w:cs="Times New Roman"/>
          <w:snapToGrid/>
          <w:color w:val="000000"/>
          <w:kern w:val="22"/>
          <w:lang w:val="es-ES_tradnl"/>
        </w:rPr>
        <w:t>1</w:t>
      </w:r>
      <w:r w:rsidR="00F8670A" w:rsidRPr="009C2D9A">
        <w:rPr>
          <w:rFonts w:cs="Times New Roman"/>
          <w:snapToGrid/>
          <w:color w:val="000000"/>
          <w:kern w:val="22"/>
          <w:lang w:val="es-ES_tradnl"/>
        </w:rPr>
        <w:t>.</w:t>
      </w:r>
      <w:r w:rsidR="00F8670A" w:rsidRPr="009C2D9A">
        <w:rPr>
          <w:rFonts w:cs="Times New Roman"/>
          <w:snapToGrid/>
          <w:color w:val="000000"/>
          <w:kern w:val="22"/>
          <w:szCs w:val="22"/>
          <w:lang w:val="es-ES_tradnl"/>
        </w:rPr>
        <w:tab/>
      </w:r>
      <w:r w:rsidR="00A62C33" w:rsidRPr="009C2D9A">
        <w:rPr>
          <w:lang w:val="es-ES_tradnl"/>
        </w:rPr>
        <w:t>Además, la Conferencia de las Partes que actú</w:t>
      </w:r>
      <w:r w:rsidR="00BD7E78">
        <w:rPr>
          <w:lang w:val="es-ES_tradnl"/>
        </w:rPr>
        <w:t>a</w:t>
      </w:r>
      <w:r w:rsidR="00A62C33" w:rsidRPr="009C2D9A">
        <w:rPr>
          <w:lang w:val="es-ES_tradnl"/>
        </w:rPr>
        <w:t xml:space="preserve"> como reunión de las Partes tal vez desee considerar los siguientes elementos adicionales de un proyecto de decisión relacionado con la sensibilización:</w:t>
      </w:r>
    </w:p>
    <w:p w14:paraId="565936F6" w14:textId="0958DC2C" w:rsidR="00A62C33" w:rsidRPr="009C2D9A" w:rsidRDefault="00A62C33" w:rsidP="00A62C33">
      <w:pPr>
        <w:suppressLineNumbers/>
        <w:suppressAutoHyphens/>
        <w:kinsoku w:val="0"/>
        <w:overflowPunct w:val="0"/>
        <w:autoSpaceDE w:val="0"/>
        <w:autoSpaceDN w:val="0"/>
        <w:adjustRightInd w:val="0"/>
        <w:snapToGrid w:val="0"/>
        <w:spacing w:before="120" w:after="120"/>
        <w:ind w:firstLine="709"/>
        <w:rPr>
          <w:rFonts w:cs="Times New Roman"/>
          <w:i/>
          <w:kern w:val="22"/>
          <w:szCs w:val="22"/>
          <w:lang w:val="es-ES_tradnl" w:eastAsia="en-CA"/>
        </w:rPr>
      </w:pPr>
      <w:r w:rsidRPr="009C2D9A">
        <w:rPr>
          <w:rFonts w:cs="Times New Roman"/>
          <w:i/>
          <w:kern w:val="22"/>
          <w:szCs w:val="22"/>
          <w:lang w:val="es-ES_tradnl" w:eastAsia="en-CA"/>
        </w:rPr>
        <w:t>La Conferencia de las Partes que actúa como reunión de las Partes en el Protocolo de Nagoya</w:t>
      </w:r>
    </w:p>
    <w:p w14:paraId="62618EBE" w14:textId="6B02B26D" w:rsidR="00B75BE2" w:rsidRPr="009C2D9A" w:rsidRDefault="006E506D" w:rsidP="00133BFF">
      <w:pPr>
        <w:pStyle w:val="Para1"/>
        <w:numPr>
          <w:ilvl w:val="0"/>
          <w:numId w:val="0"/>
        </w:numPr>
        <w:suppressLineNumbers/>
        <w:shd w:val="clear" w:color="auto" w:fill="FFFFFF" w:themeFill="background1"/>
        <w:tabs>
          <w:tab w:val="left" w:pos="360"/>
        </w:tabs>
        <w:suppressAutoHyphens/>
        <w:snapToGrid w:val="0"/>
        <w:spacing w:before="120"/>
        <w:ind w:firstLine="720"/>
        <w:rPr>
          <w:kern w:val="22"/>
          <w:szCs w:val="22"/>
          <w:lang w:val="es-ES_tradnl"/>
        </w:rPr>
      </w:pPr>
      <w:r w:rsidRPr="009C2D9A">
        <w:rPr>
          <w:rFonts w:cs="Times New Roman"/>
          <w:kern w:val="22"/>
          <w:szCs w:val="22"/>
          <w:lang w:val="es-ES_tradnl"/>
        </w:rPr>
        <w:lastRenderedPageBreak/>
        <w:t>1.</w:t>
      </w:r>
      <w:r w:rsidRPr="009C2D9A">
        <w:rPr>
          <w:rFonts w:cs="Times New Roman"/>
          <w:kern w:val="22"/>
          <w:szCs w:val="22"/>
          <w:lang w:val="es-ES_tradnl"/>
        </w:rPr>
        <w:tab/>
      </w:r>
      <w:r w:rsidR="00B75BE2" w:rsidRPr="009C2D9A">
        <w:rPr>
          <w:rFonts w:cs="Times New Roman"/>
          <w:i/>
          <w:iCs/>
          <w:lang w:val="es-ES_tradnl"/>
        </w:rPr>
        <w:t>Toma nota</w:t>
      </w:r>
      <w:r w:rsidR="00B75BE2" w:rsidRPr="009C2D9A">
        <w:rPr>
          <w:rFonts w:cs="Times New Roman"/>
          <w:lang w:val="es-ES_tradnl"/>
        </w:rPr>
        <w:t xml:space="preserve"> de</w:t>
      </w:r>
      <w:r w:rsidR="00133BFF" w:rsidRPr="009C2D9A">
        <w:rPr>
          <w:rFonts w:cs="Times New Roman"/>
          <w:lang w:val="es-ES_tradnl"/>
        </w:rPr>
        <w:t>l</w:t>
      </w:r>
      <w:r w:rsidR="00B75BE2" w:rsidRPr="009C2D9A">
        <w:rPr>
          <w:rFonts w:cs="Times New Roman"/>
          <w:lang w:val="es-ES_tradnl"/>
        </w:rPr>
        <w:t xml:space="preserve"> progreso realizado en la </w:t>
      </w:r>
      <w:r w:rsidR="00133BFF" w:rsidRPr="009C2D9A">
        <w:rPr>
          <w:rFonts w:cs="Times New Roman"/>
          <w:lang w:val="es-ES_tradnl"/>
        </w:rPr>
        <w:t xml:space="preserve">aplicación </w:t>
      </w:r>
      <w:r w:rsidR="00B75BE2" w:rsidRPr="009C2D9A">
        <w:rPr>
          <w:rFonts w:cs="Times New Roman"/>
          <w:lang w:val="es-ES_tradnl"/>
        </w:rPr>
        <w:t>de la estrategia de sensibilización para el Protocolo de Nagoya;</w:t>
      </w:r>
    </w:p>
    <w:p w14:paraId="1C33518D" w14:textId="718180FE" w:rsidR="00B75BE2" w:rsidRPr="009C2D9A" w:rsidRDefault="006E506D" w:rsidP="00133BFF">
      <w:pPr>
        <w:pStyle w:val="Para1"/>
        <w:numPr>
          <w:ilvl w:val="0"/>
          <w:numId w:val="0"/>
        </w:numPr>
        <w:suppressLineNumbers/>
        <w:shd w:val="clear" w:color="auto" w:fill="FFFFFF" w:themeFill="background1"/>
        <w:tabs>
          <w:tab w:val="left" w:pos="360"/>
        </w:tabs>
        <w:suppressAutoHyphens/>
        <w:snapToGrid w:val="0"/>
        <w:spacing w:before="120"/>
        <w:ind w:firstLine="720"/>
        <w:rPr>
          <w:kern w:val="22"/>
          <w:szCs w:val="22"/>
          <w:lang w:val="es-ES_tradnl"/>
        </w:rPr>
      </w:pPr>
      <w:r w:rsidRPr="009C2D9A">
        <w:rPr>
          <w:lang w:val="es-ES_tradnl"/>
        </w:rPr>
        <w:t>2.</w:t>
      </w:r>
      <w:r w:rsidRPr="009C2D9A">
        <w:rPr>
          <w:lang w:val="es-ES_tradnl"/>
        </w:rPr>
        <w:tab/>
      </w:r>
      <w:r w:rsidR="00B75BE2" w:rsidRPr="009C2D9A">
        <w:rPr>
          <w:rFonts w:cs="Times New Roman"/>
          <w:i/>
          <w:iCs/>
          <w:lang w:val="es-ES_tradnl"/>
        </w:rPr>
        <w:t>Toma nota también</w:t>
      </w:r>
      <w:r w:rsidR="00B75BE2" w:rsidRPr="009C2D9A">
        <w:rPr>
          <w:rFonts w:cs="Times New Roman"/>
          <w:lang w:val="es-ES_tradnl"/>
        </w:rPr>
        <w:t xml:space="preserve"> de los comentarios de las </w:t>
      </w:r>
      <w:r w:rsidR="00133BFF" w:rsidRPr="009C2D9A">
        <w:rPr>
          <w:rFonts w:cs="Times New Roman"/>
          <w:lang w:val="es-ES_tradnl"/>
        </w:rPr>
        <w:t xml:space="preserve">Partes, Estados que no son Partes </w:t>
      </w:r>
      <w:r w:rsidR="00B75BE2" w:rsidRPr="009C2D9A">
        <w:rPr>
          <w:rFonts w:cs="Times New Roman"/>
          <w:lang w:val="es-ES_tradnl"/>
        </w:rPr>
        <w:t xml:space="preserve">y otras partes interesadas pertinentes sobre </w:t>
      </w:r>
      <w:r w:rsidR="00133BFF" w:rsidRPr="009C2D9A">
        <w:rPr>
          <w:rFonts w:cs="Times New Roman"/>
          <w:lang w:val="es-ES_tradnl"/>
        </w:rPr>
        <w:t xml:space="preserve">la </w:t>
      </w:r>
      <w:r w:rsidR="00133BFF" w:rsidRPr="008D17FD">
        <w:rPr>
          <w:i/>
          <w:iCs/>
          <w:lang w:val="es-ES_tradnl"/>
        </w:rPr>
        <w:t>Guía práctica de Comunicación, Educación y Sensibilización del Público</w:t>
      </w:r>
      <w:r w:rsidR="00637CF4">
        <w:rPr>
          <w:i/>
          <w:iCs/>
          <w:lang w:val="es-ES_tradnl"/>
        </w:rPr>
        <w:t>,</w:t>
      </w:r>
      <w:r w:rsidR="00133BFF" w:rsidRPr="008D17FD">
        <w:rPr>
          <w:i/>
          <w:iCs/>
          <w:lang w:val="es-ES_tradnl"/>
        </w:rPr>
        <w:t xml:space="preserve"> incluyendo consideraciones para acceso y participación en los beneficios</w:t>
      </w:r>
      <w:r w:rsidR="008D17FD">
        <w:rPr>
          <w:rStyle w:val="FootnoteReference"/>
          <w:kern w:val="22"/>
        </w:rPr>
        <w:footnoteReference w:id="23"/>
      </w:r>
      <w:r w:rsidR="00B75BE2" w:rsidRPr="009C2D9A">
        <w:rPr>
          <w:rFonts w:cs="Times New Roman"/>
          <w:lang w:val="es-ES_tradnl"/>
        </w:rPr>
        <w:t xml:space="preserve">, y alienta a las Partes, </w:t>
      </w:r>
      <w:r w:rsidR="00133BFF" w:rsidRPr="009C2D9A">
        <w:rPr>
          <w:rFonts w:cs="Times New Roman"/>
          <w:lang w:val="es-ES_tradnl"/>
        </w:rPr>
        <w:t>Estados que no son Partes</w:t>
      </w:r>
      <w:r w:rsidR="00B75BE2" w:rsidRPr="009C2D9A">
        <w:rPr>
          <w:rFonts w:cs="Times New Roman"/>
          <w:lang w:val="es-ES_tradnl"/>
        </w:rPr>
        <w:t xml:space="preserve">, las organizaciones pertinentes y otros interesados ​​directos a seguir utilizando </w:t>
      </w:r>
      <w:r w:rsidR="00133BFF" w:rsidRPr="009C2D9A">
        <w:rPr>
          <w:rFonts w:cs="Times New Roman"/>
          <w:lang w:val="es-ES_tradnl"/>
        </w:rPr>
        <w:t xml:space="preserve">la guía práctica </w:t>
      </w:r>
      <w:r w:rsidR="00B75BE2" w:rsidRPr="009C2D9A">
        <w:rPr>
          <w:rFonts w:cs="Times New Roman"/>
          <w:lang w:val="es-ES_tradnl"/>
        </w:rPr>
        <w:t xml:space="preserve">como parte de sus actividades de sensibilización y </w:t>
      </w:r>
      <w:r w:rsidR="00133BFF" w:rsidRPr="009C2D9A">
        <w:rPr>
          <w:rFonts w:cs="Times New Roman"/>
          <w:lang w:val="es-ES_tradnl"/>
        </w:rPr>
        <w:t>creación</w:t>
      </w:r>
      <w:r w:rsidR="00B75BE2" w:rsidRPr="009C2D9A">
        <w:rPr>
          <w:rFonts w:cs="Times New Roman"/>
          <w:lang w:val="es-ES_tradnl"/>
        </w:rPr>
        <w:t xml:space="preserve"> de capacidades;</w:t>
      </w:r>
    </w:p>
    <w:p w14:paraId="2B95C189" w14:textId="13A90480" w:rsidR="00B75BE2" w:rsidRPr="009C2D9A" w:rsidRDefault="006E506D" w:rsidP="00A178A7">
      <w:pPr>
        <w:pStyle w:val="Para1"/>
        <w:numPr>
          <w:ilvl w:val="0"/>
          <w:numId w:val="0"/>
        </w:numPr>
        <w:suppressLineNumbers/>
        <w:shd w:val="clear" w:color="auto" w:fill="FFFFFF" w:themeFill="background1"/>
        <w:tabs>
          <w:tab w:val="left" w:pos="360"/>
        </w:tabs>
        <w:suppressAutoHyphens/>
        <w:snapToGrid w:val="0"/>
        <w:spacing w:before="120"/>
        <w:ind w:firstLine="720"/>
        <w:rPr>
          <w:kern w:val="22"/>
          <w:lang w:val="es-ES_tradnl"/>
        </w:rPr>
      </w:pPr>
      <w:r w:rsidRPr="009C2D9A">
        <w:rPr>
          <w:kern w:val="22"/>
          <w:lang w:val="es-ES_tradnl"/>
        </w:rPr>
        <w:t>3.</w:t>
      </w:r>
      <w:r w:rsidRPr="009C2D9A">
        <w:rPr>
          <w:kern w:val="22"/>
          <w:lang w:val="es-ES_tradnl"/>
        </w:rPr>
        <w:tab/>
      </w:r>
      <w:bookmarkStart w:id="9" w:name="_Hlk118023043"/>
      <w:r w:rsidR="00B75BE2" w:rsidRPr="009C2D9A">
        <w:rPr>
          <w:rFonts w:cs="Times New Roman"/>
          <w:i/>
          <w:iCs/>
          <w:lang w:val="es-ES_tradnl"/>
        </w:rPr>
        <w:t>Alienta</w:t>
      </w:r>
      <w:r w:rsidR="00B75BE2" w:rsidRPr="009C2D9A">
        <w:rPr>
          <w:rFonts w:cs="Times New Roman"/>
          <w:lang w:val="es-ES_tradnl"/>
        </w:rPr>
        <w:t xml:space="preserve"> a las Partes, los Estados que no son Partes, las organizaciones y otras partes interesadas </w:t>
      </w:r>
      <w:r w:rsidR="00637CF4" w:rsidRPr="009C2D9A">
        <w:rPr>
          <w:rFonts w:cs="Times New Roman"/>
          <w:lang w:val="es-ES_tradnl"/>
        </w:rPr>
        <w:t xml:space="preserve">pertinentes </w:t>
      </w:r>
      <w:r w:rsidR="00B75BE2" w:rsidRPr="009C2D9A">
        <w:rPr>
          <w:rFonts w:cs="Times New Roman"/>
          <w:lang w:val="es-ES_tradnl"/>
        </w:rPr>
        <w:t xml:space="preserve">a continuar </w:t>
      </w:r>
      <w:r w:rsidR="0096540C">
        <w:rPr>
          <w:rFonts w:cs="Times New Roman"/>
          <w:lang w:val="es-ES_tradnl"/>
        </w:rPr>
        <w:t xml:space="preserve">realizando </w:t>
      </w:r>
      <w:r w:rsidR="00B75BE2" w:rsidRPr="009C2D9A">
        <w:rPr>
          <w:rFonts w:cs="Times New Roman"/>
          <w:lang w:val="es-ES_tradnl"/>
        </w:rPr>
        <w:t xml:space="preserve">actividades de sensibilización y poner a disposición información sobre herramientas y recursos de sensibilización a través del Centro de Intercambio de Información sobre </w:t>
      </w:r>
      <w:r w:rsidR="00A178A7" w:rsidRPr="009C2D9A">
        <w:rPr>
          <w:rFonts w:cs="Times New Roman"/>
          <w:lang w:val="es-ES_tradnl"/>
        </w:rPr>
        <w:t>A</w:t>
      </w:r>
      <w:r w:rsidR="00B75BE2" w:rsidRPr="009C2D9A">
        <w:rPr>
          <w:rFonts w:cs="Times New Roman"/>
          <w:lang w:val="es-ES_tradnl"/>
        </w:rPr>
        <w:t xml:space="preserve">cceso y </w:t>
      </w:r>
      <w:r w:rsidR="00A178A7" w:rsidRPr="009C2D9A">
        <w:rPr>
          <w:rFonts w:cs="Times New Roman"/>
          <w:lang w:val="es-ES_tradnl"/>
        </w:rPr>
        <w:t xml:space="preserve">Participación en los </w:t>
      </w:r>
      <w:r w:rsidR="00B75BE2" w:rsidRPr="009C2D9A">
        <w:rPr>
          <w:rFonts w:cs="Times New Roman"/>
          <w:lang w:val="es-ES_tradnl"/>
        </w:rPr>
        <w:t>Beneficios;</w:t>
      </w:r>
    </w:p>
    <w:bookmarkEnd w:id="9"/>
    <w:p w14:paraId="58CF4CDD" w14:textId="3142D7FB" w:rsidR="00B75BE2" w:rsidRPr="009C2D9A" w:rsidRDefault="006E506D" w:rsidP="0076261B">
      <w:pPr>
        <w:pStyle w:val="Para1"/>
        <w:numPr>
          <w:ilvl w:val="0"/>
          <w:numId w:val="0"/>
        </w:numPr>
        <w:suppressLineNumbers/>
        <w:shd w:val="clear" w:color="auto" w:fill="FFFFFF" w:themeFill="background1"/>
        <w:tabs>
          <w:tab w:val="left" w:pos="360"/>
        </w:tabs>
        <w:suppressAutoHyphens/>
        <w:snapToGrid w:val="0"/>
        <w:spacing w:before="120"/>
        <w:ind w:firstLine="720"/>
        <w:rPr>
          <w:rFonts w:cs="Times New Roman"/>
          <w:lang w:val="es-ES_tradnl"/>
        </w:rPr>
      </w:pPr>
      <w:r w:rsidRPr="009C2D9A">
        <w:rPr>
          <w:kern w:val="22"/>
          <w:lang w:val="es-ES_tradnl"/>
        </w:rPr>
        <w:t>4.</w:t>
      </w:r>
      <w:r w:rsidRPr="009C2D9A">
        <w:rPr>
          <w:kern w:val="22"/>
          <w:lang w:val="es-ES_tradnl"/>
        </w:rPr>
        <w:tab/>
      </w:r>
      <w:r w:rsidR="00947263" w:rsidRPr="009C2D9A">
        <w:rPr>
          <w:rFonts w:cs="Times New Roman"/>
          <w:i/>
          <w:iCs/>
          <w:lang w:val="es-ES_tradnl"/>
        </w:rPr>
        <w:t>Pide</w:t>
      </w:r>
      <w:r w:rsidR="00947263" w:rsidRPr="009C2D9A">
        <w:rPr>
          <w:rFonts w:cs="Times New Roman"/>
          <w:lang w:val="es-ES_tradnl"/>
        </w:rPr>
        <w:t xml:space="preserve"> </w:t>
      </w:r>
      <w:r w:rsidR="00B75BE2" w:rsidRPr="009C2D9A">
        <w:rPr>
          <w:rFonts w:cs="Times New Roman"/>
          <w:lang w:val="es-ES_tradnl"/>
        </w:rPr>
        <w:t xml:space="preserve">a la </w:t>
      </w:r>
      <w:proofErr w:type="gramStart"/>
      <w:r w:rsidR="00B75BE2" w:rsidRPr="009C2D9A">
        <w:rPr>
          <w:rFonts w:cs="Times New Roman"/>
          <w:lang w:val="es-ES_tradnl"/>
        </w:rPr>
        <w:t>Secretaria Ejecutiva</w:t>
      </w:r>
      <w:proofErr w:type="gramEnd"/>
      <w:r w:rsidR="00B75BE2" w:rsidRPr="009C2D9A">
        <w:rPr>
          <w:rFonts w:cs="Times New Roman"/>
          <w:lang w:val="es-ES_tradnl"/>
        </w:rPr>
        <w:t xml:space="preserve"> que continúe apoyando la </w:t>
      </w:r>
      <w:r w:rsidR="0076261B" w:rsidRPr="009C2D9A">
        <w:rPr>
          <w:rFonts w:cs="Times New Roman"/>
          <w:lang w:val="es-ES_tradnl"/>
        </w:rPr>
        <w:t>aplicación</w:t>
      </w:r>
      <w:r w:rsidR="00B75BE2" w:rsidRPr="009C2D9A">
        <w:rPr>
          <w:rFonts w:cs="Times New Roman"/>
          <w:lang w:val="es-ES_tradnl"/>
        </w:rPr>
        <w:t xml:space="preserve"> de la estrategia</w:t>
      </w:r>
      <w:r w:rsidR="0076261B" w:rsidRPr="009C2D9A">
        <w:rPr>
          <w:rStyle w:val="FootnoteReference"/>
          <w:kern w:val="22"/>
          <w:lang w:val="es-ES_tradnl"/>
        </w:rPr>
        <w:footnoteReference w:id="24"/>
      </w:r>
      <w:r w:rsidR="00B75BE2" w:rsidRPr="009C2D9A">
        <w:rPr>
          <w:rFonts w:cs="Times New Roman"/>
          <w:lang w:val="es-ES_tradnl"/>
        </w:rPr>
        <w:t xml:space="preserve"> de sensibilización a través de sus actividades de creación de capacidad y alentando el uso del conjunto de herramientas de sensibilización sobre acceso y </w:t>
      </w:r>
      <w:r w:rsidR="00A178A7" w:rsidRPr="009C2D9A">
        <w:rPr>
          <w:rFonts w:cs="Times New Roman"/>
          <w:lang w:val="es-ES_tradnl"/>
        </w:rPr>
        <w:t xml:space="preserve">participación en los </w:t>
      </w:r>
      <w:r w:rsidR="00B75BE2" w:rsidRPr="009C2D9A">
        <w:rPr>
          <w:rFonts w:cs="Times New Roman"/>
          <w:lang w:val="es-ES_tradnl"/>
        </w:rPr>
        <w:t xml:space="preserve">beneficios en proyectos relacionados de creación de capacidad y sensibilización llevados a cabo por las Partes, </w:t>
      </w:r>
      <w:r w:rsidR="0076261B" w:rsidRPr="009C2D9A">
        <w:rPr>
          <w:rFonts w:cs="Times New Roman"/>
          <w:lang w:val="es-ES_tradnl"/>
        </w:rPr>
        <w:t xml:space="preserve">Estados que </w:t>
      </w:r>
      <w:r w:rsidR="00B75BE2" w:rsidRPr="009C2D9A">
        <w:rPr>
          <w:rFonts w:cs="Times New Roman"/>
          <w:lang w:val="es-ES_tradnl"/>
        </w:rPr>
        <w:t xml:space="preserve">no </w:t>
      </w:r>
      <w:r w:rsidR="0076261B" w:rsidRPr="009C2D9A">
        <w:rPr>
          <w:rFonts w:cs="Times New Roman"/>
          <w:lang w:val="es-ES_tradnl"/>
        </w:rPr>
        <w:t xml:space="preserve">son </w:t>
      </w:r>
      <w:r w:rsidR="00B75BE2" w:rsidRPr="009C2D9A">
        <w:rPr>
          <w:rFonts w:cs="Times New Roman"/>
          <w:lang w:val="es-ES_tradnl"/>
        </w:rPr>
        <w:t>Partes y organizaciones pertinentes;</w:t>
      </w:r>
    </w:p>
    <w:p w14:paraId="74E32FD6" w14:textId="561E5946" w:rsidR="00B75BE2" w:rsidRPr="009C2D9A" w:rsidRDefault="00BD4AB9" w:rsidP="00010EB1">
      <w:pPr>
        <w:pStyle w:val="Para1"/>
        <w:numPr>
          <w:ilvl w:val="0"/>
          <w:numId w:val="0"/>
        </w:numPr>
        <w:suppressLineNumbers/>
        <w:shd w:val="clear" w:color="auto" w:fill="FFFFFF" w:themeFill="background1"/>
        <w:tabs>
          <w:tab w:val="left" w:pos="360"/>
        </w:tabs>
        <w:suppressAutoHyphens/>
        <w:snapToGrid w:val="0"/>
        <w:spacing w:before="120"/>
        <w:ind w:firstLine="720"/>
        <w:rPr>
          <w:kern w:val="22"/>
          <w:lang w:val="es-ES_tradnl"/>
        </w:rPr>
      </w:pPr>
      <w:r>
        <w:rPr>
          <w:kern w:val="22"/>
          <w:lang w:val="es-ES_tradnl"/>
        </w:rPr>
        <w:t xml:space="preserve">  </w:t>
      </w:r>
      <w:r w:rsidR="006E506D" w:rsidRPr="009C2D9A">
        <w:rPr>
          <w:kern w:val="22"/>
          <w:lang w:val="es-ES_tradnl"/>
        </w:rPr>
        <w:t>5.</w:t>
      </w:r>
      <w:r w:rsidR="006E506D" w:rsidRPr="009C2D9A">
        <w:rPr>
          <w:kern w:val="22"/>
          <w:lang w:val="es-ES_tradnl"/>
        </w:rPr>
        <w:tab/>
      </w:r>
      <w:r w:rsidR="00947263" w:rsidRPr="009C2D9A">
        <w:rPr>
          <w:rFonts w:cs="Times New Roman"/>
          <w:i/>
          <w:iCs/>
          <w:lang w:val="es-ES_tradnl"/>
        </w:rPr>
        <w:t>Pide t</w:t>
      </w:r>
      <w:r w:rsidR="00B75BE2" w:rsidRPr="009C2D9A">
        <w:rPr>
          <w:rFonts w:cs="Times New Roman"/>
          <w:i/>
          <w:iCs/>
          <w:lang w:val="es-ES_tradnl"/>
        </w:rPr>
        <w:t>ambién</w:t>
      </w:r>
      <w:r w:rsidR="00B75BE2" w:rsidRPr="009C2D9A">
        <w:rPr>
          <w:rFonts w:cs="Times New Roman"/>
          <w:lang w:val="es-ES_tradnl"/>
        </w:rPr>
        <w:t xml:space="preserve"> a la </w:t>
      </w:r>
      <w:proofErr w:type="gramStart"/>
      <w:r w:rsidR="00B75BE2" w:rsidRPr="009C2D9A">
        <w:rPr>
          <w:rFonts w:cs="Times New Roman"/>
          <w:lang w:val="es-ES_tradnl"/>
        </w:rPr>
        <w:t>Secretaria Ejecutiva</w:t>
      </w:r>
      <w:proofErr w:type="gramEnd"/>
      <w:r w:rsidR="00B75BE2" w:rsidRPr="009C2D9A">
        <w:rPr>
          <w:rFonts w:cs="Times New Roman"/>
          <w:lang w:val="es-ES_tradnl"/>
        </w:rPr>
        <w:t xml:space="preserve"> que considere incorporar elementos de la estrategia de sensibilización al revisar el marco estratégico para la creación y el desarrollo de capacidades para apoyar la </w:t>
      </w:r>
      <w:r w:rsidR="003640C0">
        <w:rPr>
          <w:rFonts w:cs="Times New Roman"/>
          <w:lang w:val="es-ES_tradnl"/>
        </w:rPr>
        <w:t>aplicación efectiva</w:t>
      </w:r>
      <w:r w:rsidR="00B75BE2" w:rsidRPr="009C2D9A">
        <w:rPr>
          <w:rFonts w:cs="Times New Roman"/>
          <w:lang w:val="es-ES_tradnl"/>
        </w:rPr>
        <w:t xml:space="preserve"> del Protocolo de Nagoya, para </w:t>
      </w:r>
      <w:r w:rsidR="0076261B" w:rsidRPr="009C2D9A">
        <w:rPr>
          <w:rFonts w:cs="Times New Roman"/>
          <w:lang w:val="es-ES_tradnl"/>
        </w:rPr>
        <w:t xml:space="preserve">someterlo a </w:t>
      </w:r>
      <w:r w:rsidR="00B75BE2" w:rsidRPr="009C2D9A">
        <w:rPr>
          <w:rFonts w:cs="Times New Roman"/>
          <w:lang w:val="es-ES_tradnl"/>
        </w:rPr>
        <w:t xml:space="preserve">la consideración del Órgano Subsidiario sobre </w:t>
      </w:r>
      <w:r w:rsidR="0076261B" w:rsidRPr="009C2D9A">
        <w:rPr>
          <w:rFonts w:cs="Times New Roman"/>
          <w:lang w:val="es-ES_tradnl"/>
        </w:rPr>
        <w:t>la Aplicación</w:t>
      </w:r>
      <w:r w:rsidR="00B75BE2" w:rsidRPr="009C2D9A">
        <w:rPr>
          <w:rFonts w:cs="Times New Roman"/>
          <w:lang w:val="es-ES_tradnl"/>
        </w:rPr>
        <w:t xml:space="preserve"> en su cuarta reunión y para su adopción por la Conferencia de las Partes que actúa como reunión de las Partes en el Protocolo de Nagoya en su quinta reunión.</w:t>
      </w:r>
    </w:p>
    <w:p w14:paraId="2DD3FCF4" w14:textId="1C33E005" w:rsidR="0098426A" w:rsidRPr="009C2D9A" w:rsidRDefault="003D7ECE" w:rsidP="00010EB1">
      <w:pPr>
        <w:pStyle w:val="Para1"/>
        <w:numPr>
          <w:ilvl w:val="0"/>
          <w:numId w:val="0"/>
        </w:numPr>
        <w:suppressLineNumbers/>
        <w:suppressAutoHyphens/>
        <w:jc w:val="center"/>
        <w:rPr>
          <w:rFonts w:cs="Times New Roman"/>
          <w:snapToGrid/>
          <w:color w:val="000000"/>
          <w:kern w:val="22"/>
          <w:szCs w:val="22"/>
          <w:highlight w:val="cyan"/>
          <w:lang w:val="es-ES_tradnl"/>
        </w:rPr>
      </w:pPr>
      <w:r w:rsidRPr="009C2D9A">
        <w:rPr>
          <w:kern w:val="22"/>
          <w:lang w:val="es-ES_tradnl"/>
        </w:rPr>
        <w:t>__________</w:t>
      </w:r>
      <w:bookmarkEnd w:id="0"/>
    </w:p>
    <w:sectPr w:rsidR="0098426A" w:rsidRPr="009C2D9A" w:rsidSect="004C66F3">
      <w:headerReference w:type="even" r:id="rId32"/>
      <w:headerReference w:type="default" r:id="rId33"/>
      <w:type w:val="continuous"/>
      <w:pgSz w:w="12240" w:h="15840" w:code="1"/>
      <w:pgMar w:top="1261" w:right="1440" w:bottom="1021" w:left="1440" w:header="459"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56F80" w14:textId="77777777" w:rsidR="002E4FB1" w:rsidRDefault="002E4FB1">
      <w:r>
        <w:separator/>
      </w:r>
    </w:p>
  </w:endnote>
  <w:endnote w:type="continuationSeparator" w:id="0">
    <w:p w14:paraId="47739969" w14:textId="77777777" w:rsidR="002E4FB1" w:rsidRDefault="002E4FB1">
      <w:r>
        <w:continuationSeparator/>
      </w:r>
    </w:p>
  </w:endnote>
  <w:endnote w:type="continuationNotice" w:id="1">
    <w:p w14:paraId="48DE5493" w14:textId="77777777" w:rsidR="002E4FB1" w:rsidRDefault="002E4F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altName w:val="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C0CD0" w14:textId="77777777" w:rsidR="002E4FB1" w:rsidRDefault="002E4FB1">
      <w:r>
        <w:separator/>
      </w:r>
    </w:p>
  </w:footnote>
  <w:footnote w:type="continuationSeparator" w:id="0">
    <w:p w14:paraId="18719506" w14:textId="77777777" w:rsidR="002E4FB1" w:rsidRDefault="002E4FB1">
      <w:r>
        <w:continuationSeparator/>
      </w:r>
    </w:p>
  </w:footnote>
  <w:footnote w:type="continuationNotice" w:id="1">
    <w:p w14:paraId="2CAD9D2D" w14:textId="77777777" w:rsidR="002E4FB1" w:rsidRDefault="002E4FB1"/>
  </w:footnote>
  <w:footnote w:id="2">
    <w:p w14:paraId="765258D1" w14:textId="77777777" w:rsidR="00D860E9" w:rsidRPr="00010EB1" w:rsidRDefault="00D860E9" w:rsidP="00D860E9">
      <w:pPr>
        <w:suppressLineNumbers/>
        <w:suppressAutoHyphens/>
        <w:rPr>
          <w:rFonts w:cs="Times New Roman"/>
          <w:sz w:val="18"/>
          <w:szCs w:val="18"/>
          <w:lang w:val="en-CA"/>
        </w:rPr>
      </w:pPr>
      <w:r w:rsidRPr="00010EB1">
        <w:rPr>
          <w:rStyle w:val="FootnoteReference"/>
          <w:szCs w:val="18"/>
        </w:rPr>
        <w:footnoteRef/>
      </w:r>
      <w:r w:rsidRPr="00010EB1">
        <w:rPr>
          <w:sz w:val="18"/>
          <w:szCs w:val="18"/>
        </w:rPr>
        <w:t xml:space="preserve"> </w:t>
      </w:r>
      <w:hyperlink r:id="rId1" w:history="1">
        <w:r w:rsidRPr="00010EB1">
          <w:rPr>
            <w:rStyle w:val="Hyperlink"/>
            <w:sz w:val="18"/>
            <w:szCs w:val="18"/>
          </w:rPr>
          <w:t>CBD/NP/CB/WS/2019/1/2</w:t>
        </w:r>
      </w:hyperlink>
      <w:r>
        <w:rPr>
          <w:sz w:val="18"/>
          <w:szCs w:val="18"/>
        </w:rPr>
        <w:t>.</w:t>
      </w:r>
    </w:p>
  </w:footnote>
  <w:footnote w:id="3">
    <w:p w14:paraId="5B13F285" w14:textId="77777777" w:rsidR="00755D54" w:rsidRPr="008D0E31" w:rsidRDefault="00755D54" w:rsidP="00755D54">
      <w:pPr>
        <w:pStyle w:val="FootnoteText"/>
        <w:ind w:firstLine="0"/>
      </w:pPr>
      <w:r>
        <w:rPr>
          <w:rStyle w:val="FootnoteReference"/>
        </w:rPr>
        <w:footnoteRef/>
      </w:r>
      <w:r>
        <w:t xml:space="preserve"> </w:t>
      </w:r>
      <w:hyperlink r:id="rId2" w:history="1">
        <w:r w:rsidRPr="00E270CF">
          <w:rPr>
            <w:rStyle w:val="Hyperlink"/>
          </w:rPr>
          <w:t>https://www.cbd.int/article/dsi-webinar-series-2020</w:t>
        </w:r>
      </w:hyperlink>
      <w:r>
        <w:t xml:space="preserve"> </w:t>
      </w:r>
    </w:p>
  </w:footnote>
  <w:footnote w:id="4">
    <w:p w14:paraId="37503A9C" w14:textId="77777777" w:rsidR="00755D54" w:rsidRPr="00010EB1" w:rsidRDefault="00755D54" w:rsidP="00755D54">
      <w:pPr>
        <w:pStyle w:val="FootnoteText"/>
        <w:ind w:firstLine="0"/>
      </w:pPr>
      <w:r>
        <w:rPr>
          <w:rStyle w:val="FootnoteReference"/>
        </w:rPr>
        <w:footnoteRef/>
      </w:r>
      <w:r>
        <w:t xml:space="preserve"> </w:t>
      </w:r>
      <w:hyperlink r:id="rId3" w:history="1">
        <w:r w:rsidRPr="00E270CF">
          <w:rPr>
            <w:rStyle w:val="Hyperlink"/>
          </w:rPr>
          <w:t>https://www.cbd.int/dsi-gr/forum.shtml</w:t>
        </w:r>
      </w:hyperlink>
      <w:r>
        <w:t xml:space="preserve"> </w:t>
      </w:r>
    </w:p>
  </w:footnote>
  <w:footnote w:id="5">
    <w:p w14:paraId="7CD20644" w14:textId="22C9F59F" w:rsidR="004001F9" w:rsidRPr="00932DCF" w:rsidRDefault="004001F9" w:rsidP="004001F9">
      <w:pPr>
        <w:pStyle w:val="FootnoteText"/>
        <w:ind w:firstLine="0"/>
        <w:rPr>
          <w:lang w:val="es-ES"/>
        </w:rPr>
      </w:pPr>
      <w:r>
        <w:rPr>
          <w:rStyle w:val="FootnoteReference"/>
        </w:rPr>
        <w:footnoteRef/>
      </w:r>
      <w:r w:rsidRPr="00932DCF">
        <w:rPr>
          <w:lang w:val="es-ES"/>
        </w:rPr>
        <w:t xml:space="preserve"> </w:t>
      </w:r>
      <w:r w:rsidR="00932DCF" w:rsidRPr="00932DCF">
        <w:rPr>
          <w:lang w:val="es-ES"/>
        </w:rPr>
        <w:t>Taller acerca del Centro de Intercambio de Información sobre APB celebrado en forma paralela a la tercera reunión de las Partes en el Protocolo (Egipto, noviembre de 2018); Taller de la Comunidad de Práctica en relación con el Protocolo de Nagoya sobre Acceso y Participación en los Beneficios para los países europeos, de la CEI, árabes y asiáticos (Turquía, abril de 2019); 12º Taller Panafricano sobre Acceso y Participación en los Beneficios (Sudáfrica, septiembre de 2019); Formación sobre interoperabilidad del Centro de Intercambio de Información sobre APB en la India (diciembre de 2018) y Kenia (octubre de 2019).</w:t>
      </w:r>
    </w:p>
  </w:footnote>
  <w:footnote w:id="6">
    <w:p w14:paraId="59C3B753" w14:textId="77777777" w:rsidR="00460CD2" w:rsidRPr="00865963" w:rsidRDefault="00460CD2" w:rsidP="00460CD2">
      <w:pPr>
        <w:pStyle w:val="FootnoteText"/>
        <w:ind w:firstLine="0"/>
        <w:rPr>
          <w:lang w:val="es-ES"/>
        </w:rPr>
      </w:pPr>
      <w:r>
        <w:rPr>
          <w:rStyle w:val="FootnoteReference"/>
        </w:rPr>
        <w:footnoteRef/>
      </w:r>
      <w:r w:rsidRPr="00865963">
        <w:rPr>
          <w:lang w:val="es-ES"/>
        </w:rPr>
        <w:t xml:space="preserve"> </w:t>
      </w:r>
      <w:r w:rsidR="002F6CB6">
        <w:fldChar w:fldCharType="begin"/>
      </w:r>
      <w:r w:rsidR="002F6CB6" w:rsidRPr="002F6CB6">
        <w:rPr>
          <w:lang w:val="es-ES"/>
        </w:rPr>
        <w:instrText xml:space="preserve"> HYPERLINK "https://www.cbd.int/biobridge/" </w:instrText>
      </w:r>
      <w:r w:rsidR="002F6CB6">
        <w:fldChar w:fldCharType="separate"/>
      </w:r>
      <w:r w:rsidRPr="00865963">
        <w:rPr>
          <w:rStyle w:val="Hyperlink"/>
          <w:lang w:val="es-ES"/>
        </w:rPr>
        <w:t>https://www.cbd.int/biobridge/</w:t>
      </w:r>
      <w:r w:rsidR="002F6CB6">
        <w:rPr>
          <w:rStyle w:val="Hyperlink"/>
          <w:lang w:val="es-ES"/>
        </w:rPr>
        <w:fldChar w:fldCharType="end"/>
      </w:r>
      <w:r w:rsidRPr="00865963">
        <w:rPr>
          <w:lang w:val="es-ES"/>
        </w:rPr>
        <w:t xml:space="preserve"> </w:t>
      </w:r>
    </w:p>
  </w:footnote>
  <w:footnote w:id="7">
    <w:p w14:paraId="2BAEC324" w14:textId="386CCA0F" w:rsidR="00176288" w:rsidRPr="00BD603A" w:rsidRDefault="00176288" w:rsidP="00BD603A">
      <w:pPr>
        <w:pStyle w:val="FootnoteText"/>
        <w:ind w:firstLine="0"/>
        <w:jc w:val="left"/>
        <w:rPr>
          <w:lang w:val="es-ES"/>
        </w:rPr>
      </w:pPr>
      <w:r>
        <w:rPr>
          <w:rStyle w:val="FootnoteReference"/>
        </w:rPr>
        <w:footnoteRef/>
      </w:r>
      <w:r w:rsidRPr="00BD603A">
        <w:rPr>
          <w:lang w:val="es-ES"/>
        </w:rPr>
        <w:t xml:space="preserve"> </w:t>
      </w:r>
      <w:r w:rsidR="00BD603A">
        <w:rPr>
          <w:lang w:val="es-ES"/>
        </w:rPr>
        <w:t xml:space="preserve">Aquí </w:t>
      </w:r>
      <w:r w:rsidR="00BD603A" w:rsidRPr="00BD603A">
        <w:rPr>
          <w:lang w:val="es-ES"/>
        </w:rPr>
        <w:t xml:space="preserve">puede consultarse una descripción </w:t>
      </w:r>
      <w:r w:rsidR="00BD603A">
        <w:rPr>
          <w:lang w:val="es-ES"/>
        </w:rPr>
        <w:t>completa de las propuestas seleccionadas</w:t>
      </w:r>
      <w:r w:rsidRPr="00BD603A">
        <w:rPr>
          <w:kern w:val="22"/>
          <w:lang w:val="es-ES"/>
        </w:rPr>
        <w:t>:</w:t>
      </w:r>
      <w:r w:rsidRPr="00BD603A">
        <w:rPr>
          <w:lang w:val="es-ES"/>
        </w:rPr>
        <w:t xml:space="preserve"> </w:t>
      </w:r>
      <w:r w:rsidR="002F6CB6">
        <w:fldChar w:fldCharType="begin"/>
      </w:r>
      <w:r w:rsidR="002F6CB6" w:rsidRPr="002F6CB6">
        <w:rPr>
          <w:lang w:val="es-ES"/>
        </w:rPr>
        <w:instrText xml:space="preserve"> HYPERLINK "https://www.cbd.int/biobridge/projects/selected" </w:instrText>
      </w:r>
      <w:r w:rsidR="002F6CB6">
        <w:fldChar w:fldCharType="separate"/>
      </w:r>
      <w:r w:rsidRPr="00BD603A">
        <w:rPr>
          <w:rStyle w:val="Hyperlink"/>
          <w:kern w:val="22"/>
          <w:lang w:val="es-ES"/>
        </w:rPr>
        <w:t>https://www.cbd.int/biobridge/projects/selected</w:t>
      </w:r>
      <w:r w:rsidR="002F6CB6">
        <w:rPr>
          <w:rStyle w:val="Hyperlink"/>
          <w:kern w:val="22"/>
          <w:lang w:val="es-ES"/>
        </w:rPr>
        <w:fldChar w:fldCharType="end"/>
      </w:r>
    </w:p>
  </w:footnote>
  <w:footnote w:id="8">
    <w:p w14:paraId="15C8AA1E" w14:textId="77777777" w:rsidR="003846B6" w:rsidRPr="00865963" w:rsidRDefault="003846B6" w:rsidP="003846B6">
      <w:pPr>
        <w:pStyle w:val="FootnoteText"/>
        <w:ind w:firstLine="0"/>
        <w:rPr>
          <w:lang w:val="es-ES"/>
        </w:rPr>
      </w:pPr>
      <w:r>
        <w:rPr>
          <w:rStyle w:val="FootnoteReference"/>
        </w:rPr>
        <w:footnoteRef/>
      </w:r>
      <w:r w:rsidRPr="00865963">
        <w:rPr>
          <w:lang w:val="es-ES"/>
        </w:rPr>
        <w:t xml:space="preserve"> </w:t>
      </w:r>
      <w:r w:rsidR="002F6CB6">
        <w:fldChar w:fldCharType="begin"/>
      </w:r>
      <w:r w:rsidR="002F6CB6" w:rsidRPr="002F6CB6">
        <w:rPr>
          <w:lang w:val="es-ES"/>
        </w:rPr>
        <w:instrText xml:space="preserve"> HYPERLINK "https://scbd.unssc.org/course/index.php?categoryid=4" </w:instrText>
      </w:r>
      <w:r w:rsidR="002F6CB6">
        <w:fldChar w:fldCharType="separate"/>
      </w:r>
      <w:r w:rsidRPr="00865963">
        <w:rPr>
          <w:rStyle w:val="Hyperlink"/>
          <w:lang w:val="es-ES"/>
        </w:rPr>
        <w:t>https://scbd.unssc.org/course/index.php?categoryid=4</w:t>
      </w:r>
      <w:r w:rsidR="002F6CB6">
        <w:rPr>
          <w:rStyle w:val="Hyperlink"/>
          <w:lang w:val="es-ES"/>
        </w:rPr>
        <w:fldChar w:fldCharType="end"/>
      </w:r>
      <w:r w:rsidRPr="00865963">
        <w:rPr>
          <w:lang w:val="es-ES"/>
        </w:rPr>
        <w:t xml:space="preserve"> </w:t>
      </w:r>
    </w:p>
  </w:footnote>
  <w:footnote w:id="9">
    <w:p w14:paraId="10CDE626" w14:textId="77777777" w:rsidR="00C20E3D" w:rsidRPr="00865963" w:rsidRDefault="00C20E3D" w:rsidP="00C20E3D">
      <w:pPr>
        <w:pStyle w:val="FootnoteText"/>
        <w:ind w:firstLine="0"/>
        <w:rPr>
          <w:lang w:val="es-ES"/>
        </w:rPr>
      </w:pPr>
      <w:r>
        <w:rPr>
          <w:rStyle w:val="FootnoteReference"/>
        </w:rPr>
        <w:footnoteRef/>
      </w:r>
      <w:r w:rsidRPr="00865963">
        <w:rPr>
          <w:lang w:val="es-ES"/>
        </w:rPr>
        <w:t xml:space="preserve"> </w:t>
      </w:r>
      <w:hyperlink r:id="rId4" w:history="1">
        <w:r w:rsidRPr="00865963">
          <w:rPr>
            <w:rStyle w:val="Hyperlink"/>
            <w:lang w:val="es-ES"/>
          </w:rPr>
          <w:t>https://vimeo.com/263320356/513f748f8a</w:t>
        </w:r>
      </w:hyperlink>
      <w:r w:rsidRPr="00865963">
        <w:rPr>
          <w:lang w:val="es-ES"/>
        </w:rPr>
        <w:t xml:space="preserve"> </w:t>
      </w:r>
    </w:p>
  </w:footnote>
  <w:footnote w:id="10">
    <w:p w14:paraId="4A149B0C" w14:textId="77777777" w:rsidR="00874729" w:rsidRPr="00865963" w:rsidRDefault="00874729" w:rsidP="00874729">
      <w:pPr>
        <w:pStyle w:val="FootnoteText"/>
        <w:ind w:firstLine="0"/>
        <w:rPr>
          <w:lang w:val="es-ES"/>
        </w:rPr>
      </w:pPr>
      <w:r>
        <w:rPr>
          <w:rStyle w:val="FootnoteReference"/>
        </w:rPr>
        <w:footnoteRef/>
      </w:r>
      <w:r w:rsidRPr="00865963">
        <w:rPr>
          <w:lang w:val="es-ES"/>
        </w:rPr>
        <w:t xml:space="preserve"> </w:t>
      </w:r>
      <w:r w:rsidR="002F6CB6">
        <w:fldChar w:fldCharType="begin"/>
      </w:r>
      <w:r w:rsidR="002F6CB6" w:rsidRPr="002F6CB6">
        <w:rPr>
          <w:lang w:val="es-ES"/>
        </w:rPr>
        <w:instrText xml:space="preserve"> HYPERLINK "https://www.youtube.com/watch?v=xJ0ZjpY0VQo" </w:instrText>
      </w:r>
      <w:r w:rsidR="002F6CB6">
        <w:fldChar w:fldCharType="separate"/>
      </w:r>
      <w:r w:rsidRPr="00865963">
        <w:rPr>
          <w:rStyle w:val="Hyperlink"/>
          <w:lang w:val="es-ES"/>
        </w:rPr>
        <w:t>https://www.youtube.com/watch?v=xJ0ZjpY0VQo</w:t>
      </w:r>
      <w:r w:rsidR="002F6CB6">
        <w:rPr>
          <w:rStyle w:val="Hyperlink"/>
          <w:lang w:val="es-ES"/>
        </w:rPr>
        <w:fldChar w:fldCharType="end"/>
      </w:r>
      <w:r w:rsidRPr="00865963">
        <w:rPr>
          <w:lang w:val="es-ES"/>
        </w:rPr>
        <w:t xml:space="preserve"> </w:t>
      </w:r>
    </w:p>
  </w:footnote>
  <w:footnote w:id="11">
    <w:p w14:paraId="23F8E4A2" w14:textId="35E2DCF5" w:rsidR="00E86CD6" w:rsidRPr="009C2D9A" w:rsidRDefault="00E86CD6" w:rsidP="00E86CD6">
      <w:pPr>
        <w:pStyle w:val="FootnoteText"/>
        <w:ind w:firstLine="0"/>
        <w:jc w:val="left"/>
        <w:rPr>
          <w:kern w:val="18"/>
          <w:lang w:val="es-ES_tradnl"/>
        </w:rPr>
      </w:pPr>
      <w:r w:rsidRPr="00F37E96">
        <w:rPr>
          <w:rStyle w:val="FootnoteReference"/>
          <w:kern w:val="18"/>
        </w:rPr>
        <w:footnoteRef/>
      </w:r>
      <w:r w:rsidRPr="00865963">
        <w:rPr>
          <w:kern w:val="18"/>
          <w:lang w:val="es-ES"/>
        </w:rPr>
        <w:t xml:space="preserve"> </w:t>
      </w:r>
      <w:r w:rsidR="005B452B" w:rsidRPr="009C2D9A">
        <w:rPr>
          <w:kern w:val="18"/>
          <w:lang w:val="es-ES_tradnl"/>
        </w:rPr>
        <w:t>Véase</w:t>
      </w:r>
      <w:r w:rsidRPr="009C2D9A">
        <w:rPr>
          <w:kern w:val="18"/>
          <w:lang w:val="es-ES_tradnl"/>
        </w:rPr>
        <w:t xml:space="preserve"> </w:t>
      </w:r>
      <w:r w:rsidR="002F6CB6">
        <w:fldChar w:fldCharType="begin"/>
      </w:r>
      <w:r w:rsidR="002F6CB6" w:rsidRPr="002F6CB6">
        <w:rPr>
          <w:lang w:val="es-ES"/>
        </w:rPr>
        <w:instrText xml:space="preserve"> HYPERLINK "https://www.cbd.int/doc/c/ad17/76f8/cab36f3adfecf8328605e346/np-cbiac-2019-01-02-en.</w:instrText>
      </w:r>
      <w:r w:rsidR="002F6CB6" w:rsidRPr="002F6CB6">
        <w:rPr>
          <w:lang w:val="es-ES"/>
        </w:rPr>
        <w:instrText xml:space="preserve">docx" </w:instrText>
      </w:r>
      <w:r w:rsidR="002F6CB6">
        <w:fldChar w:fldCharType="separate"/>
      </w:r>
      <w:r w:rsidRPr="009C2D9A">
        <w:rPr>
          <w:rStyle w:val="Hyperlink"/>
          <w:kern w:val="18"/>
          <w:lang w:val="es-ES_tradnl"/>
        </w:rPr>
        <w:t>CBD/NP/CB-IAC/2019/1/2</w:t>
      </w:r>
      <w:r w:rsidR="002F6CB6">
        <w:rPr>
          <w:rStyle w:val="Hyperlink"/>
          <w:kern w:val="18"/>
          <w:lang w:val="es-ES_tradnl"/>
        </w:rPr>
        <w:fldChar w:fldCharType="end"/>
      </w:r>
    </w:p>
  </w:footnote>
  <w:footnote w:id="12">
    <w:p w14:paraId="1D2209BC" w14:textId="1BA8A4E0" w:rsidR="00ED4A3F" w:rsidRPr="009C2D9A" w:rsidRDefault="00E86CD6" w:rsidP="00ED4A3F">
      <w:pPr>
        <w:pStyle w:val="FootnoteText"/>
        <w:kinsoku w:val="0"/>
        <w:overflowPunct w:val="0"/>
        <w:autoSpaceDE w:val="0"/>
        <w:autoSpaceDN w:val="0"/>
        <w:ind w:firstLine="0"/>
        <w:jc w:val="left"/>
        <w:rPr>
          <w:lang w:val="es-ES_tradnl"/>
        </w:rPr>
      </w:pPr>
      <w:r w:rsidRPr="009C2D9A">
        <w:rPr>
          <w:rStyle w:val="FootnoteReference"/>
          <w:kern w:val="18"/>
          <w:szCs w:val="18"/>
          <w:lang w:val="es-ES_tradnl"/>
        </w:rPr>
        <w:footnoteRef/>
      </w:r>
      <w:r w:rsidRPr="009C2D9A">
        <w:rPr>
          <w:kern w:val="18"/>
          <w:szCs w:val="18"/>
          <w:lang w:val="es-ES_tradnl"/>
        </w:rPr>
        <w:t xml:space="preserve"> </w:t>
      </w:r>
      <w:r w:rsidR="00ED4A3F" w:rsidRPr="009C2D9A">
        <w:rPr>
          <w:kern w:val="18"/>
          <w:lang w:val="es-ES_tradnl"/>
        </w:rPr>
        <w:t xml:space="preserve">Los donantes usan distinta terminología para reflejar el estado de los proyectos. A efectos del presente análisis, el estado de los proyectos se clasifica de la siguiente manera: propuesto, aprobado, en curso y completado. “Propuesto” se refiere a aquellos proyectos para los cuales se han desarrollado conceptos pero que no se han presentado aún a uno o más donantes, o bien que se han </w:t>
      </w:r>
      <w:proofErr w:type="gramStart"/>
      <w:r w:rsidR="00ED4A3F" w:rsidRPr="009C2D9A">
        <w:rPr>
          <w:kern w:val="18"/>
          <w:lang w:val="es-ES_tradnl"/>
        </w:rPr>
        <w:t>presentado</w:t>
      </w:r>
      <w:proofErr w:type="gramEnd"/>
      <w:r w:rsidR="00ED4A3F" w:rsidRPr="009C2D9A">
        <w:rPr>
          <w:kern w:val="18"/>
          <w:lang w:val="es-ES_tradnl"/>
        </w:rPr>
        <w:t xml:space="preserve"> pero aún no fueron aceptados/aprobados. “Aprobado” se refiere a aquellos proyectos cuyos conceptos o documentos han sido, en principio, aceptados por uno o más donantes y se están elaborando los documentos del proyecto completo. “En curso” se refiere a proyectos que se están ejecutando, y “completado” se refiere a proyectos ya finalizados.</w:t>
      </w:r>
    </w:p>
    <w:p w14:paraId="400D81F2" w14:textId="3DDC2167" w:rsidR="00E86CD6" w:rsidRPr="009C2D9A" w:rsidRDefault="00E86CD6" w:rsidP="00E86CD6">
      <w:pPr>
        <w:pStyle w:val="FootnoteText"/>
        <w:kinsoku w:val="0"/>
        <w:overflowPunct w:val="0"/>
        <w:autoSpaceDE w:val="0"/>
        <w:autoSpaceDN w:val="0"/>
        <w:ind w:firstLine="0"/>
        <w:jc w:val="left"/>
        <w:rPr>
          <w:kern w:val="18"/>
          <w:szCs w:val="18"/>
          <w:lang w:val="es-ES_tradnl"/>
        </w:rPr>
      </w:pPr>
    </w:p>
  </w:footnote>
  <w:footnote w:id="13">
    <w:p w14:paraId="40B8EA4B" w14:textId="073A772A" w:rsidR="00807DC1" w:rsidRPr="00807DC1" w:rsidRDefault="00807DC1" w:rsidP="00807DC1">
      <w:pPr>
        <w:pStyle w:val="FootnoteText"/>
        <w:kinsoku w:val="0"/>
        <w:overflowPunct w:val="0"/>
        <w:autoSpaceDE w:val="0"/>
        <w:autoSpaceDN w:val="0"/>
        <w:ind w:firstLine="0"/>
        <w:jc w:val="left"/>
        <w:rPr>
          <w:kern w:val="18"/>
          <w:szCs w:val="18"/>
          <w:lang w:val="es-ES"/>
        </w:rPr>
      </w:pPr>
      <w:r w:rsidRPr="00BC5DE3">
        <w:rPr>
          <w:rStyle w:val="FootnoteReference"/>
          <w:kern w:val="18"/>
          <w:szCs w:val="18"/>
        </w:rPr>
        <w:footnoteRef/>
      </w:r>
      <w:r w:rsidRPr="00807DC1">
        <w:rPr>
          <w:kern w:val="18"/>
          <w:szCs w:val="18"/>
          <w:lang w:val="es-ES"/>
        </w:rPr>
        <w:t xml:space="preserve"> A los efectos del presente documento, el análisis se basa en la información disponible sobre la financiación básica; no incluye cofinanciamiento ni aportes en especie. Es importante tener en cuenta que la cofinanciación en algunos casos puede igualar o superar la financiación básica.</w:t>
      </w:r>
    </w:p>
  </w:footnote>
  <w:footnote w:id="14">
    <w:p w14:paraId="23EAC33B" w14:textId="52A54C08" w:rsidR="00807DC1" w:rsidRPr="00807DC1" w:rsidRDefault="00807DC1" w:rsidP="00807DC1">
      <w:pPr>
        <w:pStyle w:val="FootnoteText"/>
        <w:kinsoku w:val="0"/>
        <w:overflowPunct w:val="0"/>
        <w:autoSpaceDE w:val="0"/>
        <w:autoSpaceDN w:val="0"/>
        <w:ind w:firstLine="0"/>
        <w:jc w:val="left"/>
        <w:rPr>
          <w:kern w:val="18"/>
          <w:szCs w:val="18"/>
          <w:lang w:val="es-ES"/>
        </w:rPr>
      </w:pPr>
      <w:r w:rsidRPr="00BC5DE3">
        <w:rPr>
          <w:rStyle w:val="FootnoteReference"/>
          <w:kern w:val="18"/>
          <w:szCs w:val="18"/>
        </w:rPr>
        <w:footnoteRef/>
      </w:r>
      <w:r w:rsidRPr="00807DC1">
        <w:rPr>
          <w:kern w:val="18"/>
          <w:szCs w:val="18"/>
          <w:lang w:val="es-ES"/>
        </w:rPr>
        <w:t xml:space="preserve"> En la decisión NP-1/8, la Conferencia de las Partes que actúa como reunión de las Partes en el Protocolo de Nagoya adoptó un marco estratégico para la creación y el desarrollo de capacidades para apoyar la </w:t>
      </w:r>
      <w:r w:rsidR="00D01651">
        <w:rPr>
          <w:kern w:val="18"/>
          <w:szCs w:val="18"/>
          <w:lang w:val="es-ES"/>
        </w:rPr>
        <w:t>aplicac</w:t>
      </w:r>
      <w:r w:rsidRPr="00807DC1">
        <w:rPr>
          <w:kern w:val="18"/>
          <w:szCs w:val="18"/>
          <w:lang w:val="es-ES"/>
        </w:rPr>
        <w:t>ión del Protocolo de Nagoya (párr. 1 y anexo I de la decisión). El marco identifica cinco áreas clave para la creación y el desarrollo de capacidades.</w:t>
      </w:r>
    </w:p>
  </w:footnote>
  <w:footnote w:id="15">
    <w:p w14:paraId="2599E862" w14:textId="07FDB397" w:rsidR="000941ED" w:rsidRPr="000941ED" w:rsidRDefault="000941ED" w:rsidP="000941ED">
      <w:pPr>
        <w:pStyle w:val="FootnoteText"/>
        <w:kinsoku w:val="0"/>
        <w:overflowPunct w:val="0"/>
        <w:autoSpaceDE w:val="0"/>
        <w:autoSpaceDN w:val="0"/>
        <w:ind w:firstLine="0"/>
        <w:jc w:val="left"/>
        <w:rPr>
          <w:kern w:val="18"/>
          <w:szCs w:val="18"/>
          <w:lang w:val="es-ES"/>
        </w:rPr>
      </w:pPr>
      <w:r w:rsidRPr="00BC5DE3">
        <w:rPr>
          <w:rStyle w:val="FootnoteReference"/>
          <w:kern w:val="18"/>
          <w:szCs w:val="18"/>
        </w:rPr>
        <w:footnoteRef/>
      </w:r>
      <w:r w:rsidRPr="000941ED">
        <w:rPr>
          <w:kern w:val="18"/>
          <w:szCs w:val="18"/>
          <w:lang w:val="es-ES"/>
        </w:rPr>
        <w:t xml:space="preserve"> Estimación realizada en base a la información disponible publicada en los informes del FMAM a la COP, desde la COP 10 (adopción del Protocolo de Nagoya) hasta el borrador de informe presentado a la COP 15.</w:t>
      </w:r>
    </w:p>
  </w:footnote>
  <w:footnote w:id="16">
    <w:p w14:paraId="3646BACB" w14:textId="77777777" w:rsidR="000941ED" w:rsidRPr="00EA5A51" w:rsidRDefault="000941ED" w:rsidP="000941ED">
      <w:pPr>
        <w:pStyle w:val="FootnoteText"/>
        <w:ind w:firstLine="0"/>
        <w:rPr>
          <w:lang w:val="es-ES"/>
        </w:rPr>
      </w:pPr>
      <w:r>
        <w:rPr>
          <w:rStyle w:val="FootnoteReference"/>
        </w:rPr>
        <w:footnoteRef/>
      </w:r>
      <w:r w:rsidRPr="00EA5A51">
        <w:rPr>
          <w:lang w:val="es-ES"/>
        </w:rPr>
        <w:t xml:space="preserve"> </w:t>
      </w:r>
      <w:r w:rsidR="002F6CB6">
        <w:fldChar w:fldCharType="begin"/>
      </w:r>
      <w:r w:rsidR="002F6CB6" w:rsidRPr="002F6CB6">
        <w:rPr>
          <w:lang w:val="es-ES"/>
        </w:rPr>
        <w:instrText xml:space="preserve"> HYPERLINK "https://www.abs-biotrade.info/" </w:instrText>
      </w:r>
      <w:r w:rsidR="002F6CB6">
        <w:fldChar w:fldCharType="separate"/>
      </w:r>
      <w:r w:rsidRPr="00EA5A51">
        <w:rPr>
          <w:rStyle w:val="Hyperlink"/>
          <w:lang w:val="es-ES"/>
        </w:rPr>
        <w:t>https://www.abs-biotrade.info/</w:t>
      </w:r>
      <w:r w:rsidR="002F6CB6">
        <w:rPr>
          <w:rStyle w:val="Hyperlink"/>
          <w:lang w:val="es-ES"/>
        </w:rPr>
        <w:fldChar w:fldCharType="end"/>
      </w:r>
      <w:r w:rsidRPr="00EA5A51">
        <w:rPr>
          <w:lang w:val="es-ES"/>
        </w:rPr>
        <w:t xml:space="preserve"> </w:t>
      </w:r>
    </w:p>
  </w:footnote>
  <w:footnote w:id="17">
    <w:p w14:paraId="1EB03843" w14:textId="2F14C5CD" w:rsidR="00AC3CFB" w:rsidRPr="000941ED" w:rsidRDefault="00AC3CFB" w:rsidP="00AC3CFB">
      <w:pPr>
        <w:keepLines/>
        <w:kinsoku w:val="0"/>
        <w:overflowPunct w:val="0"/>
        <w:autoSpaceDE w:val="0"/>
        <w:autoSpaceDN w:val="0"/>
        <w:spacing w:after="60"/>
        <w:jc w:val="left"/>
        <w:rPr>
          <w:kern w:val="18"/>
          <w:sz w:val="18"/>
          <w:szCs w:val="18"/>
          <w:lang w:val="es-ES"/>
        </w:rPr>
      </w:pPr>
      <w:r w:rsidRPr="00BC5DE3">
        <w:rPr>
          <w:rStyle w:val="FootnoteReference"/>
          <w:kern w:val="18"/>
          <w:szCs w:val="18"/>
        </w:rPr>
        <w:footnoteRef/>
      </w:r>
      <w:r w:rsidRPr="004F7D7A">
        <w:rPr>
          <w:kern w:val="18"/>
          <w:sz w:val="18"/>
          <w:szCs w:val="18"/>
          <w:lang w:val="es-ES"/>
        </w:rPr>
        <w:t xml:space="preserve"> </w:t>
      </w:r>
      <w:r w:rsidR="000941ED" w:rsidRPr="000941ED">
        <w:rPr>
          <w:kern w:val="18"/>
          <w:sz w:val="18"/>
          <w:szCs w:val="18"/>
          <w:lang w:val="es-ES"/>
        </w:rPr>
        <w:t xml:space="preserve">La Iniciativa de Desarrollo de Capacidades </w:t>
      </w:r>
      <w:r w:rsidR="004F7D7A">
        <w:rPr>
          <w:kern w:val="18"/>
          <w:sz w:val="18"/>
          <w:szCs w:val="18"/>
          <w:lang w:val="es-ES"/>
        </w:rPr>
        <w:t>para APB</w:t>
      </w:r>
      <w:r w:rsidR="000941ED" w:rsidRPr="000941ED">
        <w:rPr>
          <w:kern w:val="18"/>
          <w:sz w:val="18"/>
          <w:szCs w:val="18"/>
          <w:lang w:val="es-ES"/>
        </w:rPr>
        <w:t>, a través de sus proyectos, brinda apoyo nacional directo a 19 países.</w:t>
      </w:r>
    </w:p>
  </w:footnote>
  <w:footnote w:id="18">
    <w:p w14:paraId="696B1CA2" w14:textId="0A4535B1" w:rsidR="00AC3CFB" w:rsidRPr="000941ED" w:rsidRDefault="00AC3CFB" w:rsidP="00AC3CFB">
      <w:pPr>
        <w:pStyle w:val="FootnoteText"/>
        <w:kinsoku w:val="0"/>
        <w:overflowPunct w:val="0"/>
        <w:autoSpaceDE w:val="0"/>
        <w:autoSpaceDN w:val="0"/>
        <w:ind w:firstLine="0"/>
        <w:jc w:val="left"/>
        <w:rPr>
          <w:kern w:val="18"/>
          <w:szCs w:val="18"/>
          <w:lang w:val="es-ES"/>
        </w:rPr>
      </w:pPr>
      <w:r w:rsidRPr="00BC5DE3">
        <w:rPr>
          <w:rStyle w:val="FootnoteReference"/>
          <w:kern w:val="18"/>
          <w:szCs w:val="18"/>
        </w:rPr>
        <w:footnoteRef/>
      </w:r>
      <w:r w:rsidRPr="00D007D0">
        <w:rPr>
          <w:kern w:val="18"/>
          <w:szCs w:val="18"/>
          <w:lang w:val="es-ES"/>
        </w:rPr>
        <w:t xml:space="preserve"> </w:t>
      </w:r>
      <w:r w:rsidR="000941ED" w:rsidRPr="000941ED">
        <w:rPr>
          <w:kern w:val="18"/>
          <w:szCs w:val="18"/>
          <w:lang w:val="es-ES"/>
        </w:rPr>
        <w:t>Esto se refiere únicamente a proyectos implementados por el PNUMA y ejecutados directamente por agencias gubernamentales nacionales.</w:t>
      </w:r>
    </w:p>
  </w:footnote>
  <w:footnote w:id="19">
    <w:p w14:paraId="20EFDBFD" w14:textId="5FD8169B" w:rsidR="00114A2B" w:rsidRPr="00114A2B" w:rsidRDefault="00865963" w:rsidP="00865963">
      <w:pPr>
        <w:pStyle w:val="FootnoteText"/>
        <w:ind w:firstLine="0"/>
        <w:rPr>
          <w:lang w:val="es-ES"/>
        </w:rPr>
      </w:pPr>
      <w:r>
        <w:rPr>
          <w:rStyle w:val="FootnoteReference"/>
        </w:rPr>
        <w:footnoteRef/>
      </w:r>
      <w:r w:rsidRPr="00865963">
        <w:rPr>
          <w:lang w:val="es-ES"/>
        </w:rPr>
        <w:t xml:space="preserve"> </w:t>
      </w:r>
      <w:r w:rsidR="002F6CB6">
        <w:fldChar w:fldCharType="begin"/>
      </w:r>
      <w:r w:rsidR="002F6CB6" w:rsidRPr="002F6CB6">
        <w:rPr>
          <w:lang w:val="es-ES"/>
        </w:rPr>
        <w:instrText xml:space="preserve"> HYPERLINK "https://absch.cbd.int/es/" </w:instrText>
      </w:r>
      <w:r w:rsidR="002F6CB6">
        <w:fldChar w:fldCharType="separate"/>
      </w:r>
      <w:r w:rsidR="00114A2B" w:rsidRPr="00D65AEC">
        <w:rPr>
          <w:rStyle w:val="Hyperlink"/>
          <w:lang w:val="es-ES"/>
        </w:rPr>
        <w:t>https://absch.cbd.int/es/</w:t>
      </w:r>
      <w:r w:rsidR="002F6CB6">
        <w:rPr>
          <w:rStyle w:val="Hyperlink"/>
          <w:lang w:val="es-ES"/>
        </w:rPr>
        <w:fldChar w:fldCharType="end"/>
      </w:r>
    </w:p>
  </w:footnote>
  <w:footnote w:id="20">
    <w:p w14:paraId="3A4802D3" w14:textId="4CE800F3" w:rsidR="00D007D0" w:rsidRPr="00F70098" w:rsidRDefault="00D007D0" w:rsidP="00D007D0">
      <w:pPr>
        <w:pStyle w:val="FootnoteText"/>
        <w:kinsoku w:val="0"/>
        <w:overflowPunct w:val="0"/>
        <w:autoSpaceDE w:val="0"/>
        <w:autoSpaceDN w:val="0"/>
        <w:ind w:firstLine="0"/>
        <w:jc w:val="left"/>
        <w:rPr>
          <w:kern w:val="18"/>
          <w:szCs w:val="18"/>
          <w:lang w:val="es-ES"/>
        </w:rPr>
      </w:pPr>
      <w:r w:rsidRPr="00BC5DE3">
        <w:rPr>
          <w:rStyle w:val="FootnoteReference"/>
          <w:kern w:val="18"/>
          <w:szCs w:val="18"/>
        </w:rPr>
        <w:footnoteRef/>
      </w:r>
      <w:r w:rsidRPr="00624C86">
        <w:rPr>
          <w:kern w:val="18"/>
          <w:szCs w:val="18"/>
          <w:lang w:val="es-ES"/>
        </w:rPr>
        <w:t xml:space="preserve"> </w:t>
      </w:r>
      <w:r w:rsidRPr="00F70098">
        <w:rPr>
          <w:kern w:val="18"/>
          <w:szCs w:val="18"/>
          <w:lang w:val="es-ES"/>
        </w:rPr>
        <w:t xml:space="preserve">Se consideran herramientas y recursos de creación de capacidad aquellos cuyo objetivo principal es facilitar el aprendizaje estructurado, impartir nuevos conocimientos y habilidades a través de pasos instructivos sistemáticos y/o brindar orientación sobre cómo realizar tareas específicas relacionadas con el acceso y la </w:t>
      </w:r>
      <w:r w:rsidR="00A178A7">
        <w:rPr>
          <w:kern w:val="18"/>
          <w:szCs w:val="18"/>
          <w:lang w:val="es-ES"/>
        </w:rPr>
        <w:t xml:space="preserve">participación en los </w:t>
      </w:r>
      <w:r w:rsidRPr="00F70098">
        <w:rPr>
          <w:kern w:val="18"/>
          <w:szCs w:val="18"/>
          <w:lang w:val="es-ES"/>
        </w:rPr>
        <w:t>beneficios.</w:t>
      </w:r>
      <w:r>
        <w:rPr>
          <w:kern w:val="18"/>
          <w:szCs w:val="18"/>
          <w:lang w:val="es-ES"/>
        </w:rPr>
        <w:t xml:space="preserve"> </w:t>
      </w:r>
    </w:p>
  </w:footnote>
  <w:footnote w:id="21">
    <w:p w14:paraId="23F59E9D" w14:textId="51E64E23" w:rsidR="001112BF" w:rsidRDefault="007D4AD4" w:rsidP="00010EB1">
      <w:pPr>
        <w:pStyle w:val="FootnoteText"/>
        <w:ind w:firstLine="0"/>
        <w:rPr>
          <w:lang w:val="es-ES"/>
        </w:rPr>
      </w:pPr>
      <w:r>
        <w:rPr>
          <w:rStyle w:val="FootnoteReference"/>
        </w:rPr>
        <w:footnoteRef/>
      </w:r>
      <w:r w:rsidRPr="00E86CD6">
        <w:rPr>
          <w:lang w:val="es-ES"/>
        </w:rPr>
        <w:t xml:space="preserve"> </w:t>
      </w:r>
      <w:r w:rsidR="002F6CB6">
        <w:fldChar w:fldCharType="begin"/>
      </w:r>
      <w:r w:rsidR="002F6CB6" w:rsidRPr="002F6CB6">
        <w:rPr>
          <w:lang w:val="es-ES"/>
        </w:rPr>
        <w:instrText xml:space="preserve"> HYPERLINK "https://www.cbd.int/abs/doc/cepa-toolkit-es.pdf" </w:instrText>
      </w:r>
      <w:r w:rsidR="002F6CB6">
        <w:fldChar w:fldCharType="separate"/>
      </w:r>
      <w:r w:rsidR="001112BF" w:rsidRPr="006B6313">
        <w:rPr>
          <w:rStyle w:val="Hyperlink"/>
          <w:lang w:val="es-ES"/>
        </w:rPr>
        <w:t>https://www.cbd.int/abs/doc/cepa-toolkit-es.pdf</w:t>
      </w:r>
      <w:r w:rsidR="002F6CB6">
        <w:rPr>
          <w:rStyle w:val="Hyperlink"/>
          <w:lang w:val="es-ES"/>
        </w:rPr>
        <w:fldChar w:fldCharType="end"/>
      </w:r>
    </w:p>
    <w:p w14:paraId="4BB04AA0" w14:textId="77777777" w:rsidR="001112BF" w:rsidRPr="001112BF" w:rsidRDefault="001112BF" w:rsidP="00010EB1">
      <w:pPr>
        <w:pStyle w:val="FootnoteText"/>
        <w:ind w:firstLine="0"/>
        <w:rPr>
          <w:lang w:val="es-ES"/>
        </w:rPr>
      </w:pPr>
    </w:p>
  </w:footnote>
  <w:footnote w:id="22">
    <w:p w14:paraId="3F578F8F" w14:textId="76060DB8" w:rsidR="00A62C33" w:rsidRPr="004F7D7A" w:rsidRDefault="00A62C33" w:rsidP="00A62C33">
      <w:pPr>
        <w:pStyle w:val="FootnoteText"/>
        <w:ind w:firstLine="0"/>
        <w:rPr>
          <w:lang w:val="es-ES"/>
        </w:rPr>
      </w:pPr>
      <w:r>
        <w:rPr>
          <w:rStyle w:val="FootnoteReference"/>
        </w:rPr>
        <w:footnoteRef/>
      </w:r>
      <w:r w:rsidRPr="004F7D7A">
        <w:rPr>
          <w:lang w:val="es-ES"/>
        </w:rPr>
        <w:t xml:space="preserve"> </w:t>
      </w:r>
      <w:r w:rsidR="004F7D7A">
        <w:rPr>
          <w:lang w:val="es-ES"/>
        </w:rPr>
        <w:t xml:space="preserve">También </w:t>
      </w:r>
      <w:r w:rsidR="008D17FD">
        <w:rPr>
          <w:lang w:val="es-ES"/>
        </w:rPr>
        <w:t xml:space="preserve">consta </w:t>
      </w:r>
      <w:r w:rsidR="004F7D7A" w:rsidRPr="004F7D7A">
        <w:rPr>
          <w:lang w:val="es-ES"/>
        </w:rPr>
        <w:t xml:space="preserve">en la recopilación de proyectos de </w:t>
      </w:r>
      <w:r w:rsidR="004F7D7A">
        <w:rPr>
          <w:lang w:val="es-ES"/>
        </w:rPr>
        <w:t>decisiones (</w:t>
      </w:r>
      <w:r w:rsidRPr="004F7D7A">
        <w:rPr>
          <w:lang w:val="es-ES"/>
        </w:rPr>
        <w:t>CBD/NP/MOP/4/1/Add.5</w:t>
      </w:r>
      <w:r w:rsidR="004F7D7A">
        <w:rPr>
          <w:lang w:val="es-ES"/>
        </w:rPr>
        <w:t>)</w:t>
      </w:r>
      <w:r w:rsidRPr="004F7D7A">
        <w:rPr>
          <w:lang w:val="es-ES"/>
        </w:rPr>
        <w:t>.</w:t>
      </w:r>
    </w:p>
  </w:footnote>
  <w:footnote w:id="23">
    <w:p w14:paraId="23B2E4AE" w14:textId="6A5339CF" w:rsidR="008D17FD" w:rsidRPr="008D17FD" w:rsidRDefault="008D17FD" w:rsidP="008D17FD">
      <w:pPr>
        <w:pStyle w:val="FootnoteText"/>
        <w:ind w:firstLine="0"/>
        <w:rPr>
          <w:lang w:val="es-ES"/>
        </w:rPr>
      </w:pPr>
      <w:r>
        <w:rPr>
          <w:rStyle w:val="FootnoteReference"/>
        </w:rPr>
        <w:footnoteRef/>
      </w:r>
      <w:r w:rsidRPr="008D17FD">
        <w:rPr>
          <w:lang w:val="es-ES"/>
        </w:rPr>
        <w:t xml:space="preserve"> </w:t>
      </w:r>
      <w:r w:rsidR="002F6CB6">
        <w:fldChar w:fldCharType="begin"/>
      </w:r>
      <w:r w:rsidR="002F6CB6" w:rsidRPr="002F6CB6">
        <w:rPr>
          <w:lang w:val="es-ES"/>
        </w:rPr>
        <w:instrText xml:space="preserve"> HYPERLINK "https://www.cbd.int/abs/doc/cepa-toolkit-es.pdf" </w:instrText>
      </w:r>
      <w:r w:rsidR="002F6CB6">
        <w:fldChar w:fldCharType="separate"/>
      </w:r>
      <w:r w:rsidRPr="006B6313">
        <w:rPr>
          <w:rStyle w:val="Hyperlink"/>
          <w:lang w:val="es-ES"/>
        </w:rPr>
        <w:t>https://www.cbd.int/abs/doc/cepa-toolkit-es.pdf</w:t>
      </w:r>
      <w:r w:rsidR="002F6CB6">
        <w:rPr>
          <w:rStyle w:val="Hyperlink"/>
          <w:lang w:val="es-ES"/>
        </w:rPr>
        <w:fldChar w:fldCharType="end"/>
      </w:r>
    </w:p>
  </w:footnote>
  <w:footnote w:id="24">
    <w:p w14:paraId="1A4FF317" w14:textId="77777777" w:rsidR="0076261B" w:rsidRPr="0002643E" w:rsidRDefault="0076261B" w:rsidP="0076261B">
      <w:pPr>
        <w:pStyle w:val="FootnoteText"/>
        <w:ind w:firstLine="0"/>
        <w:jc w:val="left"/>
        <w:rPr>
          <w:kern w:val="18"/>
          <w:szCs w:val="18"/>
          <w:lang w:val="es-ES"/>
        </w:rPr>
      </w:pPr>
      <w:r>
        <w:rPr>
          <w:rStyle w:val="FootnoteReference"/>
          <w:kern w:val="18"/>
          <w:szCs w:val="18"/>
        </w:rPr>
        <w:footnoteRef/>
      </w:r>
      <w:r w:rsidRPr="0002643E">
        <w:rPr>
          <w:kern w:val="18"/>
          <w:szCs w:val="18"/>
          <w:lang w:val="es-ES"/>
        </w:rPr>
        <w:t xml:space="preserve"> Como se establece en la decisi</w:t>
      </w:r>
      <w:r>
        <w:rPr>
          <w:kern w:val="18"/>
          <w:szCs w:val="18"/>
          <w:lang w:val="es-ES"/>
        </w:rPr>
        <w:t>ón</w:t>
      </w:r>
      <w:r w:rsidRPr="0002643E">
        <w:rPr>
          <w:kern w:val="18"/>
          <w:szCs w:val="18"/>
          <w:lang w:val="es-ES"/>
        </w:rPr>
        <w:t xml:space="preserve"> NP-1/9.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561B6" w14:textId="77777777" w:rsidR="004C66F3" w:rsidRPr="002C4C4C" w:rsidRDefault="004C66F3" w:rsidP="004C66F3">
    <w:pPr>
      <w:pStyle w:val="Header"/>
      <w:tabs>
        <w:tab w:val="clear" w:pos="4320"/>
        <w:tab w:val="clear" w:pos="8640"/>
      </w:tabs>
      <w:kinsoku w:val="0"/>
      <w:overflowPunct w:val="0"/>
      <w:autoSpaceDE w:val="0"/>
      <w:autoSpaceDN w:val="0"/>
      <w:jc w:val="left"/>
      <w:rPr>
        <w:kern w:val="22"/>
        <w:lang w:val="es-ES_tradnl"/>
      </w:rPr>
    </w:pPr>
    <w:r w:rsidRPr="002C4C4C">
      <w:rPr>
        <w:kern w:val="22"/>
        <w:lang w:val="es-ES_tradnl"/>
      </w:rPr>
      <w:t>CBD/NP/MOP/4/5</w:t>
    </w:r>
  </w:p>
  <w:p w14:paraId="26723505" w14:textId="77777777" w:rsidR="004C66F3" w:rsidRPr="002C4C4C" w:rsidRDefault="004C66F3" w:rsidP="004C66F3">
    <w:pPr>
      <w:pStyle w:val="Header"/>
      <w:tabs>
        <w:tab w:val="clear" w:pos="4320"/>
        <w:tab w:val="clear" w:pos="8640"/>
      </w:tabs>
      <w:kinsoku w:val="0"/>
      <w:overflowPunct w:val="0"/>
      <w:autoSpaceDE w:val="0"/>
      <w:autoSpaceDN w:val="0"/>
      <w:spacing w:after="240"/>
      <w:jc w:val="left"/>
      <w:rPr>
        <w:kern w:val="22"/>
        <w:lang w:val="es-ES_tradnl"/>
      </w:rPr>
    </w:pPr>
    <w:r w:rsidRPr="002C4C4C">
      <w:rPr>
        <w:kern w:val="22"/>
        <w:lang w:val="es-ES_tradnl"/>
      </w:rPr>
      <w:t xml:space="preserve">Página </w:t>
    </w:r>
    <w:r w:rsidRPr="002C4C4C">
      <w:rPr>
        <w:kern w:val="22"/>
        <w:lang w:val="es-ES_tradnl"/>
      </w:rPr>
      <w:fldChar w:fldCharType="begin"/>
    </w:r>
    <w:r w:rsidRPr="002C4C4C">
      <w:rPr>
        <w:kern w:val="22"/>
        <w:lang w:val="es-ES_tradnl"/>
      </w:rPr>
      <w:instrText xml:space="preserve"> PAGE </w:instrText>
    </w:r>
    <w:r w:rsidRPr="002C4C4C">
      <w:rPr>
        <w:kern w:val="22"/>
        <w:lang w:val="es-ES_tradnl"/>
      </w:rPr>
      <w:fldChar w:fldCharType="separate"/>
    </w:r>
    <w:r w:rsidRPr="002C4C4C">
      <w:rPr>
        <w:kern w:val="22"/>
        <w:lang w:val="es-ES_tradnl"/>
      </w:rPr>
      <w:t>3</w:t>
    </w:r>
    <w:r w:rsidRPr="002C4C4C">
      <w:rPr>
        <w:kern w:val="22"/>
        <w:lang w:val="es-ES_tradnl"/>
      </w:rPr>
      <w:fldChar w:fldCharType="end"/>
    </w:r>
  </w:p>
  <w:p w14:paraId="77F08EFC" w14:textId="77777777" w:rsidR="004C66F3" w:rsidRDefault="004C66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6E185" w14:textId="77777777" w:rsidR="004C66F3" w:rsidRPr="002C4C4C" w:rsidRDefault="004C66F3" w:rsidP="004C66F3">
    <w:pPr>
      <w:pStyle w:val="Header"/>
      <w:tabs>
        <w:tab w:val="clear" w:pos="4320"/>
        <w:tab w:val="clear" w:pos="8640"/>
      </w:tabs>
      <w:kinsoku w:val="0"/>
      <w:overflowPunct w:val="0"/>
      <w:autoSpaceDE w:val="0"/>
      <w:autoSpaceDN w:val="0"/>
      <w:jc w:val="right"/>
      <w:rPr>
        <w:kern w:val="22"/>
        <w:lang w:val="es-ES_tradnl"/>
      </w:rPr>
    </w:pPr>
    <w:r w:rsidRPr="002C4C4C">
      <w:rPr>
        <w:kern w:val="22"/>
        <w:lang w:val="es-ES_tradnl"/>
      </w:rPr>
      <w:t>CBD/NP/MOP/4/5</w:t>
    </w:r>
  </w:p>
  <w:p w14:paraId="27E6720D" w14:textId="46F1108F" w:rsidR="004C66F3" w:rsidRPr="002C4C4C" w:rsidRDefault="004C66F3" w:rsidP="004C66F3">
    <w:pPr>
      <w:pStyle w:val="Header"/>
      <w:tabs>
        <w:tab w:val="clear" w:pos="4320"/>
        <w:tab w:val="clear" w:pos="8640"/>
        <w:tab w:val="left" w:pos="8390"/>
        <w:tab w:val="right" w:pos="9360"/>
      </w:tabs>
      <w:kinsoku w:val="0"/>
      <w:overflowPunct w:val="0"/>
      <w:autoSpaceDE w:val="0"/>
      <w:autoSpaceDN w:val="0"/>
      <w:spacing w:after="240"/>
      <w:jc w:val="left"/>
      <w:rPr>
        <w:kern w:val="22"/>
        <w:lang w:val="es-ES_tradnl"/>
      </w:rPr>
    </w:pPr>
    <w:r w:rsidRPr="002C4C4C">
      <w:rPr>
        <w:kern w:val="22"/>
        <w:lang w:val="es-ES_tradnl"/>
      </w:rPr>
      <w:tab/>
    </w:r>
    <w:r w:rsidRPr="002C4C4C">
      <w:rPr>
        <w:kern w:val="22"/>
        <w:lang w:val="es-ES_tradnl"/>
      </w:rPr>
      <w:tab/>
      <w:t xml:space="preserve">Página </w:t>
    </w:r>
    <w:r w:rsidRPr="002C4C4C">
      <w:rPr>
        <w:kern w:val="22"/>
        <w:lang w:val="es-ES_tradnl"/>
      </w:rPr>
      <w:fldChar w:fldCharType="begin"/>
    </w:r>
    <w:r w:rsidRPr="002C4C4C">
      <w:rPr>
        <w:kern w:val="22"/>
        <w:lang w:val="es-ES_tradnl"/>
      </w:rPr>
      <w:instrText xml:space="preserve"> PAGE </w:instrText>
    </w:r>
    <w:r w:rsidRPr="002C4C4C">
      <w:rPr>
        <w:kern w:val="22"/>
        <w:lang w:val="es-ES_tradnl"/>
      </w:rPr>
      <w:fldChar w:fldCharType="separate"/>
    </w:r>
    <w:r w:rsidRPr="002C4C4C">
      <w:rPr>
        <w:kern w:val="22"/>
        <w:lang w:val="es-ES_tradnl"/>
      </w:rPr>
      <w:t>3</w:t>
    </w:r>
    <w:r w:rsidRPr="002C4C4C">
      <w:rPr>
        <w:kern w:val="22"/>
        <w:lang w:val="es-ES_tradnl"/>
      </w:rPr>
      <w:fldChar w:fldCharType="end"/>
    </w:r>
  </w:p>
  <w:p w14:paraId="3D16A2ED" w14:textId="77777777" w:rsidR="004C66F3" w:rsidRDefault="004C66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1"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1080"/>
        </w:tabs>
        <w:ind w:left="720" w:firstLine="0"/>
      </w:pPr>
      <w:rPr>
        <w:rFonts w:hint="default"/>
      </w:rPr>
    </w:lvl>
    <w:lvl w:ilvl="1">
      <w:start w:val="1"/>
      <w:numFmt w:val="lowerLetter"/>
      <w:lvlText w:val="(%2)"/>
      <w:lvlJc w:val="left"/>
      <w:pPr>
        <w:tabs>
          <w:tab w:val="num" w:pos="1800"/>
        </w:tabs>
        <w:ind w:left="720" w:firstLine="720"/>
      </w:pPr>
      <w:rPr>
        <w:rFonts w:hint="default"/>
      </w:rPr>
    </w:lvl>
    <w:lvl w:ilvl="2">
      <w:start w:val="1"/>
      <w:numFmt w:val="lowerRoman"/>
      <w:lvlText w:val="(%3)"/>
      <w:lvlJc w:val="right"/>
      <w:pPr>
        <w:tabs>
          <w:tab w:val="num" w:pos="3456"/>
        </w:tabs>
        <w:ind w:left="3456" w:hanging="432"/>
      </w:pPr>
      <w:rPr>
        <w:rFonts w:hint="default"/>
      </w:rPr>
    </w:lvl>
    <w:lvl w:ilvl="3">
      <w:start w:val="1"/>
      <w:numFmt w:val="decimal"/>
      <w:lvlText w:val="a."/>
      <w:lvlJc w:val="left"/>
      <w:pPr>
        <w:tabs>
          <w:tab w:val="num" w:pos="2880"/>
        </w:tabs>
        <w:ind w:left="288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320"/>
        </w:tabs>
        <w:ind w:left="4320" w:hanging="360"/>
      </w:pPr>
      <w:rPr>
        <w:rFonts w:hint="default"/>
      </w:rPr>
    </w:lvl>
    <w:lvl w:ilvl="8">
      <w:start w:val="1"/>
      <w:numFmt w:val="lowerRoman"/>
      <w:lvlText w:val="%9."/>
      <w:lvlJc w:val="left"/>
      <w:pPr>
        <w:tabs>
          <w:tab w:val="num" w:pos="4680"/>
        </w:tabs>
        <w:ind w:left="4680" w:hanging="360"/>
      </w:pPr>
      <w:rPr>
        <w:rFonts w:hint="default"/>
      </w:rPr>
    </w:lvl>
  </w:abstractNum>
  <w:abstractNum w:abstractNumId="4"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3CE43C91"/>
    <w:multiLevelType w:val="multilevel"/>
    <w:tmpl w:val="C0DEA7A8"/>
    <w:lvl w:ilvl="0">
      <w:start w:val="1"/>
      <w:numFmt w:val="decimal"/>
      <w:pStyle w:val="Paranum"/>
      <w:lvlText w:val="%1."/>
      <w:lvlJc w:val="left"/>
      <w:pPr>
        <w:tabs>
          <w:tab w:val="num" w:pos="360"/>
        </w:tabs>
        <w:ind w:left="0" w:firstLine="0"/>
      </w:pPr>
      <w:rPr>
        <w:b w:val="0"/>
        <w:bCs w:val="0"/>
        <w:i w:val="0"/>
        <w:iCs w:val="0"/>
        <w:color w:val="auto"/>
        <w:vertAlign w:val="baseli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9" w15:restartNumberingAfterBreak="0">
    <w:nsid w:val="4E0442B4"/>
    <w:multiLevelType w:val="multilevel"/>
    <w:tmpl w:val="9C0AAE1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65C5312"/>
    <w:multiLevelType w:val="multilevel"/>
    <w:tmpl w:val="4A8A17EE"/>
    <w:styleLink w:val="List211"/>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12"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13"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4"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5" w15:restartNumberingAfterBreak="0">
    <w:nsid w:val="63091516"/>
    <w:multiLevelType w:val="hybridMultilevel"/>
    <w:tmpl w:val="0DB43952"/>
    <w:styleLink w:val="ImportedStyle3"/>
    <w:lvl w:ilvl="0" w:tplc="0EAC344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3BC0BB8A">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29A05F3E">
      <w:start w:val="1"/>
      <w:numFmt w:val="lowerRoman"/>
      <w:lvlText w:val="(%3)"/>
      <w:lvlJc w:val="left"/>
      <w:pPr>
        <w:tabs>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21AAF838">
      <w:start w:val="1"/>
      <w:numFmt w:val="lowerRoman"/>
      <w:lvlText w:val="(%4)"/>
      <w:lvlJc w:val="left"/>
      <w:pPr>
        <w:tabs>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360E1968">
      <w:start w:val="1"/>
      <w:numFmt w:val="lowerLetter"/>
      <w:lvlText w:val="(%5)"/>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758F9D2">
      <w:start w:val="1"/>
      <w:numFmt w:val="lowerRoman"/>
      <w:lvlText w:val="(%6)"/>
      <w:lvlJc w:val="left"/>
      <w:pPr>
        <w:tabs>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93DAA5C0">
      <w:start w:val="1"/>
      <w:numFmt w:val="decimal"/>
      <w:lvlText w:val="%7."/>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213ED058">
      <w:start w:val="1"/>
      <w:numFmt w:val="lowerLetter"/>
      <w:lvlText w:val="%8."/>
      <w:lvlJc w:val="left"/>
      <w:pPr>
        <w:tabs>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377630C8">
      <w:start w:val="1"/>
      <w:numFmt w:val="lowerRoman"/>
      <w:lvlText w:val="%9."/>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65357F78"/>
    <w:multiLevelType w:val="hybridMultilevel"/>
    <w:tmpl w:val="E59652FE"/>
    <w:lvl w:ilvl="0" w:tplc="46F8F796">
      <w:start w:val="1"/>
      <w:numFmt w:val="decimal"/>
      <w:pStyle w:val="Paraofficial"/>
      <w:lvlText w:val="%1."/>
      <w:lvlJc w:val="left"/>
      <w:pPr>
        <w:tabs>
          <w:tab w:val="num" w:pos="1080"/>
        </w:tabs>
        <w:ind w:left="0" w:firstLine="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num w:numId="1">
    <w:abstractNumId w:val="2"/>
  </w:num>
  <w:num w:numId="2">
    <w:abstractNumId w:val="16"/>
  </w:num>
  <w:num w:numId="3">
    <w:abstractNumId w:val="10"/>
  </w:num>
  <w:num w:numId="4">
    <w:abstractNumId w:val="3"/>
  </w:num>
  <w:num w:numId="5">
    <w:abstractNumId w:val="7"/>
  </w:num>
  <w:num w:numId="6">
    <w:abstractNumId w:val="5"/>
  </w:num>
  <w:num w:numId="7">
    <w:abstractNumId w:val="0"/>
  </w:num>
  <w:num w:numId="8">
    <w:abstractNumId w:val="11"/>
  </w:num>
  <w:num w:numId="9">
    <w:abstractNumId w:val="13"/>
  </w:num>
  <w:num w:numId="10">
    <w:abstractNumId w:val="8"/>
  </w:num>
  <w:num w:numId="11">
    <w:abstractNumId w:val="12"/>
  </w:num>
  <w:num w:numId="12">
    <w:abstractNumId w:val="14"/>
  </w:num>
  <w:num w:numId="13">
    <w:abstractNumId w:val="4"/>
  </w:num>
  <w:num w:numId="14">
    <w:abstractNumId w:val="15"/>
  </w:num>
  <w:num w:numId="15">
    <w:abstractNumId w:val="6"/>
  </w:num>
  <w:num w:numId="16">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00923"/>
    <w:rsid w:val="00000E9A"/>
    <w:rsid w:val="0000236F"/>
    <w:rsid w:val="00002456"/>
    <w:rsid w:val="00002650"/>
    <w:rsid w:val="00003F8B"/>
    <w:rsid w:val="00004557"/>
    <w:rsid w:val="0000461C"/>
    <w:rsid w:val="0000784C"/>
    <w:rsid w:val="000079EF"/>
    <w:rsid w:val="000108B9"/>
    <w:rsid w:val="00010EB1"/>
    <w:rsid w:val="0001125D"/>
    <w:rsid w:val="00011828"/>
    <w:rsid w:val="0001218B"/>
    <w:rsid w:val="00012876"/>
    <w:rsid w:val="00013B90"/>
    <w:rsid w:val="00014393"/>
    <w:rsid w:val="00014940"/>
    <w:rsid w:val="00014F2C"/>
    <w:rsid w:val="00015A18"/>
    <w:rsid w:val="00015DCD"/>
    <w:rsid w:val="00015E03"/>
    <w:rsid w:val="00015FFC"/>
    <w:rsid w:val="00016A32"/>
    <w:rsid w:val="00016C8A"/>
    <w:rsid w:val="0001730F"/>
    <w:rsid w:val="00017357"/>
    <w:rsid w:val="000173F1"/>
    <w:rsid w:val="0001761A"/>
    <w:rsid w:val="00017B39"/>
    <w:rsid w:val="00017E9D"/>
    <w:rsid w:val="000207BA"/>
    <w:rsid w:val="00021D0B"/>
    <w:rsid w:val="00022D6A"/>
    <w:rsid w:val="0002452C"/>
    <w:rsid w:val="0002502A"/>
    <w:rsid w:val="00025112"/>
    <w:rsid w:val="0002643E"/>
    <w:rsid w:val="00026D5A"/>
    <w:rsid w:val="00026D87"/>
    <w:rsid w:val="00026E12"/>
    <w:rsid w:val="00030368"/>
    <w:rsid w:val="00030677"/>
    <w:rsid w:val="0003130A"/>
    <w:rsid w:val="0003158D"/>
    <w:rsid w:val="0003170D"/>
    <w:rsid w:val="000321CA"/>
    <w:rsid w:val="00032CE4"/>
    <w:rsid w:val="0003308A"/>
    <w:rsid w:val="0003356D"/>
    <w:rsid w:val="0003416A"/>
    <w:rsid w:val="00034B6C"/>
    <w:rsid w:val="00034FEE"/>
    <w:rsid w:val="00035200"/>
    <w:rsid w:val="00035795"/>
    <w:rsid w:val="0003586E"/>
    <w:rsid w:val="00036ACF"/>
    <w:rsid w:val="000370A2"/>
    <w:rsid w:val="000378C6"/>
    <w:rsid w:val="00037E43"/>
    <w:rsid w:val="0004057A"/>
    <w:rsid w:val="000408BA"/>
    <w:rsid w:val="00041238"/>
    <w:rsid w:val="0004183B"/>
    <w:rsid w:val="00041EB4"/>
    <w:rsid w:val="000425BC"/>
    <w:rsid w:val="000425D5"/>
    <w:rsid w:val="000426B8"/>
    <w:rsid w:val="000430B9"/>
    <w:rsid w:val="00043D81"/>
    <w:rsid w:val="00043EF1"/>
    <w:rsid w:val="00044078"/>
    <w:rsid w:val="00047BA7"/>
    <w:rsid w:val="00047F1B"/>
    <w:rsid w:val="00051053"/>
    <w:rsid w:val="00051170"/>
    <w:rsid w:val="000521B6"/>
    <w:rsid w:val="000536B0"/>
    <w:rsid w:val="00053936"/>
    <w:rsid w:val="00053A28"/>
    <w:rsid w:val="00054AFE"/>
    <w:rsid w:val="000563D1"/>
    <w:rsid w:val="00056CC3"/>
    <w:rsid w:val="0005744B"/>
    <w:rsid w:val="0005750E"/>
    <w:rsid w:val="00057A71"/>
    <w:rsid w:val="00057BAC"/>
    <w:rsid w:val="000600E4"/>
    <w:rsid w:val="000604FD"/>
    <w:rsid w:val="000617F5"/>
    <w:rsid w:val="0006280A"/>
    <w:rsid w:val="000629EA"/>
    <w:rsid w:val="00063216"/>
    <w:rsid w:val="0006327E"/>
    <w:rsid w:val="00064180"/>
    <w:rsid w:val="00064299"/>
    <w:rsid w:val="00065462"/>
    <w:rsid w:val="00066516"/>
    <w:rsid w:val="00066A4A"/>
    <w:rsid w:val="00066EF7"/>
    <w:rsid w:val="000679E4"/>
    <w:rsid w:val="000706D2"/>
    <w:rsid w:val="00072FA0"/>
    <w:rsid w:val="0007314C"/>
    <w:rsid w:val="00073200"/>
    <w:rsid w:val="000766FA"/>
    <w:rsid w:val="000774F8"/>
    <w:rsid w:val="00077834"/>
    <w:rsid w:val="000807A1"/>
    <w:rsid w:val="00080AA2"/>
    <w:rsid w:val="0008200C"/>
    <w:rsid w:val="00082909"/>
    <w:rsid w:val="000831B1"/>
    <w:rsid w:val="000833BC"/>
    <w:rsid w:val="00084ABA"/>
    <w:rsid w:val="00085072"/>
    <w:rsid w:val="000854C5"/>
    <w:rsid w:val="00086229"/>
    <w:rsid w:val="000866F7"/>
    <w:rsid w:val="00086C49"/>
    <w:rsid w:val="0008716F"/>
    <w:rsid w:val="0008735A"/>
    <w:rsid w:val="000873D7"/>
    <w:rsid w:val="0008765A"/>
    <w:rsid w:val="0009025D"/>
    <w:rsid w:val="000907DB"/>
    <w:rsid w:val="000917A2"/>
    <w:rsid w:val="00091A04"/>
    <w:rsid w:val="00092876"/>
    <w:rsid w:val="00092AC3"/>
    <w:rsid w:val="00092B39"/>
    <w:rsid w:val="00092D84"/>
    <w:rsid w:val="000936E3"/>
    <w:rsid w:val="000941ED"/>
    <w:rsid w:val="000942FA"/>
    <w:rsid w:val="00094450"/>
    <w:rsid w:val="000954F4"/>
    <w:rsid w:val="00095933"/>
    <w:rsid w:val="000960A5"/>
    <w:rsid w:val="00096769"/>
    <w:rsid w:val="00096836"/>
    <w:rsid w:val="00096978"/>
    <w:rsid w:val="000974C0"/>
    <w:rsid w:val="00097C81"/>
    <w:rsid w:val="000A0255"/>
    <w:rsid w:val="000A126F"/>
    <w:rsid w:val="000A1718"/>
    <w:rsid w:val="000A1BE4"/>
    <w:rsid w:val="000A26A1"/>
    <w:rsid w:val="000A26A9"/>
    <w:rsid w:val="000A34B4"/>
    <w:rsid w:val="000A6047"/>
    <w:rsid w:val="000A67B5"/>
    <w:rsid w:val="000A716B"/>
    <w:rsid w:val="000A7BCB"/>
    <w:rsid w:val="000A7E44"/>
    <w:rsid w:val="000A7F5C"/>
    <w:rsid w:val="000B0096"/>
    <w:rsid w:val="000B01D0"/>
    <w:rsid w:val="000B0837"/>
    <w:rsid w:val="000B097D"/>
    <w:rsid w:val="000B0D20"/>
    <w:rsid w:val="000B197E"/>
    <w:rsid w:val="000B1C2C"/>
    <w:rsid w:val="000B225F"/>
    <w:rsid w:val="000B5B29"/>
    <w:rsid w:val="000B67CC"/>
    <w:rsid w:val="000B752E"/>
    <w:rsid w:val="000B7CFF"/>
    <w:rsid w:val="000B7FD3"/>
    <w:rsid w:val="000C2AB0"/>
    <w:rsid w:val="000C2F30"/>
    <w:rsid w:val="000C380B"/>
    <w:rsid w:val="000C429D"/>
    <w:rsid w:val="000C4DF4"/>
    <w:rsid w:val="000C6C56"/>
    <w:rsid w:val="000C6C8E"/>
    <w:rsid w:val="000D0B43"/>
    <w:rsid w:val="000D0D7D"/>
    <w:rsid w:val="000D0DB9"/>
    <w:rsid w:val="000D12BD"/>
    <w:rsid w:val="000D14C8"/>
    <w:rsid w:val="000D15B3"/>
    <w:rsid w:val="000D1DF1"/>
    <w:rsid w:val="000D1E2A"/>
    <w:rsid w:val="000D2342"/>
    <w:rsid w:val="000D2F12"/>
    <w:rsid w:val="000D42A8"/>
    <w:rsid w:val="000D4446"/>
    <w:rsid w:val="000D444A"/>
    <w:rsid w:val="000D481C"/>
    <w:rsid w:val="000D482E"/>
    <w:rsid w:val="000D4AE6"/>
    <w:rsid w:val="000D4F30"/>
    <w:rsid w:val="000D57E7"/>
    <w:rsid w:val="000D5B1F"/>
    <w:rsid w:val="000D5F7C"/>
    <w:rsid w:val="000D62B7"/>
    <w:rsid w:val="000D73BF"/>
    <w:rsid w:val="000D7430"/>
    <w:rsid w:val="000D74E6"/>
    <w:rsid w:val="000E0F47"/>
    <w:rsid w:val="000E2053"/>
    <w:rsid w:val="000E207B"/>
    <w:rsid w:val="000E2242"/>
    <w:rsid w:val="000E3B8D"/>
    <w:rsid w:val="000E3BAA"/>
    <w:rsid w:val="000E4335"/>
    <w:rsid w:val="000E4668"/>
    <w:rsid w:val="000E4D2F"/>
    <w:rsid w:val="000E4E75"/>
    <w:rsid w:val="000E5283"/>
    <w:rsid w:val="000E654B"/>
    <w:rsid w:val="000E65E5"/>
    <w:rsid w:val="000E76E0"/>
    <w:rsid w:val="000E77E9"/>
    <w:rsid w:val="000F1E67"/>
    <w:rsid w:val="000F2159"/>
    <w:rsid w:val="000F23C7"/>
    <w:rsid w:val="000F2D28"/>
    <w:rsid w:val="000F2DA4"/>
    <w:rsid w:val="000F2E21"/>
    <w:rsid w:val="000F3E29"/>
    <w:rsid w:val="000F42B6"/>
    <w:rsid w:val="000F498F"/>
    <w:rsid w:val="000F528D"/>
    <w:rsid w:val="000F5315"/>
    <w:rsid w:val="000F6761"/>
    <w:rsid w:val="000F6787"/>
    <w:rsid w:val="000F6FBB"/>
    <w:rsid w:val="000F7854"/>
    <w:rsid w:val="00100D97"/>
    <w:rsid w:val="00101585"/>
    <w:rsid w:val="00101EED"/>
    <w:rsid w:val="0010229C"/>
    <w:rsid w:val="001022AA"/>
    <w:rsid w:val="00102636"/>
    <w:rsid w:val="00102933"/>
    <w:rsid w:val="0010397A"/>
    <w:rsid w:val="001047A7"/>
    <w:rsid w:val="00104808"/>
    <w:rsid w:val="00104F6F"/>
    <w:rsid w:val="001054F9"/>
    <w:rsid w:val="001072F6"/>
    <w:rsid w:val="00107B0C"/>
    <w:rsid w:val="0011016E"/>
    <w:rsid w:val="00110D82"/>
    <w:rsid w:val="001112BF"/>
    <w:rsid w:val="00111FC6"/>
    <w:rsid w:val="00111FCB"/>
    <w:rsid w:val="00112CA7"/>
    <w:rsid w:val="00112D54"/>
    <w:rsid w:val="001130CB"/>
    <w:rsid w:val="0011357E"/>
    <w:rsid w:val="00113814"/>
    <w:rsid w:val="0011414A"/>
    <w:rsid w:val="00114A2B"/>
    <w:rsid w:val="00114BE9"/>
    <w:rsid w:val="00114C09"/>
    <w:rsid w:val="001159A2"/>
    <w:rsid w:val="001161DB"/>
    <w:rsid w:val="00116232"/>
    <w:rsid w:val="00116765"/>
    <w:rsid w:val="001170C5"/>
    <w:rsid w:val="00121D22"/>
    <w:rsid w:val="001226B0"/>
    <w:rsid w:val="0012270C"/>
    <w:rsid w:val="0012295B"/>
    <w:rsid w:val="001231DC"/>
    <w:rsid w:val="0012338B"/>
    <w:rsid w:val="001236CC"/>
    <w:rsid w:val="00123907"/>
    <w:rsid w:val="00123AE5"/>
    <w:rsid w:val="00123EE9"/>
    <w:rsid w:val="001246EE"/>
    <w:rsid w:val="00124759"/>
    <w:rsid w:val="00124E2D"/>
    <w:rsid w:val="0012504C"/>
    <w:rsid w:val="00125305"/>
    <w:rsid w:val="00125DE5"/>
    <w:rsid w:val="00126BEE"/>
    <w:rsid w:val="00126F1D"/>
    <w:rsid w:val="00127C22"/>
    <w:rsid w:val="00127E26"/>
    <w:rsid w:val="00130B56"/>
    <w:rsid w:val="00130F36"/>
    <w:rsid w:val="0013147F"/>
    <w:rsid w:val="00131607"/>
    <w:rsid w:val="001318DF"/>
    <w:rsid w:val="00133472"/>
    <w:rsid w:val="00133B52"/>
    <w:rsid w:val="00133BFF"/>
    <w:rsid w:val="00133F4F"/>
    <w:rsid w:val="00135478"/>
    <w:rsid w:val="001359C1"/>
    <w:rsid w:val="00136022"/>
    <w:rsid w:val="00136D69"/>
    <w:rsid w:val="001375FE"/>
    <w:rsid w:val="001377AD"/>
    <w:rsid w:val="00137CC1"/>
    <w:rsid w:val="00137F9C"/>
    <w:rsid w:val="00140785"/>
    <w:rsid w:val="00140887"/>
    <w:rsid w:val="00140F2A"/>
    <w:rsid w:val="00141765"/>
    <w:rsid w:val="00141E7C"/>
    <w:rsid w:val="00141F72"/>
    <w:rsid w:val="001427B0"/>
    <w:rsid w:val="001459E8"/>
    <w:rsid w:val="00145A95"/>
    <w:rsid w:val="00145F43"/>
    <w:rsid w:val="00146FD6"/>
    <w:rsid w:val="0015022F"/>
    <w:rsid w:val="001518CF"/>
    <w:rsid w:val="00151B29"/>
    <w:rsid w:val="00152022"/>
    <w:rsid w:val="00152163"/>
    <w:rsid w:val="00152987"/>
    <w:rsid w:val="00153018"/>
    <w:rsid w:val="001536C7"/>
    <w:rsid w:val="00153E30"/>
    <w:rsid w:val="0015438E"/>
    <w:rsid w:val="00154E89"/>
    <w:rsid w:val="00155016"/>
    <w:rsid w:val="00155512"/>
    <w:rsid w:val="001560A5"/>
    <w:rsid w:val="00156E60"/>
    <w:rsid w:val="001578A6"/>
    <w:rsid w:val="00157C24"/>
    <w:rsid w:val="001602F5"/>
    <w:rsid w:val="00160855"/>
    <w:rsid w:val="0016087D"/>
    <w:rsid w:val="0016097B"/>
    <w:rsid w:val="001609A3"/>
    <w:rsid w:val="00160C66"/>
    <w:rsid w:val="0016183C"/>
    <w:rsid w:val="00162D6E"/>
    <w:rsid w:val="00163A84"/>
    <w:rsid w:val="001649BD"/>
    <w:rsid w:val="00164BEA"/>
    <w:rsid w:val="00164D1C"/>
    <w:rsid w:val="00166CB5"/>
    <w:rsid w:val="00166FFE"/>
    <w:rsid w:val="00167082"/>
    <w:rsid w:val="00167641"/>
    <w:rsid w:val="00170DBC"/>
    <w:rsid w:val="00171907"/>
    <w:rsid w:val="00172B14"/>
    <w:rsid w:val="00173569"/>
    <w:rsid w:val="00173A77"/>
    <w:rsid w:val="00173AA8"/>
    <w:rsid w:val="00174EB3"/>
    <w:rsid w:val="00174F20"/>
    <w:rsid w:val="00175C15"/>
    <w:rsid w:val="001760EC"/>
    <w:rsid w:val="00176288"/>
    <w:rsid w:val="0018006D"/>
    <w:rsid w:val="0018031F"/>
    <w:rsid w:val="00180EE9"/>
    <w:rsid w:val="0018107A"/>
    <w:rsid w:val="001823A3"/>
    <w:rsid w:val="00182677"/>
    <w:rsid w:val="0018277C"/>
    <w:rsid w:val="00182BAD"/>
    <w:rsid w:val="00184A1B"/>
    <w:rsid w:val="00185551"/>
    <w:rsid w:val="00185EC9"/>
    <w:rsid w:val="00186355"/>
    <w:rsid w:val="00186F27"/>
    <w:rsid w:val="001879FF"/>
    <w:rsid w:val="00187B5E"/>
    <w:rsid w:val="001903A5"/>
    <w:rsid w:val="00190C9A"/>
    <w:rsid w:val="00191303"/>
    <w:rsid w:val="00191FBB"/>
    <w:rsid w:val="0019247D"/>
    <w:rsid w:val="00192742"/>
    <w:rsid w:val="00192922"/>
    <w:rsid w:val="001937A0"/>
    <w:rsid w:val="00193BD9"/>
    <w:rsid w:val="00194FA5"/>
    <w:rsid w:val="00195E04"/>
    <w:rsid w:val="00196161"/>
    <w:rsid w:val="00196B77"/>
    <w:rsid w:val="00196E69"/>
    <w:rsid w:val="00197A15"/>
    <w:rsid w:val="001A03DA"/>
    <w:rsid w:val="001A0604"/>
    <w:rsid w:val="001A24A1"/>
    <w:rsid w:val="001A26F8"/>
    <w:rsid w:val="001A2A3F"/>
    <w:rsid w:val="001A32BE"/>
    <w:rsid w:val="001A3834"/>
    <w:rsid w:val="001A4A79"/>
    <w:rsid w:val="001A5677"/>
    <w:rsid w:val="001A56D4"/>
    <w:rsid w:val="001A6E5E"/>
    <w:rsid w:val="001A7F1A"/>
    <w:rsid w:val="001B0488"/>
    <w:rsid w:val="001B1418"/>
    <w:rsid w:val="001B19CC"/>
    <w:rsid w:val="001B1F23"/>
    <w:rsid w:val="001B27F0"/>
    <w:rsid w:val="001B296F"/>
    <w:rsid w:val="001B3840"/>
    <w:rsid w:val="001B3E4B"/>
    <w:rsid w:val="001B47AB"/>
    <w:rsid w:val="001B47B8"/>
    <w:rsid w:val="001B4DE1"/>
    <w:rsid w:val="001B5493"/>
    <w:rsid w:val="001B5D4C"/>
    <w:rsid w:val="001B65C8"/>
    <w:rsid w:val="001B755E"/>
    <w:rsid w:val="001C02B5"/>
    <w:rsid w:val="001C0328"/>
    <w:rsid w:val="001C0ACE"/>
    <w:rsid w:val="001C101F"/>
    <w:rsid w:val="001C15E9"/>
    <w:rsid w:val="001C1914"/>
    <w:rsid w:val="001C1FD1"/>
    <w:rsid w:val="001C2A17"/>
    <w:rsid w:val="001C3279"/>
    <w:rsid w:val="001C356D"/>
    <w:rsid w:val="001C3CDA"/>
    <w:rsid w:val="001C3FEF"/>
    <w:rsid w:val="001C43D2"/>
    <w:rsid w:val="001C4A26"/>
    <w:rsid w:val="001C565C"/>
    <w:rsid w:val="001C5B98"/>
    <w:rsid w:val="001C5C22"/>
    <w:rsid w:val="001C62B0"/>
    <w:rsid w:val="001C6718"/>
    <w:rsid w:val="001C6F39"/>
    <w:rsid w:val="001C71F8"/>
    <w:rsid w:val="001C7882"/>
    <w:rsid w:val="001C7BB5"/>
    <w:rsid w:val="001C7EC1"/>
    <w:rsid w:val="001C7FC6"/>
    <w:rsid w:val="001D010E"/>
    <w:rsid w:val="001D0318"/>
    <w:rsid w:val="001D0CB2"/>
    <w:rsid w:val="001D1094"/>
    <w:rsid w:val="001D15D8"/>
    <w:rsid w:val="001D1C70"/>
    <w:rsid w:val="001D3867"/>
    <w:rsid w:val="001D5EEB"/>
    <w:rsid w:val="001D630A"/>
    <w:rsid w:val="001D77D4"/>
    <w:rsid w:val="001D78B3"/>
    <w:rsid w:val="001D7CE2"/>
    <w:rsid w:val="001E0252"/>
    <w:rsid w:val="001E0979"/>
    <w:rsid w:val="001E0CF2"/>
    <w:rsid w:val="001E1178"/>
    <w:rsid w:val="001E1F43"/>
    <w:rsid w:val="001E2263"/>
    <w:rsid w:val="001E2D77"/>
    <w:rsid w:val="001E2F22"/>
    <w:rsid w:val="001E475F"/>
    <w:rsid w:val="001E510F"/>
    <w:rsid w:val="001E5D24"/>
    <w:rsid w:val="001E60FA"/>
    <w:rsid w:val="001E6775"/>
    <w:rsid w:val="001E6D9F"/>
    <w:rsid w:val="001E74FF"/>
    <w:rsid w:val="001E7AA2"/>
    <w:rsid w:val="001F0E75"/>
    <w:rsid w:val="001F220A"/>
    <w:rsid w:val="001F2433"/>
    <w:rsid w:val="001F268A"/>
    <w:rsid w:val="001F47DA"/>
    <w:rsid w:val="001F5064"/>
    <w:rsid w:val="001F617B"/>
    <w:rsid w:val="001F620A"/>
    <w:rsid w:val="001F64DE"/>
    <w:rsid w:val="001F64DF"/>
    <w:rsid w:val="001F6881"/>
    <w:rsid w:val="001F6EFD"/>
    <w:rsid w:val="001F7648"/>
    <w:rsid w:val="001F7AD1"/>
    <w:rsid w:val="001F7CDB"/>
    <w:rsid w:val="001F7E2F"/>
    <w:rsid w:val="00200467"/>
    <w:rsid w:val="00200B2E"/>
    <w:rsid w:val="00201A1E"/>
    <w:rsid w:val="00201B7E"/>
    <w:rsid w:val="00201E30"/>
    <w:rsid w:val="00202360"/>
    <w:rsid w:val="00202628"/>
    <w:rsid w:val="00203B31"/>
    <w:rsid w:val="00203D62"/>
    <w:rsid w:val="00203E94"/>
    <w:rsid w:val="002051E0"/>
    <w:rsid w:val="002052A9"/>
    <w:rsid w:val="002068F1"/>
    <w:rsid w:val="00206974"/>
    <w:rsid w:val="0021016D"/>
    <w:rsid w:val="0021038A"/>
    <w:rsid w:val="0021096D"/>
    <w:rsid w:val="00211ADA"/>
    <w:rsid w:val="00211CD9"/>
    <w:rsid w:val="0021217F"/>
    <w:rsid w:val="00212554"/>
    <w:rsid w:val="002127BD"/>
    <w:rsid w:val="002128E4"/>
    <w:rsid w:val="002132C9"/>
    <w:rsid w:val="002138CE"/>
    <w:rsid w:val="00213E6D"/>
    <w:rsid w:val="00214538"/>
    <w:rsid w:val="002154D1"/>
    <w:rsid w:val="00215757"/>
    <w:rsid w:val="00215CA4"/>
    <w:rsid w:val="00216351"/>
    <w:rsid w:val="002165FC"/>
    <w:rsid w:val="002169DA"/>
    <w:rsid w:val="00217013"/>
    <w:rsid w:val="002174FD"/>
    <w:rsid w:val="002207F1"/>
    <w:rsid w:val="00220CD3"/>
    <w:rsid w:val="00220DD8"/>
    <w:rsid w:val="002220D5"/>
    <w:rsid w:val="00222E54"/>
    <w:rsid w:val="00222F68"/>
    <w:rsid w:val="002230EB"/>
    <w:rsid w:val="0022328A"/>
    <w:rsid w:val="00223911"/>
    <w:rsid w:val="002241DF"/>
    <w:rsid w:val="002247FC"/>
    <w:rsid w:val="0022499C"/>
    <w:rsid w:val="00224BD0"/>
    <w:rsid w:val="00224F76"/>
    <w:rsid w:val="00225223"/>
    <w:rsid w:val="00225758"/>
    <w:rsid w:val="00226B07"/>
    <w:rsid w:val="00226D8B"/>
    <w:rsid w:val="00226F7B"/>
    <w:rsid w:val="002273B1"/>
    <w:rsid w:val="00227961"/>
    <w:rsid w:val="00227C42"/>
    <w:rsid w:val="00230500"/>
    <w:rsid w:val="00230A63"/>
    <w:rsid w:val="00230EC5"/>
    <w:rsid w:val="00231276"/>
    <w:rsid w:val="00231399"/>
    <w:rsid w:val="00231A0E"/>
    <w:rsid w:val="00231C66"/>
    <w:rsid w:val="00231DB0"/>
    <w:rsid w:val="00231E35"/>
    <w:rsid w:val="002322D7"/>
    <w:rsid w:val="002330C2"/>
    <w:rsid w:val="00233125"/>
    <w:rsid w:val="0023358D"/>
    <w:rsid w:val="00233B14"/>
    <w:rsid w:val="00234B8B"/>
    <w:rsid w:val="00234CE5"/>
    <w:rsid w:val="00234D09"/>
    <w:rsid w:val="00234ECA"/>
    <w:rsid w:val="002351F1"/>
    <w:rsid w:val="0023639C"/>
    <w:rsid w:val="0023640E"/>
    <w:rsid w:val="0023657A"/>
    <w:rsid w:val="0023696A"/>
    <w:rsid w:val="002371A9"/>
    <w:rsid w:val="00237550"/>
    <w:rsid w:val="00237D48"/>
    <w:rsid w:val="00241759"/>
    <w:rsid w:val="00242411"/>
    <w:rsid w:val="00242A96"/>
    <w:rsid w:val="0024320C"/>
    <w:rsid w:val="002434F2"/>
    <w:rsid w:val="0024380F"/>
    <w:rsid w:val="00243BE3"/>
    <w:rsid w:val="00243E3A"/>
    <w:rsid w:val="0024404D"/>
    <w:rsid w:val="002442A6"/>
    <w:rsid w:val="00244B39"/>
    <w:rsid w:val="0024540A"/>
    <w:rsid w:val="00245C36"/>
    <w:rsid w:val="00246908"/>
    <w:rsid w:val="00246C98"/>
    <w:rsid w:val="0024769B"/>
    <w:rsid w:val="00250111"/>
    <w:rsid w:val="0025095A"/>
    <w:rsid w:val="0025116E"/>
    <w:rsid w:val="002513B0"/>
    <w:rsid w:val="00251914"/>
    <w:rsid w:val="00252906"/>
    <w:rsid w:val="002530BB"/>
    <w:rsid w:val="00253F6D"/>
    <w:rsid w:val="00254056"/>
    <w:rsid w:val="002542D9"/>
    <w:rsid w:val="00254F0D"/>
    <w:rsid w:val="00256407"/>
    <w:rsid w:val="0025657C"/>
    <w:rsid w:val="002570EF"/>
    <w:rsid w:val="0025785A"/>
    <w:rsid w:val="00257EA3"/>
    <w:rsid w:val="00260818"/>
    <w:rsid w:val="00260889"/>
    <w:rsid w:val="00260975"/>
    <w:rsid w:val="00260F7F"/>
    <w:rsid w:val="00260FDC"/>
    <w:rsid w:val="00261370"/>
    <w:rsid w:val="0026137F"/>
    <w:rsid w:val="002615F7"/>
    <w:rsid w:val="0026180B"/>
    <w:rsid w:val="00261BF7"/>
    <w:rsid w:val="002620E8"/>
    <w:rsid w:val="002625D7"/>
    <w:rsid w:val="0026312A"/>
    <w:rsid w:val="0026386E"/>
    <w:rsid w:val="00263A67"/>
    <w:rsid w:val="002651CC"/>
    <w:rsid w:val="00265490"/>
    <w:rsid w:val="00267432"/>
    <w:rsid w:val="00270538"/>
    <w:rsid w:val="00270C87"/>
    <w:rsid w:val="00270D18"/>
    <w:rsid w:val="0027140B"/>
    <w:rsid w:val="002723B5"/>
    <w:rsid w:val="002726A6"/>
    <w:rsid w:val="00272CAE"/>
    <w:rsid w:val="00273843"/>
    <w:rsid w:val="002740C3"/>
    <w:rsid w:val="00274DD5"/>
    <w:rsid w:val="00274F61"/>
    <w:rsid w:val="002755A9"/>
    <w:rsid w:val="002762CD"/>
    <w:rsid w:val="00276761"/>
    <w:rsid w:val="00276CD0"/>
    <w:rsid w:val="00276CFB"/>
    <w:rsid w:val="00277D86"/>
    <w:rsid w:val="00280CF9"/>
    <w:rsid w:val="00280E89"/>
    <w:rsid w:val="00280EAA"/>
    <w:rsid w:val="00281051"/>
    <w:rsid w:val="002815FA"/>
    <w:rsid w:val="0028206C"/>
    <w:rsid w:val="00282106"/>
    <w:rsid w:val="00282175"/>
    <w:rsid w:val="002828E3"/>
    <w:rsid w:val="00282904"/>
    <w:rsid w:val="00282952"/>
    <w:rsid w:val="002829E1"/>
    <w:rsid w:val="0028380B"/>
    <w:rsid w:val="00283B25"/>
    <w:rsid w:val="0028557B"/>
    <w:rsid w:val="00285716"/>
    <w:rsid w:val="00285DD5"/>
    <w:rsid w:val="00286407"/>
    <w:rsid w:val="00286ECE"/>
    <w:rsid w:val="0028773B"/>
    <w:rsid w:val="00287F7B"/>
    <w:rsid w:val="00290EFE"/>
    <w:rsid w:val="002915E8"/>
    <w:rsid w:val="00291C7D"/>
    <w:rsid w:val="00291EFA"/>
    <w:rsid w:val="00292649"/>
    <w:rsid w:val="002932F8"/>
    <w:rsid w:val="00294333"/>
    <w:rsid w:val="002948D6"/>
    <w:rsid w:val="002952BC"/>
    <w:rsid w:val="002956A2"/>
    <w:rsid w:val="00295764"/>
    <w:rsid w:val="00295862"/>
    <w:rsid w:val="00295A95"/>
    <w:rsid w:val="00296471"/>
    <w:rsid w:val="00296965"/>
    <w:rsid w:val="00296D23"/>
    <w:rsid w:val="002975FB"/>
    <w:rsid w:val="002976BC"/>
    <w:rsid w:val="00297CA2"/>
    <w:rsid w:val="002A05CA"/>
    <w:rsid w:val="002A0676"/>
    <w:rsid w:val="002A0872"/>
    <w:rsid w:val="002A15BC"/>
    <w:rsid w:val="002A1AB6"/>
    <w:rsid w:val="002A20EF"/>
    <w:rsid w:val="002A299B"/>
    <w:rsid w:val="002A2C86"/>
    <w:rsid w:val="002A2E6D"/>
    <w:rsid w:val="002A308D"/>
    <w:rsid w:val="002A375B"/>
    <w:rsid w:val="002A379A"/>
    <w:rsid w:val="002A3C2D"/>
    <w:rsid w:val="002A44FF"/>
    <w:rsid w:val="002A56E0"/>
    <w:rsid w:val="002A5DE0"/>
    <w:rsid w:val="002A6DE3"/>
    <w:rsid w:val="002B0514"/>
    <w:rsid w:val="002B0D90"/>
    <w:rsid w:val="002B1235"/>
    <w:rsid w:val="002B1B74"/>
    <w:rsid w:val="002B1C31"/>
    <w:rsid w:val="002B1ECC"/>
    <w:rsid w:val="002B2395"/>
    <w:rsid w:val="002B24FE"/>
    <w:rsid w:val="002B2CF2"/>
    <w:rsid w:val="002B366B"/>
    <w:rsid w:val="002B3FEA"/>
    <w:rsid w:val="002B4549"/>
    <w:rsid w:val="002B45E6"/>
    <w:rsid w:val="002B4BCF"/>
    <w:rsid w:val="002B4D75"/>
    <w:rsid w:val="002B5198"/>
    <w:rsid w:val="002B51AA"/>
    <w:rsid w:val="002B60F8"/>
    <w:rsid w:val="002B6117"/>
    <w:rsid w:val="002B71E2"/>
    <w:rsid w:val="002B792F"/>
    <w:rsid w:val="002B793A"/>
    <w:rsid w:val="002C0360"/>
    <w:rsid w:val="002C0B34"/>
    <w:rsid w:val="002C11D8"/>
    <w:rsid w:val="002C11E3"/>
    <w:rsid w:val="002C1876"/>
    <w:rsid w:val="002C2369"/>
    <w:rsid w:val="002C2CB6"/>
    <w:rsid w:val="002C4C4C"/>
    <w:rsid w:val="002C4FAF"/>
    <w:rsid w:val="002C58E5"/>
    <w:rsid w:val="002C5D20"/>
    <w:rsid w:val="002C6354"/>
    <w:rsid w:val="002C6370"/>
    <w:rsid w:val="002C69D1"/>
    <w:rsid w:val="002C6C00"/>
    <w:rsid w:val="002C6D80"/>
    <w:rsid w:val="002C7BD5"/>
    <w:rsid w:val="002D03F5"/>
    <w:rsid w:val="002D0574"/>
    <w:rsid w:val="002D07D3"/>
    <w:rsid w:val="002D0FEF"/>
    <w:rsid w:val="002D1407"/>
    <w:rsid w:val="002D181A"/>
    <w:rsid w:val="002D1F88"/>
    <w:rsid w:val="002D1F95"/>
    <w:rsid w:val="002D268F"/>
    <w:rsid w:val="002D2C57"/>
    <w:rsid w:val="002D36DA"/>
    <w:rsid w:val="002D3895"/>
    <w:rsid w:val="002D414F"/>
    <w:rsid w:val="002D4280"/>
    <w:rsid w:val="002D4DB9"/>
    <w:rsid w:val="002D51D0"/>
    <w:rsid w:val="002D53AA"/>
    <w:rsid w:val="002D53CB"/>
    <w:rsid w:val="002D5BBE"/>
    <w:rsid w:val="002D622A"/>
    <w:rsid w:val="002D6E26"/>
    <w:rsid w:val="002D7166"/>
    <w:rsid w:val="002D7DE5"/>
    <w:rsid w:val="002E0A3A"/>
    <w:rsid w:val="002E23A8"/>
    <w:rsid w:val="002E2E3F"/>
    <w:rsid w:val="002E3042"/>
    <w:rsid w:val="002E4159"/>
    <w:rsid w:val="002E46CD"/>
    <w:rsid w:val="002E4FB1"/>
    <w:rsid w:val="002E52FE"/>
    <w:rsid w:val="002E5ECF"/>
    <w:rsid w:val="002E66C6"/>
    <w:rsid w:val="002E73FC"/>
    <w:rsid w:val="002E7FBE"/>
    <w:rsid w:val="002EE0EE"/>
    <w:rsid w:val="002F0043"/>
    <w:rsid w:val="002F1EBF"/>
    <w:rsid w:val="002F3244"/>
    <w:rsid w:val="002F3650"/>
    <w:rsid w:val="002F3707"/>
    <w:rsid w:val="002F3D31"/>
    <w:rsid w:val="002F5859"/>
    <w:rsid w:val="002F6CB6"/>
    <w:rsid w:val="002F7BD9"/>
    <w:rsid w:val="00300D7F"/>
    <w:rsid w:val="0030154F"/>
    <w:rsid w:val="00302991"/>
    <w:rsid w:val="00302A7B"/>
    <w:rsid w:val="00303287"/>
    <w:rsid w:val="00303364"/>
    <w:rsid w:val="00303374"/>
    <w:rsid w:val="0030346F"/>
    <w:rsid w:val="00303963"/>
    <w:rsid w:val="00303A64"/>
    <w:rsid w:val="00303AF4"/>
    <w:rsid w:val="00304B9B"/>
    <w:rsid w:val="0030536B"/>
    <w:rsid w:val="003055E1"/>
    <w:rsid w:val="0030585F"/>
    <w:rsid w:val="00305A5C"/>
    <w:rsid w:val="00305FDA"/>
    <w:rsid w:val="0030672A"/>
    <w:rsid w:val="003067F2"/>
    <w:rsid w:val="00307029"/>
    <w:rsid w:val="0030774D"/>
    <w:rsid w:val="00310E67"/>
    <w:rsid w:val="00310FBA"/>
    <w:rsid w:val="003119EC"/>
    <w:rsid w:val="00311A06"/>
    <w:rsid w:val="003125B3"/>
    <w:rsid w:val="00312CE7"/>
    <w:rsid w:val="00313030"/>
    <w:rsid w:val="00314974"/>
    <w:rsid w:val="00314CD0"/>
    <w:rsid w:val="00314F78"/>
    <w:rsid w:val="0031571E"/>
    <w:rsid w:val="00315C8D"/>
    <w:rsid w:val="003160D1"/>
    <w:rsid w:val="00316497"/>
    <w:rsid w:val="00316572"/>
    <w:rsid w:val="00316A4B"/>
    <w:rsid w:val="003174B2"/>
    <w:rsid w:val="00317F54"/>
    <w:rsid w:val="00317F89"/>
    <w:rsid w:val="0032017A"/>
    <w:rsid w:val="0032095F"/>
    <w:rsid w:val="00320CFC"/>
    <w:rsid w:val="00320DD7"/>
    <w:rsid w:val="00320DEF"/>
    <w:rsid w:val="003212F6"/>
    <w:rsid w:val="003213D1"/>
    <w:rsid w:val="003213FC"/>
    <w:rsid w:val="00321566"/>
    <w:rsid w:val="003219D3"/>
    <w:rsid w:val="00321BF0"/>
    <w:rsid w:val="003223C7"/>
    <w:rsid w:val="00323C0C"/>
    <w:rsid w:val="003242E0"/>
    <w:rsid w:val="00324D60"/>
    <w:rsid w:val="00325070"/>
    <w:rsid w:val="00326490"/>
    <w:rsid w:val="00327656"/>
    <w:rsid w:val="0032781F"/>
    <w:rsid w:val="00327DD4"/>
    <w:rsid w:val="00330B3D"/>
    <w:rsid w:val="00331054"/>
    <w:rsid w:val="003313D6"/>
    <w:rsid w:val="0033170A"/>
    <w:rsid w:val="00331917"/>
    <w:rsid w:val="00331A1A"/>
    <w:rsid w:val="003323B8"/>
    <w:rsid w:val="00332A2F"/>
    <w:rsid w:val="00332D64"/>
    <w:rsid w:val="0033327A"/>
    <w:rsid w:val="0033476A"/>
    <w:rsid w:val="00334ACE"/>
    <w:rsid w:val="00334C06"/>
    <w:rsid w:val="0033595D"/>
    <w:rsid w:val="00336EC7"/>
    <w:rsid w:val="0033754B"/>
    <w:rsid w:val="00337C16"/>
    <w:rsid w:val="00337D95"/>
    <w:rsid w:val="003400BA"/>
    <w:rsid w:val="00340437"/>
    <w:rsid w:val="00340895"/>
    <w:rsid w:val="00340CEE"/>
    <w:rsid w:val="0034164B"/>
    <w:rsid w:val="0034277D"/>
    <w:rsid w:val="00342C49"/>
    <w:rsid w:val="00342D7D"/>
    <w:rsid w:val="00343B5F"/>
    <w:rsid w:val="00344847"/>
    <w:rsid w:val="00344EA7"/>
    <w:rsid w:val="00344EC6"/>
    <w:rsid w:val="00344F86"/>
    <w:rsid w:val="00345251"/>
    <w:rsid w:val="00345420"/>
    <w:rsid w:val="003469DC"/>
    <w:rsid w:val="00346FE1"/>
    <w:rsid w:val="00351DFE"/>
    <w:rsid w:val="00352691"/>
    <w:rsid w:val="00352E24"/>
    <w:rsid w:val="00352EF3"/>
    <w:rsid w:val="003537C7"/>
    <w:rsid w:val="003544DA"/>
    <w:rsid w:val="0035528A"/>
    <w:rsid w:val="00357606"/>
    <w:rsid w:val="00357822"/>
    <w:rsid w:val="00357F8A"/>
    <w:rsid w:val="0036048C"/>
    <w:rsid w:val="00360727"/>
    <w:rsid w:val="00361178"/>
    <w:rsid w:val="0036134F"/>
    <w:rsid w:val="0036152D"/>
    <w:rsid w:val="00361990"/>
    <w:rsid w:val="00361E10"/>
    <w:rsid w:val="00362553"/>
    <w:rsid w:val="00362B51"/>
    <w:rsid w:val="00362C0D"/>
    <w:rsid w:val="00363669"/>
    <w:rsid w:val="0036386C"/>
    <w:rsid w:val="003640C0"/>
    <w:rsid w:val="003641BC"/>
    <w:rsid w:val="00366D26"/>
    <w:rsid w:val="003671A4"/>
    <w:rsid w:val="003674FB"/>
    <w:rsid w:val="00367DD0"/>
    <w:rsid w:val="00367FDB"/>
    <w:rsid w:val="00370499"/>
    <w:rsid w:val="00370F0A"/>
    <w:rsid w:val="0037140B"/>
    <w:rsid w:val="003719FA"/>
    <w:rsid w:val="00371C5B"/>
    <w:rsid w:val="00372182"/>
    <w:rsid w:val="00372549"/>
    <w:rsid w:val="00373C58"/>
    <w:rsid w:val="00373F45"/>
    <w:rsid w:val="003743F4"/>
    <w:rsid w:val="003750E0"/>
    <w:rsid w:val="00375695"/>
    <w:rsid w:val="0037577E"/>
    <w:rsid w:val="0037588E"/>
    <w:rsid w:val="003758C8"/>
    <w:rsid w:val="00375CCE"/>
    <w:rsid w:val="00376013"/>
    <w:rsid w:val="00376480"/>
    <w:rsid w:val="00376DB0"/>
    <w:rsid w:val="003770D9"/>
    <w:rsid w:val="00377D84"/>
    <w:rsid w:val="0038003B"/>
    <w:rsid w:val="0038070C"/>
    <w:rsid w:val="00380760"/>
    <w:rsid w:val="00381566"/>
    <w:rsid w:val="0038272D"/>
    <w:rsid w:val="00382E75"/>
    <w:rsid w:val="00382FD0"/>
    <w:rsid w:val="00383DB7"/>
    <w:rsid w:val="00383DBE"/>
    <w:rsid w:val="00384163"/>
    <w:rsid w:val="003846B6"/>
    <w:rsid w:val="00385120"/>
    <w:rsid w:val="0038588C"/>
    <w:rsid w:val="00385DCA"/>
    <w:rsid w:val="00386002"/>
    <w:rsid w:val="0038600D"/>
    <w:rsid w:val="00387796"/>
    <w:rsid w:val="00387B5A"/>
    <w:rsid w:val="00387E78"/>
    <w:rsid w:val="003908D4"/>
    <w:rsid w:val="00391238"/>
    <w:rsid w:val="003916D3"/>
    <w:rsid w:val="00392893"/>
    <w:rsid w:val="00392B2B"/>
    <w:rsid w:val="00393427"/>
    <w:rsid w:val="00393B9A"/>
    <w:rsid w:val="0039438B"/>
    <w:rsid w:val="0039439C"/>
    <w:rsid w:val="0039497E"/>
    <w:rsid w:val="00396A35"/>
    <w:rsid w:val="003974BA"/>
    <w:rsid w:val="00397740"/>
    <w:rsid w:val="00397AEC"/>
    <w:rsid w:val="003A04C5"/>
    <w:rsid w:val="003A0528"/>
    <w:rsid w:val="003A0A60"/>
    <w:rsid w:val="003A0A96"/>
    <w:rsid w:val="003A18C6"/>
    <w:rsid w:val="003A28FE"/>
    <w:rsid w:val="003A2988"/>
    <w:rsid w:val="003A2B0E"/>
    <w:rsid w:val="003A3500"/>
    <w:rsid w:val="003A397C"/>
    <w:rsid w:val="003A3BD7"/>
    <w:rsid w:val="003A435D"/>
    <w:rsid w:val="003A44B5"/>
    <w:rsid w:val="003A459C"/>
    <w:rsid w:val="003A4693"/>
    <w:rsid w:val="003A46F1"/>
    <w:rsid w:val="003A4B2B"/>
    <w:rsid w:val="003A4F07"/>
    <w:rsid w:val="003A569C"/>
    <w:rsid w:val="003A61A2"/>
    <w:rsid w:val="003A62E3"/>
    <w:rsid w:val="003A65BE"/>
    <w:rsid w:val="003A7432"/>
    <w:rsid w:val="003A7713"/>
    <w:rsid w:val="003B0757"/>
    <w:rsid w:val="003B0CBE"/>
    <w:rsid w:val="003B1300"/>
    <w:rsid w:val="003B1927"/>
    <w:rsid w:val="003B2ADD"/>
    <w:rsid w:val="003B2B44"/>
    <w:rsid w:val="003B306C"/>
    <w:rsid w:val="003B48EE"/>
    <w:rsid w:val="003B5D30"/>
    <w:rsid w:val="003B686A"/>
    <w:rsid w:val="003B7446"/>
    <w:rsid w:val="003B7627"/>
    <w:rsid w:val="003C1342"/>
    <w:rsid w:val="003C183D"/>
    <w:rsid w:val="003C1EFB"/>
    <w:rsid w:val="003C25AE"/>
    <w:rsid w:val="003C3604"/>
    <w:rsid w:val="003C3CC9"/>
    <w:rsid w:val="003C40B3"/>
    <w:rsid w:val="003C41C9"/>
    <w:rsid w:val="003C4639"/>
    <w:rsid w:val="003C4B26"/>
    <w:rsid w:val="003C5224"/>
    <w:rsid w:val="003C5C62"/>
    <w:rsid w:val="003C60CB"/>
    <w:rsid w:val="003C612F"/>
    <w:rsid w:val="003C62CA"/>
    <w:rsid w:val="003C65FC"/>
    <w:rsid w:val="003C6AEE"/>
    <w:rsid w:val="003C7B7F"/>
    <w:rsid w:val="003D0C9E"/>
    <w:rsid w:val="003D1252"/>
    <w:rsid w:val="003D32F9"/>
    <w:rsid w:val="003D38FA"/>
    <w:rsid w:val="003D4358"/>
    <w:rsid w:val="003D43E4"/>
    <w:rsid w:val="003D445E"/>
    <w:rsid w:val="003D4F5D"/>
    <w:rsid w:val="003D50EF"/>
    <w:rsid w:val="003D57F7"/>
    <w:rsid w:val="003D79AE"/>
    <w:rsid w:val="003D7B41"/>
    <w:rsid w:val="003D7ECE"/>
    <w:rsid w:val="003E17F1"/>
    <w:rsid w:val="003E1E46"/>
    <w:rsid w:val="003E26B2"/>
    <w:rsid w:val="003E286A"/>
    <w:rsid w:val="003E28D8"/>
    <w:rsid w:val="003E2C54"/>
    <w:rsid w:val="003E39AF"/>
    <w:rsid w:val="003E4027"/>
    <w:rsid w:val="003E45D9"/>
    <w:rsid w:val="003E4869"/>
    <w:rsid w:val="003E4AD5"/>
    <w:rsid w:val="003E4F72"/>
    <w:rsid w:val="003E5E1E"/>
    <w:rsid w:val="003E5FCB"/>
    <w:rsid w:val="003E7CBD"/>
    <w:rsid w:val="003F0295"/>
    <w:rsid w:val="003F02DD"/>
    <w:rsid w:val="003F06A8"/>
    <w:rsid w:val="003F0B56"/>
    <w:rsid w:val="003F142A"/>
    <w:rsid w:val="003F184B"/>
    <w:rsid w:val="003F1F5E"/>
    <w:rsid w:val="003F27BD"/>
    <w:rsid w:val="003F31B0"/>
    <w:rsid w:val="003F389B"/>
    <w:rsid w:val="003F3E10"/>
    <w:rsid w:val="003F4914"/>
    <w:rsid w:val="003F55CF"/>
    <w:rsid w:val="003F5740"/>
    <w:rsid w:val="003F5ABF"/>
    <w:rsid w:val="003F616D"/>
    <w:rsid w:val="003F6E49"/>
    <w:rsid w:val="003F71A4"/>
    <w:rsid w:val="003F7C03"/>
    <w:rsid w:val="004000A7"/>
    <w:rsid w:val="004001F9"/>
    <w:rsid w:val="0040070D"/>
    <w:rsid w:val="004011C5"/>
    <w:rsid w:val="0040122C"/>
    <w:rsid w:val="0040168B"/>
    <w:rsid w:val="004016A3"/>
    <w:rsid w:val="004018A4"/>
    <w:rsid w:val="00401DED"/>
    <w:rsid w:val="004023DE"/>
    <w:rsid w:val="00402858"/>
    <w:rsid w:val="004031C8"/>
    <w:rsid w:val="00403493"/>
    <w:rsid w:val="00403681"/>
    <w:rsid w:val="00403DBD"/>
    <w:rsid w:val="00403F06"/>
    <w:rsid w:val="0040433F"/>
    <w:rsid w:val="00404347"/>
    <w:rsid w:val="004044D5"/>
    <w:rsid w:val="00404AC8"/>
    <w:rsid w:val="00405832"/>
    <w:rsid w:val="00405A99"/>
    <w:rsid w:val="00405EDE"/>
    <w:rsid w:val="0040732D"/>
    <w:rsid w:val="00407756"/>
    <w:rsid w:val="00407992"/>
    <w:rsid w:val="0041047B"/>
    <w:rsid w:val="004108E1"/>
    <w:rsid w:val="00410DE6"/>
    <w:rsid w:val="00411710"/>
    <w:rsid w:val="004121BF"/>
    <w:rsid w:val="004127A0"/>
    <w:rsid w:val="004129BC"/>
    <w:rsid w:val="00412D12"/>
    <w:rsid w:val="004130AA"/>
    <w:rsid w:val="004130DC"/>
    <w:rsid w:val="00413BEB"/>
    <w:rsid w:val="00413EB1"/>
    <w:rsid w:val="00414733"/>
    <w:rsid w:val="00414839"/>
    <w:rsid w:val="0041524F"/>
    <w:rsid w:val="00415C8F"/>
    <w:rsid w:val="00416521"/>
    <w:rsid w:val="00416A45"/>
    <w:rsid w:val="004179E2"/>
    <w:rsid w:val="00417C55"/>
    <w:rsid w:val="00420085"/>
    <w:rsid w:val="00420091"/>
    <w:rsid w:val="00420B2F"/>
    <w:rsid w:val="00420D20"/>
    <w:rsid w:val="00420F64"/>
    <w:rsid w:val="0042203F"/>
    <w:rsid w:val="004220A0"/>
    <w:rsid w:val="00423C37"/>
    <w:rsid w:val="00423C73"/>
    <w:rsid w:val="00423DF2"/>
    <w:rsid w:val="004242B0"/>
    <w:rsid w:val="004252A5"/>
    <w:rsid w:val="00425450"/>
    <w:rsid w:val="00426002"/>
    <w:rsid w:val="0042624F"/>
    <w:rsid w:val="00426546"/>
    <w:rsid w:val="004269FB"/>
    <w:rsid w:val="00426CC4"/>
    <w:rsid w:val="00427A32"/>
    <w:rsid w:val="004304FE"/>
    <w:rsid w:val="00430637"/>
    <w:rsid w:val="004307C7"/>
    <w:rsid w:val="00430C42"/>
    <w:rsid w:val="00430D20"/>
    <w:rsid w:val="00430DBE"/>
    <w:rsid w:val="00430F45"/>
    <w:rsid w:val="00431363"/>
    <w:rsid w:val="00431648"/>
    <w:rsid w:val="004333E8"/>
    <w:rsid w:val="004339B3"/>
    <w:rsid w:val="00433BCA"/>
    <w:rsid w:val="004351E1"/>
    <w:rsid w:val="00435573"/>
    <w:rsid w:val="00435CEB"/>
    <w:rsid w:val="00436207"/>
    <w:rsid w:val="00437129"/>
    <w:rsid w:val="00437F86"/>
    <w:rsid w:val="00440805"/>
    <w:rsid w:val="004413EC"/>
    <w:rsid w:val="004415C2"/>
    <w:rsid w:val="00441CB8"/>
    <w:rsid w:val="00441CCE"/>
    <w:rsid w:val="00442724"/>
    <w:rsid w:val="00442789"/>
    <w:rsid w:val="0044325F"/>
    <w:rsid w:val="004438D5"/>
    <w:rsid w:val="00444736"/>
    <w:rsid w:val="004463FB"/>
    <w:rsid w:val="00450146"/>
    <w:rsid w:val="00450B6D"/>
    <w:rsid w:val="00451131"/>
    <w:rsid w:val="00451914"/>
    <w:rsid w:val="00452697"/>
    <w:rsid w:val="00452704"/>
    <w:rsid w:val="00453243"/>
    <w:rsid w:val="00453681"/>
    <w:rsid w:val="00453C5C"/>
    <w:rsid w:val="00453D42"/>
    <w:rsid w:val="00453EC8"/>
    <w:rsid w:val="00455587"/>
    <w:rsid w:val="00455A83"/>
    <w:rsid w:val="0045662A"/>
    <w:rsid w:val="0045692F"/>
    <w:rsid w:val="00456B86"/>
    <w:rsid w:val="00457199"/>
    <w:rsid w:val="004573F6"/>
    <w:rsid w:val="00457422"/>
    <w:rsid w:val="0045745B"/>
    <w:rsid w:val="00457525"/>
    <w:rsid w:val="00457E05"/>
    <w:rsid w:val="00460CD2"/>
    <w:rsid w:val="00460FDB"/>
    <w:rsid w:val="00461082"/>
    <w:rsid w:val="0046130C"/>
    <w:rsid w:val="0046156C"/>
    <w:rsid w:val="00463685"/>
    <w:rsid w:val="00463A05"/>
    <w:rsid w:val="004648F2"/>
    <w:rsid w:val="00464904"/>
    <w:rsid w:val="0046535F"/>
    <w:rsid w:val="00465904"/>
    <w:rsid w:val="004663B4"/>
    <w:rsid w:val="0046718C"/>
    <w:rsid w:val="0046794F"/>
    <w:rsid w:val="00470559"/>
    <w:rsid w:val="00470CF4"/>
    <w:rsid w:val="00470D6E"/>
    <w:rsid w:val="004714AC"/>
    <w:rsid w:val="0047170E"/>
    <w:rsid w:val="00472430"/>
    <w:rsid w:val="00473D51"/>
    <w:rsid w:val="004740B8"/>
    <w:rsid w:val="004744E0"/>
    <w:rsid w:val="00474509"/>
    <w:rsid w:val="004748CA"/>
    <w:rsid w:val="004753AB"/>
    <w:rsid w:val="00476B3F"/>
    <w:rsid w:val="00476D70"/>
    <w:rsid w:val="004779E4"/>
    <w:rsid w:val="00477CEB"/>
    <w:rsid w:val="00480072"/>
    <w:rsid w:val="0048038F"/>
    <w:rsid w:val="00480846"/>
    <w:rsid w:val="00480BDB"/>
    <w:rsid w:val="00482706"/>
    <w:rsid w:val="00482EFB"/>
    <w:rsid w:val="0048338D"/>
    <w:rsid w:val="004838C9"/>
    <w:rsid w:val="00483D41"/>
    <w:rsid w:val="00483D78"/>
    <w:rsid w:val="0048412A"/>
    <w:rsid w:val="00484487"/>
    <w:rsid w:val="00484E88"/>
    <w:rsid w:val="00485C9B"/>
    <w:rsid w:val="00485E13"/>
    <w:rsid w:val="004868C2"/>
    <w:rsid w:val="004878F3"/>
    <w:rsid w:val="00487E3F"/>
    <w:rsid w:val="004902FD"/>
    <w:rsid w:val="00490515"/>
    <w:rsid w:val="0049194B"/>
    <w:rsid w:val="00491ECA"/>
    <w:rsid w:val="0049290C"/>
    <w:rsid w:val="0049290D"/>
    <w:rsid w:val="00492A9A"/>
    <w:rsid w:val="0049326D"/>
    <w:rsid w:val="0049332B"/>
    <w:rsid w:val="00493C1E"/>
    <w:rsid w:val="00494860"/>
    <w:rsid w:val="00495021"/>
    <w:rsid w:val="004950FE"/>
    <w:rsid w:val="00495261"/>
    <w:rsid w:val="004957AB"/>
    <w:rsid w:val="00495ED7"/>
    <w:rsid w:val="0049607A"/>
    <w:rsid w:val="00496342"/>
    <w:rsid w:val="004964E8"/>
    <w:rsid w:val="00497218"/>
    <w:rsid w:val="004976FF"/>
    <w:rsid w:val="004A07D5"/>
    <w:rsid w:val="004A0FE2"/>
    <w:rsid w:val="004A2346"/>
    <w:rsid w:val="004A2458"/>
    <w:rsid w:val="004A29A4"/>
    <w:rsid w:val="004A309B"/>
    <w:rsid w:val="004A3EA9"/>
    <w:rsid w:val="004A42FD"/>
    <w:rsid w:val="004A50B5"/>
    <w:rsid w:val="004A5619"/>
    <w:rsid w:val="004A5AEB"/>
    <w:rsid w:val="004A61A4"/>
    <w:rsid w:val="004A68AF"/>
    <w:rsid w:val="004A6AD9"/>
    <w:rsid w:val="004A6FFE"/>
    <w:rsid w:val="004A79C2"/>
    <w:rsid w:val="004A7F98"/>
    <w:rsid w:val="004B0253"/>
    <w:rsid w:val="004B274A"/>
    <w:rsid w:val="004B2E33"/>
    <w:rsid w:val="004B306E"/>
    <w:rsid w:val="004B34F6"/>
    <w:rsid w:val="004B3D93"/>
    <w:rsid w:val="004B3DAD"/>
    <w:rsid w:val="004B4656"/>
    <w:rsid w:val="004B47FE"/>
    <w:rsid w:val="004B5282"/>
    <w:rsid w:val="004B619F"/>
    <w:rsid w:val="004B6265"/>
    <w:rsid w:val="004B6F76"/>
    <w:rsid w:val="004B730F"/>
    <w:rsid w:val="004B7C97"/>
    <w:rsid w:val="004B7FE8"/>
    <w:rsid w:val="004C07BC"/>
    <w:rsid w:val="004C12B8"/>
    <w:rsid w:val="004C1C8F"/>
    <w:rsid w:val="004C2122"/>
    <w:rsid w:val="004C221C"/>
    <w:rsid w:val="004C223D"/>
    <w:rsid w:val="004C2CA2"/>
    <w:rsid w:val="004C394D"/>
    <w:rsid w:val="004C5BE9"/>
    <w:rsid w:val="004C64F5"/>
    <w:rsid w:val="004C66F3"/>
    <w:rsid w:val="004C6C5A"/>
    <w:rsid w:val="004C6E63"/>
    <w:rsid w:val="004C71D8"/>
    <w:rsid w:val="004C7295"/>
    <w:rsid w:val="004D009B"/>
    <w:rsid w:val="004D1660"/>
    <w:rsid w:val="004D1675"/>
    <w:rsid w:val="004D1F83"/>
    <w:rsid w:val="004D26F4"/>
    <w:rsid w:val="004D2AD7"/>
    <w:rsid w:val="004D2B6C"/>
    <w:rsid w:val="004D2F96"/>
    <w:rsid w:val="004D5021"/>
    <w:rsid w:val="004D52D4"/>
    <w:rsid w:val="004D6054"/>
    <w:rsid w:val="004D61D7"/>
    <w:rsid w:val="004E0185"/>
    <w:rsid w:val="004E0831"/>
    <w:rsid w:val="004E0AD4"/>
    <w:rsid w:val="004E0D5B"/>
    <w:rsid w:val="004E13E2"/>
    <w:rsid w:val="004E172D"/>
    <w:rsid w:val="004E1DEF"/>
    <w:rsid w:val="004E5D5B"/>
    <w:rsid w:val="004E697E"/>
    <w:rsid w:val="004F00ED"/>
    <w:rsid w:val="004F12E8"/>
    <w:rsid w:val="004F1BCF"/>
    <w:rsid w:val="004F1C51"/>
    <w:rsid w:val="004F1CF7"/>
    <w:rsid w:val="004F2ABB"/>
    <w:rsid w:val="004F3219"/>
    <w:rsid w:val="004F3465"/>
    <w:rsid w:val="004F34DF"/>
    <w:rsid w:val="004F3A2D"/>
    <w:rsid w:val="004F3A99"/>
    <w:rsid w:val="004F3ADB"/>
    <w:rsid w:val="004F3CD6"/>
    <w:rsid w:val="004F4934"/>
    <w:rsid w:val="004F4B37"/>
    <w:rsid w:val="004F55BE"/>
    <w:rsid w:val="004F57C6"/>
    <w:rsid w:val="004F5F7B"/>
    <w:rsid w:val="004F75E5"/>
    <w:rsid w:val="004F77E6"/>
    <w:rsid w:val="004F7D7A"/>
    <w:rsid w:val="004F7E25"/>
    <w:rsid w:val="005009A4"/>
    <w:rsid w:val="00500A8C"/>
    <w:rsid w:val="00500EC4"/>
    <w:rsid w:val="005013C8"/>
    <w:rsid w:val="00501B22"/>
    <w:rsid w:val="00502188"/>
    <w:rsid w:val="00502658"/>
    <w:rsid w:val="00502792"/>
    <w:rsid w:val="00502EB8"/>
    <w:rsid w:val="00503575"/>
    <w:rsid w:val="00503637"/>
    <w:rsid w:val="00503675"/>
    <w:rsid w:val="00504382"/>
    <w:rsid w:val="0050488A"/>
    <w:rsid w:val="005049B4"/>
    <w:rsid w:val="005051D2"/>
    <w:rsid w:val="0050560F"/>
    <w:rsid w:val="005058B3"/>
    <w:rsid w:val="00505C76"/>
    <w:rsid w:val="00506592"/>
    <w:rsid w:val="00506883"/>
    <w:rsid w:val="00507939"/>
    <w:rsid w:val="00507C16"/>
    <w:rsid w:val="005101B6"/>
    <w:rsid w:val="0051021F"/>
    <w:rsid w:val="00510598"/>
    <w:rsid w:val="00510841"/>
    <w:rsid w:val="0051095D"/>
    <w:rsid w:val="00511DD7"/>
    <w:rsid w:val="005120C0"/>
    <w:rsid w:val="005126AC"/>
    <w:rsid w:val="005129D9"/>
    <w:rsid w:val="00513AA2"/>
    <w:rsid w:val="00513BED"/>
    <w:rsid w:val="00513FD0"/>
    <w:rsid w:val="0051492F"/>
    <w:rsid w:val="005171FE"/>
    <w:rsid w:val="00517503"/>
    <w:rsid w:val="00517604"/>
    <w:rsid w:val="00521052"/>
    <w:rsid w:val="00522A1D"/>
    <w:rsid w:val="00522B65"/>
    <w:rsid w:val="0052307D"/>
    <w:rsid w:val="005239EE"/>
    <w:rsid w:val="00523C9E"/>
    <w:rsid w:val="0052421F"/>
    <w:rsid w:val="005242AB"/>
    <w:rsid w:val="005247A6"/>
    <w:rsid w:val="00524A69"/>
    <w:rsid w:val="005253B0"/>
    <w:rsid w:val="005258E2"/>
    <w:rsid w:val="00525A3C"/>
    <w:rsid w:val="0052683E"/>
    <w:rsid w:val="0052769C"/>
    <w:rsid w:val="005305AE"/>
    <w:rsid w:val="00530839"/>
    <w:rsid w:val="00530E67"/>
    <w:rsid w:val="005319FC"/>
    <w:rsid w:val="00531B90"/>
    <w:rsid w:val="00533A6F"/>
    <w:rsid w:val="00533D93"/>
    <w:rsid w:val="00534BD8"/>
    <w:rsid w:val="00534EDE"/>
    <w:rsid w:val="005355FC"/>
    <w:rsid w:val="00535FF2"/>
    <w:rsid w:val="005375E7"/>
    <w:rsid w:val="00537AE5"/>
    <w:rsid w:val="00537BA2"/>
    <w:rsid w:val="005402B1"/>
    <w:rsid w:val="00540937"/>
    <w:rsid w:val="005416EA"/>
    <w:rsid w:val="005419F6"/>
    <w:rsid w:val="005422A8"/>
    <w:rsid w:val="0054298B"/>
    <w:rsid w:val="00542D8F"/>
    <w:rsid w:val="00543061"/>
    <w:rsid w:val="00543478"/>
    <w:rsid w:val="00544013"/>
    <w:rsid w:val="0054424E"/>
    <w:rsid w:val="00544CF0"/>
    <w:rsid w:val="00545977"/>
    <w:rsid w:val="00545CE9"/>
    <w:rsid w:val="0054608B"/>
    <w:rsid w:val="00546900"/>
    <w:rsid w:val="00547270"/>
    <w:rsid w:val="00547ADA"/>
    <w:rsid w:val="00547E77"/>
    <w:rsid w:val="00550187"/>
    <w:rsid w:val="00550C58"/>
    <w:rsid w:val="00550C5F"/>
    <w:rsid w:val="00551B5D"/>
    <w:rsid w:val="00551D7A"/>
    <w:rsid w:val="00551FF9"/>
    <w:rsid w:val="0055227E"/>
    <w:rsid w:val="005531BF"/>
    <w:rsid w:val="005548AB"/>
    <w:rsid w:val="0055590C"/>
    <w:rsid w:val="00555B5C"/>
    <w:rsid w:val="005565D5"/>
    <w:rsid w:val="00556E8B"/>
    <w:rsid w:val="005571D4"/>
    <w:rsid w:val="00557268"/>
    <w:rsid w:val="00557498"/>
    <w:rsid w:val="0055796C"/>
    <w:rsid w:val="00560165"/>
    <w:rsid w:val="005602A5"/>
    <w:rsid w:val="00560C71"/>
    <w:rsid w:val="005612F9"/>
    <w:rsid w:val="00561DD5"/>
    <w:rsid w:val="00561ECB"/>
    <w:rsid w:val="00561F12"/>
    <w:rsid w:val="00561FC8"/>
    <w:rsid w:val="00563C70"/>
    <w:rsid w:val="005647B3"/>
    <w:rsid w:val="0056496F"/>
    <w:rsid w:val="005652BF"/>
    <w:rsid w:val="0056552C"/>
    <w:rsid w:val="005659FB"/>
    <w:rsid w:val="00565A2D"/>
    <w:rsid w:val="00566023"/>
    <w:rsid w:val="005661AA"/>
    <w:rsid w:val="005662A7"/>
    <w:rsid w:val="005662E7"/>
    <w:rsid w:val="0056748D"/>
    <w:rsid w:val="0056767B"/>
    <w:rsid w:val="00567FF5"/>
    <w:rsid w:val="0057066A"/>
    <w:rsid w:val="005706FD"/>
    <w:rsid w:val="00571915"/>
    <w:rsid w:val="005719E7"/>
    <w:rsid w:val="00571FF9"/>
    <w:rsid w:val="00572E74"/>
    <w:rsid w:val="005733CE"/>
    <w:rsid w:val="00574344"/>
    <w:rsid w:val="00574B26"/>
    <w:rsid w:val="00574E5C"/>
    <w:rsid w:val="00574FEC"/>
    <w:rsid w:val="00575CB5"/>
    <w:rsid w:val="00576782"/>
    <w:rsid w:val="005773BF"/>
    <w:rsid w:val="00577694"/>
    <w:rsid w:val="0058073B"/>
    <w:rsid w:val="00580AA0"/>
    <w:rsid w:val="005823A4"/>
    <w:rsid w:val="005826CA"/>
    <w:rsid w:val="0058272D"/>
    <w:rsid w:val="00582B0B"/>
    <w:rsid w:val="00582B95"/>
    <w:rsid w:val="00582DFD"/>
    <w:rsid w:val="005832D1"/>
    <w:rsid w:val="005837F6"/>
    <w:rsid w:val="005839B1"/>
    <w:rsid w:val="00583D47"/>
    <w:rsid w:val="00583D7E"/>
    <w:rsid w:val="00584836"/>
    <w:rsid w:val="005848E9"/>
    <w:rsid w:val="00584F3C"/>
    <w:rsid w:val="005856EE"/>
    <w:rsid w:val="00585AB5"/>
    <w:rsid w:val="00585FBD"/>
    <w:rsid w:val="00586A59"/>
    <w:rsid w:val="00586FD9"/>
    <w:rsid w:val="0058737D"/>
    <w:rsid w:val="00590AF6"/>
    <w:rsid w:val="005915AE"/>
    <w:rsid w:val="00591B53"/>
    <w:rsid w:val="00591F5C"/>
    <w:rsid w:val="00592222"/>
    <w:rsid w:val="00592349"/>
    <w:rsid w:val="0059305A"/>
    <w:rsid w:val="005931F2"/>
    <w:rsid w:val="0059355F"/>
    <w:rsid w:val="00593E3D"/>
    <w:rsid w:val="005942AF"/>
    <w:rsid w:val="00594F03"/>
    <w:rsid w:val="00595E57"/>
    <w:rsid w:val="005966FC"/>
    <w:rsid w:val="005969B9"/>
    <w:rsid w:val="00597681"/>
    <w:rsid w:val="00597745"/>
    <w:rsid w:val="00597D06"/>
    <w:rsid w:val="00597D17"/>
    <w:rsid w:val="005A0B08"/>
    <w:rsid w:val="005A0DF9"/>
    <w:rsid w:val="005A1F18"/>
    <w:rsid w:val="005A20BE"/>
    <w:rsid w:val="005A2BD8"/>
    <w:rsid w:val="005A2E16"/>
    <w:rsid w:val="005A3669"/>
    <w:rsid w:val="005A6585"/>
    <w:rsid w:val="005A6DDE"/>
    <w:rsid w:val="005A7075"/>
    <w:rsid w:val="005A7632"/>
    <w:rsid w:val="005A7DA8"/>
    <w:rsid w:val="005A7DFB"/>
    <w:rsid w:val="005A7EFB"/>
    <w:rsid w:val="005B03B5"/>
    <w:rsid w:val="005B04BD"/>
    <w:rsid w:val="005B1240"/>
    <w:rsid w:val="005B19A9"/>
    <w:rsid w:val="005B270A"/>
    <w:rsid w:val="005B2A31"/>
    <w:rsid w:val="005B3514"/>
    <w:rsid w:val="005B452B"/>
    <w:rsid w:val="005B4600"/>
    <w:rsid w:val="005B53EA"/>
    <w:rsid w:val="005B5744"/>
    <w:rsid w:val="005B5D7D"/>
    <w:rsid w:val="005B62ED"/>
    <w:rsid w:val="005B6E1D"/>
    <w:rsid w:val="005B70BA"/>
    <w:rsid w:val="005B7B3C"/>
    <w:rsid w:val="005B7C0F"/>
    <w:rsid w:val="005C0FB5"/>
    <w:rsid w:val="005C250A"/>
    <w:rsid w:val="005C2637"/>
    <w:rsid w:val="005C2B02"/>
    <w:rsid w:val="005C3132"/>
    <w:rsid w:val="005C343B"/>
    <w:rsid w:val="005C393F"/>
    <w:rsid w:val="005C4FD6"/>
    <w:rsid w:val="005C53BE"/>
    <w:rsid w:val="005C5632"/>
    <w:rsid w:val="005C61B0"/>
    <w:rsid w:val="005C6361"/>
    <w:rsid w:val="005C792D"/>
    <w:rsid w:val="005C7A71"/>
    <w:rsid w:val="005C7CB1"/>
    <w:rsid w:val="005C7E33"/>
    <w:rsid w:val="005D15BB"/>
    <w:rsid w:val="005D1673"/>
    <w:rsid w:val="005D175D"/>
    <w:rsid w:val="005D1FCC"/>
    <w:rsid w:val="005D383C"/>
    <w:rsid w:val="005D4C62"/>
    <w:rsid w:val="005D4D8E"/>
    <w:rsid w:val="005D4DA4"/>
    <w:rsid w:val="005D5F2E"/>
    <w:rsid w:val="005D600C"/>
    <w:rsid w:val="005D6732"/>
    <w:rsid w:val="005D67FA"/>
    <w:rsid w:val="005D7055"/>
    <w:rsid w:val="005D7127"/>
    <w:rsid w:val="005D77B4"/>
    <w:rsid w:val="005D7CC1"/>
    <w:rsid w:val="005E0121"/>
    <w:rsid w:val="005E01F8"/>
    <w:rsid w:val="005E0410"/>
    <w:rsid w:val="005E0FDC"/>
    <w:rsid w:val="005E19C9"/>
    <w:rsid w:val="005E1ABB"/>
    <w:rsid w:val="005E234D"/>
    <w:rsid w:val="005E248B"/>
    <w:rsid w:val="005E289C"/>
    <w:rsid w:val="005E34B8"/>
    <w:rsid w:val="005E48F3"/>
    <w:rsid w:val="005E4BA3"/>
    <w:rsid w:val="005E501C"/>
    <w:rsid w:val="005E7287"/>
    <w:rsid w:val="005E75A7"/>
    <w:rsid w:val="005E7E22"/>
    <w:rsid w:val="005F00A6"/>
    <w:rsid w:val="005F02B5"/>
    <w:rsid w:val="005F08B8"/>
    <w:rsid w:val="005F19F6"/>
    <w:rsid w:val="005F1A0A"/>
    <w:rsid w:val="005F228A"/>
    <w:rsid w:val="005F25BC"/>
    <w:rsid w:val="005F2F6E"/>
    <w:rsid w:val="005F2F89"/>
    <w:rsid w:val="005F45FE"/>
    <w:rsid w:val="005F5015"/>
    <w:rsid w:val="005F518B"/>
    <w:rsid w:val="005F5559"/>
    <w:rsid w:val="005F5781"/>
    <w:rsid w:val="005F5BEF"/>
    <w:rsid w:val="005F5F2E"/>
    <w:rsid w:val="005F6011"/>
    <w:rsid w:val="005F6100"/>
    <w:rsid w:val="005F6767"/>
    <w:rsid w:val="005F6B43"/>
    <w:rsid w:val="005F72D5"/>
    <w:rsid w:val="005F759D"/>
    <w:rsid w:val="005F7CD2"/>
    <w:rsid w:val="00600035"/>
    <w:rsid w:val="00600AED"/>
    <w:rsid w:val="00601B69"/>
    <w:rsid w:val="00601E73"/>
    <w:rsid w:val="00601EB2"/>
    <w:rsid w:val="006026B6"/>
    <w:rsid w:val="006027D7"/>
    <w:rsid w:val="00604510"/>
    <w:rsid w:val="00605144"/>
    <w:rsid w:val="006051F7"/>
    <w:rsid w:val="0060550A"/>
    <w:rsid w:val="00605E98"/>
    <w:rsid w:val="00605FFB"/>
    <w:rsid w:val="0060627D"/>
    <w:rsid w:val="00606348"/>
    <w:rsid w:val="006065B0"/>
    <w:rsid w:val="00606DE9"/>
    <w:rsid w:val="006077B1"/>
    <w:rsid w:val="00610A43"/>
    <w:rsid w:val="0061165E"/>
    <w:rsid w:val="00611782"/>
    <w:rsid w:val="0061236F"/>
    <w:rsid w:val="0061293A"/>
    <w:rsid w:val="00612A53"/>
    <w:rsid w:val="00612F9E"/>
    <w:rsid w:val="0061313E"/>
    <w:rsid w:val="00613841"/>
    <w:rsid w:val="00613BD0"/>
    <w:rsid w:val="006157EC"/>
    <w:rsid w:val="00616A74"/>
    <w:rsid w:val="00616C9F"/>
    <w:rsid w:val="00616D00"/>
    <w:rsid w:val="006200FB"/>
    <w:rsid w:val="00620BF9"/>
    <w:rsid w:val="00621797"/>
    <w:rsid w:val="006217E7"/>
    <w:rsid w:val="006232EA"/>
    <w:rsid w:val="00624C86"/>
    <w:rsid w:val="00625341"/>
    <w:rsid w:val="00625A44"/>
    <w:rsid w:val="00625F46"/>
    <w:rsid w:val="00626CE2"/>
    <w:rsid w:val="0062704F"/>
    <w:rsid w:val="006301C9"/>
    <w:rsid w:val="00630229"/>
    <w:rsid w:val="00630397"/>
    <w:rsid w:val="00630A53"/>
    <w:rsid w:val="00630CA8"/>
    <w:rsid w:val="00630CE6"/>
    <w:rsid w:val="00631037"/>
    <w:rsid w:val="0063172B"/>
    <w:rsid w:val="00631E80"/>
    <w:rsid w:val="00632725"/>
    <w:rsid w:val="00632A9C"/>
    <w:rsid w:val="00632E05"/>
    <w:rsid w:val="006331B7"/>
    <w:rsid w:val="0063327C"/>
    <w:rsid w:val="00633A60"/>
    <w:rsid w:val="0063450C"/>
    <w:rsid w:val="006346D9"/>
    <w:rsid w:val="00634E63"/>
    <w:rsid w:val="00635225"/>
    <w:rsid w:val="00635C8B"/>
    <w:rsid w:val="00635FC1"/>
    <w:rsid w:val="0063691F"/>
    <w:rsid w:val="00636968"/>
    <w:rsid w:val="0063696F"/>
    <w:rsid w:val="006379FD"/>
    <w:rsid w:val="00637CF4"/>
    <w:rsid w:val="00637DF5"/>
    <w:rsid w:val="00640318"/>
    <w:rsid w:val="00640342"/>
    <w:rsid w:val="00640F5B"/>
    <w:rsid w:val="00641A85"/>
    <w:rsid w:val="006437A9"/>
    <w:rsid w:val="00643F18"/>
    <w:rsid w:val="006442B7"/>
    <w:rsid w:val="00644BFE"/>
    <w:rsid w:val="006454B4"/>
    <w:rsid w:val="00645AEE"/>
    <w:rsid w:val="00645D7E"/>
    <w:rsid w:val="0064618E"/>
    <w:rsid w:val="00646260"/>
    <w:rsid w:val="00646A54"/>
    <w:rsid w:val="006475EA"/>
    <w:rsid w:val="006503C5"/>
    <w:rsid w:val="00650C4A"/>
    <w:rsid w:val="00651183"/>
    <w:rsid w:val="00651865"/>
    <w:rsid w:val="00651A3D"/>
    <w:rsid w:val="00651DCC"/>
    <w:rsid w:val="00651E30"/>
    <w:rsid w:val="0065258D"/>
    <w:rsid w:val="00652AA0"/>
    <w:rsid w:val="00652EA9"/>
    <w:rsid w:val="006537AD"/>
    <w:rsid w:val="00653802"/>
    <w:rsid w:val="006550CB"/>
    <w:rsid w:val="00655909"/>
    <w:rsid w:val="006564DF"/>
    <w:rsid w:val="00656E94"/>
    <w:rsid w:val="00657343"/>
    <w:rsid w:val="0066257A"/>
    <w:rsid w:val="006628D6"/>
    <w:rsid w:val="00663B3C"/>
    <w:rsid w:val="00663B9A"/>
    <w:rsid w:val="00663BB1"/>
    <w:rsid w:val="006642D9"/>
    <w:rsid w:val="0066588E"/>
    <w:rsid w:val="00666383"/>
    <w:rsid w:val="006666E4"/>
    <w:rsid w:val="0066694D"/>
    <w:rsid w:val="006669FC"/>
    <w:rsid w:val="00666B23"/>
    <w:rsid w:val="00667362"/>
    <w:rsid w:val="006713F5"/>
    <w:rsid w:val="00671776"/>
    <w:rsid w:val="00671E71"/>
    <w:rsid w:val="006722E7"/>
    <w:rsid w:val="00672780"/>
    <w:rsid w:val="006738D7"/>
    <w:rsid w:val="006738EA"/>
    <w:rsid w:val="00673969"/>
    <w:rsid w:val="006740B6"/>
    <w:rsid w:val="00674278"/>
    <w:rsid w:val="00675067"/>
    <w:rsid w:val="00675490"/>
    <w:rsid w:val="00675585"/>
    <w:rsid w:val="00675C8E"/>
    <w:rsid w:val="0067614F"/>
    <w:rsid w:val="00676471"/>
    <w:rsid w:val="00676B51"/>
    <w:rsid w:val="0067720B"/>
    <w:rsid w:val="00677226"/>
    <w:rsid w:val="006803D7"/>
    <w:rsid w:val="00680735"/>
    <w:rsid w:val="006809A6"/>
    <w:rsid w:val="006814C7"/>
    <w:rsid w:val="00681A40"/>
    <w:rsid w:val="00682048"/>
    <w:rsid w:val="00682A90"/>
    <w:rsid w:val="0068329D"/>
    <w:rsid w:val="00683F31"/>
    <w:rsid w:val="00683F38"/>
    <w:rsid w:val="00684DDD"/>
    <w:rsid w:val="00685120"/>
    <w:rsid w:val="0068518A"/>
    <w:rsid w:val="00685F0F"/>
    <w:rsid w:val="00686ABD"/>
    <w:rsid w:val="0068704C"/>
    <w:rsid w:val="00687288"/>
    <w:rsid w:val="006873E7"/>
    <w:rsid w:val="006907E1"/>
    <w:rsid w:val="00690DE6"/>
    <w:rsid w:val="0069105A"/>
    <w:rsid w:val="0069225C"/>
    <w:rsid w:val="00692CDD"/>
    <w:rsid w:val="0069314F"/>
    <w:rsid w:val="0069330F"/>
    <w:rsid w:val="00694229"/>
    <w:rsid w:val="00694ED7"/>
    <w:rsid w:val="00696235"/>
    <w:rsid w:val="00696303"/>
    <w:rsid w:val="0069716A"/>
    <w:rsid w:val="006971DF"/>
    <w:rsid w:val="00697361"/>
    <w:rsid w:val="0069765D"/>
    <w:rsid w:val="0069772A"/>
    <w:rsid w:val="006979E2"/>
    <w:rsid w:val="00697B49"/>
    <w:rsid w:val="00697E96"/>
    <w:rsid w:val="00697F1E"/>
    <w:rsid w:val="006A02BF"/>
    <w:rsid w:val="006A1A83"/>
    <w:rsid w:val="006A1D36"/>
    <w:rsid w:val="006A1EE7"/>
    <w:rsid w:val="006A2ED6"/>
    <w:rsid w:val="006A3363"/>
    <w:rsid w:val="006A377F"/>
    <w:rsid w:val="006A6D8C"/>
    <w:rsid w:val="006A7E35"/>
    <w:rsid w:val="006A7F99"/>
    <w:rsid w:val="006B103B"/>
    <w:rsid w:val="006B15C9"/>
    <w:rsid w:val="006B2007"/>
    <w:rsid w:val="006B2E4C"/>
    <w:rsid w:val="006B34EF"/>
    <w:rsid w:val="006B38A7"/>
    <w:rsid w:val="006B4298"/>
    <w:rsid w:val="006B4471"/>
    <w:rsid w:val="006B4C8C"/>
    <w:rsid w:val="006B4D79"/>
    <w:rsid w:val="006B4FDD"/>
    <w:rsid w:val="006B53BF"/>
    <w:rsid w:val="006B58D7"/>
    <w:rsid w:val="006B5D41"/>
    <w:rsid w:val="006B670E"/>
    <w:rsid w:val="006B6CF8"/>
    <w:rsid w:val="006B7AC3"/>
    <w:rsid w:val="006B7B1C"/>
    <w:rsid w:val="006B7B1F"/>
    <w:rsid w:val="006B7D79"/>
    <w:rsid w:val="006B7F32"/>
    <w:rsid w:val="006C09C7"/>
    <w:rsid w:val="006C178C"/>
    <w:rsid w:val="006C1A23"/>
    <w:rsid w:val="006C1B24"/>
    <w:rsid w:val="006C20DA"/>
    <w:rsid w:val="006C26C5"/>
    <w:rsid w:val="006C27FD"/>
    <w:rsid w:val="006C3131"/>
    <w:rsid w:val="006C4A86"/>
    <w:rsid w:val="006C531D"/>
    <w:rsid w:val="006C5555"/>
    <w:rsid w:val="006C5B84"/>
    <w:rsid w:val="006C74B0"/>
    <w:rsid w:val="006C75C3"/>
    <w:rsid w:val="006C7B16"/>
    <w:rsid w:val="006C7E78"/>
    <w:rsid w:val="006D0185"/>
    <w:rsid w:val="006D0D3D"/>
    <w:rsid w:val="006D1584"/>
    <w:rsid w:val="006D15EA"/>
    <w:rsid w:val="006D19E8"/>
    <w:rsid w:val="006D1A0D"/>
    <w:rsid w:val="006D2DED"/>
    <w:rsid w:val="006D35F1"/>
    <w:rsid w:val="006D3684"/>
    <w:rsid w:val="006D3C4A"/>
    <w:rsid w:val="006D45B2"/>
    <w:rsid w:val="006D5C1C"/>
    <w:rsid w:val="006D6CC8"/>
    <w:rsid w:val="006D6DBD"/>
    <w:rsid w:val="006D7282"/>
    <w:rsid w:val="006E08BA"/>
    <w:rsid w:val="006E0900"/>
    <w:rsid w:val="006E0D54"/>
    <w:rsid w:val="006E1EEB"/>
    <w:rsid w:val="006E252B"/>
    <w:rsid w:val="006E26FF"/>
    <w:rsid w:val="006E3718"/>
    <w:rsid w:val="006E3E5B"/>
    <w:rsid w:val="006E506D"/>
    <w:rsid w:val="006E529E"/>
    <w:rsid w:val="006E535D"/>
    <w:rsid w:val="006E577C"/>
    <w:rsid w:val="006E6ABB"/>
    <w:rsid w:val="006E7F38"/>
    <w:rsid w:val="006F0791"/>
    <w:rsid w:val="006F19B0"/>
    <w:rsid w:val="006F1C99"/>
    <w:rsid w:val="006F1D48"/>
    <w:rsid w:val="006F277F"/>
    <w:rsid w:val="006F2999"/>
    <w:rsid w:val="006F2EE8"/>
    <w:rsid w:val="006F3631"/>
    <w:rsid w:val="006F367A"/>
    <w:rsid w:val="006F3754"/>
    <w:rsid w:val="006F5668"/>
    <w:rsid w:val="006F58ED"/>
    <w:rsid w:val="006F595D"/>
    <w:rsid w:val="006F5A1B"/>
    <w:rsid w:val="006F5D3C"/>
    <w:rsid w:val="006F5E22"/>
    <w:rsid w:val="006F69A9"/>
    <w:rsid w:val="006F6E9D"/>
    <w:rsid w:val="006F72C0"/>
    <w:rsid w:val="006F73ED"/>
    <w:rsid w:val="006F74B3"/>
    <w:rsid w:val="006F7A11"/>
    <w:rsid w:val="006F7DF9"/>
    <w:rsid w:val="00700ABC"/>
    <w:rsid w:val="00700D2E"/>
    <w:rsid w:val="00700DC5"/>
    <w:rsid w:val="007010F9"/>
    <w:rsid w:val="00701687"/>
    <w:rsid w:val="00702746"/>
    <w:rsid w:val="00702A40"/>
    <w:rsid w:val="00703993"/>
    <w:rsid w:val="00705589"/>
    <w:rsid w:val="00705BB1"/>
    <w:rsid w:val="00706086"/>
    <w:rsid w:val="007062F5"/>
    <w:rsid w:val="00706468"/>
    <w:rsid w:val="00706BF2"/>
    <w:rsid w:val="00706F8D"/>
    <w:rsid w:val="0070724F"/>
    <w:rsid w:val="0070783C"/>
    <w:rsid w:val="00707C0D"/>
    <w:rsid w:val="00710721"/>
    <w:rsid w:val="007110F4"/>
    <w:rsid w:val="00711CDA"/>
    <w:rsid w:val="0071217F"/>
    <w:rsid w:val="00712E22"/>
    <w:rsid w:val="00714CA5"/>
    <w:rsid w:val="00715A65"/>
    <w:rsid w:val="00716095"/>
    <w:rsid w:val="00716BFA"/>
    <w:rsid w:val="0071738A"/>
    <w:rsid w:val="00717588"/>
    <w:rsid w:val="0071770F"/>
    <w:rsid w:val="00717876"/>
    <w:rsid w:val="0072053C"/>
    <w:rsid w:val="00720607"/>
    <w:rsid w:val="007209F9"/>
    <w:rsid w:val="00720E01"/>
    <w:rsid w:val="0072109E"/>
    <w:rsid w:val="007212CD"/>
    <w:rsid w:val="0072137B"/>
    <w:rsid w:val="007213CF"/>
    <w:rsid w:val="007218E5"/>
    <w:rsid w:val="00721A05"/>
    <w:rsid w:val="00721D93"/>
    <w:rsid w:val="0072259C"/>
    <w:rsid w:val="00722682"/>
    <w:rsid w:val="007226CB"/>
    <w:rsid w:val="007228D5"/>
    <w:rsid w:val="00722D84"/>
    <w:rsid w:val="00722F47"/>
    <w:rsid w:val="00724255"/>
    <w:rsid w:val="00724667"/>
    <w:rsid w:val="00724AE9"/>
    <w:rsid w:val="00725199"/>
    <w:rsid w:val="007251BA"/>
    <w:rsid w:val="0072646B"/>
    <w:rsid w:val="007268A3"/>
    <w:rsid w:val="00726A86"/>
    <w:rsid w:val="00726FD4"/>
    <w:rsid w:val="007273DE"/>
    <w:rsid w:val="0073043F"/>
    <w:rsid w:val="00731902"/>
    <w:rsid w:val="0073213B"/>
    <w:rsid w:val="00732150"/>
    <w:rsid w:val="0073262A"/>
    <w:rsid w:val="007326C5"/>
    <w:rsid w:val="00734A31"/>
    <w:rsid w:val="00734CF7"/>
    <w:rsid w:val="00735159"/>
    <w:rsid w:val="00735EE4"/>
    <w:rsid w:val="007367DE"/>
    <w:rsid w:val="00736CE5"/>
    <w:rsid w:val="00737283"/>
    <w:rsid w:val="007375A9"/>
    <w:rsid w:val="007375EF"/>
    <w:rsid w:val="00737E07"/>
    <w:rsid w:val="00740143"/>
    <w:rsid w:val="00740591"/>
    <w:rsid w:val="00740664"/>
    <w:rsid w:val="00740F17"/>
    <w:rsid w:val="0074138F"/>
    <w:rsid w:val="00741701"/>
    <w:rsid w:val="00741A91"/>
    <w:rsid w:val="00741B64"/>
    <w:rsid w:val="00742710"/>
    <w:rsid w:val="007432CF"/>
    <w:rsid w:val="00743FCA"/>
    <w:rsid w:val="007453D3"/>
    <w:rsid w:val="00745C48"/>
    <w:rsid w:val="00746448"/>
    <w:rsid w:val="00746485"/>
    <w:rsid w:val="0074727A"/>
    <w:rsid w:val="00747441"/>
    <w:rsid w:val="00747B14"/>
    <w:rsid w:val="00747BD2"/>
    <w:rsid w:val="00747F4B"/>
    <w:rsid w:val="00747F70"/>
    <w:rsid w:val="00750A36"/>
    <w:rsid w:val="0075109E"/>
    <w:rsid w:val="00751704"/>
    <w:rsid w:val="00751DAD"/>
    <w:rsid w:val="00752684"/>
    <w:rsid w:val="007539FC"/>
    <w:rsid w:val="00753AD9"/>
    <w:rsid w:val="0075501E"/>
    <w:rsid w:val="0075513C"/>
    <w:rsid w:val="00755D54"/>
    <w:rsid w:val="00755DF4"/>
    <w:rsid w:val="00755ECF"/>
    <w:rsid w:val="0075682B"/>
    <w:rsid w:val="00756BBA"/>
    <w:rsid w:val="00756D7B"/>
    <w:rsid w:val="00756FA8"/>
    <w:rsid w:val="00757D5A"/>
    <w:rsid w:val="00760684"/>
    <w:rsid w:val="00760A5F"/>
    <w:rsid w:val="0076100C"/>
    <w:rsid w:val="00761A3D"/>
    <w:rsid w:val="00762037"/>
    <w:rsid w:val="00762281"/>
    <w:rsid w:val="0076261B"/>
    <w:rsid w:val="007632EE"/>
    <w:rsid w:val="00763B91"/>
    <w:rsid w:val="00763F43"/>
    <w:rsid w:val="00764D4E"/>
    <w:rsid w:val="007658B0"/>
    <w:rsid w:val="00765972"/>
    <w:rsid w:val="0076653E"/>
    <w:rsid w:val="00766657"/>
    <w:rsid w:val="00767447"/>
    <w:rsid w:val="00770FCE"/>
    <w:rsid w:val="00771F8D"/>
    <w:rsid w:val="00773232"/>
    <w:rsid w:val="00773270"/>
    <w:rsid w:val="00773B89"/>
    <w:rsid w:val="00774A1D"/>
    <w:rsid w:val="00774F4E"/>
    <w:rsid w:val="0077555E"/>
    <w:rsid w:val="00775E7B"/>
    <w:rsid w:val="0077613F"/>
    <w:rsid w:val="0077633F"/>
    <w:rsid w:val="00776651"/>
    <w:rsid w:val="00777688"/>
    <w:rsid w:val="00777DDD"/>
    <w:rsid w:val="00780167"/>
    <w:rsid w:val="007802F5"/>
    <w:rsid w:val="00780675"/>
    <w:rsid w:val="00780909"/>
    <w:rsid w:val="00781098"/>
    <w:rsid w:val="00781886"/>
    <w:rsid w:val="007819D7"/>
    <w:rsid w:val="00781FE7"/>
    <w:rsid w:val="0078228A"/>
    <w:rsid w:val="00782A72"/>
    <w:rsid w:val="00782C09"/>
    <w:rsid w:val="00782E8B"/>
    <w:rsid w:val="0078499C"/>
    <w:rsid w:val="00785EE0"/>
    <w:rsid w:val="007862B7"/>
    <w:rsid w:val="007863BD"/>
    <w:rsid w:val="0078640A"/>
    <w:rsid w:val="00787335"/>
    <w:rsid w:val="007873A4"/>
    <w:rsid w:val="00787AB6"/>
    <w:rsid w:val="00787F09"/>
    <w:rsid w:val="00790631"/>
    <w:rsid w:val="00790F47"/>
    <w:rsid w:val="0079114B"/>
    <w:rsid w:val="00791C51"/>
    <w:rsid w:val="0079273A"/>
    <w:rsid w:val="00792F85"/>
    <w:rsid w:val="00792F8A"/>
    <w:rsid w:val="0079322B"/>
    <w:rsid w:val="00794089"/>
    <w:rsid w:val="00794B49"/>
    <w:rsid w:val="00795AC5"/>
    <w:rsid w:val="00795B36"/>
    <w:rsid w:val="0079627F"/>
    <w:rsid w:val="00796974"/>
    <w:rsid w:val="00797594"/>
    <w:rsid w:val="0079793F"/>
    <w:rsid w:val="007A0608"/>
    <w:rsid w:val="007A0885"/>
    <w:rsid w:val="007A0AE4"/>
    <w:rsid w:val="007A10DA"/>
    <w:rsid w:val="007A2401"/>
    <w:rsid w:val="007A2B7F"/>
    <w:rsid w:val="007A3048"/>
    <w:rsid w:val="007A452C"/>
    <w:rsid w:val="007A45E9"/>
    <w:rsid w:val="007A5662"/>
    <w:rsid w:val="007A567A"/>
    <w:rsid w:val="007A5B0A"/>
    <w:rsid w:val="007A5C5D"/>
    <w:rsid w:val="007A7393"/>
    <w:rsid w:val="007A751B"/>
    <w:rsid w:val="007A774D"/>
    <w:rsid w:val="007B07FB"/>
    <w:rsid w:val="007B09BE"/>
    <w:rsid w:val="007B09E9"/>
    <w:rsid w:val="007B1126"/>
    <w:rsid w:val="007B14DA"/>
    <w:rsid w:val="007B26DE"/>
    <w:rsid w:val="007B317B"/>
    <w:rsid w:val="007B4152"/>
    <w:rsid w:val="007B5253"/>
    <w:rsid w:val="007B52E4"/>
    <w:rsid w:val="007B58DA"/>
    <w:rsid w:val="007B5D33"/>
    <w:rsid w:val="007B5F36"/>
    <w:rsid w:val="007B653E"/>
    <w:rsid w:val="007B6CE5"/>
    <w:rsid w:val="007B722F"/>
    <w:rsid w:val="007B7620"/>
    <w:rsid w:val="007B7C77"/>
    <w:rsid w:val="007B7DD3"/>
    <w:rsid w:val="007C19FA"/>
    <w:rsid w:val="007C24C6"/>
    <w:rsid w:val="007C29EB"/>
    <w:rsid w:val="007C32D8"/>
    <w:rsid w:val="007C391E"/>
    <w:rsid w:val="007C44B0"/>
    <w:rsid w:val="007C4DCA"/>
    <w:rsid w:val="007C52A2"/>
    <w:rsid w:val="007C5525"/>
    <w:rsid w:val="007C569A"/>
    <w:rsid w:val="007C59B0"/>
    <w:rsid w:val="007C5C50"/>
    <w:rsid w:val="007C5CBF"/>
    <w:rsid w:val="007C5D82"/>
    <w:rsid w:val="007C5F79"/>
    <w:rsid w:val="007C6C44"/>
    <w:rsid w:val="007C6CB4"/>
    <w:rsid w:val="007C7685"/>
    <w:rsid w:val="007C7725"/>
    <w:rsid w:val="007C775C"/>
    <w:rsid w:val="007D028C"/>
    <w:rsid w:val="007D0570"/>
    <w:rsid w:val="007D073C"/>
    <w:rsid w:val="007D11F5"/>
    <w:rsid w:val="007D1D2B"/>
    <w:rsid w:val="007D2118"/>
    <w:rsid w:val="007D3EF2"/>
    <w:rsid w:val="007D4AD4"/>
    <w:rsid w:val="007D4C34"/>
    <w:rsid w:val="007D5663"/>
    <w:rsid w:val="007D65C6"/>
    <w:rsid w:val="007D6A59"/>
    <w:rsid w:val="007D6A8B"/>
    <w:rsid w:val="007D6AA0"/>
    <w:rsid w:val="007D7043"/>
    <w:rsid w:val="007D7144"/>
    <w:rsid w:val="007D7C81"/>
    <w:rsid w:val="007D7D25"/>
    <w:rsid w:val="007E0B26"/>
    <w:rsid w:val="007E1910"/>
    <w:rsid w:val="007E1B28"/>
    <w:rsid w:val="007E2389"/>
    <w:rsid w:val="007E242B"/>
    <w:rsid w:val="007E287B"/>
    <w:rsid w:val="007E289B"/>
    <w:rsid w:val="007E3B59"/>
    <w:rsid w:val="007E4464"/>
    <w:rsid w:val="007E4A36"/>
    <w:rsid w:val="007E6018"/>
    <w:rsid w:val="007E6A4A"/>
    <w:rsid w:val="007E744C"/>
    <w:rsid w:val="007E74BA"/>
    <w:rsid w:val="007E79EB"/>
    <w:rsid w:val="007F04D8"/>
    <w:rsid w:val="007F18E8"/>
    <w:rsid w:val="007F3220"/>
    <w:rsid w:val="007F338A"/>
    <w:rsid w:val="007F4165"/>
    <w:rsid w:val="007F54E4"/>
    <w:rsid w:val="007F5D5B"/>
    <w:rsid w:val="007F5DB9"/>
    <w:rsid w:val="007F624B"/>
    <w:rsid w:val="007F6D52"/>
    <w:rsid w:val="007F72A4"/>
    <w:rsid w:val="007F7551"/>
    <w:rsid w:val="00800214"/>
    <w:rsid w:val="00800467"/>
    <w:rsid w:val="00800761"/>
    <w:rsid w:val="00800B30"/>
    <w:rsid w:val="00800F28"/>
    <w:rsid w:val="00801475"/>
    <w:rsid w:val="00801623"/>
    <w:rsid w:val="008017B6"/>
    <w:rsid w:val="008025C6"/>
    <w:rsid w:val="00802C0C"/>
    <w:rsid w:val="00802D2C"/>
    <w:rsid w:val="00802E4A"/>
    <w:rsid w:val="00803753"/>
    <w:rsid w:val="00803C3E"/>
    <w:rsid w:val="00804848"/>
    <w:rsid w:val="008048B1"/>
    <w:rsid w:val="008049D0"/>
    <w:rsid w:val="0080510E"/>
    <w:rsid w:val="0080539A"/>
    <w:rsid w:val="00805B31"/>
    <w:rsid w:val="00805F2A"/>
    <w:rsid w:val="00806E35"/>
    <w:rsid w:val="00807979"/>
    <w:rsid w:val="00807DC1"/>
    <w:rsid w:val="008106C4"/>
    <w:rsid w:val="008118AD"/>
    <w:rsid w:val="008124E8"/>
    <w:rsid w:val="008127F9"/>
    <w:rsid w:val="00812E48"/>
    <w:rsid w:val="00813D14"/>
    <w:rsid w:val="00814765"/>
    <w:rsid w:val="00815FD5"/>
    <w:rsid w:val="008164E8"/>
    <w:rsid w:val="008168AA"/>
    <w:rsid w:val="008171B5"/>
    <w:rsid w:val="00817737"/>
    <w:rsid w:val="00817F75"/>
    <w:rsid w:val="00817F8C"/>
    <w:rsid w:val="00820B3F"/>
    <w:rsid w:val="00820F3B"/>
    <w:rsid w:val="00820F64"/>
    <w:rsid w:val="00821805"/>
    <w:rsid w:val="0082200A"/>
    <w:rsid w:val="00822806"/>
    <w:rsid w:val="00824B9B"/>
    <w:rsid w:val="00824E8E"/>
    <w:rsid w:val="0082540A"/>
    <w:rsid w:val="00826628"/>
    <w:rsid w:val="008304ED"/>
    <w:rsid w:val="008315F8"/>
    <w:rsid w:val="00831C2D"/>
    <w:rsid w:val="00831FFF"/>
    <w:rsid w:val="008324B2"/>
    <w:rsid w:val="00832529"/>
    <w:rsid w:val="008327C1"/>
    <w:rsid w:val="00832E2E"/>
    <w:rsid w:val="00833364"/>
    <w:rsid w:val="008348E5"/>
    <w:rsid w:val="00835719"/>
    <w:rsid w:val="0083578B"/>
    <w:rsid w:val="00836C82"/>
    <w:rsid w:val="008377C8"/>
    <w:rsid w:val="008379D2"/>
    <w:rsid w:val="00840B20"/>
    <w:rsid w:val="00840E26"/>
    <w:rsid w:val="00841955"/>
    <w:rsid w:val="0084238D"/>
    <w:rsid w:val="008427B3"/>
    <w:rsid w:val="00842A14"/>
    <w:rsid w:val="00842B05"/>
    <w:rsid w:val="00842E38"/>
    <w:rsid w:val="008430AE"/>
    <w:rsid w:val="008435E7"/>
    <w:rsid w:val="00843E43"/>
    <w:rsid w:val="00843EB4"/>
    <w:rsid w:val="0084482F"/>
    <w:rsid w:val="00844A65"/>
    <w:rsid w:val="008451D6"/>
    <w:rsid w:val="00846842"/>
    <w:rsid w:val="008473E6"/>
    <w:rsid w:val="00851463"/>
    <w:rsid w:val="008515FF"/>
    <w:rsid w:val="00852C2A"/>
    <w:rsid w:val="00852C88"/>
    <w:rsid w:val="008533B3"/>
    <w:rsid w:val="00853447"/>
    <w:rsid w:val="0085365A"/>
    <w:rsid w:val="00853B8F"/>
    <w:rsid w:val="00853C93"/>
    <w:rsid w:val="00853F6D"/>
    <w:rsid w:val="00854841"/>
    <w:rsid w:val="00854A37"/>
    <w:rsid w:val="00854D1A"/>
    <w:rsid w:val="00855B62"/>
    <w:rsid w:val="008561CB"/>
    <w:rsid w:val="00857212"/>
    <w:rsid w:val="00857D63"/>
    <w:rsid w:val="008601BD"/>
    <w:rsid w:val="0086065A"/>
    <w:rsid w:val="00861216"/>
    <w:rsid w:val="00861C7D"/>
    <w:rsid w:val="00862906"/>
    <w:rsid w:val="00863C50"/>
    <w:rsid w:val="0086442C"/>
    <w:rsid w:val="008644C5"/>
    <w:rsid w:val="00864E03"/>
    <w:rsid w:val="00865963"/>
    <w:rsid w:val="00865BC9"/>
    <w:rsid w:val="008660CD"/>
    <w:rsid w:val="008676EC"/>
    <w:rsid w:val="008679FE"/>
    <w:rsid w:val="00870975"/>
    <w:rsid w:val="00871339"/>
    <w:rsid w:val="00871BE5"/>
    <w:rsid w:val="008728CE"/>
    <w:rsid w:val="008730D9"/>
    <w:rsid w:val="0087328F"/>
    <w:rsid w:val="00873818"/>
    <w:rsid w:val="00873F9F"/>
    <w:rsid w:val="00874729"/>
    <w:rsid w:val="0087490A"/>
    <w:rsid w:val="00874AF6"/>
    <w:rsid w:val="0087548A"/>
    <w:rsid w:val="008758CF"/>
    <w:rsid w:val="00875F78"/>
    <w:rsid w:val="00875F95"/>
    <w:rsid w:val="00876017"/>
    <w:rsid w:val="0087601C"/>
    <w:rsid w:val="00876610"/>
    <w:rsid w:val="008769D0"/>
    <w:rsid w:val="00877DAB"/>
    <w:rsid w:val="00880978"/>
    <w:rsid w:val="008812E8"/>
    <w:rsid w:val="00881574"/>
    <w:rsid w:val="008819FF"/>
    <w:rsid w:val="0088278C"/>
    <w:rsid w:val="00885E83"/>
    <w:rsid w:val="00886BAB"/>
    <w:rsid w:val="0088749D"/>
    <w:rsid w:val="008904F0"/>
    <w:rsid w:val="008905F4"/>
    <w:rsid w:val="00890853"/>
    <w:rsid w:val="00890DDB"/>
    <w:rsid w:val="008934D7"/>
    <w:rsid w:val="0089451E"/>
    <w:rsid w:val="00894873"/>
    <w:rsid w:val="008948BE"/>
    <w:rsid w:val="00894B8F"/>
    <w:rsid w:val="00896C95"/>
    <w:rsid w:val="0089704F"/>
    <w:rsid w:val="00897784"/>
    <w:rsid w:val="00897864"/>
    <w:rsid w:val="008A0314"/>
    <w:rsid w:val="008A0405"/>
    <w:rsid w:val="008A0C68"/>
    <w:rsid w:val="008A19B1"/>
    <w:rsid w:val="008A19E3"/>
    <w:rsid w:val="008A1A22"/>
    <w:rsid w:val="008A1C0C"/>
    <w:rsid w:val="008A1FF0"/>
    <w:rsid w:val="008A23B9"/>
    <w:rsid w:val="008A2B7B"/>
    <w:rsid w:val="008A30B2"/>
    <w:rsid w:val="008A3120"/>
    <w:rsid w:val="008A3414"/>
    <w:rsid w:val="008A3645"/>
    <w:rsid w:val="008A3C46"/>
    <w:rsid w:val="008A49E4"/>
    <w:rsid w:val="008A57DF"/>
    <w:rsid w:val="008A59F3"/>
    <w:rsid w:val="008A5C69"/>
    <w:rsid w:val="008A6060"/>
    <w:rsid w:val="008A6161"/>
    <w:rsid w:val="008A6238"/>
    <w:rsid w:val="008A637F"/>
    <w:rsid w:val="008A6E1D"/>
    <w:rsid w:val="008A6E78"/>
    <w:rsid w:val="008A732F"/>
    <w:rsid w:val="008A733C"/>
    <w:rsid w:val="008A73FB"/>
    <w:rsid w:val="008A77B8"/>
    <w:rsid w:val="008A7BF2"/>
    <w:rsid w:val="008A7E69"/>
    <w:rsid w:val="008B0F8C"/>
    <w:rsid w:val="008B15C9"/>
    <w:rsid w:val="008B19FD"/>
    <w:rsid w:val="008B2105"/>
    <w:rsid w:val="008B233D"/>
    <w:rsid w:val="008B26F4"/>
    <w:rsid w:val="008B2D3B"/>
    <w:rsid w:val="008B2EA9"/>
    <w:rsid w:val="008B2FC8"/>
    <w:rsid w:val="008B36FF"/>
    <w:rsid w:val="008B401B"/>
    <w:rsid w:val="008B4DCA"/>
    <w:rsid w:val="008B509B"/>
    <w:rsid w:val="008B5536"/>
    <w:rsid w:val="008B5940"/>
    <w:rsid w:val="008B5B56"/>
    <w:rsid w:val="008B65AC"/>
    <w:rsid w:val="008B684E"/>
    <w:rsid w:val="008B6F36"/>
    <w:rsid w:val="008B7458"/>
    <w:rsid w:val="008B74E6"/>
    <w:rsid w:val="008C0183"/>
    <w:rsid w:val="008C097A"/>
    <w:rsid w:val="008C0B7A"/>
    <w:rsid w:val="008C1A8B"/>
    <w:rsid w:val="008C2267"/>
    <w:rsid w:val="008C2BDB"/>
    <w:rsid w:val="008C3875"/>
    <w:rsid w:val="008C38C6"/>
    <w:rsid w:val="008C47BC"/>
    <w:rsid w:val="008C5056"/>
    <w:rsid w:val="008C50D3"/>
    <w:rsid w:val="008C53D4"/>
    <w:rsid w:val="008C5729"/>
    <w:rsid w:val="008C58D2"/>
    <w:rsid w:val="008C60F5"/>
    <w:rsid w:val="008C61F0"/>
    <w:rsid w:val="008C6FBD"/>
    <w:rsid w:val="008C7165"/>
    <w:rsid w:val="008C7F8F"/>
    <w:rsid w:val="008D0BFA"/>
    <w:rsid w:val="008D0C95"/>
    <w:rsid w:val="008D0D1A"/>
    <w:rsid w:val="008D13F8"/>
    <w:rsid w:val="008D142F"/>
    <w:rsid w:val="008D17FD"/>
    <w:rsid w:val="008D25F5"/>
    <w:rsid w:val="008D27A1"/>
    <w:rsid w:val="008D387B"/>
    <w:rsid w:val="008D502F"/>
    <w:rsid w:val="008D54AF"/>
    <w:rsid w:val="008D594E"/>
    <w:rsid w:val="008D5998"/>
    <w:rsid w:val="008D6901"/>
    <w:rsid w:val="008D7001"/>
    <w:rsid w:val="008D7C8D"/>
    <w:rsid w:val="008E00A9"/>
    <w:rsid w:val="008E0EBA"/>
    <w:rsid w:val="008E19EC"/>
    <w:rsid w:val="008E36EF"/>
    <w:rsid w:val="008E3EE7"/>
    <w:rsid w:val="008E5237"/>
    <w:rsid w:val="008E5635"/>
    <w:rsid w:val="008E57A8"/>
    <w:rsid w:val="008E65D7"/>
    <w:rsid w:val="008E728F"/>
    <w:rsid w:val="008E7853"/>
    <w:rsid w:val="008E7C34"/>
    <w:rsid w:val="008F114B"/>
    <w:rsid w:val="008F162F"/>
    <w:rsid w:val="008F1CC9"/>
    <w:rsid w:val="008F2B68"/>
    <w:rsid w:val="008F38BC"/>
    <w:rsid w:val="008F3917"/>
    <w:rsid w:val="008F49F1"/>
    <w:rsid w:val="008F4B48"/>
    <w:rsid w:val="008F50D8"/>
    <w:rsid w:val="008F56D9"/>
    <w:rsid w:val="008F5BB5"/>
    <w:rsid w:val="008F6B2F"/>
    <w:rsid w:val="008F6B56"/>
    <w:rsid w:val="009004D3"/>
    <w:rsid w:val="00900C03"/>
    <w:rsid w:val="00900E54"/>
    <w:rsid w:val="00902844"/>
    <w:rsid w:val="00902AA1"/>
    <w:rsid w:val="00903D50"/>
    <w:rsid w:val="009047D3"/>
    <w:rsid w:val="009047F9"/>
    <w:rsid w:val="00904A9B"/>
    <w:rsid w:val="00904E84"/>
    <w:rsid w:val="0090527D"/>
    <w:rsid w:val="00905460"/>
    <w:rsid w:val="009055AF"/>
    <w:rsid w:val="0090590B"/>
    <w:rsid w:val="00905BB0"/>
    <w:rsid w:val="00905DD7"/>
    <w:rsid w:val="0090623A"/>
    <w:rsid w:val="009066F6"/>
    <w:rsid w:val="00906BC8"/>
    <w:rsid w:val="00907350"/>
    <w:rsid w:val="009074F4"/>
    <w:rsid w:val="00907907"/>
    <w:rsid w:val="00907B83"/>
    <w:rsid w:val="00907E6B"/>
    <w:rsid w:val="00907E90"/>
    <w:rsid w:val="00910003"/>
    <w:rsid w:val="009108CE"/>
    <w:rsid w:val="00910E76"/>
    <w:rsid w:val="009115B3"/>
    <w:rsid w:val="009123C3"/>
    <w:rsid w:val="00912FC7"/>
    <w:rsid w:val="00913237"/>
    <w:rsid w:val="00913A89"/>
    <w:rsid w:val="00913F29"/>
    <w:rsid w:val="009143F2"/>
    <w:rsid w:val="009146B5"/>
    <w:rsid w:val="00914818"/>
    <w:rsid w:val="0091543C"/>
    <w:rsid w:val="0091550F"/>
    <w:rsid w:val="009158AE"/>
    <w:rsid w:val="00916259"/>
    <w:rsid w:val="009163CC"/>
    <w:rsid w:val="00917409"/>
    <w:rsid w:val="0091750C"/>
    <w:rsid w:val="00917594"/>
    <w:rsid w:val="00920A0C"/>
    <w:rsid w:val="009215DC"/>
    <w:rsid w:val="009216E1"/>
    <w:rsid w:val="00921E00"/>
    <w:rsid w:val="00922005"/>
    <w:rsid w:val="00922544"/>
    <w:rsid w:val="00922D70"/>
    <w:rsid w:val="009238AB"/>
    <w:rsid w:val="00923E50"/>
    <w:rsid w:val="00924BB3"/>
    <w:rsid w:val="009252E6"/>
    <w:rsid w:val="00925DC5"/>
    <w:rsid w:val="00925FDE"/>
    <w:rsid w:val="00927001"/>
    <w:rsid w:val="0092756C"/>
    <w:rsid w:val="00927DB9"/>
    <w:rsid w:val="009307B2"/>
    <w:rsid w:val="00930CE7"/>
    <w:rsid w:val="00930F8E"/>
    <w:rsid w:val="00931395"/>
    <w:rsid w:val="0093146C"/>
    <w:rsid w:val="00931EA5"/>
    <w:rsid w:val="009321C8"/>
    <w:rsid w:val="009322F3"/>
    <w:rsid w:val="00932752"/>
    <w:rsid w:val="00932DCF"/>
    <w:rsid w:val="00933AA6"/>
    <w:rsid w:val="00933E5C"/>
    <w:rsid w:val="0093473F"/>
    <w:rsid w:val="00934E3E"/>
    <w:rsid w:val="00934ED5"/>
    <w:rsid w:val="00935B06"/>
    <w:rsid w:val="00936DE1"/>
    <w:rsid w:val="00936F33"/>
    <w:rsid w:val="00937C60"/>
    <w:rsid w:val="0094003B"/>
    <w:rsid w:val="009403CE"/>
    <w:rsid w:val="00940A6F"/>
    <w:rsid w:val="00940E73"/>
    <w:rsid w:val="009413F7"/>
    <w:rsid w:val="00941717"/>
    <w:rsid w:val="009419FD"/>
    <w:rsid w:val="00942065"/>
    <w:rsid w:val="009427C4"/>
    <w:rsid w:val="009432FB"/>
    <w:rsid w:val="00943604"/>
    <w:rsid w:val="00944940"/>
    <w:rsid w:val="00944A76"/>
    <w:rsid w:val="00944D14"/>
    <w:rsid w:val="009452C6"/>
    <w:rsid w:val="00945414"/>
    <w:rsid w:val="00945460"/>
    <w:rsid w:val="00945802"/>
    <w:rsid w:val="0094674F"/>
    <w:rsid w:val="00946D2C"/>
    <w:rsid w:val="00946E48"/>
    <w:rsid w:val="00947263"/>
    <w:rsid w:val="009472B5"/>
    <w:rsid w:val="00950F0C"/>
    <w:rsid w:val="0095153D"/>
    <w:rsid w:val="00952014"/>
    <w:rsid w:val="0095225D"/>
    <w:rsid w:val="0095325D"/>
    <w:rsid w:val="00954213"/>
    <w:rsid w:val="0095451F"/>
    <w:rsid w:val="00954AA9"/>
    <w:rsid w:val="00955B3E"/>
    <w:rsid w:val="00955FF2"/>
    <w:rsid w:val="009563A4"/>
    <w:rsid w:val="009567E2"/>
    <w:rsid w:val="00957CA2"/>
    <w:rsid w:val="009604A6"/>
    <w:rsid w:val="00960C00"/>
    <w:rsid w:val="00960DEA"/>
    <w:rsid w:val="00960E4D"/>
    <w:rsid w:val="009612D8"/>
    <w:rsid w:val="0096184B"/>
    <w:rsid w:val="00963EF3"/>
    <w:rsid w:val="00963F34"/>
    <w:rsid w:val="00963F40"/>
    <w:rsid w:val="00963FC8"/>
    <w:rsid w:val="00964DC5"/>
    <w:rsid w:val="0096540C"/>
    <w:rsid w:val="009655BD"/>
    <w:rsid w:val="0096590A"/>
    <w:rsid w:val="0096592F"/>
    <w:rsid w:val="00965A5E"/>
    <w:rsid w:val="009664B7"/>
    <w:rsid w:val="0096720F"/>
    <w:rsid w:val="009723EC"/>
    <w:rsid w:val="00972FB8"/>
    <w:rsid w:val="00973D0A"/>
    <w:rsid w:val="00973E0F"/>
    <w:rsid w:val="009744F1"/>
    <w:rsid w:val="009770EE"/>
    <w:rsid w:val="0097780E"/>
    <w:rsid w:val="00977BDF"/>
    <w:rsid w:val="009803E5"/>
    <w:rsid w:val="00980EA1"/>
    <w:rsid w:val="00981A9C"/>
    <w:rsid w:val="00981DB3"/>
    <w:rsid w:val="009827E0"/>
    <w:rsid w:val="00982AA0"/>
    <w:rsid w:val="009836E1"/>
    <w:rsid w:val="00983D86"/>
    <w:rsid w:val="0098426A"/>
    <w:rsid w:val="009845B7"/>
    <w:rsid w:val="00984908"/>
    <w:rsid w:val="00986523"/>
    <w:rsid w:val="00986B8B"/>
    <w:rsid w:val="00986DBB"/>
    <w:rsid w:val="00990DEE"/>
    <w:rsid w:val="00991202"/>
    <w:rsid w:val="00992597"/>
    <w:rsid w:val="00993855"/>
    <w:rsid w:val="00993EE6"/>
    <w:rsid w:val="00993F52"/>
    <w:rsid w:val="00994493"/>
    <w:rsid w:val="009947BF"/>
    <w:rsid w:val="0099599F"/>
    <w:rsid w:val="009961AF"/>
    <w:rsid w:val="00996546"/>
    <w:rsid w:val="00996584"/>
    <w:rsid w:val="009967C7"/>
    <w:rsid w:val="00996BDB"/>
    <w:rsid w:val="00996DD3"/>
    <w:rsid w:val="009970D2"/>
    <w:rsid w:val="009A00B2"/>
    <w:rsid w:val="009A02B6"/>
    <w:rsid w:val="009A10CD"/>
    <w:rsid w:val="009A1B35"/>
    <w:rsid w:val="009A1C47"/>
    <w:rsid w:val="009A23C2"/>
    <w:rsid w:val="009A24DC"/>
    <w:rsid w:val="009A31AD"/>
    <w:rsid w:val="009A34B0"/>
    <w:rsid w:val="009A3E04"/>
    <w:rsid w:val="009A5685"/>
    <w:rsid w:val="009A6007"/>
    <w:rsid w:val="009A7A58"/>
    <w:rsid w:val="009B0465"/>
    <w:rsid w:val="009B10BC"/>
    <w:rsid w:val="009B1EFC"/>
    <w:rsid w:val="009B2003"/>
    <w:rsid w:val="009B2240"/>
    <w:rsid w:val="009B22E3"/>
    <w:rsid w:val="009B2A10"/>
    <w:rsid w:val="009B2FBF"/>
    <w:rsid w:val="009B3B8E"/>
    <w:rsid w:val="009B3B93"/>
    <w:rsid w:val="009B3C12"/>
    <w:rsid w:val="009B3E78"/>
    <w:rsid w:val="009B4177"/>
    <w:rsid w:val="009B4CEE"/>
    <w:rsid w:val="009B6528"/>
    <w:rsid w:val="009B6BFB"/>
    <w:rsid w:val="009B6E99"/>
    <w:rsid w:val="009B71BD"/>
    <w:rsid w:val="009B7AB6"/>
    <w:rsid w:val="009B7AD0"/>
    <w:rsid w:val="009C014E"/>
    <w:rsid w:val="009C04AE"/>
    <w:rsid w:val="009C0ADA"/>
    <w:rsid w:val="009C112B"/>
    <w:rsid w:val="009C12FF"/>
    <w:rsid w:val="009C1401"/>
    <w:rsid w:val="009C16FA"/>
    <w:rsid w:val="009C1738"/>
    <w:rsid w:val="009C28CE"/>
    <w:rsid w:val="009C29A5"/>
    <w:rsid w:val="009C2CC0"/>
    <w:rsid w:val="009C2D9A"/>
    <w:rsid w:val="009C34C2"/>
    <w:rsid w:val="009C3A27"/>
    <w:rsid w:val="009C4127"/>
    <w:rsid w:val="009C5109"/>
    <w:rsid w:val="009C5738"/>
    <w:rsid w:val="009C5ECC"/>
    <w:rsid w:val="009C5F7F"/>
    <w:rsid w:val="009C67B6"/>
    <w:rsid w:val="009C7476"/>
    <w:rsid w:val="009C7DBD"/>
    <w:rsid w:val="009D0BDA"/>
    <w:rsid w:val="009D0CFB"/>
    <w:rsid w:val="009D0F41"/>
    <w:rsid w:val="009D0FB3"/>
    <w:rsid w:val="009D106D"/>
    <w:rsid w:val="009D194E"/>
    <w:rsid w:val="009D1BD8"/>
    <w:rsid w:val="009D27DA"/>
    <w:rsid w:val="009D284A"/>
    <w:rsid w:val="009D2E45"/>
    <w:rsid w:val="009D32BA"/>
    <w:rsid w:val="009D3866"/>
    <w:rsid w:val="009D39C0"/>
    <w:rsid w:val="009D3A9D"/>
    <w:rsid w:val="009D3C28"/>
    <w:rsid w:val="009D559B"/>
    <w:rsid w:val="009D669B"/>
    <w:rsid w:val="009D7493"/>
    <w:rsid w:val="009D7779"/>
    <w:rsid w:val="009E01E1"/>
    <w:rsid w:val="009E197D"/>
    <w:rsid w:val="009E1D11"/>
    <w:rsid w:val="009E3016"/>
    <w:rsid w:val="009E392C"/>
    <w:rsid w:val="009E3BEE"/>
    <w:rsid w:val="009E5CC1"/>
    <w:rsid w:val="009E5D7B"/>
    <w:rsid w:val="009E62B5"/>
    <w:rsid w:val="009E6714"/>
    <w:rsid w:val="009E6AE4"/>
    <w:rsid w:val="009E70B7"/>
    <w:rsid w:val="009E7F3B"/>
    <w:rsid w:val="009F09F4"/>
    <w:rsid w:val="009F0C0F"/>
    <w:rsid w:val="009F2201"/>
    <w:rsid w:val="009F3AE3"/>
    <w:rsid w:val="009F4E26"/>
    <w:rsid w:val="009F5B13"/>
    <w:rsid w:val="009F5B78"/>
    <w:rsid w:val="009F5BF6"/>
    <w:rsid w:val="009F7B78"/>
    <w:rsid w:val="009F7F8B"/>
    <w:rsid w:val="00A009E8"/>
    <w:rsid w:val="00A00FC5"/>
    <w:rsid w:val="00A01202"/>
    <w:rsid w:val="00A01301"/>
    <w:rsid w:val="00A0155A"/>
    <w:rsid w:val="00A019E2"/>
    <w:rsid w:val="00A01DB1"/>
    <w:rsid w:val="00A01F41"/>
    <w:rsid w:val="00A02355"/>
    <w:rsid w:val="00A02723"/>
    <w:rsid w:val="00A02C6D"/>
    <w:rsid w:val="00A02DC3"/>
    <w:rsid w:val="00A03364"/>
    <w:rsid w:val="00A042B8"/>
    <w:rsid w:val="00A0453E"/>
    <w:rsid w:val="00A04577"/>
    <w:rsid w:val="00A0489E"/>
    <w:rsid w:val="00A05676"/>
    <w:rsid w:val="00A058E8"/>
    <w:rsid w:val="00A05EEC"/>
    <w:rsid w:val="00A06870"/>
    <w:rsid w:val="00A06DB7"/>
    <w:rsid w:val="00A07178"/>
    <w:rsid w:val="00A0765C"/>
    <w:rsid w:val="00A1070A"/>
    <w:rsid w:val="00A107E8"/>
    <w:rsid w:val="00A125F5"/>
    <w:rsid w:val="00A12E7D"/>
    <w:rsid w:val="00A1587D"/>
    <w:rsid w:val="00A16D3B"/>
    <w:rsid w:val="00A16D5C"/>
    <w:rsid w:val="00A178A7"/>
    <w:rsid w:val="00A179F6"/>
    <w:rsid w:val="00A200B7"/>
    <w:rsid w:val="00A200BB"/>
    <w:rsid w:val="00A20715"/>
    <w:rsid w:val="00A21750"/>
    <w:rsid w:val="00A22339"/>
    <w:rsid w:val="00A22C05"/>
    <w:rsid w:val="00A23617"/>
    <w:rsid w:val="00A25A8E"/>
    <w:rsid w:val="00A25E19"/>
    <w:rsid w:val="00A26606"/>
    <w:rsid w:val="00A279AC"/>
    <w:rsid w:val="00A27B93"/>
    <w:rsid w:val="00A30527"/>
    <w:rsid w:val="00A30ED4"/>
    <w:rsid w:val="00A3181C"/>
    <w:rsid w:val="00A318A3"/>
    <w:rsid w:val="00A31AF8"/>
    <w:rsid w:val="00A32B21"/>
    <w:rsid w:val="00A32F7B"/>
    <w:rsid w:val="00A337FF"/>
    <w:rsid w:val="00A33D1C"/>
    <w:rsid w:val="00A343A9"/>
    <w:rsid w:val="00A344CE"/>
    <w:rsid w:val="00A348BD"/>
    <w:rsid w:val="00A3499E"/>
    <w:rsid w:val="00A357CF"/>
    <w:rsid w:val="00A36D14"/>
    <w:rsid w:val="00A3700B"/>
    <w:rsid w:val="00A372B0"/>
    <w:rsid w:val="00A373C1"/>
    <w:rsid w:val="00A3765F"/>
    <w:rsid w:val="00A37998"/>
    <w:rsid w:val="00A379B8"/>
    <w:rsid w:val="00A37BA6"/>
    <w:rsid w:val="00A40976"/>
    <w:rsid w:val="00A4151D"/>
    <w:rsid w:val="00A41522"/>
    <w:rsid w:val="00A427CD"/>
    <w:rsid w:val="00A42D0D"/>
    <w:rsid w:val="00A4327B"/>
    <w:rsid w:val="00A43DF9"/>
    <w:rsid w:val="00A441B2"/>
    <w:rsid w:val="00A446D7"/>
    <w:rsid w:val="00A44DB6"/>
    <w:rsid w:val="00A44DF1"/>
    <w:rsid w:val="00A45AFD"/>
    <w:rsid w:val="00A46A0D"/>
    <w:rsid w:val="00A473A1"/>
    <w:rsid w:val="00A4773B"/>
    <w:rsid w:val="00A47806"/>
    <w:rsid w:val="00A50013"/>
    <w:rsid w:val="00A51121"/>
    <w:rsid w:val="00A51533"/>
    <w:rsid w:val="00A51895"/>
    <w:rsid w:val="00A519DE"/>
    <w:rsid w:val="00A52013"/>
    <w:rsid w:val="00A52A6F"/>
    <w:rsid w:val="00A52C56"/>
    <w:rsid w:val="00A52E63"/>
    <w:rsid w:val="00A530A3"/>
    <w:rsid w:val="00A53346"/>
    <w:rsid w:val="00A53CDC"/>
    <w:rsid w:val="00A54108"/>
    <w:rsid w:val="00A5523A"/>
    <w:rsid w:val="00A55391"/>
    <w:rsid w:val="00A5617D"/>
    <w:rsid w:val="00A564F0"/>
    <w:rsid w:val="00A5676C"/>
    <w:rsid w:val="00A572A5"/>
    <w:rsid w:val="00A600D4"/>
    <w:rsid w:val="00A60CD5"/>
    <w:rsid w:val="00A61405"/>
    <w:rsid w:val="00A61ADD"/>
    <w:rsid w:val="00A62429"/>
    <w:rsid w:val="00A62A36"/>
    <w:rsid w:val="00A62C33"/>
    <w:rsid w:val="00A639E0"/>
    <w:rsid w:val="00A643E2"/>
    <w:rsid w:val="00A65A10"/>
    <w:rsid w:val="00A65BFE"/>
    <w:rsid w:val="00A66290"/>
    <w:rsid w:val="00A663EA"/>
    <w:rsid w:val="00A678F2"/>
    <w:rsid w:val="00A67C23"/>
    <w:rsid w:val="00A67EBF"/>
    <w:rsid w:val="00A71372"/>
    <w:rsid w:val="00A71CA6"/>
    <w:rsid w:val="00A72960"/>
    <w:rsid w:val="00A73D8B"/>
    <w:rsid w:val="00A74F41"/>
    <w:rsid w:val="00A7569A"/>
    <w:rsid w:val="00A766C7"/>
    <w:rsid w:val="00A77586"/>
    <w:rsid w:val="00A77ACA"/>
    <w:rsid w:val="00A77B8A"/>
    <w:rsid w:val="00A800E3"/>
    <w:rsid w:val="00A80660"/>
    <w:rsid w:val="00A80AEF"/>
    <w:rsid w:val="00A8110E"/>
    <w:rsid w:val="00A813E8"/>
    <w:rsid w:val="00A81CDC"/>
    <w:rsid w:val="00A81E14"/>
    <w:rsid w:val="00A820FD"/>
    <w:rsid w:val="00A82254"/>
    <w:rsid w:val="00A8294C"/>
    <w:rsid w:val="00A83253"/>
    <w:rsid w:val="00A836E0"/>
    <w:rsid w:val="00A83953"/>
    <w:rsid w:val="00A83FA2"/>
    <w:rsid w:val="00A8417B"/>
    <w:rsid w:val="00A854FD"/>
    <w:rsid w:val="00A85763"/>
    <w:rsid w:val="00A858B9"/>
    <w:rsid w:val="00A8616F"/>
    <w:rsid w:val="00A864C9"/>
    <w:rsid w:val="00A86E75"/>
    <w:rsid w:val="00A87064"/>
    <w:rsid w:val="00A87487"/>
    <w:rsid w:val="00A87EA4"/>
    <w:rsid w:val="00A90AA5"/>
    <w:rsid w:val="00A90FC1"/>
    <w:rsid w:val="00A91746"/>
    <w:rsid w:val="00A917FA"/>
    <w:rsid w:val="00A91DB0"/>
    <w:rsid w:val="00A91E90"/>
    <w:rsid w:val="00A921A4"/>
    <w:rsid w:val="00A9382B"/>
    <w:rsid w:val="00A93DEA"/>
    <w:rsid w:val="00A94A63"/>
    <w:rsid w:val="00A94C47"/>
    <w:rsid w:val="00A95665"/>
    <w:rsid w:val="00A95A65"/>
    <w:rsid w:val="00A95CD2"/>
    <w:rsid w:val="00A96113"/>
    <w:rsid w:val="00A9641C"/>
    <w:rsid w:val="00A96F90"/>
    <w:rsid w:val="00A977C8"/>
    <w:rsid w:val="00AA008A"/>
    <w:rsid w:val="00AA0441"/>
    <w:rsid w:val="00AA0E1D"/>
    <w:rsid w:val="00AA0F4B"/>
    <w:rsid w:val="00AA104F"/>
    <w:rsid w:val="00AA18E2"/>
    <w:rsid w:val="00AA1D1D"/>
    <w:rsid w:val="00AA39D8"/>
    <w:rsid w:val="00AA3ACE"/>
    <w:rsid w:val="00AA4800"/>
    <w:rsid w:val="00AA53E5"/>
    <w:rsid w:val="00AA5869"/>
    <w:rsid w:val="00AA59FF"/>
    <w:rsid w:val="00AA6837"/>
    <w:rsid w:val="00AA6BF5"/>
    <w:rsid w:val="00AB0E1C"/>
    <w:rsid w:val="00AB1951"/>
    <w:rsid w:val="00AB19F5"/>
    <w:rsid w:val="00AB254B"/>
    <w:rsid w:val="00AB297C"/>
    <w:rsid w:val="00AB2B73"/>
    <w:rsid w:val="00AB2E91"/>
    <w:rsid w:val="00AB2F6A"/>
    <w:rsid w:val="00AB3367"/>
    <w:rsid w:val="00AB3457"/>
    <w:rsid w:val="00AB440D"/>
    <w:rsid w:val="00AB5288"/>
    <w:rsid w:val="00AB5568"/>
    <w:rsid w:val="00AB572D"/>
    <w:rsid w:val="00AB5D39"/>
    <w:rsid w:val="00AB62D9"/>
    <w:rsid w:val="00AB6D27"/>
    <w:rsid w:val="00AB7657"/>
    <w:rsid w:val="00AC03BE"/>
    <w:rsid w:val="00AC09E9"/>
    <w:rsid w:val="00AC0CC4"/>
    <w:rsid w:val="00AC16FC"/>
    <w:rsid w:val="00AC3CFB"/>
    <w:rsid w:val="00AC414B"/>
    <w:rsid w:val="00AC42BD"/>
    <w:rsid w:val="00AC4B65"/>
    <w:rsid w:val="00AC5133"/>
    <w:rsid w:val="00AC5151"/>
    <w:rsid w:val="00AC6793"/>
    <w:rsid w:val="00AC6E7A"/>
    <w:rsid w:val="00AC714F"/>
    <w:rsid w:val="00AC7B9B"/>
    <w:rsid w:val="00AD051F"/>
    <w:rsid w:val="00AD0599"/>
    <w:rsid w:val="00AD0C85"/>
    <w:rsid w:val="00AD0E51"/>
    <w:rsid w:val="00AD1315"/>
    <w:rsid w:val="00AD1554"/>
    <w:rsid w:val="00AD1558"/>
    <w:rsid w:val="00AD2487"/>
    <w:rsid w:val="00AD2598"/>
    <w:rsid w:val="00AD29D8"/>
    <w:rsid w:val="00AD2BB7"/>
    <w:rsid w:val="00AD4479"/>
    <w:rsid w:val="00AD47A8"/>
    <w:rsid w:val="00AD4879"/>
    <w:rsid w:val="00AD4DA9"/>
    <w:rsid w:val="00AD5425"/>
    <w:rsid w:val="00AD563E"/>
    <w:rsid w:val="00AD5B5F"/>
    <w:rsid w:val="00AD5DD7"/>
    <w:rsid w:val="00AD6A8A"/>
    <w:rsid w:val="00AD6C05"/>
    <w:rsid w:val="00AD6D0E"/>
    <w:rsid w:val="00AD6E1D"/>
    <w:rsid w:val="00AD7229"/>
    <w:rsid w:val="00AD7477"/>
    <w:rsid w:val="00AD7A8E"/>
    <w:rsid w:val="00AD7B8F"/>
    <w:rsid w:val="00AE0556"/>
    <w:rsid w:val="00AE14BE"/>
    <w:rsid w:val="00AE1EEB"/>
    <w:rsid w:val="00AE1FC0"/>
    <w:rsid w:val="00AE2010"/>
    <w:rsid w:val="00AE21D4"/>
    <w:rsid w:val="00AE29F6"/>
    <w:rsid w:val="00AE303A"/>
    <w:rsid w:val="00AE3772"/>
    <w:rsid w:val="00AE39A5"/>
    <w:rsid w:val="00AE3F39"/>
    <w:rsid w:val="00AE431E"/>
    <w:rsid w:val="00AE471D"/>
    <w:rsid w:val="00AE58FE"/>
    <w:rsid w:val="00AE6386"/>
    <w:rsid w:val="00AE7304"/>
    <w:rsid w:val="00AF01B7"/>
    <w:rsid w:val="00AF082B"/>
    <w:rsid w:val="00AF0B53"/>
    <w:rsid w:val="00AF17B9"/>
    <w:rsid w:val="00AF1BF5"/>
    <w:rsid w:val="00AF2324"/>
    <w:rsid w:val="00AF2BA0"/>
    <w:rsid w:val="00AF310A"/>
    <w:rsid w:val="00AF4CA4"/>
    <w:rsid w:val="00AF5A79"/>
    <w:rsid w:val="00AF5FB9"/>
    <w:rsid w:val="00AF6EC5"/>
    <w:rsid w:val="00AF704F"/>
    <w:rsid w:val="00AF7127"/>
    <w:rsid w:val="00AF77C4"/>
    <w:rsid w:val="00B00848"/>
    <w:rsid w:val="00B01C1A"/>
    <w:rsid w:val="00B01D6C"/>
    <w:rsid w:val="00B02894"/>
    <w:rsid w:val="00B030B6"/>
    <w:rsid w:val="00B043BA"/>
    <w:rsid w:val="00B04783"/>
    <w:rsid w:val="00B04FE9"/>
    <w:rsid w:val="00B05437"/>
    <w:rsid w:val="00B05C0F"/>
    <w:rsid w:val="00B0675F"/>
    <w:rsid w:val="00B10977"/>
    <w:rsid w:val="00B10CC8"/>
    <w:rsid w:val="00B114EE"/>
    <w:rsid w:val="00B1200C"/>
    <w:rsid w:val="00B1304D"/>
    <w:rsid w:val="00B137CA"/>
    <w:rsid w:val="00B13D0B"/>
    <w:rsid w:val="00B13E2B"/>
    <w:rsid w:val="00B1405A"/>
    <w:rsid w:val="00B142A5"/>
    <w:rsid w:val="00B14366"/>
    <w:rsid w:val="00B1466D"/>
    <w:rsid w:val="00B15337"/>
    <w:rsid w:val="00B15E30"/>
    <w:rsid w:val="00B16178"/>
    <w:rsid w:val="00B169A7"/>
    <w:rsid w:val="00B171F3"/>
    <w:rsid w:val="00B17D20"/>
    <w:rsid w:val="00B2084D"/>
    <w:rsid w:val="00B2133B"/>
    <w:rsid w:val="00B213C9"/>
    <w:rsid w:val="00B214F3"/>
    <w:rsid w:val="00B2156A"/>
    <w:rsid w:val="00B21B33"/>
    <w:rsid w:val="00B230A4"/>
    <w:rsid w:val="00B2393D"/>
    <w:rsid w:val="00B24233"/>
    <w:rsid w:val="00B24B39"/>
    <w:rsid w:val="00B25F7E"/>
    <w:rsid w:val="00B26090"/>
    <w:rsid w:val="00B26753"/>
    <w:rsid w:val="00B26B80"/>
    <w:rsid w:val="00B271B0"/>
    <w:rsid w:val="00B2733B"/>
    <w:rsid w:val="00B31A55"/>
    <w:rsid w:val="00B32190"/>
    <w:rsid w:val="00B321B8"/>
    <w:rsid w:val="00B32AF1"/>
    <w:rsid w:val="00B332D0"/>
    <w:rsid w:val="00B337FB"/>
    <w:rsid w:val="00B340D4"/>
    <w:rsid w:val="00B34B96"/>
    <w:rsid w:val="00B34BC3"/>
    <w:rsid w:val="00B36808"/>
    <w:rsid w:val="00B36C07"/>
    <w:rsid w:val="00B36F23"/>
    <w:rsid w:val="00B376E2"/>
    <w:rsid w:val="00B400BC"/>
    <w:rsid w:val="00B40D9A"/>
    <w:rsid w:val="00B41006"/>
    <w:rsid w:val="00B41101"/>
    <w:rsid w:val="00B4285D"/>
    <w:rsid w:val="00B42BD2"/>
    <w:rsid w:val="00B436EF"/>
    <w:rsid w:val="00B439D3"/>
    <w:rsid w:val="00B4459F"/>
    <w:rsid w:val="00B44B01"/>
    <w:rsid w:val="00B4715A"/>
    <w:rsid w:val="00B47446"/>
    <w:rsid w:val="00B47E2E"/>
    <w:rsid w:val="00B504D4"/>
    <w:rsid w:val="00B50E92"/>
    <w:rsid w:val="00B50FD0"/>
    <w:rsid w:val="00B51C0B"/>
    <w:rsid w:val="00B5323B"/>
    <w:rsid w:val="00B538EB"/>
    <w:rsid w:val="00B53A4C"/>
    <w:rsid w:val="00B540FB"/>
    <w:rsid w:val="00B5430A"/>
    <w:rsid w:val="00B54458"/>
    <w:rsid w:val="00B55181"/>
    <w:rsid w:val="00B552C9"/>
    <w:rsid w:val="00B5569F"/>
    <w:rsid w:val="00B5575F"/>
    <w:rsid w:val="00B5583E"/>
    <w:rsid w:val="00B57315"/>
    <w:rsid w:val="00B57806"/>
    <w:rsid w:val="00B57870"/>
    <w:rsid w:val="00B57DD8"/>
    <w:rsid w:val="00B60317"/>
    <w:rsid w:val="00B60BF1"/>
    <w:rsid w:val="00B60E7E"/>
    <w:rsid w:val="00B610D0"/>
    <w:rsid w:val="00B61921"/>
    <w:rsid w:val="00B61E63"/>
    <w:rsid w:val="00B61FFC"/>
    <w:rsid w:val="00B627A4"/>
    <w:rsid w:val="00B62E00"/>
    <w:rsid w:val="00B63B9D"/>
    <w:rsid w:val="00B647B2"/>
    <w:rsid w:val="00B6497A"/>
    <w:rsid w:val="00B64E08"/>
    <w:rsid w:val="00B65CCE"/>
    <w:rsid w:val="00B66045"/>
    <w:rsid w:val="00B667E5"/>
    <w:rsid w:val="00B66C39"/>
    <w:rsid w:val="00B67497"/>
    <w:rsid w:val="00B72161"/>
    <w:rsid w:val="00B7229B"/>
    <w:rsid w:val="00B722A4"/>
    <w:rsid w:val="00B7266D"/>
    <w:rsid w:val="00B727B5"/>
    <w:rsid w:val="00B72899"/>
    <w:rsid w:val="00B73C18"/>
    <w:rsid w:val="00B74E06"/>
    <w:rsid w:val="00B75BE2"/>
    <w:rsid w:val="00B75F96"/>
    <w:rsid w:val="00B7733F"/>
    <w:rsid w:val="00B77F94"/>
    <w:rsid w:val="00B77FF9"/>
    <w:rsid w:val="00B80C15"/>
    <w:rsid w:val="00B818FD"/>
    <w:rsid w:val="00B82178"/>
    <w:rsid w:val="00B821C1"/>
    <w:rsid w:val="00B8279A"/>
    <w:rsid w:val="00B83B76"/>
    <w:rsid w:val="00B83C07"/>
    <w:rsid w:val="00B83C1C"/>
    <w:rsid w:val="00B83E04"/>
    <w:rsid w:val="00B84AD7"/>
    <w:rsid w:val="00B8543A"/>
    <w:rsid w:val="00B861A2"/>
    <w:rsid w:val="00B863E9"/>
    <w:rsid w:val="00B8648B"/>
    <w:rsid w:val="00B86DB8"/>
    <w:rsid w:val="00B8723C"/>
    <w:rsid w:val="00B87969"/>
    <w:rsid w:val="00B879F8"/>
    <w:rsid w:val="00B9002B"/>
    <w:rsid w:val="00B90576"/>
    <w:rsid w:val="00B90797"/>
    <w:rsid w:val="00B90ACD"/>
    <w:rsid w:val="00B90B87"/>
    <w:rsid w:val="00B90B98"/>
    <w:rsid w:val="00B90FC4"/>
    <w:rsid w:val="00B91231"/>
    <w:rsid w:val="00B91727"/>
    <w:rsid w:val="00B92218"/>
    <w:rsid w:val="00B9286E"/>
    <w:rsid w:val="00B9311A"/>
    <w:rsid w:val="00B93901"/>
    <w:rsid w:val="00B94267"/>
    <w:rsid w:val="00B945E2"/>
    <w:rsid w:val="00B953D2"/>
    <w:rsid w:val="00B95567"/>
    <w:rsid w:val="00B9672A"/>
    <w:rsid w:val="00B96CF4"/>
    <w:rsid w:val="00B96FE1"/>
    <w:rsid w:val="00B97582"/>
    <w:rsid w:val="00BA03AE"/>
    <w:rsid w:val="00BA0639"/>
    <w:rsid w:val="00BA168B"/>
    <w:rsid w:val="00BA24FE"/>
    <w:rsid w:val="00BA367C"/>
    <w:rsid w:val="00BA3D9F"/>
    <w:rsid w:val="00BA49B6"/>
    <w:rsid w:val="00BA5C93"/>
    <w:rsid w:val="00BA5D57"/>
    <w:rsid w:val="00BA6D17"/>
    <w:rsid w:val="00BA7160"/>
    <w:rsid w:val="00BA7F87"/>
    <w:rsid w:val="00BB00DF"/>
    <w:rsid w:val="00BB068B"/>
    <w:rsid w:val="00BB0A59"/>
    <w:rsid w:val="00BB12B1"/>
    <w:rsid w:val="00BB15E2"/>
    <w:rsid w:val="00BB16B4"/>
    <w:rsid w:val="00BB1B7A"/>
    <w:rsid w:val="00BB399B"/>
    <w:rsid w:val="00BB3DA7"/>
    <w:rsid w:val="00BB3FFB"/>
    <w:rsid w:val="00BB4044"/>
    <w:rsid w:val="00BB43AF"/>
    <w:rsid w:val="00BB43B5"/>
    <w:rsid w:val="00BB43B6"/>
    <w:rsid w:val="00BB5255"/>
    <w:rsid w:val="00BB5361"/>
    <w:rsid w:val="00BB54EB"/>
    <w:rsid w:val="00BB552F"/>
    <w:rsid w:val="00BB5712"/>
    <w:rsid w:val="00BB62B9"/>
    <w:rsid w:val="00BB6AAF"/>
    <w:rsid w:val="00BB6F0A"/>
    <w:rsid w:val="00BB75E3"/>
    <w:rsid w:val="00BB79C7"/>
    <w:rsid w:val="00BB7DD2"/>
    <w:rsid w:val="00BB7DDE"/>
    <w:rsid w:val="00BC0397"/>
    <w:rsid w:val="00BC03D9"/>
    <w:rsid w:val="00BC0E5F"/>
    <w:rsid w:val="00BC1BF7"/>
    <w:rsid w:val="00BC27C8"/>
    <w:rsid w:val="00BC3541"/>
    <w:rsid w:val="00BC36D9"/>
    <w:rsid w:val="00BC40D3"/>
    <w:rsid w:val="00BC4CD6"/>
    <w:rsid w:val="00BC4DA3"/>
    <w:rsid w:val="00BC4E81"/>
    <w:rsid w:val="00BC50C1"/>
    <w:rsid w:val="00BC5256"/>
    <w:rsid w:val="00BC58B5"/>
    <w:rsid w:val="00BC5DE3"/>
    <w:rsid w:val="00BC6283"/>
    <w:rsid w:val="00BC650A"/>
    <w:rsid w:val="00BC6AFD"/>
    <w:rsid w:val="00BC6B11"/>
    <w:rsid w:val="00BC6C84"/>
    <w:rsid w:val="00BD03F2"/>
    <w:rsid w:val="00BD0799"/>
    <w:rsid w:val="00BD1048"/>
    <w:rsid w:val="00BD19D9"/>
    <w:rsid w:val="00BD1B8D"/>
    <w:rsid w:val="00BD2556"/>
    <w:rsid w:val="00BD2577"/>
    <w:rsid w:val="00BD27F0"/>
    <w:rsid w:val="00BD37CA"/>
    <w:rsid w:val="00BD37D8"/>
    <w:rsid w:val="00BD37F3"/>
    <w:rsid w:val="00BD3E2E"/>
    <w:rsid w:val="00BD4137"/>
    <w:rsid w:val="00BD4816"/>
    <w:rsid w:val="00BD4A90"/>
    <w:rsid w:val="00BD4AB9"/>
    <w:rsid w:val="00BD5673"/>
    <w:rsid w:val="00BD5DB7"/>
    <w:rsid w:val="00BD603A"/>
    <w:rsid w:val="00BD63DE"/>
    <w:rsid w:val="00BD6450"/>
    <w:rsid w:val="00BD64FC"/>
    <w:rsid w:val="00BD73B7"/>
    <w:rsid w:val="00BD79F8"/>
    <w:rsid w:val="00BD7B82"/>
    <w:rsid w:val="00BD7E78"/>
    <w:rsid w:val="00BE0E8E"/>
    <w:rsid w:val="00BE1287"/>
    <w:rsid w:val="00BE1E0F"/>
    <w:rsid w:val="00BE2D3C"/>
    <w:rsid w:val="00BE3D51"/>
    <w:rsid w:val="00BE4232"/>
    <w:rsid w:val="00BE5241"/>
    <w:rsid w:val="00BE58F7"/>
    <w:rsid w:val="00BE7AD4"/>
    <w:rsid w:val="00BF041A"/>
    <w:rsid w:val="00BF04E5"/>
    <w:rsid w:val="00BF0F7A"/>
    <w:rsid w:val="00BF1A67"/>
    <w:rsid w:val="00BF1BFB"/>
    <w:rsid w:val="00BF21AC"/>
    <w:rsid w:val="00BF3516"/>
    <w:rsid w:val="00BF35B6"/>
    <w:rsid w:val="00BF3845"/>
    <w:rsid w:val="00BF38DF"/>
    <w:rsid w:val="00BF428F"/>
    <w:rsid w:val="00BF58B4"/>
    <w:rsid w:val="00BF5CFE"/>
    <w:rsid w:val="00BF67D4"/>
    <w:rsid w:val="00BF688C"/>
    <w:rsid w:val="00BF7AE7"/>
    <w:rsid w:val="00BF7E00"/>
    <w:rsid w:val="00C00A91"/>
    <w:rsid w:val="00C01E8E"/>
    <w:rsid w:val="00C02017"/>
    <w:rsid w:val="00C0211D"/>
    <w:rsid w:val="00C02CED"/>
    <w:rsid w:val="00C0379A"/>
    <w:rsid w:val="00C04D26"/>
    <w:rsid w:val="00C06082"/>
    <w:rsid w:val="00C07458"/>
    <w:rsid w:val="00C07D71"/>
    <w:rsid w:val="00C111A1"/>
    <w:rsid w:val="00C1171A"/>
    <w:rsid w:val="00C11CFA"/>
    <w:rsid w:val="00C13A9D"/>
    <w:rsid w:val="00C1423E"/>
    <w:rsid w:val="00C1428F"/>
    <w:rsid w:val="00C142EC"/>
    <w:rsid w:val="00C14630"/>
    <w:rsid w:val="00C14E3C"/>
    <w:rsid w:val="00C1512C"/>
    <w:rsid w:val="00C15E5F"/>
    <w:rsid w:val="00C164B2"/>
    <w:rsid w:val="00C168F8"/>
    <w:rsid w:val="00C16C14"/>
    <w:rsid w:val="00C17489"/>
    <w:rsid w:val="00C20C15"/>
    <w:rsid w:val="00C20E3D"/>
    <w:rsid w:val="00C20E73"/>
    <w:rsid w:val="00C214D1"/>
    <w:rsid w:val="00C21E7D"/>
    <w:rsid w:val="00C220D0"/>
    <w:rsid w:val="00C221F2"/>
    <w:rsid w:val="00C22865"/>
    <w:rsid w:val="00C22C40"/>
    <w:rsid w:val="00C24483"/>
    <w:rsid w:val="00C253DC"/>
    <w:rsid w:val="00C259F9"/>
    <w:rsid w:val="00C25CE5"/>
    <w:rsid w:val="00C2679F"/>
    <w:rsid w:val="00C26997"/>
    <w:rsid w:val="00C269E3"/>
    <w:rsid w:val="00C308EA"/>
    <w:rsid w:val="00C30966"/>
    <w:rsid w:val="00C31611"/>
    <w:rsid w:val="00C31EC4"/>
    <w:rsid w:val="00C3395C"/>
    <w:rsid w:val="00C3395F"/>
    <w:rsid w:val="00C341D8"/>
    <w:rsid w:val="00C34475"/>
    <w:rsid w:val="00C352D3"/>
    <w:rsid w:val="00C35AFD"/>
    <w:rsid w:val="00C35EAE"/>
    <w:rsid w:val="00C3671D"/>
    <w:rsid w:val="00C37225"/>
    <w:rsid w:val="00C3722C"/>
    <w:rsid w:val="00C406E0"/>
    <w:rsid w:val="00C41537"/>
    <w:rsid w:val="00C424B7"/>
    <w:rsid w:val="00C42C10"/>
    <w:rsid w:val="00C43BB6"/>
    <w:rsid w:val="00C43E63"/>
    <w:rsid w:val="00C44011"/>
    <w:rsid w:val="00C446AC"/>
    <w:rsid w:val="00C45107"/>
    <w:rsid w:val="00C45502"/>
    <w:rsid w:val="00C45530"/>
    <w:rsid w:val="00C45E07"/>
    <w:rsid w:val="00C45E86"/>
    <w:rsid w:val="00C4600C"/>
    <w:rsid w:val="00C46260"/>
    <w:rsid w:val="00C46408"/>
    <w:rsid w:val="00C4656B"/>
    <w:rsid w:val="00C4687F"/>
    <w:rsid w:val="00C46AAE"/>
    <w:rsid w:val="00C47149"/>
    <w:rsid w:val="00C50668"/>
    <w:rsid w:val="00C50669"/>
    <w:rsid w:val="00C51036"/>
    <w:rsid w:val="00C53110"/>
    <w:rsid w:val="00C5340D"/>
    <w:rsid w:val="00C537E8"/>
    <w:rsid w:val="00C537ED"/>
    <w:rsid w:val="00C53C75"/>
    <w:rsid w:val="00C54D62"/>
    <w:rsid w:val="00C54FF4"/>
    <w:rsid w:val="00C5527C"/>
    <w:rsid w:val="00C55A97"/>
    <w:rsid w:val="00C55B5A"/>
    <w:rsid w:val="00C55F9E"/>
    <w:rsid w:val="00C56318"/>
    <w:rsid w:val="00C56657"/>
    <w:rsid w:val="00C56987"/>
    <w:rsid w:val="00C56B69"/>
    <w:rsid w:val="00C57197"/>
    <w:rsid w:val="00C5758E"/>
    <w:rsid w:val="00C57E8A"/>
    <w:rsid w:val="00C613A7"/>
    <w:rsid w:val="00C6143B"/>
    <w:rsid w:val="00C61D13"/>
    <w:rsid w:val="00C6285A"/>
    <w:rsid w:val="00C62AF1"/>
    <w:rsid w:val="00C632DE"/>
    <w:rsid w:val="00C64318"/>
    <w:rsid w:val="00C64670"/>
    <w:rsid w:val="00C64D92"/>
    <w:rsid w:val="00C6503E"/>
    <w:rsid w:val="00C6612B"/>
    <w:rsid w:val="00C66971"/>
    <w:rsid w:val="00C66CED"/>
    <w:rsid w:val="00C674A9"/>
    <w:rsid w:val="00C67623"/>
    <w:rsid w:val="00C70053"/>
    <w:rsid w:val="00C7074B"/>
    <w:rsid w:val="00C72471"/>
    <w:rsid w:val="00C7385D"/>
    <w:rsid w:val="00C73A79"/>
    <w:rsid w:val="00C73C51"/>
    <w:rsid w:val="00C74170"/>
    <w:rsid w:val="00C74737"/>
    <w:rsid w:val="00C74ABF"/>
    <w:rsid w:val="00C74DA3"/>
    <w:rsid w:val="00C75CA3"/>
    <w:rsid w:val="00C75EBA"/>
    <w:rsid w:val="00C76761"/>
    <w:rsid w:val="00C76D65"/>
    <w:rsid w:val="00C77A6A"/>
    <w:rsid w:val="00C77BD7"/>
    <w:rsid w:val="00C80115"/>
    <w:rsid w:val="00C8037F"/>
    <w:rsid w:val="00C807ED"/>
    <w:rsid w:val="00C80981"/>
    <w:rsid w:val="00C81B8F"/>
    <w:rsid w:val="00C83421"/>
    <w:rsid w:val="00C83642"/>
    <w:rsid w:val="00C8379B"/>
    <w:rsid w:val="00C83933"/>
    <w:rsid w:val="00C83BED"/>
    <w:rsid w:val="00C83D2E"/>
    <w:rsid w:val="00C84249"/>
    <w:rsid w:val="00C84A48"/>
    <w:rsid w:val="00C84AD3"/>
    <w:rsid w:val="00C85007"/>
    <w:rsid w:val="00C85A4D"/>
    <w:rsid w:val="00C86AFA"/>
    <w:rsid w:val="00C86D49"/>
    <w:rsid w:val="00C87211"/>
    <w:rsid w:val="00C900CC"/>
    <w:rsid w:val="00C90DF9"/>
    <w:rsid w:val="00C91C92"/>
    <w:rsid w:val="00C91DE3"/>
    <w:rsid w:val="00C92258"/>
    <w:rsid w:val="00C92A9C"/>
    <w:rsid w:val="00C93E1C"/>
    <w:rsid w:val="00C93E8C"/>
    <w:rsid w:val="00C9407E"/>
    <w:rsid w:val="00C9560A"/>
    <w:rsid w:val="00C95E26"/>
    <w:rsid w:val="00C96428"/>
    <w:rsid w:val="00C964F5"/>
    <w:rsid w:val="00C96541"/>
    <w:rsid w:val="00C96957"/>
    <w:rsid w:val="00C96B45"/>
    <w:rsid w:val="00C96BCE"/>
    <w:rsid w:val="00C96C0A"/>
    <w:rsid w:val="00CA0144"/>
    <w:rsid w:val="00CA09F5"/>
    <w:rsid w:val="00CA1DAD"/>
    <w:rsid w:val="00CA2081"/>
    <w:rsid w:val="00CA2500"/>
    <w:rsid w:val="00CA312D"/>
    <w:rsid w:val="00CA3426"/>
    <w:rsid w:val="00CA34AD"/>
    <w:rsid w:val="00CA51F8"/>
    <w:rsid w:val="00CA5E22"/>
    <w:rsid w:val="00CA6027"/>
    <w:rsid w:val="00CA75C6"/>
    <w:rsid w:val="00CA7B52"/>
    <w:rsid w:val="00CB0236"/>
    <w:rsid w:val="00CB0A23"/>
    <w:rsid w:val="00CB1455"/>
    <w:rsid w:val="00CB159F"/>
    <w:rsid w:val="00CB15C0"/>
    <w:rsid w:val="00CB16AB"/>
    <w:rsid w:val="00CB1E18"/>
    <w:rsid w:val="00CB22D4"/>
    <w:rsid w:val="00CB278A"/>
    <w:rsid w:val="00CB3A8F"/>
    <w:rsid w:val="00CB3ED0"/>
    <w:rsid w:val="00CB4768"/>
    <w:rsid w:val="00CB5CDB"/>
    <w:rsid w:val="00CB5E16"/>
    <w:rsid w:val="00CB5EF4"/>
    <w:rsid w:val="00CB615A"/>
    <w:rsid w:val="00CB7BAA"/>
    <w:rsid w:val="00CB7DF3"/>
    <w:rsid w:val="00CB7E90"/>
    <w:rsid w:val="00CB7E9B"/>
    <w:rsid w:val="00CC015F"/>
    <w:rsid w:val="00CC027D"/>
    <w:rsid w:val="00CC02F9"/>
    <w:rsid w:val="00CC0CD5"/>
    <w:rsid w:val="00CC0DD2"/>
    <w:rsid w:val="00CC107D"/>
    <w:rsid w:val="00CC1363"/>
    <w:rsid w:val="00CC1983"/>
    <w:rsid w:val="00CC3FF9"/>
    <w:rsid w:val="00CC41B5"/>
    <w:rsid w:val="00CC4FA5"/>
    <w:rsid w:val="00CC542D"/>
    <w:rsid w:val="00CC6792"/>
    <w:rsid w:val="00CC6A2D"/>
    <w:rsid w:val="00CC710C"/>
    <w:rsid w:val="00CC73D5"/>
    <w:rsid w:val="00CC751A"/>
    <w:rsid w:val="00CD0454"/>
    <w:rsid w:val="00CD04F6"/>
    <w:rsid w:val="00CD0889"/>
    <w:rsid w:val="00CD0ED4"/>
    <w:rsid w:val="00CD0FA7"/>
    <w:rsid w:val="00CD140E"/>
    <w:rsid w:val="00CD17B9"/>
    <w:rsid w:val="00CD1A73"/>
    <w:rsid w:val="00CD2499"/>
    <w:rsid w:val="00CD261E"/>
    <w:rsid w:val="00CD28B2"/>
    <w:rsid w:val="00CD2A2D"/>
    <w:rsid w:val="00CD369E"/>
    <w:rsid w:val="00CD468B"/>
    <w:rsid w:val="00CD4A0E"/>
    <w:rsid w:val="00CD5704"/>
    <w:rsid w:val="00CD6E43"/>
    <w:rsid w:val="00CD789A"/>
    <w:rsid w:val="00CD7A49"/>
    <w:rsid w:val="00CE0198"/>
    <w:rsid w:val="00CE0455"/>
    <w:rsid w:val="00CE0546"/>
    <w:rsid w:val="00CE063A"/>
    <w:rsid w:val="00CE175B"/>
    <w:rsid w:val="00CE1B03"/>
    <w:rsid w:val="00CE1E1F"/>
    <w:rsid w:val="00CE2180"/>
    <w:rsid w:val="00CE2658"/>
    <w:rsid w:val="00CE2B01"/>
    <w:rsid w:val="00CE3402"/>
    <w:rsid w:val="00CE41F5"/>
    <w:rsid w:val="00CE4533"/>
    <w:rsid w:val="00CE46FC"/>
    <w:rsid w:val="00CE48F0"/>
    <w:rsid w:val="00CE535B"/>
    <w:rsid w:val="00CE5376"/>
    <w:rsid w:val="00CE5758"/>
    <w:rsid w:val="00CE5EF8"/>
    <w:rsid w:val="00CE63C8"/>
    <w:rsid w:val="00CE76B4"/>
    <w:rsid w:val="00CE7BB9"/>
    <w:rsid w:val="00CE7D77"/>
    <w:rsid w:val="00CE7E48"/>
    <w:rsid w:val="00CF0226"/>
    <w:rsid w:val="00CF06C4"/>
    <w:rsid w:val="00CF0A61"/>
    <w:rsid w:val="00CF1200"/>
    <w:rsid w:val="00CF1EA9"/>
    <w:rsid w:val="00CF2013"/>
    <w:rsid w:val="00CF2CB3"/>
    <w:rsid w:val="00CF40A1"/>
    <w:rsid w:val="00CF519C"/>
    <w:rsid w:val="00CF5649"/>
    <w:rsid w:val="00CF59C5"/>
    <w:rsid w:val="00CF6295"/>
    <w:rsid w:val="00CF6A60"/>
    <w:rsid w:val="00CF6CCC"/>
    <w:rsid w:val="00D007D0"/>
    <w:rsid w:val="00D0081E"/>
    <w:rsid w:val="00D0162F"/>
    <w:rsid w:val="00D01651"/>
    <w:rsid w:val="00D02EA9"/>
    <w:rsid w:val="00D02F83"/>
    <w:rsid w:val="00D030F9"/>
    <w:rsid w:val="00D03679"/>
    <w:rsid w:val="00D03C37"/>
    <w:rsid w:val="00D03E56"/>
    <w:rsid w:val="00D03F8C"/>
    <w:rsid w:val="00D03FE1"/>
    <w:rsid w:val="00D041A5"/>
    <w:rsid w:val="00D041EE"/>
    <w:rsid w:val="00D04591"/>
    <w:rsid w:val="00D04948"/>
    <w:rsid w:val="00D04C6A"/>
    <w:rsid w:val="00D04DEC"/>
    <w:rsid w:val="00D069F8"/>
    <w:rsid w:val="00D07762"/>
    <w:rsid w:val="00D1020B"/>
    <w:rsid w:val="00D10219"/>
    <w:rsid w:val="00D10D12"/>
    <w:rsid w:val="00D11266"/>
    <w:rsid w:val="00D11622"/>
    <w:rsid w:val="00D11760"/>
    <w:rsid w:val="00D11AF6"/>
    <w:rsid w:val="00D11C52"/>
    <w:rsid w:val="00D12520"/>
    <w:rsid w:val="00D13531"/>
    <w:rsid w:val="00D13CA0"/>
    <w:rsid w:val="00D13E68"/>
    <w:rsid w:val="00D1416B"/>
    <w:rsid w:val="00D14651"/>
    <w:rsid w:val="00D148CA"/>
    <w:rsid w:val="00D14A28"/>
    <w:rsid w:val="00D15A37"/>
    <w:rsid w:val="00D15A9E"/>
    <w:rsid w:val="00D16753"/>
    <w:rsid w:val="00D16834"/>
    <w:rsid w:val="00D172C5"/>
    <w:rsid w:val="00D17948"/>
    <w:rsid w:val="00D17DC4"/>
    <w:rsid w:val="00D17FE3"/>
    <w:rsid w:val="00D20029"/>
    <w:rsid w:val="00D20671"/>
    <w:rsid w:val="00D20E33"/>
    <w:rsid w:val="00D21A2C"/>
    <w:rsid w:val="00D21A86"/>
    <w:rsid w:val="00D224E2"/>
    <w:rsid w:val="00D23C69"/>
    <w:rsid w:val="00D2496A"/>
    <w:rsid w:val="00D25DC1"/>
    <w:rsid w:val="00D266F6"/>
    <w:rsid w:val="00D272E2"/>
    <w:rsid w:val="00D27DBC"/>
    <w:rsid w:val="00D30324"/>
    <w:rsid w:val="00D306A0"/>
    <w:rsid w:val="00D30A06"/>
    <w:rsid w:val="00D31F16"/>
    <w:rsid w:val="00D32229"/>
    <w:rsid w:val="00D32307"/>
    <w:rsid w:val="00D32D89"/>
    <w:rsid w:val="00D33E18"/>
    <w:rsid w:val="00D3435E"/>
    <w:rsid w:val="00D345BA"/>
    <w:rsid w:val="00D34DAD"/>
    <w:rsid w:val="00D35A65"/>
    <w:rsid w:val="00D35B43"/>
    <w:rsid w:val="00D35DBD"/>
    <w:rsid w:val="00D37216"/>
    <w:rsid w:val="00D37C9D"/>
    <w:rsid w:val="00D40901"/>
    <w:rsid w:val="00D4174A"/>
    <w:rsid w:val="00D41B77"/>
    <w:rsid w:val="00D42C48"/>
    <w:rsid w:val="00D432BD"/>
    <w:rsid w:val="00D433D4"/>
    <w:rsid w:val="00D435D3"/>
    <w:rsid w:val="00D446F7"/>
    <w:rsid w:val="00D44B04"/>
    <w:rsid w:val="00D45530"/>
    <w:rsid w:val="00D45EC4"/>
    <w:rsid w:val="00D46D48"/>
    <w:rsid w:val="00D46E07"/>
    <w:rsid w:val="00D470F0"/>
    <w:rsid w:val="00D471EC"/>
    <w:rsid w:val="00D478B6"/>
    <w:rsid w:val="00D47E8C"/>
    <w:rsid w:val="00D50E5A"/>
    <w:rsid w:val="00D52195"/>
    <w:rsid w:val="00D522AF"/>
    <w:rsid w:val="00D5352E"/>
    <w:rsid w:val="00D547CA"/>
    <w:rsid w:val="00D55538"/>
    <w:rsid w:val="00D55B72"/>
    <w:rsid w:val="00D56690"/>
    <w:rsid w:val="00D56DBF"/>
    <w:rsid w:val="00D56FD5"/>
    <w:rsid w:val="00D57F20"/>
    <w:rsid w:val="00D57F8A"/>
    <w:rsid w:val="00D60DD5"/>
    <w:rsid w:val="00D61164"/>
    <w:rsid w:val="00D62948"/>
    <w:rsid w:val="00D63B98"/>
    <w:rsid w:val="00D63BFB"/>
    <w:rsid w:val="00D63C60"/>
    <w:rsid w:val="00D64416"/>
    <w:rsid w:val="00D65306"/>
    <w:rsid w:val="00D658DB"/>
    <w:rsid w:val="00D65D16"/>
    <w:rsid w:val="00D65FEB"/>
    <w:rsid w:val="00D66BD2"/>
    <w:rsid w:val="00D66FF2"/>
    <w:rsid w:val="00D67A83"/>
    <w:rsid w:val="00D67CE3"/>
    <w:rsid w:val="00D7201D"/>
    <w:rsid w:val="00D7226C"/>
    <w:rsid w:val="00D7250B"/>
    <w:rsid w:val="00D7293A"/>
    <w:rsid w:val="00D72FDA"/>
    <w:rsid w:val="00D758BF"/>
    <w:rsid w:val="00D763F5"/>
    <w:rsid w:val="00D76D5C"/>
    <w:rsid w:val="00D776F4"/>
    <w:rsid w:val="00D77CB6"/>
    <w:rsid w:val="00D77FFA"/>
    <w:rsid w:val="00D803A1"/>
    <w:rsid w:val="00D805FC"/>
    <w:rsid w:val="00D80FBA"/>
    <w:rsid w:val="00D8131D"/>
    <w:rsid w:val="00D813DB"/>
    <w:rsid w:val="00D818E3"/>
    <w:rsid w:val="00D827FD"/>
    <w:rsid w:val="00D82828"/>
    <w:rsid w:val="00D8372A"/>
    <w:rsid w:val="00D840EA"/>
    <w:rsid w:val="00D84642"/>
    <w:rsid w:val="00D84E71"/>
    <w:rsid w:val="00D8507E"/>
    <w:rsid w:val="00D8512D"/>
    <w:rsid w:val="00D85E44"/>
    <w:rsid w:val="00D860E9"/>
    <w:rsid w:val="00D86E63"/>
    <w:rsid w:val="00D8714B"/>
    <w:rsid w:val="00D872E2"/>
    <w:rsid w:val="00D901C2"/>
    <w:rsid w:val="00D90901"/>
    <w:rsid w:val="00D90930"/>
    <w:rsid w:val="00D90F77"/>
    <w:rsid w:val="00D91017"/>
    <w:rsid w:val="00D921A2"/>
    <w:rsid w:val="00D92A16"/>
    <w:rsid w:val="00D92FD3"/>
    <w:rsid w:val="00D930FB"/>
    <w:rsid w:val="00D9353C"/>
    <w:rsid w:val="00D93A74"/>
    <w:rsid w:val="00D93A79"/>
    <w:rsid w:val="00D93E38"/>
    <w:rsid w:val="00D93FD9"/>
    <w:rsid w:val="00D945D2"/>
    <w:rsid w:val="00D94B7D"/>
    <w:rsid w:val="00D95FD7"/>
    <w:rsid w:val="00D9681B"/>
    <w:rsid w:val="00D9684E"/>
    <w:rsid w:val="00D97131"/>
    <w:rsid w:val="00D97651"/>
    <w:rsid w:val="00DA0A48"/>
    <w:rsid w:val="00DA14D4"/>
    <w:rsid w:val="00DA1B8F"/>
    <w:rsid w:val="00DA1C1C"/>
    <w:rsid w:val="00DA1DE6"/>
    <w:rsid w:val="00DA21A0"/>
    <w:rsid w:val="00DA2A3A"/>
    <w:rsid w:val="00DA2A5D"/>
    <w:rsid w:val="00DA2DD8"/>
    <w:rsid w:val="00DA2EA9"/>
    <w:rsid w:val="00DA352F"/>
    <w:rsid w:val="00DA3B91"/>
    <w:rsid w:val="00DA433D"/>
    <w:rsid w:val="00DA486B"/>
    <w:rsid w:val="00DA49C7"/>
    <w:rsid w:val="00DA5054"/>
    <w:rsid w:val="00DA53A6"/>
    <w:rsid w:val="00DA662B"/>
    <w:rsid w:val="00DA68D0"/>
    <w:rsid w:val="00DA6904"/>
    <w:rsid w:val="00DB1903"/>
    <w:rsid w:val="00DB19EE"/>
    <w:rsid w:val="00DB2048"/>
    <w:rsid w:val="00DB261E"/>
    <w:rsid w:val="00DB27D9"/>
    <w:rsid w:val="00DB3488"/>
    <w:rsid w:val="00DB3550"/>
    <w:rsid w:val="00DB3F70"/>
    <w:rsid w:val="00DB4885"/>
    <w:rsid w:val="00DB48F8"/>
    <w:rsid w:val="00DB4AEE"/>
    <w:rsid w:val="00DB4E5A"/>
    <w:rsid w:val="00DB4F01"/>
    <w:rsid w:val="00DB57BF"/>
    <w:rsid w:val="00DB64A5"/>
    <w:rsid w:val="00DB6730"/>
    <w:rsid w:val="00DB69FE"/>
    <w:rsid w:val="00DB6A22"/>
    <w:rsid w:val="00DB6D23"/>
    <w:rsid w:val="00DB6D8B"/>
    <w:rsid w:val="00DB7389"/>
    <w:rsid w:val="00DC086F"/>
    <w:rsid w:val="00DC13A5"/>
    <w:rsid w:val="00DC2204"/>
    <w:rsid w:val="00DC2658"/>
    <w:rsid w:val="00DC28E4"/>
    <w:rsid w:val="00DC3C9A"/>
    <w:rsid w:val="00DC42B0"/>
    <w:rsid w:val="00DC4963"/>
    <w:rsid w:val="00DC4D3A"/>
    <w:rsid w:val="00DC4E14"/>
    <w:rsid w:val="00DC500F"/>
    <w:rsid w:val="00DC5663"/>
    <w:rsid w:val="00DC5705"/>
    <w:rsid w:val="00DC5741"/>
    <w:rsid w:val="00DC594F"/>
    <w:rsid w:val="00DC5F19"/>
    <w:rsid w:val="00DC67F8"/>
    <w:rsid w:val="00DC6D1A"/>
    <w:rsid w:val="00DC6EF3"/>
    <w:rsid w:val="00DC6F3D"/>
    <w:rsid w:val="00DC73A4"/>
    <w:rsid w:val="00DC7C42"/>
    <w:rsid w:val="00DC7F45"/>
    <w:rsid w:val="00DD08C4"/>
    <w:rsid w:val="00DD0A2E"/>
    <w:rsid w:val="00DD16D7"/>
    <w:rsid w:val="00DD1A75"/>
    <w:rsid w:val="00DD1E3F"/>
    <w:rsid w:val="00DD1F9B"/>
    <w:rsid w:val="00DD31CF"/>
    <w:rsid w:val="00DD3534"/>
    <w:rsid w:val="00DD3965"/>
    <w:rsid w:val="00DD468E"/>
    <w:rsid w:val="00DD4997"/>
    <w:rsid w:val="00DD4B4E"/>
    <w:rsid w:val="00DD5011"/>
    <w:rsid w:val="00DD51B6"/>
    <w:rsid w:val="00DD55F4"/>
    <w:rsid w:val="00DD5A4B"/>
    <w:rsid w:val="00DD5D12"/>
    <w:rsid w:val="00DD63CC"/>
    <w:rsid w:val="00DD6ABF"/>
    <w:rsid w:val="00DD70FA"/>
    <w:rsid w:val="00DD7E02"/>
    <w:rsid w:val="00DE0181"/>
    <w:rsid w:val="00DE130E"/>
    <w:rsid w:val="00DE2164"/>
    <w:rsid w:val="00DE219A"/>
    <w:rsid w:val="00DE26AA"/>
    <w:rsid w:val="00DE2722"/>
    <w:rsid w:val="00DE3194"/>
    <w:rsid w:val="00DE3DA5"/>
    <w:rsid w:val="00DE455E"/>
    <w:rsid w:val="00DE60AB"/>
    <w:rsid w:val="00DE64C0"/>
    <w:rsid w:val="00DE6B5E"/>
    <w:rsid w:val="00DE7229"/>
    <w:rsid w:val="00DE7A80"/>
    <w:rsid w:val="00DF006C"/>
    <w:rsid w:val="00DF13BC"/>
    <w:rsid w:val="00DF2564"/>
    <w:rsid w:val="00DF271D"/>
    <w:rsid w:val="00DF283F"/>
    <w:rsid w:val="00DF2BDC"/>
    <w:rsid w:val="00DF2C10"/>
    <w:rsid w:val="00DF3FE9"/>
    <w:rsid w:val="00DF402E"/>
    <w:rsid w:val="00DF40AE"/>
    <w:rsid w:val="00DF4A89"/>
    <w:rsid w:val="00DF52EA"/>
    <w:rsid w:val="00DF5709"/>
    <w:rsid w:val="00DF6081"/>
    <w:rsid w:val="00DF6207"/>
    <w:rsid w:val="00DF63AE"/>
    <w:rsid w:val="00DF71E9"/>
    <w:rsid w:val="00DF7929"/>
    <w:rsid w:val="00DF7B6E"/>
    <w:rsid w:val="00DF7C29"/>
    <w:rsid w:val="00E00E35"/>
    <w:rsid w:val="00E013FE"/>
    <w:rsid w:val="00E01575"/>
    <w:rsid w:val="00E01950"/>
    <w:rsid w:val="00E01967"/>
    <w:rsid w:val="00E019FC"/>
    <w:rsid w:val="00E02012"/>
    <w:rsid w:val="00E022E4"/>
    <w:rsid w:val="00E025BE"/>
    <w:rsid w:val="00E02A0C"/>
    <w:rsid w:val="00E02A66"/>
    <w:rsid w:val="00E030FD"/>
    <w:rsid w:val="00E03354"/>
    <w:rsid w:val="00E03610"/>
    <w:rsid w:val="00E0384C"/>
    <w:rsid w:val="00E045B8"/>
    <w:rsid w:val="00E045DF"/>
    <w:rsid w:val="00E0472B"/>
    <w:rsid w:val="00E061B8"/>
    <w:rsid w:val="00E063FE"/>
    <w:rsid w:val="00E06AC0"/>
    <w:rsid w:val="00E101C5"/>
    <w:rsid w:val="00E10F7E"/>
    <w:rsid w:val="00E111F6"/>
    <w:rsid w:val="00E12423"/>
    <w:rsid w:val="00E1299B"/>
    <w:rsid w:val="00E12D75"/>
    <w:rsid w:val="00E13E37"/>
    <w:rsid w:val="00E144C2"/>
    <w:rsid w:val="00E14710"/>
    <w:rsid w:val="00E152C6"/>
    <w:rsid w:val="00E15948"/>
    <w:rsid w:val="00E15D1E"/>
    <w:rsid w:val="00E15D23"/>
    <w:rsid w:val="00E163CE"/>
    <w:rsid w:val="00E1668D"/>
    <w:rsid w:val="00E17029"/>
    <w:rsid w:val="00E17789"/>
    <w:rsid w:val="00E17C36"/>
    <w:rsid w:val="00E2078E"/>
    <w:rsid w:val="00E21183"/>
    <w:rsid w:val="00E22428"/>
    <w:rsid w:val="00E22949"/>
    <w:rsid w:val="00E22CC4"/>
    <w:rsid w:val="00E2301B"/>
    <w:rsid w:val="00E239CC"/>
    <w:rsid w:val="00E23BD9"/>
    <w:rsid w:val="00E250BB"/>
    <w:rsid w:val="00E256A2"/>
    <w:rsid w:val="00E25744"/>
    <w:rsid w:val="00E25F15"/>
    <w:rsid w:val="00E2661F"/>
    <w:rsid w:val="00E27011"/>
    <w:rsid w:val="00E27268"/>
    <w:rsid w:val="00E27F94"/>
    <w:rsid w:val="00E30366"/>
    <w:rsid w:val="00E307F2"/>
    <w:rsid w:val="00E30E65"/>
    <w:rsid w:val="00E3228F"/>
    <w:rsid w:val="00E32CC0"/>
    <w:rsid w:val="00E33097"/>
    <w:rsid w:val="00E337D7"/>
    <w:rsid w:val="00E344C9"/>
    <w:rsid w:val="00E34B3B"/>
    <w:rsid w:val="00E35727"/>
    <w:rsid w:val="00E35E83"/>
    <w:rsid w:val="00E35F2F"/>
    <w:rsid w:val="00E3618F"/>
    <w:rsid w:val="00E36306"/>
    <w:rsid w:val="00E366AF"/>
    <w:rsid w:val="00E36AAB"/>
    <w:rsid w:val="00E36CDD"/>
    <w:rsid w:val="00E37876"/>
    <w:rsid w:val="00E37E4A"/>
    <w:rsid w:val="00E406A3"/>
    <w:rsid w:val="00E41227"/>
    <w:rsid w:val="00E42150"/>
    <w:rsid w:val="00E421BB"/>
    <w:rsid w:val="00E42324"/>
    <w:rsid w:val="00E42379"/>
    <w:rsid w:val="00E424FF"/>
    <w:rsid w:val="00E42520"/>
    <w:rsid w:val="00E4259C"/>
    <w:rsid w:val="00E42ADE"/>
    <w:rsid w:val="00E432EC"/>
    <w:rsid w:val="00E43D68"/>
    <w:rsid w:val="00E43D81"/>
    <w:rsid w:val="00E43F8A"/>
    <w:rsid w:val="00E4470C"/>
    <w:rsid w:val="00E46335"/>
    <w:rsid w:val="00E466F9"/>
    <w:rsid w:val="00E46907"/>
    <w:rsid w:val="00E47BC1"/>
    <w:rsid w:val="00E50388"/>
    <w:rsid w:val="00E509E2"/>
    <w:rsid w:val="00E50B71"/>
    <w:rsid w:val="00E50FA1"/>
    <w:rsid w:val="00E510EF"/>
    <w:rsid w:val="00E52D6C"/>
    <w:rsid w:val="00E53C46"/>
    <w:rsid w:val="00E547A2"/>
    <w:rsid w:val="00E54C9D"/>
    <w:rsid w:val="00E555B3"/>
    <w:rsid w:val="00E5584F"/>
    <w:rsid w:val="00E57FEC"/>
    <w:rsid w:val="00E60C87"/>
    <w:rsid w:val="00E60F51"/>
    <w:rsid w:val="00E6260B"/>
    <w:rsid w:val="00E62AFD"/>
    <w:rsid w:val="00E64973"/>
    <w:rsid w:val="00E66616"/>
    <w:rsid w:val="00E66B7F"/>
    <w:rsid w:val="00E67029"/>
    <w:rsid w:val="00E67511"/>
    <w:rsid w:val="00E705E5"/>
    <w:rsid w:val="00E70835"/>
    <w:rsid w:val="00E71735"/>
    <w:rsid w:val="00E71808"/>
    <w:rsid w:val="00E71898"/>
    <w:rsid w:val="00E722A1"/>
    <w:rsid w:val="00E729AC"/>
    <w:rsid w:val="00E730ED"/>
    <w:rsid w:val="00E7351E"/>
    <w:rsid w:val="00E735B6"/>
    <w:rsid w:val="00E736D2"/>
    <w:rsid w:val="00E753E3"/>
    <w:rsid w:val="00E75C3E"/>
    <w:rsid w:val="00E7684E"/>
    <w:rsid w:val="00E76BFB"/>
    <w:rsid w:val="00E76CDD"/>
    <w:rsid w:val="00E7757B"/>
    <w:rsid w:val="00E77E8F"/>
    <w:rsid w:val="00E77F16"/>
    <w:rsid w:val="00E80275"/>
    <w:rsid w:val="00E8060D"/>
    <w:rsid w:val="00E80864"/>
    <w:rsid w:val="00E811C2"/>
    <w:rsid w:val="00E815AD"/>
    <w:rsid w:val="00E83C55"/>
    <w:rsid w:val="00E840F2"/>
    <w:rsid w:val="00E8431A"/>
    <w:rsid w:val="00E853DE"/>
    <w:rsid w:val="00E85861"/>
    <w:rsid w:val="00E858B2"/>
    <w:rsid w:val="00E86258"/>
    <w:rsid w:val="00E863C5"/>
    <w:rsid w:val="00E86CD6"/>
    <w:rsid w:val="00E86F4E"/>
    <w:rsid w:val="00E86F4F"/>
    <w:rsid w:val="00E875B2"/>
    <w:rsid w:val="00E87646"/>
    <w:rsid w:val="00E87901"/>
    <w:rsid w:val="00E87B66"/>
    <w:rsid w:val="00E87EEC"/>
    <w:rsid w:val="00E90705"/>
    <w:rsid w:val="00E90C94"/>
    <w:rsid w:val="00E90D14"/>
    <w:rsid w:val="00E9147B"/>
    <w:rsid w:val="00E91621"/>
    <w:rsid w:val="00E919F5"/>
    <w:rsid w:val="00E91B20"/>
    <w:rsid w:val="00E91CCF"/>
    <w:rsid w:val="00E92711"/>
    <w:rsid w:val="00E92F17"/>
    <w:rsid w:val="00E9375E"/>
    <w:rsid w:val="00E93FFB"/>
    <w:rsid w:val="00E948B2"/>
    <w:rsid w:val="00E94C5D"/>
    <w:rsid w:val="00E94D6F"/>
    <w:rsid w:val="00E95FB3"/>
    <w:rsid w:val="00E9647A"/>
    <w:rsid w:val="00E967A8"/>
    <w:rsid w:val="00E96C80"/>
    <w:rsid w:val="00E96D68"/>
    <w:rsid w:val="00E97430"/>
    <w:rsid w:val="00E97804"/>
    <w:rsid w:val="00E97D73"/>
    <w:rsid w:val="00EA0945"/>
    <w:rsid w:val="00EA1326"/>
    <w:rsid w:val="00EA1977"/>
    <w:rsid w:val="00EA19F8"/>
    <w:rsid w:val="00EA20E1"/>
    <w:rsid w:val="00EA2749"/>
    <w:rsid w:val="00EA2A8D"/>
    <w:rsid w:val="00EA2B56"/>
    <w:rsid w:val="00EA2DB7"/>
    <w:rsid w:val="00EA30C1"/>
    <w:rsid w:val="00EA369C"/>
    <w:rsid w:val="00EA3976"/>
    <w:rsid w:val="00EA46ED"/>
    <w:rsid w:val="00EA52BB"/>
    <w:rsid w:val="00EA56E2"/>
    <w:rsid w:val="00EA5776"/>
    <w:rsid w:val="00EA5A51"/>
    <w:rsid w:val="00EA6139"/>
    <w:rsid w:val="00EA657C"/>
    <w:rsid w:val="00EA6988"/>
    <w:rsid w:val="00EA6CBE"/>
    <w:rsid w:val="00EA6FCB"/>
    <w:rsid w:val="00EA75AB"/>
    <w:rsid w:val="00EA7647"/>
    <w:rsid w:val="00EA76D3"/>
    <w:rsid w:val="00EA7DFA"/>
    <w:rsid w:val="00EB124E"/>
    <w:rsid w:val="00EB1D13"/>
    <w:rsid w:val="00EB351C"/>
    <w:rsid w:val="00EB367B"/>
    <w:rsid w:val="00EB410B"/>
    <w:rsid w:val="00EB4B27"/>
    <w:rsid w:val="00EB4EA2"/>
    <w:rsid w:val="00EB5952"/>
    <w:rsid w:val="00EB622B"/>
    <w:rsid w:val="00EB6B02"/>
    <w:rsid w:val="00EB6C99"/>
    <w:rsid w:val="00EB7100"/>
    <w:rsid w:val="00EB7235"/>
    <w:rsid w:val="00EB731F"/>
    <w:rsid w:val="00EC0160"/>
    <w:rsid w:val="00EC17B8"/>
    <w:rsid w:val="00EC1FDC"/>
    <w:rsid w:val="00EC205D"/>
    <w:rsid w:val="00EC4328"/>
    <w:rsid w:val="00EC4419"/>
    <w:rsid w:val="00EC4B29"/>
    <w:rsid w:val="00EC535E"/>
    <w:rsid w:val="00EC5765"/>
    <w:rsid w:val="00EC649A"/>
    <w:rsid w:val="00EC665F"/>
    <w:rsid w:val="00EC6B07"/>
    <w:rsid w:val="00EC6FEE"/>
    <w:rsid w:val="00ED01A9"/>
    <w:rsid w:val="00ED0530"/>
    <w:rsid w:val="00ED05AA"/>
    <w:rsid w:val="00ED0CF2"/>
    <w:rsid w:val="00ED1601"/>
    <w:rsid w:val="00ED164A"/>
    <w:rsid w:val="00ED1FD5"/>
    <w:rsid w:val="00ED2BEA"/>
    <w:rsid w:val="00ED2D1E"/>
    <w:rsid w:val="00ED33D6"/>
    <w:rsid w:val="00ED3703"/>
    <w:rsid w:val="00ED383C"/>
    <w:rsid w:val="00ED3F19"/>
    <w:rsid w:val="00ED43B7"/>
    <w:rsid w:val="00ED4499"/>
    <w:rsid w:val="00ED4A3F"/>
    <w:rsid w:val="00ED4ED7"/>
    <w:rsid w:val="00ED57F8"/>
    <w:rsid w:val="00ED65DF"/>
    <w:rsid w:val="00ED6708"/>
    <w:rsid w:val="00ED6AAD"/>
    <w:rsid w:val="00EE0815"/>
    <w:rsid w:val="00EE0C6B"/>
    <w:rsid w:val="00EE0CAA"/>
    <w:rsid w:val="00EE11FE"/>
    <w:rsid w:val="00EE133B"/>
    <w:rsid w:val="00EE1B4B"/>
    <w:rsid w:val="00EE1EF7"/>
    <w:rsid w:val="00EE28C1"/>
    <w:rsid w:val="00EE38C5"/>
    <w:rsid w:val="00EE3C9A"/>
    <w:rsid w:val="00EE42A8"/>
    <w:rsid w:val="00EE42C9"/>
    <w:rsid w:val="00EE46BF"/>
    <w:rsid w:val="00EE57C3"/>
    <w:rsid w:val="00EE587A"/>
    <w:rsid w:val="00EE58D6"/>
    <w:rsid w:val="00EE600F"/>
    <w:rsid w:val="00EE645A"/>
    <w:rsid w:val="00EE7906"/>
    <w:rsid w:val="00EF07E3"/>
    <w:rsid w:val="00EF0CB1"/>
    <w:rsid w:val="00EF1055"/>
    <w:rsid w:val="00EF199C"/>
    <w:rsid w:val="00EF2DA4"/>
    <w:rsid w:val="00EF2E7B"/>
    <w:rsid w:val="00EF31E8"/>
    <w:rsid w:val="00EF32CA"/>
    <w:rsid w:val="00EF3436"/>
    <w:rsid w:val="00EF35FC"/>
    <w:rsid w:val="00EF4138"/>
    <w:rsid w:val="00EF41CE"/>
    <w:rsid w:val="00EF4EE3"/>
    <w:rsid w:val="00EF6003"/>
    <w:rsid w:val="00EF65C8"/>
    <w:rsid w:val="00EF6680"/>
    <w:rsid w:val="00EF72DB"/>
    <w:rsid w:val="00EF798F"/>
    <w:rsid w:val="00EF7E76"/>
    <w:rsid w:val="00F005DF"/>
    <w:rsid w:val="00F00D08"/>
    <w:rsid w:val="00F01441"/>
    <w:rsid w:val="00F01646"/>
    <w:rsid w:val="00F0188F"/>
    <w:rsid w:val="00F019C2"/>
    <w:rsid w:val="00F024DB"/>
    <w:rsid w:val="00F025ED"/>
    <w:rsid w:val="00F02A82"/>
    <w:rsid w:val="00F02C7F"/>
    <w:rsid w:val="00F02D75"/>
    <w:rsid w:val="00F02FA8"/>
    <w:rsid w:val="00F037A3"/>
    <w:rsid w:val="00F03AEB"/>
    <w:rsid w:val="00F043EA"/>
    <w:rsid w:val="00F049B7"/>
    <w:rsid w:val="00F04ACD"/>
    <w:rsid w:val="00F04F83"/>
    <w:rsid w:val="00F0525C"/>
    <w:rsid w:val="00F054BD"/>
    <w:rsid w:val="00F06F77"/>
    <w:rsid w:val="00F0722D"/>
    <w:rsid w:val="00F0759F"/>
    <w:rsid w:val="00F07F19"/>
    <w:rsid w:val="00F07F70"/>
    <w:rsid w:val="00F106B8"/>
    <w:rsid w:val="00F107DF"/>
    <w:rsid w:val="00F10C38"/>
    <w:rsid w:val="00F1157B"/>
    <w:rsid w:val="00F13041"/>
    <w:rsid w:val="00F1317C"/>
    <w:rsid w:val="00F13788"/>
    <w:rsid w:val="00F13D35"/>
    <w:rsid w:val="00F13F3C"/>
    <w:rsid w:val="00F15090"/>
    <w:rsid w:val="00F15453"/>
    <w:rsid w:val="00F16DD6"/>
    <w:rsid w:val="00F20FE8"/>
    <w:rsid w:val="00F22137"/>
    <w:rsid w:val="00F22A00"/>
    <w:rsid w:val="00F22EE0"/>
    <w:rsid w:val="00F2397F"/>
    <w:rsid w:val="00F240CE"/>
    <w:rsid w:val="00F2454C"/>
    <w:rsid w:val="00F24EDA"/>
    <w:rsid w:val="00F24FF2"/>
    <w:rsid w:val="00F25499"/>
    <w:rsid w:val="00F2566B"/>
    <w:rsid w:val="00F25E47"/>
    <w:rsid w:val="00F26B57"/>
    <w:rsid w:val="00F27234"/>
    <w:rsid w:val="00F2763F"/>
    <w:rsid w:val="00F27680"/>
    <w:rsid w:val="00F30167"/>
    <w:rsid w:val="00F30204"/>
    <w:rsid w:val="00F3049E"/>
    <w:rsid w:val="00F3129D"/>
    <w:rsid w:val="00F3203A"/>
    <w:rsid w:val="00F325C9"/>
    <w:rsid w:val="00F3291F"/>
    <w:rsid w:val="00F329CE"/>
    <w:rsid w:val="00F33DFB"/>
    <w:rsid w:val="00F346D9"/>
    <w:rsid w:val="00F3470E"/>
    <w:rsid w:val="00F34788"/>
    <w:rsid w:val="00F34AFC"/>
    <w:rsid w:val="00F34FDB"/>
    <w:rsid w:val="00F35187"/>
    <w:rsid w:val="00F353AE"/>
    <w:rsid w:val="00F353EF"/>
    <w:rsid w:val="00F35694"/>
    <w:rsid w:val="00F35D54"/>
    <w:rsid w:val="00F363DC"/>
    <w:rsid w:val="00F36D6B"/>
    <w:rsid w:val="00F37205"/>
    <w:rsid w:val="00F37BAA"/>
    <w:rsid w:val="00F37E96"/>
    <w:rsid w:val="00F400C3"/>
    <w:rsid w:val="00F40419"/>
    <w:rsid w:val="00F41511"/>
    <w:rsid w:val="00F419B7"/>
    <w:rsid w:val="00F41C59"/>
    <w:rsid w:val="00F41E6E"/>
    <w:rsid w:val="00F42456"/>
    <w:rsid w:val="00F42531"/>
    <w:rsid w:val="00F44918"/>
    <w:rsid w:val="00F4497E"/>
    <w:rsid w:val="00F45216"/>
    <w:rsid w:val="00F45517"/>
    <w:rsid w:val="00F47197"/>
    <w:rsid w:val="00F507A7"/>
    <w:rsid w:val="00F511E4"/>
    <w:rsid w:val="00F5250F"/>
    <w:rsid w:val="00F52548"/>
    <w:rsid w:val="00F532EE"/>
    <w:rsid w:val="00F5386E"/>
    <w:rsid w:val="00F53A07"/>
    <w:rsid w:val="00F53E27"/>
    <w:rsid w:val="00F54F17"/>
    <w:rsid w:val="00F55AF2"/>
    <w:rsid w:val="00F5629D"/>
    <w:rsid w:val="00F56D65"/>
    <w:rsid w:val="00F56DC2"/>
    <w:rsid w:val="00F57766"/>
    <w:rsid w:val="00F5787C"/>
    <w:rsid w:val="00F601A3"/>
    <w:rsid w:val="00F6029E"/>
    <w:rsid w:val="00F60D0A"/>
    <w:rsid w:val="00F60F45"/>
    <w:rsid w:val="00F618A5"/>
    <w:rsid w:val="00F61C30"/>
    <w:rsid w:val="00F62664"/>
    <w:rsid w:val="00F63AD4"/>
    <w:rsid w:val="00F63EF5"/>
    <w:rsid w:val="00F643FA"/>
    <w:rsid w:val="00F65062"/>
    <w:rsid w:val="00F65847"/>
    <w:rsid w:val="00F65DDA"/>
    <w:rsid w:val="00F665D6"/>
    <w:rsid w:val="00F67E04"/>
    <w:rsid w:val="00F67F0D"/>
    <w:rsid w:val="00F70098"/>
    <w:rsid w:val="00F703A8"/>
    <w:rsid w:val="00F710B2"/>
    <w:rsid w:val="00F710BD"/>
    <w:rsid w:val="00F71A8A"/>
    <w:rsid w:val="00F728EF"/>
    <w:rsid w:val="00F72EA7"/>
    <w:rsid w:val="00F73617"/>
    <w:rsid w:val="00F736D4"/>
    <w:rsid w:val="00F74C25"/>
    <w:rsid w:val="00F74F6C"/>
    <w:rsid w:val="00F75765"/>
    <w:rsid w:val="00F77245"/>
    <w:rsid w:val="00F77445"/>
    <w:rsid w:val="00F77762"/>
    <w:rsid w:val="00F7798E"/>
    <w:rsid w:val="00F77EEA"/>
    <w:rsid w:val="00F80274"/>
    <w:rsid w:val="00F80612"/>
    <w:rsid w:val="00F80891"/>
    <w:rsid w:val="00F808E2"/>
    <w:rsid w:val="00F81587"/>
    <w:rsid w:val="00F81830"/>
    <w:rsid w:val="00F81A52"/>
    <w:rsid w:val="00F81E68"/>
    <w:rsid w:val="00F82E2D"/>
    <w:rsid w:val="00F82E84"/>
    <w:rsid w:val="00F83710"/>
    <w:rsid w:val="00F838DE"/>
    <w:rsid w:val="00F83D00"/>
    <w:rsid w:val="00F83FC0"/>
    <w:rsid w:val="00F8407F"/>
    <w:rsid w:val="00F85ABB"/>
    <w:rsid w:val="00F85AE5"/>
    <w:rsid w:val="00F85B8E"/>
    <w:rsid w:val="00F86004"/>
    <w:rsid w:val="00F861AF"/>
    <w:rsid w:val="00F86266"/>
    <w:rsid w:val="00F8670A"/>
    <w:rsid w:val="00F86F1B"/>
    <w:rsid w:val="00F86FBB"/>
    <w:rsid w:val="00F87D2B"/>
    <w:rsid w:val="00F87D3A"/>
    <w:rsid w:val="00F90C3E"/>
    <w:rsid w:val="00F91827"/>
    <w:rsid w:val="00F92209"/>
    <w:rsid w:val="00F92A26"/>
    <w:rsid w:val="00F92C1E"/>
    <w:rsid w:val="00F93897"/>
    <w:rsid w:val="00F93908"/>
    <w:rsid w:val="00F93E6C"/>
    <w:rsid w:val="00F945D4"/>
    <w:rsid w:val="00F94803"/>
    <w:rsid w:val="00F951DB"/>
    <w:rsid w:val="00F958AA"/>
    <w:rsid w:val="00F958E6"/>
    <w:rsid w:val="00F95A67"/>
    <w:rsid w:val="00F95BC4"/>
    <w:rsid w:val="00F95C66"/>
    <w:rsid w:val="00F95C85"/>
    <w:rsid w:val="00F96D7D"/>
    <w:rsid w:val="00F97B6C"/>
    <w:rsid w:val="00F97C2F"/>
    <w:rsid w:val="00FA05C3"/>
    <w:rsid w:val="00FA274C"/>
    <w:rsid w:val="00FA2C08"/>
    <w:rsid w:val="00FA3D9C"/>
    <w:rsid w:val="00FA4BAE"/>
    <w:rsid w:val="00FA5CA4"/>
    <w:rsid w:val="00FA60F3"/>
    <w:rsid w:val="00FA7777"/>
    <w:rsid w:val="00FA7E54"/>
    <w:rsid w:val="00FA7F84"/>
    <w:rsid w:val="00FB07C7"/>
    <w:rsid w:val="00FB0AF9"/>
    <w:rsid w:val="00FB1B28"/>
    <w:rsid w:val="00FB1B96"/>
    <w:rsid w:val="00FB20F1"/>
    <w:rsid w:val="00FB26A7"/>
    <w:rsid w:val="00FB28E1"/>
    <w:rsid w:val="00FB2AB9"/>
    <w:rsid w:val="00FB36F4"/>
    <w:rsid w:val="00FB3719"/>
    <w:rsid w:val="00FB3E31"/>
    <w:rsid w:val="00FB4A9D"/>
    <w:rsid w:val="00FB65A4"/>
    <w:rsid w:val="00FB70E5"/>
    <w:rsid w:val="00FB731E"/>
    <w:rsid w:val="00FB78BE"/>
    <w:rsid w:val="00FB7C4B"/>
    <w:rsid w:val="00FB7EAE"/>
    <w:rsid w:val="00FC1051"/>
    <w:rsid w:val="00FC12EC"/>
    <w:rsid w:val="00FC1823"/>
    <w:rsid w:val="00FC2178"/>
    <w:rsid w:val="00FC37B9"/>
    <w:rsid w:val="00FC4007"/>
    <w:rsid w:val="00FC4409"/>
    <w:rsid w:val="00FC49E1"/>
    <w:rsid w:val="00FC4AD5"/>
    <w:rsid w:val="00FC5B6B"/>
    <w:rsid w:val="00FC63FE"/>
    <w:rsid w:val="00FC64FE"/>
    <w:rsid w:val="00FC7330"/>
    <w:rsid w:val="00FC73E2"/>
    <w:rsid w:val="00FC7A4D"/>
    <w:rsid w:val="00FC7C5C"/>
    <w:rsid w:val="00FC7E24"/>
    <w:rsid w:val="00FD04B7"/>
    <w:rsid w:val="00FD0BBE"/>
    <w:rsid w:val="00FD0F5E"/>
    <w:rsid w:val="00FD1537"/>
    <w:rsid w:val="00FD1B3F"/>
    <w:rsid w:val="00FD1B92"/>
    <w:rsid w:val="00FD24E9"/>
    <w:rsid w:val="00FD2775"/>
    <w:rsid w:val="00FD29C2"/>
    <w:rsid w:val="00FD34F1"/>
    <w:rsid w:val="00FD3536"/>
    <w:rsid w:val="00FD435A"/>
    <w:rsid w:val="00FD4619"/>
    <w:rsid w:val="00FD48BD"/>
    <w:rsid w:val="00FD4E03"/>
    <w:rsid w:val="00FD64FF"/>
    <w:rsid w:val="00FD68A2"/>
    <w:rsid w:val="00FD6901"/>
    <w:rsid w:val="00FD6FCC"/>
    <w:rsid w:val="00FD782D"/>
    <w:rsid w:val="00FD7C28"/>
    <w:rsid w:val="00FE03E3"/>
    <w:rsid w:val="00FE0F9C"/>
    <w:rsid w:val="00FE1494"/>
    <w:rsid w:val="00FE1D4D"/>
    <w:rsid w:val="00FE28F1"/>
    <w:rsid w:val="00FE2F57"/>
    <w:rsid w:val="00FE3304"/>
    <w:rsid w:val="00FE37AD"/>
    <w:rsid w:val="00FE40F9"/>
    <w:rsid w:val="00FE497A"/>
    <w:rsid w:val="00FE52A4"/>
    <w:rsid w:val="00FE58FA"/>
    <w:rsid w:val="00FE5B77"/>
    <w:rsid w:val="00FE5C17"/>
    <w:rsid w:val="00FE5D3A"/>
    <w:rsid w:val="00FE62CC"/>
    <w:rsid w:val="00FE68B8"/>
    <w:rsid w:val="00FE6A54"/>
    <w:rsid w:val="00FE7763"/>
    <w:rsid w:val="00FE7D41"/>
    <w:rsid w:val="00FF0024"/>
    <w:rsid w:val="00FF0154"/>
    <w:rsid w:val="00FF05E1"/>
    <w:rsid w:val="00FF0671"/>
    <w:rsid w:val="00FF0C3A"/>
    <w:rsid w:val="00FF0E2B"/>
    <w:rsid w:val="00FF1418"/>
    <w:rsid w:val="00FF24F0"/>
    <w:rsid w:val="00FF32C1"/>
    <w:rsid w:val="00FF449C"/>
    <w:rsid w:val="00FF47E9"/>
    <w:rsid w:val="00FF550C"/>
    <w:rsid w:val="00FF5544"/>
    <w:rsid w:val="00FF5660"/>
    <w:rsid w:val="00FF687C"/>
    <w:rsid w:val="00FF6952"/>
    <w:rsid w:val="00FF7661"/>
    <w:rsid w:val="00FF7CBD"/>
    <w:rsid w:val="029EADC8"/>
    <w:rsid w:val="04EAB5D1"/>
    <w:rsid w:val="052E70EB"/>
    <w:rsid w:val="0656D668"/>
    <w:rsid w:val="081144B9"/>
    <w:rsid w:val="081C799C"/>
    <w:rsid w:val="08930F2D"/>
    <w:rsid w:val="0904A4AD"/>
    <w:rsid w:val="09256E6D"/>
    <w:rsid w:val="0971809D"/>
    <w:rsid w:val="09F57FAC"/>
    <w:rsid w:val="09FE8394"/>
    <w:rsid w:val="0D61DC77"/>
    <w:rsid w:val="0DA01E55"/>
    <w:rsid w:val="0E8FF351"/>
    <w:rsid w:val="0F7FE513"/>
    <w:rsid w:val="0FE01757"/>
    <w:rsid w:val="1007410A"/>
    <w:rsid w:val="10470ED6"/>
    <w:rsid w:val="109FBF57"/>
    <w:rsid w:val="11A16610"/>
    <w:rsid w:val="11AC5D96"/>
    <w:rsid w:val="12C1A33E"/>
    <w:rsid w:val="135E1D2E"/>
    <w:rsid w:val="1586E813"/>
    <w:rsid w:val="161F8BBD"/>
    <w:rsid w:val="18C71B64"/>
    <w:rsid w:val="1BA3A58B"/>
    <w:rsid w:val="1E752E73"/>
    <w:rsid w:val="203A6A2D"/>
    <w:rsid w:val="24FA5814"/>
    <w:rsid w:val="25C94D2B"/>
    <w:rsid w:val="25E864F3"/>
    <w:rsid w:val="261CCE6F"/>
    <w:rsid w:val="275F8BB0"/>
    <w:rsid w:val="2853B580"/>
    <w:rsid w:val="2980CBFE"/>
    <w:rsid w:val="298A19F0"/>
    <w:rsid w:val="29AE154F"/>
    <w:rsid w:val="29CD21B8"/>
    <w:rsid w:val="2B1C9C5F"/>
    <w:rsid w:val="2B54BA44"/>
    <w:rsid w:val="2FEEC75B"/>
    <w:rsid w:val="306A335E"/>
    <w:rsid w:val="313033C5"/>
    <w:rsid w:val="324F7816"/>
    <w:rsid w:val="34F95163"/>
    <w:rsid w:val="35AA9635"/>
    <w:rsid w:val="36D493BE"/>
    <w:rsid w:val="36DB41A0"/>
    <w:rsid w:val="381E6347"/>
    <w:rsid w:val="391EFF3D"/>
    <w:rsid w:val="397E697D"/>
    <w:rsid w:val="3A24B76F"/>
    <w:rsid w:val="3A47272A"/>
    <w:rsid w:val="3A81BC5F"/>
    <w:rsid w:val="3C197714"/>
    <w:rsid w:val="3ECF85D3"/>
    <w:rsid w:val="44603A17"/>
    <w:rsid w:val="474F62B7"/>
    <w:rsid w:val="477A2101"/>
    <w:rsid w:val="48732A80"/>
    <w:rsid w:val="4C50B911"/>
    <w:rsid w:val="4CEABEC9"/>
    <w:rsid w:val="50CC5B11"/>
    <w:rsid w:val="54B82AE4"/>
    <w:rsid w:val="562511B3"/>
    <w:rsid w:val="56861D1F"/>
    <w:rsid w:val="580A8599"/>
    <w:rsid w:val="595D361D"/>
    <w:rsid w:val="5A938787"/>
    <w:rsid w:val="5B0E9FC1"/>
    <w:rsid w:val="5C539E96"/>
    <w:rsid w:val="5E30A740"/>
    <w:rsid w:val="5F3B75FD"/>
    <w:rsid w:val="604ACF27"/>
    <w:rsid w:val="60F0F827"/>
    <w:rsid w:val="65993353"/>
    <w:rsid w:val="665A3C77"/>
    <w:rsid w:val="66C9FD21"/>
    <w:rsid w:val="672F7F1C"/>
    <w:rsid w:val="67825AC9"/>
    <w:rsid w:val="696E4432"/>
    <w:rsid w:val="6A3FF5AD"/>
    <w:rsid w:val="6A76A557"/>
    <w:rsid w:val="6B1DFA78"/>
    <w:rsid w:val="6D48EEDC"/>
    <w:rsid w:val="6F522333"/>
    <w:rsid w:val="6FEA88F1"/>
    <w:rsid w:val="70DA8719"/>
    <w:rsid w:val="7194C70A"/>
    <w:rsid w:val="733CAA04"/>
    <w:rsid w:val="745A7C93"/>
    <w:rsid w:val="74AEC213"/>
    <w:rsid w:val="76797D9C"/>
    <w:rsid w:val="77AACF0B"/>
    <w:rsid w:val="77E831B4"/>
    <w:rsid w:val="7A839069"/>
    <w:rsid w:val="7D5763D2"/>
    <w:rsid w:val="7F145A8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92C5B"/>
  <w15:chartTrackingRefBased/>
  <w15:docId w15:val="{C267382F-1237-4524-9E75-EF1928FB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qFormat="1"/>
    <w:lsdException w:name="annotation text"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iPriority="99"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2C7F"/>
    <w:pPr>
      <w:jc w:val="both"/>
    </w:pPr>
    <w:rPr>
      <w:rFonts w:cs="Angsana New"/>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65D6"/>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6"/>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9845B7"/>
    <w:rPr>
      <w:sz w:val="18"/>
      <w:u w:val="none"/>
      <w:vertAlign w:val="superscript"/>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spacing w:before="120" w:after="120"/>
    </w:pPr>
    <w:rPr>
      <w:szCs w:val="20"/>
    </w:rPr>
  </w:style>
  <w:style w:type="paragraph" w:customStyle="1" w:styleId="Paranum">
    <w:name w:val="Paranum"/>
    <w:basedOn w:val="Para1"/>
    <w:rsid w:val="00C95E26"/>
    <w:pPr>
      <w:numPr>
        <w:numId w:val="6"/>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uiPriority w:val="39"/>
    <w:pPr>
      <w:spacing w:before="120"/>
      <w:jc w:val="left"/>
    </w:pPr>
    <w:rPr>
      <w:rFonts w:ascii="Calibri" w:hAnsi="Calibri"/>
      <w:b/>
      <w:color w:val="548DD4"/>
      <w:sz w:val="24"/>
    </w:rPr>
  </w:style>
  <w:style w:type="paragraph" w:styleId="TOC2">
    <w:name w:val="toc 2"/>
    <w:basedOn w:val="Normal"/>
    <w:next w:val="Normal"/>
    <w:autoRedefine/>
    <w:uiPriority w:val="39"/>
    <w:pPr>
      <w:jc w:val="left"/>
    </w:pPr>
    <w:rPr>
      <w:rFonts w:ascii="Cambria" w:hAnsi="Cambria"/>
      <w:szCs w:val="22"/>
    </w:rPr>
  </w:style>
  <w:style w:type="paragraph" w:styleId="TOC3">
    <w:name w:val="toc 3"/>
    <w:basedOn w:val="Normal"/>
    <w:next w:val="Normal"/>
    <w:autoRedefine/>
    <w:uiPriority w:val="39"/>
    <w:pPr>
      <w:ind w:left="220"/>
      <w:jc w:val="left"/>
    </w:pPr>
    <w:rPr>
      <w:rFonts w:ascii="Cambria" w:hAnsi="Cambria"/>
      <w:i/>
      <w:szCs w:val="22"/>
    </w:rPr>
  </w:style>
  <w:style w:type="paragraph" w:styleId="Header">
    <w:name w:val="header"/>
    <w:basedOn w:val="Normal"/>
    <w:link w:val="HeaderChar"/>
    <w:pPr>
      <w:tabs>
        <w:tab w:val="center" w:pos="4320"/>
        <w:tab w:val="right" w:pos="8640"/>
      </w:tabs>
    </w:pPr>
    <w:rPr>
      <w:rFonts w:cs="Times New Roman"/>
    </w:r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character" w:styleId="Hyperlink">
    <w:name w:val="Hyperlink"/>
    <w:uiPriority w:val="99"/>
    <w:rPr>
      <w:color w:val="0000FF"/>
      <w:u w:val="single"/>
    </w:rPr>
  </w:style>
  <w:style w:type="paragraph" w:styleId="BodyTextIndent2">
    <w:name w:val="Body Text Indent 2"/>
    <w:basedOn w:val="Normal"/>
    <w:pPr>
      <w:ind w:firstLine="720"/>
    </w:p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character" w:styleId="FollowedHyperlink">
    <w:name w:val="FollowedHyperlink"/>
    <w:rPr>
      <w:color w:val="800080"/>
      <w:u w:val="single"/>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lang w:val="en-US"/>
    </w:rPr>
  </w:style>
  <w:style w:type="paragraph" w:customStyle="1" w:styleId="Para10">
    <w:name w:val="Para 1"/>
    <w:basedOn w:val="BodyText"/>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rFonts w:cs="Times New Roman"/>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Strong">
    <w:name w:val="Strong"/>
    <w:uiPriority w:val="22"/>
    <w:qFormat/>
    <w:rPr>
      <w:b/>
      <w:bC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pBdr>
        <w:between w:val="double" w:sz="6" w:space="0" w:color="auto"/>
      </w:pBdr>
      <w:ind w:left="660"/>
      <w:jc w:val="left"/>
    </w:pPr>
    <w:rPr>
      <w:rFonts w:ascii="Cambria" w:hAnsi="Cambria"/>
      <w:sz w:val="20"/>
      <w:szCs w:val="20"/>
    </w:rPr>
  </w:style>
  <w:style w:type="character" w:styleId="CommentReference">
    <w:name w:val="annotation reference"/>
    <w:uiPriority w:val="99"/>
    <w:semiHidden/>
    <w:rsid w:val="00231E35"/>
    <w:rPr>
      <w:sz w:val="16"/>
      <w:szCs w:val="16"/>
    </w:rPr>
  </w:style>
  <w:style w:type="paragraph" w:styleId="CommentText">
    <w:name w:val="annotation text"/>
    <w:basedOn w:val="Normal"/>
    <w:link w:val="CommentTextChar"/>
    <w:uiPriority w:val="99"/>
    <w:rsid w:val="00231E35"/>
    <w:rPr>
      <w:rFonts w:cs="Times New Roman"/>
      <w:sz w:val="20"/>
      <w:szCs w:val="20"/>
    </w:rPr>
  </w:style>
  <w:style w:type="paragraph" w:styleId="CommentSubject">
    <w:name w:val="annotation subject"/>
    <w:basedOn w:val="CommentText"/>
    <w:next w:val="CommentText"/>
    <w:semiHidden/>
    <w:rsid w:val="00231E35"/>
    <w:rPr>
      <w:b/>
      <w:bC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62037"/>
    <w:rPr>
      <w:rFonts w:cs="Angsana New"/>
      <w:sz w:val="18"/>
      <w:szCs w:val="24"/>
      <w:lang w:val="en-GB" w:eastAsia="en-US"/>
    </w:rPr>
  </w:style>
  <w:style w:type="character" w:customStyle="1" w:styleId="HeaderChar">
    <w:name w:val="Header Char"/>
    <w:link w:val="Header"/>
    <w:rsid w:val="00B271B0"/>
    <w:rPr>
      <w:rFonts w:cs="Angsana New"/>
      <w:sz w:val="22"/>
      <w:szCs w:val="24"/>
      <w:lang w:val="en-GB" w:eastAsia="en-US"/>
    </w:rPr>
  </w:style>
  <w:style w:type="paragraph" w:customStyle="1" w:styleId="ColorfulList-Accent11">
    <w:name w:val="Colorful List - Accent 11"/>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CommentTextChar">
    <w:name w:val="Comment Text Char"/>
    <w:link w:val="CommentText"/>
    <w:uiPriority w:val="99"/>
    <w:rsid w:val="00857D63"/>
    <w:rPr>
      <w:rFonts w:cs="Angsana New"/>
      <w:lang w:val="en-GB" w:eastAsia="en-US"/>
    </w:rPr>
  </w:style>
  <w:style w:type="character" w:customStyle="1" w:styleId="mw-headline">
    <w:name w:val="mw-headline"/>
    <w:basedOn w:val="DefaultParagraphFont"/>
    <w:rsid w:val="005402B1"/>
  </w:style>
  <w:style w:type="paragraph" w:styleId="TOC9">
    <w:name w:val="toc 9"/>
    <w:basedOn w:val="Normal"/>
    <w:next w:val="Normal"/>
    <w:autoRedefine/>
    <w:rsid w:val="0032017A"/>
    <w:pPr>
      <w:pBdr>
        <w:between w:val="double" w:sz="6" w:space="0" w:color="auto"/>
      </w:pBdr>
      <w:ind w:left="1540"/>
      <w:jc w:val="left"/>
    </w:pPr>
    <w:rPr>
      <w:rFonts w:ascii="Cambria" w:hAnsi="Cambria"/>
      <w:sz w:val="20"/>
      <w:szCs w:val="20"/>
    </w:rPr>
  </w:style>
  <w:style w:type="paragraph" w:customStyle="1" w:styleId="Default">
    <w:name w:val="Default"/>
    <w:rsid w:val="00DB6D8B"/>
    <w:pPr>
      <w:autoSpaceDE w:val="0"/>
      <w:autoSpaceDN w:val="0"/>
      <w:adjustRightInd w:val="0"/>
    </w:pPr>
    <w:rPr>
      <w:rFonts w:eastAsia="Calibri"/>
      <w:color w:val="000000"/>
      <w:sz w:val="24"/>
      <w:szCs w:val="24"/>
      <w:lang w:val="en-US" w:eastAsia="en-US"/>
    </w:rPr>
  </w:style>
  <w:style w:type="character" w:customStyle="1" w:styleId="CharChar5">
    <w:name w:val="Char Char5"/>
    <w:semiHidden/>
    <w:rsid w:val="00C16C14"/>
    <w:rPr>
      <w:sz w:val="18"/>
      <w:szCs w:val="24"/>
      <w:lang w:val="en-GB" w:eastAsia="en-US"/>
    </w:rPr>
  </w:style>
  <w:style w:type="character" w:styleId="Emphasis">
    <w:name w:val="Emphasis"/>
    <w:uiPriority w:val="20"/>
    <w:qFormat/>
    <w:rsid w:val="004C12B8"/>
    <w:rPr>
      <w:i/>
    </w:rPr>
  </w:style>
  <w:style w:type="paragraph" w:customStyle="1" w:styleId="ColorfulShading-Accent11">
    <w:name w:val="Colorful Shading - Accent 11"/>
    <w:hidden/>
    <w:uiPriority w:val="99"/>
    <w:semiHidden/>
    <w:rsid w:val="004A2346"/>
    <w:rPr>
      <w:rFonts w:cs="Angsana New"/>
      <w:sz w:val="22"/>
      <w:szCs w:val="24"/>
      <w:lang w:val="en-GB" w:eastAsia="en-US"/>
    </w:rPr>
  </w:style>
  <w:style w:type="character" w:customStyle="1" w:styleId="apple-converted-space">
    <w:name w:val="apple-converted-space"/>
    <w:basedOn w:val="DefaultParagraphFont"/>
    <w:rsid w:val="00B51C0B"/>
  </w:style>
  <w:style w:type="numbering" w:customStyle="1" w:styleId="List1">
    <w:name w:val="List 1"/>
    <w:basedOn w:val="NoList"/>
    <w:rsid w:val="00FB07C7"/>
    <w:pPr>
      <w:numPr>
        <w:numId w:val="7"/>
      </w:numPr>
    </w:pPr>
  </w:style>
  <w:style w:type="numbering" w:customStyle="1" w:styleId="List10">
    <w:name w:val="List 10"/>
    <w:basedOn w:val="NoList"/>
    <w:rsid w:val="009827E0"/>
    <w:pPr>
      <w:numPr>
        <w:numId w:val="9"/>
      </w:numPr>
    </w:pPr>
  </w:style>
  <w:style w:type="numbering" w:customStyle="1" w:styleId="List17">
    <w:name w:val="List 17"/>
    <w:basedOn w:val="NoList"/>
    <w:rsid w:val="009827E0"/>
    <w:pPr>
      <w:numPr>
        <w:numId w:val="10"/>
      </w:numPr>
    </w:pPr>
  </w:style>
  <w:style w:type="numbering" w:customStyle="1" w:styleId="List18">
    <w:name w:val="List 18"/>
    <w:basedOn w:val="NoList"/>
    <w:rsid w:val="009827E0"/>
    <w:pPr>
      <w:numPr>
        <w:numId w:val="11"/>
      </w:numPr>
    </w:pPr>
  </w:style>
  <w:style w:type="character" w:styleId="HTMLVariable">
    <w:name w:val="HTML Variable"/>
    <w:uiPriority w:val="99"/>
    <w:unhideWhenUsed/>
    <w:rsid w:val="00851463"/>
    <w:rPr>
      <w:i/>
      <w:iCs/>
    </w:rPr>
  </w:style>
  <w:style w:type="numbering" w:customStyle="1" w:styleId="List21">
    <w:name w:val="List 21"/>
    <w:basedOn w:val="NoList"/>
    <w:rsid w:val="00320CFC"/>
    <w:pPr>
      <w:numPr>
        <w:numId w:val="12"/>
      </w:numPr>
    </w:pPr>
  </w:style>
  <w:style w:type="character" w:customStyle="1" w:styleId="Heading1Char">
    <w:name w:val="Heading 1 Char"/>
    <w:link w:val="Heading1"/>
    <w:rsid w:val="00BB6F0A"/>
    <w:rPr>
      <w:rFonts w:cs="Angsana New"/>
      <w:b/>
      <w:caps/>
      <w:sz w:val="22"/>
      <w:szCs w:val="24"/>
      <w:lang w:val="en-GB"/>
    </w:rPr>
  </w:style>
  <w:style w:type="character" w:customStyle="1" w:styleId="Heading2Char">
    <w:name w:val="Heading 2 Char"/>
    <w:link w:val="Heading2"/>
    <w:rsid w:val="00F665D6"/>
    <w:rPr>
      <w:rFonts w:cs="Angsana New"/>
      <w:b/>
      <w:bCs/>
      <w:iCs/>
      <w:sz w:val="22"/>
      <w:szCs w:val="24"/>
      <w:lang w:eastAsia="en-US"/>
    </w:rPr>
  </w:style>
  <w:style w:type="paragraph" w:customStyle="1" w:styleId="CBD-Para">
    <w:name w:val="CBD-Para"/>
    <w:basedOn w:val="Normal"/>
    <w:rsid w:val="00112D54"/>
    <w:pPr>
      <w:keepLines/>
      <w:numPr>
        <w:numId w:val="13"/>
      </w:numPr>
      <w:spacing w:before="120" w:after="120"/>
    </w:pPr>
    <w:rPr>
      <w:rFonts w:cs="Times New Roman"/>
      <w:szCs w:val="22"/>
      <w:lang w:val="en-US"/>
    </w:rPr>
  </w:style>
  <w:style w:type="paragraph" w:customStyle="1" w:styleId="CBD-Para-a">
    <w:name w:val="CBD-Para-a"/>
    <w:basedOn w:val="CBD-Para"/>
    <w:rsid w:val="00112D54"/>
    <w:pPr>
      <w:numPr>
        <w:ilvl w:val="1"/>
      </w:numPr>
      <w:tabs>
        <w:tab w:val="clear" w:pos="1080"/>
        <w:tab w:val="num" w:pos="3690"/>
      </w:tabs>
      <w:spacing w:before="60" w:after="60"/>
    </w:pPr>
  </w:style>
  <w:style w:type="numbering" w:customStyle="1" w:styleId="List6">
    <w:name w:val="List 6"/>
    <w:basedOn w:val="NoList"/>
    <w:rsid w:val="007B5D33"/>
    <w:pPr>
      <w:numPr>
        <w:numId w:val="15"/>
      </w:numPr>
    </w:pPr>
  </w:style>
  <w:style w:type="character" w:customStyle="1" w:styleId="Hyperlink0">
    <w:name w:val="Hyperlink.0"/>
    <w:rsid w:val="007B5D33"/>
    <w:rPr>
      <w:color w:val="0000FF"/>
      <w:sz w:val="18"/>
      <w:szCs w:val="18"/>
      <w:u w:val="single" w:color="0000FF"/>
    </w:rPr>
  </w:style>
  <w:style w:type="table" w:styleId="TableGrid">
    <w:name w:val="Table Grid"/>
    <w:basedOn w:val="Table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NoList"/>
    <w:rsid w:val="002A0872"/>
    <w:pPr>
      <w:numPr>
        <w:numId w:val="8"/>
      </w:numPr>
    </w:pPr>
  </w:style>
  <w:style w:type="character" w:customStyle="1" w:styleId="Heading3Char">
    <w:name w:val="Heading 3 Char"/>
    <w:link w:val="Heading3"/>
    <w:uiPriority w:val="9"/>
    <w:locked/>
    <w:rsid w:val="00041238"/>
    <w:rPr>
      <w:rFonts w:cs="Angsana New"/>
      <w:i/>
      <w:iCs/>
      <w:sz w:val="22"/>
      <w:szCs w:val="24"/>
      <w:lang w:val="en-GB"/>
    </w:rPr>
  </w:style>
  <w:style w:type="numbering" w:customStyle="1" w:styleId="ImportedStyle3">
    <w:name w:val="Imported Style 3"/>
    <w:rsid w:val="00095933"/>
    <w:pPr>
      <w:numPr>
        <w:numId w:val="14"/>
      </w:numPr>
    </w:pPr>
  </w:style>
  <w:style w:type="character" w:customStyle="1" w:styleId="BalloonTextChar">
    <w:name w:val="Balloon Text Char"/>
    <w:link w:val="BalloonText"/>
    <w:uiPriority w:val="99"/>
    <w:semiHidden/>
    <w:rsid w:val="002C69D1"/>
    <w:rPr>
      <w:rFonts w:ascii="Tahoma" w:hAnsi="Tahoma" w:cs="Tahoma"/>
      <w:sz w:val="16"/>
      <w:szCs w:val="16"/>
      <w:lang w:val="en-GB" w:eastAsia="en-US"/>
    </w:rPr>
  </w:style>
  <w:style w:type="character" w:styleId="UnresolvedMention">
    <w:name w:val="Unresolved Mention"/>
    <w:uiPriority w:val="99"/>
    <w:semiHidden/>
    <w:unhideWhenUsed/>
    <w:rsid w:val="000E4D2F"/>
    <w:rPr>
      <w:color w:val="808080"/>
      <w:shd w:val="clear" w:color="auto" w:fill="E6E6E6"/>
    </w:rPr>
  </w:style>
  <w:style w:type="paragraph" w:customStyle="1" w:styleId="GridTable31">
    <w:name w:val="Grid Table 31"/>
    <w:basedOn w:val="Heading1"/>
    <w:next w:val="Normal"/>
    <w:uiPriority w:val="39"/>
    <w:unhideWhenUsed/>
    <w:qFormat/>
    <w:rsid w:val="00567FF5"/>
    <w:pPr>
      <w:keepLines/>
      <w:tabs>
        <w:tab w:val="clear" w:pos="720"/>
      </w:tabs>
      <w:spacing w:before="480" w:after="0" w:line="276" w:lineRule="auto"/>
      <w:jc w:val="left"/>
      <w:outlineLvl w:val="9"/>
    </w:pPr>
    <w:rPr>
      <w:rFonts w:ascii="Calibri" w:eastAsia="MS Gothic" w:hAnsi="Calibri" w:cs="Times New Roman"/>
      <w:bCs/>
      <w:caps w:val="0"/>
      <w:color w:val="365F91"/>
      <w:sz w:val="28"/>
      <w:szCs w:val="28"/>
      <w:lang w:val="en-US"/>
    </w:rPr>
  </w:style>
  <w:style w:type="paragraph" w:styleId="TOC4">
    <w:name w:val="toc 4"/>
    <w:basedOn w:val="Normal"/>
    <w:next w:val="Normal"/>
    <w:autoRedefine/>
    <w:rsid w:val="00567FF5"/>
    <w:pPr>
      <w:pBdr>
        <w:between w:val="double" w:sz="6" w:space="0" w:color="auto"/>
      </w:pBdr>
      <w:ind w:left="440"/>
      <w:jc w:val="left"/>
    </w:pPr>
    <w:rPr>
      <w:rFonts w:ascii="Cambria" w:hAnsi="Cambria"/>
      <w:sz w:val="20"/>
      <w:szCs w:val="20"/>
    </w:rPr>
  </w:style>
  <w:style w:type="paragraph" w:styleId="TOC6">
    <w:name w:val="toc 6"/>
    <w:basedOn w:val="Normal"/>
    <w:next w:val="Normal"/>
    <w:autoRedefine/>
    <w:rsid w:val="00567FF5"/>
    <w:pPr>
      <w:pBdr>
        <w:between w:val="double" w:sz="6" w:space="0" w:color="auto"/>
      </w:pBdr>
      <w:ind w:left="880"/>
      <w:jc w:val="left"/>
    </w:pPr>
    <w:rPr>
      <w:rFonts w:ascii="Cambria" w:hAnsi="Cambria"/>
      <w:sz w:val="20"/>
      <w:szCs w:val="20"/>
    </w:rPr>
  </w:style>
  <w:style w:type="paragraph" w:styleId="TOC7">
    <w:name w:val="toc 7"/>
    <w:basedOn w:val="Normal"/>
    <w:next w:val="Normal"/>
    <w:autoRedefine/>
    <w:rsid w:val="00567FF5"/>
    <w:pPr>
      <w:pBdr>
        <w:between w:val="double" w:sz="6" w:space="0" w:color="auto"/>
      </w:pBdr>
      <w:ind w:left="1100"/>
      <w:jc w:val="left"/>
    </w:pPr>
    <w:rPr>
      <w:rFonts w:ascii="Cambria" w:hAnsi="Cambria"/>
      <w:sz w:val="20"/>
      <w:szCs w:val="20"/>
    </w:rPr>
  </w:style>
  <w:style w:type="paragraph" w:styleId="TOC8">
    <w:name w:val="toc 8"/>
    <w:basedOn w:val="Normal"/>
    <w:next w:val="Normal"/>
    <w:autoRedefine/>
    <w:rsid w:val="00567FF5"/>
    <w:pPr>
      <w:pBdr>
        <w:between w:val="double" w:sz="6" w:space="0" w:color="auto"/>
      </w:pBdr>
      <w:ind w:left="1320"/>
      <w:jc w:val="left"/>
    </w:pPr>
    <w:rPr>
      <w:rFonts w:ascii="Cambria" w:hAnsi="Cambria"/>
      <w:sz w:val="20"/>
      <w:szCs w:val="20"/>
    </w:rPr>
  </w:style>
  <w:style w:type="character" w:styleId="PlaceholderText">
    <w:name w:val="Placeholder Text"/>
    <w:basedOn w:val="DefaultParagraphFont"/>
    <w:uiPriority w:val="99"/>
    <w:semiHidden/>
    <w:rsid w:val="00AD6A8A"/>
    <w:rPr>
      <w:color w:val="808080"/>
    </w:rPr>
  </w:style>
  <w:style w:type="paragraph" w:styleId="Revision">
    <w:name w:val="Revision"/>
    <w:hidden/>
    <w:uiPriority w:val="99"/>
    <w:semiHidden/>
    <w:rsid w:val="00F02D75"/>
    <w:rPr>
      <w:rFonts w:cs="Angsana New"/>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6BFB"/>
    <w:pPr>
      <w:spacing w:after="160" w:line="240" w:lineRule="exact"/>
    </w:pPr>
    <w:rPr>
      <w:rFonts w:cs="Times New Roman"/>
      <w:sz w:val="18"/>
      <w:szCs w:val="20"/>
      <w:vertAlign w:val="superscript"/>
      <w:lang w:val="en-CA" w:eastAsia="en-CA"/>
    </w:rPr>
  </w:style>
  <w:style w:type="character" w:customStyle="1" w:styleId="normaltextrun">
    <w:name w:val="normaltextrun"/>
    <w:basedOn w:val="DefaultParagraphFont"/>
    <w:rsid w:val="00905DD7"/>
  </w:style>
  <w:style w:type="character" w:customStyle="1" w:styleId="eop">
    <w:name w:val="eop"/>
    <w:basedOn w:val="DefaultParagraphFont"/>
    <w:rsid w:val="00905DD7"/>
  </w:style>
  <w:style w:type="paragraph" w:styleId="ListParagraph">
    <w:name w:val="List Paragraph"/>
    <w:basedOn w:val="Normal"/>
    <w:link w:val="ListParagraphChar"/>
    <w:uiPriority w:val="34"/>
    <w:qFormat/>
    <w:rsid w:val="0098426A"/>
    <w:pPr>
      <w:ind w:left="720"/>
      <w:contextualSpacing/>
    </w:pPr>
    <w:rPr>
      <w:rFonts w:cs="Times New Roman"/>
    </w:rPr>
  </w:style>
  <w:style w:type="character" w:customStyle="1" w:styleId="ListParagraphChar">
    <w:name w:val="List Paragraph Char"/>
    <w:basedOn w:val="DefaultParagraphFont"/>
    <w:link w:val="ListParagraph"/>
    <w:uiPriority w:val="34"/>
    <w:rsid w:val="0098426A"/>
    <w:rPr>
      <w:sz w:val="22"/>
      <w:szCs w:val="24"/>
      <w:lang w:val="en-GB" w:eastAsia="en-US"/>
    </w:rPr>
  </w:style>
  <w:style w:type="table" w:customStyle="1" w:styleId="TableGrid1">
    <w:name w:val="Table Grid1"/>
    <w:basedOn w:val="TableNormal"/>
    <w:next w:val="TableGrid"/>
    <w:uiPriority w:val="59"/>
    <w:rsid w:val="002D2C57"/>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947263"/>
    <w:pPr>
      <w:ind w:left="142" w:right="4218" w:hanging="142"/>
    </w:pPr>
    <w:rPr>
      <w:rFonts w:cs="Times New Roman"/>
      <w:caps/>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35">
      <w:bodyDiv w:val="1"/>
      <w:marLeft w:val="0"/>
      <w:marRight w:val="0"/>
      <w:marTop w:val="0"/>
      <w:marBottom w:val="0"/>
      <w:divBdr>
        <w:top w:val="none" w:sz="0" w:space="0" w:color="auto"/>
        <w:left w:val="none" w:sz="0" w:space="0" w:color="auto"/>
        <w:bottom w:val="none" w:sz="0" w:space="0" w:color="auto"/>
        <w:right w:val="none" w:sz="0" w:space="0" w:color="auto"/>
      </w:divBdr>
    </w:div>
    <w:div w:id="28802301">
      <w:bodyDiv w:val="1"/>
      <w:marLeft w:val="0"/>
      <w:marRight w:val="0"/>
      <w:marTop w:val="0"/>
      <w:marBottom w:val="0"/>
      <w:divBdr>
        <w:top w:val="none" w:sz="0" w:space="0" w:color="auto"/>
        <w:left w:val="none" w:sz="0" w:space="0" w:color="auto"/>
        <w:bottom w:val="none" w:sz="0" w:space="0" w:color="auto"/>
        <w:right w:val="none" w:sz="0" w:space="0" w:color="auto"/>
      </w:divBdr>
    </w:div>
    <w:div w:id="32655419">
      <w:bodyDiv w:val="1"/>
      <w:marLeft w:val="0"/>
      <w:marRight w:val="0"/>
      <w:marTop w:val="0"/>
      <w:marBottom w:val="0"/>
      <w:divBdr>
        <w:top w:val="none" w:sz="0" w:space="0" w:color="auto"/>
        <w:left w:val="none" w:sz="0" w:space="0" w:color="auto"/>
        <w:bottom w:val="none" w:sz="0" w:space="0" w:color="auto"/>
        <w:right w:val="none" w:sz="0" w:space="0" w:color="auto"/>
      </w:divBdr>
    </w:div>
    <w:div w:id="46758083">
      <w:bodyDiv w:val="1"/>
      <w:marLeft w:val="0"/>
      <w:marRight w:val="0"/>
      <w:marTop w:val="0"/>
      <w:marBottom w:val="0"/>
      <w:divBdr>
        <w:top w:val="none" w:sz="0" w:space="0" w:color="auto"/>
        <w:left w:val="none" w:sz="0" w:space="0" w:color="auto"/>
        <w:bottom w:val="none" w:sz="0" w:space="0" w:color="auto"/>
        <w:right w:val="none" w:sz="0" w:space="0" w:color="auto"/>
      </w:divBdr>
    </w:div>
    <w:div w:id="58406012">
      <w:bodyDiv w:val="1"/>
      <w:marLeft w:val="0"/>
      <w:marRight w:val="0"/>
      <w:marTop w:val="0"/>
      <w:marBottom w:val="0"/>
      <w:divBdr>
        <w:top w:val="none" w:sz="0" w:space="0" w:color="auto"/>
        <w:left w:val="none" w:sz="0" w:space="0" w:color="auto"/>
        <w:bottom w:val="none" w:sz="0" w:space="0" w:color="auto"/>
        <w:right w:val="none" w:sz="0" w:space="0" w:color="auto"/>
      </w:divBdr>
    </w:div>
    <w:div w:id="64838041">
      <w:bodyDiv w:val="1"/>
      <w:marLeft w:val="0"/>
      <w:marRight w:val="0"/>
      <w:marTop w:val="0"/>
      <w:marBottom w:val="0"/>
      <w:divBdr>
        <w:top w:val="none" w:sz="0" w:space="0" w:color="auto"/>
        <w:left w:val="none" w:sz="0" w:space="0" w:color="auto"/>
        <w:bottom w:val="none" w:sz="0" w:space="0" w:color="auto"/>
        <w:right w:val="none" w:sz="0" w:space="0" w:color="auto"/>
      </w:divBdr>
    </w:div>
    <w:div w:id="134883496">
      <w:bodyDiv w:val="1"/>
      <w:marLeft w:val="0"/>
      <w:marRight w:val="0"/>
      <w:marTop w:val="0"/>
      <w:marBottom w:val="0"/>
      <w:divBdr>
        <w:top w:val="none" w:sz="0" w:space="0" w:color="auto"/>
        <w:left w:val="none" w:sz="0" w:space="0" w:color="auto"/>
        <w:bottom w:val="none" w:sz="0" w:space="0" w:color="auto"/>
        <w:right w:val="none" w:sz="0" w:space="0" w:color="auto"/>
      </w:divBdr>
    </w:div>
    <w:div w:id="274868747">
      <w:bodyDiv w:val="1"/>
      <w:marLeft w:val="0"/>
      <w:marRight w:val="0"/>
      <w:marTop w:val="0"/>
      <w:marBottom w:val="0"/>
      <w:divBdr>
        <w:top w:val="none" w:sz="0" w:space="0" w:color="auto"/>
        <w:left w:val="none" w:sz="0" w:space="0" w:color="auto"/>
        <w:bottom w:val="none" w:sz="0" w:space="0" w:color="auto"/>
        <w:right w:val="none" w:sz="0" w:space="0" w:color="auto"/>
      </w:divBdr>
    </w:div>
    <w:div w:id="284897403">
      <w:bodyDiv w:val="1"/>
      <w:marLeft w:val="0"/>
      <w:marRight w:val="0"/>
      <w:marTop w:val="0"/>
      <w:marBottom w:val="0"/>
      <w:divBdr>
        <w:top w:val="none" w:sz="0" w:space="0" w:color="auto"/>
        <w:left w:val="none" w:sz="0" w:space="0" w:color="auto"/>
        <w:bottom w:val="none" w:sz="0" w:space="0" w:color="auto"/>
        <w:right w:val="none" w:sz="0" w:space="0" w:color="auto"/>
      </w:divBdr>
    </w:div>
    <w:div w:id="305352656">
      <w:bodyDiv w:val="1"/>
      <w:marLeft w:val="0"/>
      <w:marRight w:val="0"/>
      <w:marTop w:val="0"/>
      <w:marBottom w:val="0"/>
      <w:divBdr>
        <w:top w:val="none" w:sz="0" w:space="0" w:color="auto"/>
        <w:left w:val="none" w:sz="0" w:space="0" w:color="auto"/>
        <w:bottom w:val="none" w:sz="0" w:space="0" w:color="auto"/>
        <w:right w:val="none" w:sz="0" w:space="0" w:color="auto"/>
      </w:divBdr>
    </w:div>
    <w:div w:id="306712094">
      <w:bodyDiv w:val="1"/>
      <w:marLeft w:val="0"/>
      <w:marRight w:val="0"/>
      <w:marTop w:val="0"/>
      <w:marBottom w:val="0"/>
      <w:divBdr>
        <w:top w:val="none" w:sz="0" w:space="0" w:color="auto"/>
        <w:left w:val="none" w:sz="0" w:space="0" w:color="auto"/>
        <w:bottom w:val="none" w:sz="0" w:space="0" w:color="auto"/>
        <w:right w:val="none" w:sz="0" w:space="0" w:color="auto"/>
      </w:divBdr>
    </w:div>
    <w:div w:id="320544157">
      <w:bodyDiv w:val="1"/>
      <w:marLeft w:val="0"/>
      <w:marRight w:val="0"/>
      <w:marTop w:val="0"/>
      <w:marBottom w:val="0"/>
      <w:divBdr>
        <w:top w:val="none" w:sz="0" w:space="0" w:color="auto"/>
        <w:left w:val="none" w:sz="0" w:space="0" w:color="auto"/>
        <w:bottom w:val="none" w:sz="0" w:space="0" w:color="auto"/>
        <w:right w:val="none" w:sz="0" w:space="0" w:color="auto"/>
      </w:divBdr>
    </w:div>
    <w:div w:id="334117280">
      <w:bodyDiv w:val="1"/>
      <w:marLeft w:val="0"/>
      <w:marRight w:val="0"/>
      <w:marTop w:val="0"/>
      <w:marBottom w:val="0"/>
      <w:divBdr>
        <w:top w:val="none" w:sz="0" w:space="0" w:color="auto"/>
        <w:left w:val="none" w:sz="0" w:space="0" w:color="auto"/>
        <w:bottom w:val="none" w:sz="0" w:space="0" w:color="auto"/>
        <w:right w:val="none" w:sz="0" w:space="0" w:color="auto"/>
      </w:divBdr>
    </w:div>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423304566">
      <w:bodyDiv w:val="1"/>
      <w:marLeft w:val="0"/>
      <w:marRight w:val="0"/>
      <w:marTop w:val="0"/>
      <w:marBottom w:val="0"/>
      <w:divBdr>
        <w:top w:val="none" w:sz="0" w:space="0" w:color="auto"/>
        <w:left w:val="none" w:sz="0" w:space="0" w:color="auto"/>
        <w:bottom w:val="none" w:sz="0" w:space="0" w:color="auto"/>
        <w:right w:val="none" w:sz="0" w:space="0" w:color="auto"/>
      </w:divBdr>
    </w:div>
    <w:div w:id="520048545">
      <w:bodyDiv w:val="1"/>
      <w:marLeft w:val="0"/>
      <w:marRight w:val="0"/>
      <w:marTop w:val="0"/>
      <w:marBottom w:val="0"/>
      <w:divBdr>
        <w:top w:val="none" w:sz="0" w:space="0" w:color="auto"/>
        <w:left w:val="none" w:sz="0" w:space="0" w:color="auto"/>
        <w:bottom w:val="none" w:sz="0" w:space="0" w:color="auto"/>
        <w:right w:val="none" w:sz="0" w:space="0" w:color="auto"/>
      </w:divBdr>
    </w:div>
    <w:div w:id="565068508">
      <w:bodyDiv w:val="1"/>
      <w:marLeft w:val="0"/>
      <w:marRight w:val="0"/>
      <w:marTop w:val="0"/>
      <w:marBottom w:val="0"/>
      <w:divBdr>
        <w:top w:val="none" w:sz="0" w:space="0" w:color="auto"/>
        <w:left w:val="none" w:sz="0" w:space="0" w:color="auto"/>
        <w:bottom w:val="none" w:sz="0" w:space="0" w:color="auto"/>
        <w:right w:val="none" w:sz="0" w:space="0" w:color="auto"/>
      </w:divBdr>
    </w:div>
    <w:div w:id="718164627">
      <w:bodyDiv w:val="1"/>
      <w:marLeft w:val="0"/>
      <w:marRight w:val="0"/>
      <w:marTop w:val="0"/>
      <w:marBottom w:val="0"/>
      <w:divBdr>
        <w:top w:val="none" w:sz="0" w:space="0" w:color="auto"/>
        <w:left w:val="none" w:sz="0" w:space="0" w:color="auto"/>
        <w:bottom w:val="none" w:sz="0" w:space="0" w:color="auto"/>
        <w:right w:val="none" w:sz="0" w:space="0" w:color="auto"/>
      </w:divBdr>
    </w:div>
    <w:div w:id="771359351">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55597676">
      <w:bodyDiv w:val="1"/>
      <w:marLeft w:val="0"/>
      <w:marRight w:val="0"/>
      <w:marTop w:val="0"/>
      <w:marBottom w:val="0"/>
      <w:divBdr>
        <w:top w:val="none" w:sz="0" w:space="0" w:color="auto"/>
        <w:left w:val="none" w:sz="0" w:space="0" w:color="auto"/>
        <w:bottom w:val="none" w:sz="0" w:space="0" w:color="auto"/>
        <w:right w:val="none" w:sz="0" w:space="0" w:color="auto"/>
      </w:divBdr>
    </w:div>
    <w:div w:id="957371639">
      <w:bodyDiv w:val="1"/>
      <w:marLeft w:val="0"/>
      <w:marRight w:val="0"/>
      <w:marTop w:val="0"/>
      <w:marBottom w:val="0"/>
      <w:divBdr>
        <w:top w:val="none" w:sz="0" w:space="0" w:color="auto"/>
        <w:left w:val="none" w:sz="0" w:space="0" w:color="auto"/>
        <w:bottom w:val="none" w:sz="0" w:space="0" w:color="auto"/>
        <w:right w:val="none" w:sz="0" w:space="0" w:color="auto"/>
      </w:divBdr>
    </w:div>
    <w:div w:id="957445293">
      <w:bodyDiv w:val="1"/>
      <w:marLeft w:val="0"/>
      <w:marRight w:val="0"/>
      <w:marTop w:val="0"/>
      <w:marBottom w:val="0"/>
      <w:divBdr>
        <w:top w:val="none" w:sz="0" w:space="0" w:color="auto"/>
        <w:left w:val="none" w:sz="0" w:space="0" w:color="auto"/>
        <w:bottom w:val="none" w:sz="0" w:space="0" w:color="auto"/>
        <w:right w:val="none" w:sz="0" w:space="0" w:color="auto"/>
      </w:divBdr>
    </w:div>
    <w:div w:id="992752780">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027024885">
      <w:bodyDiv w:val="1"/>
      <w:marLeft w:val="0"/>
      <w:marRight w:val="0"/>
      <w:marTop w:val="0"/>
      <w:marBottom w:val="0"/>
      <w:divBdr>
        <w:top w:val="none" w:sz="0" w:space="0" w:color="auto"/>
        <w:left w:val="none" w:sz="0" w:space="0" w:color="auto"/>
        <w:bottom w:val="none" w:sz="0" w:space="0" w:color="auto"/>
        <w:right w:val="none" w:sz="0" w:space="0" w:color="auto"/>
      </w:divBdr>
    </w:div>
    <w:div w:id="1075203448">
      <w:bodyDiv w:val="1"/>
      <w:marLeft w:val="0"/>
      <w:marRight w:val="0"/>
      <w:marTop w:val="0"/>
      <w:marBottom w:val="0"/>
      <w:divBdr>
        <w:top w:val="none" w:sz="0" w:space="0" w:color="auto"/>
        <w:left w:val="none" w:sz="0" w:space="0" w:color="auto"/>
        <w:bottom w:val="none" w:sz="0" w:space="0" w:color="auto"/>
        <w:right w:val="none" w:sz="0" w:space="0" w:color="auto"/>
      </w:divBdr>
    </w:div>
    <w:div w:id="1097597881">
      <w:bodyDiv w:val="1"/>
      <w:marLeft w:val="0"/>
      <w:marRight w:val="0"/>
      <w:marTop w:val="0"/>
      <w:marBottom w:val="0"/>
      <w:divBdr>
        <w:top w:val="none" w:sz="0" w:space="0" w:color="auto"/>
        <w:left w:val="none" w:sz="0" w:space="0" w:color="auto"/>
        <w:bottom w:val="none" w:sz="0" w:space="0" w:color="auto"/>
        <w:right w:val="none" w:sz="0" w:space="0" w:color="auto"/>
      </w:divBdr>
    </w:div>
    <w:div w:id="1105463014">
      <w:bodyDiv w:val="1"/>
      <w:marLeft w:val="0"/>
      <w:marRight w:val="0"/>
      <w:marTop w:val="0"/>
      <w:marBottom w:val="0"/>
      <w:divBdr>
        <w:top w:val="none" w:sz="0" w:space="0" w:color="auto"/>
        <w:left w:val="none" w:sz="0" w:space="0" w:color="auto"/>
        <w:bottom w:val="none" w:sz="0" w:space="0" w:color="auto"/>
        <w:right w:val="none" w:sz="0" w:space="0" w:color="auto"/>
      </w:divBdr>
    </w:div>
    <w:div w:id="1119833582">
      <w:bodyDiv w:val="1"/>
      <w:marLeft w:val="0"/>
      <w:marRight w:val="0"/>
      <w:marTop w:val="0"/>
      <w:marBottom w:val="0"/>
      <w:divBdr>
        <w:top w:val="none" w:sz="0" w:space="0" w:color="auto"/>
        <w:left w:val="none" w:sz="0" w:space="0" w:color="auto"/>
        <w:bottom w:val="none" w:sz="0" w:space="0" w:color="auto"/>
        <w:right w:val="none" w:sz="0" w:space="0" w:color="auto"/>
      </w:divBdr>
      <w:divsChild>
        <w:div w:id="32970601">
          <w:marLeft w:val="0"/>
          <w:marRight w:val="0"/>
          <w:marTop w:val="0"/>
          <w:marBottom w:val="0"/>
          <w:divBdr>
            <w:top w:val="none" w:sz="0" w:space="0" w:color="auto"/>
            <w:left w:val="none" w:sz="0" w:space="0" w:color="auto"/>
            <w:bottom w:val="none" w:sz="0" w:space="0" w:color="auto"/>
            <w:right w:val="none" w:sz="0" w:space="0" w:color="auto"/>
          </w:divBdr>
        </w:div>
        <w:div w:id="259995780">
          <w:marLeft w:val="0"/>
          <w:marRight w:val="0"/>
          <w:marTop w:val="0"/>
          <w:marBottom w:val="0"/>
          <w:divBdr>
            <w:top w:val="none" w:sz="0" w:space="0" w:color="auto"/>
            <w:left w:val="none" w:sz="0" w:space="0" w:color="auto"/>
            <w:bottom w:val="none" w:sz="0" w:space="0" w:color="auto"/>
            <w:right w:val="none" w:sz="0" w:space="0" w:color="auto"/>
          </w:divBdr>
        </w:div>
        <w:div w:id="311911160">
          <w:marLeft w:val="0"/>
          <w:marRight w:val="0"/>
          <w:marTop w:val="0"/>
          <w:marBottom w:val="0"/>
          <w:divBdr>
            <w:top w:val="none" w:sz="0" w:space="0" w:color="auto"/>
            <w:left w:val="none" w:sz="0" w:space="0" w:color="auto"/>
            <w:bottom w:val="none" w:sz="0" w:space="0" w:color="auto"/>
            <w:right w:val="none" w:sz="0" w:space="0" w:color="auto"/>
          </w:divBdr>
        </w:div>
        <w:div w:id="352611948">
          <w:marLeft w:val="0"/>
          <w:marRight w:val="0"/>
          <w:marTop w:val="0"/>
          <w:marBottom w:val="0"/>
          <w:divBdr>
            <w:top w:val="none" w:sz="0" w:space="0" w:color="auto"/>
            <w:left w:val="none" w:sz="0" w:space="0" w:color="auto"/>
            <w:bottom w:val="none" w:sz="0" w:space="0" w:color="auto"/>
            <w:right w:val="none" w:sz="0" w:space="0" w:color="auto"/>
          </w:divBdr>
        </w:div>
        <w:div w:id="454520112">
          <w:marLeft w:val="0"/>
          <w:marRight w:val="0"/>
          <w:marTop w:val="0"/>
          <w:marBottom w:val="0"/>
          <w:divBdr>
            <w:top w:val="none" w:sz="0" w:space="0" w:color="auto"/>
            <w:left w:val="none" w:sz="0" w:space="0" w:color="auto"/>
            <w:bottom w:val="none" w:sz="0" w:space="0" w:color="auto"/>
            <w:right w:val="none" w:sz="0" w:space="0" w:color="auto"/>
          </w:divBdr>
        </w:div>
        <w:div w:id="544024314">
          <w:marLeft w:val="0"/>
          <w:marRight w:val="0"/>
          <w:marTop w:val="0"/>
          <w:marBottom w:val="0"/>
          <w:divBdr>
            <w:top w:val="none" w:sz="0" w:space="0" w:color="auto"/>
            <w:left w:val="none" w:sz="0" w:space="0" w:color="auto"/>
            <w:bottom w:val="none" w:sz="0" w:space="0" w:color="auto"/>
            <w:right w:val="none" w:sz="0" w:space="0" w:color="auto"/>
          </w:divBdr>
        </w:div>
        <w:div w:id="649675579">
          <w:marLeft w:val="0"/>
          <w:marRight w:val="0"/>
          <w:marTop w:val="0"/>
          <w:marBottom w:val="0"/>
          <w:divBdr>
            <w:top w:val="none" w:sz="0" w:space="0" w:color="auto"/>
            <w:left w:val="none" w:sz="0" w:space="0" w:color="auto"/>
            <w:bottom w:val="none" w:sz="0" w:space="0" w:color="auto"/>
            <w:right w:val="none" w:sz="0" w:space="0" w:color="auto"/>
          </w:divBdr>
        </w:div>
        <w:div w:id="738747988">
          <w:marLeft w:val="0"/>
          <w:marRight w:val="0"/>
          <w:marTop w:val="0"/>
          <w:marBottom w:val="0"/>
          <w:divBdr>
            <w:top w:val="none" w:sz="0" w:space="0" w:color="auto"/>
            <w:left w:val="none" w:sz="0" w:space="0" w:color="auto"/>
            <w:bottom w:val="none" w:sz="0" w:space="0" w:color="auto"/>
            <w:right w:val="none" w:sz="0" w:space="0" w:color="auto"/>
          </w:divBdr>
        </w:div>
        <w:div w:id="780105033">
          <w:marLeft w:val="0"/>
          <w:marRight w:val="0"/>
          <w:marTop w:val="0"/>
          <w:marBottom w:val="0"/>
          <w:divBdr>
            <w:top w:val="none" w:sz="0" w:space="0" w:color="auto"/>
            <w:left w:val="none" w:sz="0" w:space="0" w:color="auto"/>
            <w:bottom w:val="none" w:sz="0" w:space="0" w:color="auto"/>
            <w:right w:val="none" w:sz="0" w:space="0" w:color="auto"/>
          </w:divBdr>
        </w:div>
        <w:div w:id="905409015">
          <w:marLeft w:val="0"/>
          <w:marRight w:val="0"/>
          <w:marTop w:val="0"/>
          <w:marBottom w:val="0"/>
          <w:divBdr>
            <w:top w:val="none" w:sz="0" w:space="0" w:color="auto"/>
            <w:left w:val="none" w:sz="0" w:space="0" w:color="auto"/>
            <w:bottom w:val="none" w:sz="0" w:space="0" w:color="auto"/>
            <w:right w:val="none" w:sz="0" w:space="0" w:color="auto"/>
          </w:divBdr>
        </w:div>
        <w:div w:id="1196112574">
          <w:marLeft w:val="0"/>
          <w:marRight w:val="0"/>
          <w:marTop w:val="0"/>
          <w:marBottom w:val="0"/>
          <w:divBdr>
            <w:top w:val="none" w:sz="0" w:space="0" w:color="auto"/>
            <w:left w:val="none" w:sz="0" w:space="0" w:color="auto"/>
            <w:bottom w:val="none" w:sz="0" w:space="0" w:color="auto"/>
            <w:right w:val="none" w:sz="0" w:space="0" w:color="auto"/>
          </w:divBdr>
        </w:div>
        <w:div w:id="1220550745">
          <w:marLeft w:val="0"/>
          <w:marRight w:val="0"/>
          <w:marTop w:val="0"/>
          <w:marBottom w:val="0"/>
          <w:divBdr>
            <w:top w:val="none" w:sz="0" w:space="0" w:color="auto"/>
            <w:left w:val="none" w:sz="0" w:space="0" w:color="auto"/>
            <w:bottom w:val="none" w:sz="0" w:space="0" w:color="auto"/>
            <w:right w:val="none" w:sz="0" w:space="0" w:color="auto"/>
          </w:divBdr>
        </w:div>
        <w:div w:id="1362393200">
          <w:marLeft w:val="0"/>
          <w:marRight w:val="0"/>
          <w:marTop w:val="0"/>
          <w:marBottom w:val="0"/>
          <w:divBdr>
            <w:top w:val="none" w:sz="0" w:space="0" w:color="auto"/>
            <w:left w:val="none" w:sz="0" w:space="0" w:color="auto"/>
            <w:bottom w:val="none" w:sz="0" w:space="0" w:color="auto"/>
            <w:right w:val="none" w:sz="0" w:space="0" w:color="auto"/>
          </w:divBdr>
        </w:div>
        <w:div w:id="2028747004">
          <w:marLeft w:val="0"/>
          <w:marRight w:val="0"/>
          <w:marTop w:val="0"/>
          <w:marBottom w:val="0"/>
          <w:divBdr>
            <w:top w:val="none" w:sz="0" w:space="0" w:color="auto"/>
            <w:left w:val="none" w:sz="0" w:space="0" w:color="auto"/>
            <w:bottom w:val="none" w:sz="0" w:space="0" w:color="auto"/>
            <w:right w:val="none" w:sz="0" w:space="0" w:color="auto"/>
          </w:divBdr>
        </w:div>
        <w:div w:id="2079092441">
          <w:marLeft w:val="0"/>
          <w:marRight w:val="0"/>
          <w:marTop w:val="0"/>
          <w:marBottom w:val="0"/>
          <w:divBdr>
            <w:top w:val="none" w:sz="0" w:space="0" w:color="auto"/>
            <w:left w:val="none" w:sz="0" w:space="0" w:color="auto"/>
            <w:bottom w:val="none" w:sz="0" w:space="0" w:color="auto"/>
            <w:right w:val="none" w:sz="0" w:space="0" w:color="auto"/>
          </w:divBdr>
        </w:div>
      </w:divsChild>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238855374">
      <w:bodyDiv w:val="1"/>
      <w:marLeft w:val="0"/>
      <w:marRight w:val="0"/>
      <w:marTop w:val="0"/>
      <w:marBottom w:val="0"/>
      <w:divBdr>
        <w:top w:val="none" w:sz="0" w:space="0" w:color="auto"/>
        <w:left w:val="none" w:sz="0" w:space="0" w:color="auto"/>
        <w:bottom w:val="none" w:sz="0" w:space="0" w:color="auto"/>
        <w:right w:val="none" w:sz="0" w:space="0" w:color="auto"/>
      </w:divBdr>
    </w:div>
    <w:div w:id="1239245457">
      <w:bodyDiv w:val="1"/>
      <w:marLeft w:val="0"/>
      <w:marRight w:val="0"/>
      <w:marTop w:val="0"/>
      <w:marBottom w:val="0"/>
      <w:divBdr>
        <w:top w:val="none" w:sz="0" w:space="0" w:color="auto"/>
        <w:left w:val="none" w:sz="0" w:space="0" w:color="auto"/>
        <w:bottom w:val="none" w:sz="0" w:space="0" w:color="auto"/>
        <w:right w:val="none" w:sz="0" w:space="0" w:color="auto"/>
      </w:divBdr>
      <w:divsChild>
        <w:div w:id="1892616189">
          <w:marLeft w:val="0"/>
          <w:marRight w:val="0"/>
          <w:marTop w:val="0"/>
          <w:marBottom w:val="660"/>
          <w:divBdr>
            <w:top w:val="none" w:sz="0" w:space="0" w:color="auto"/>
            <w:left w:val="none" w:sz="0" w:space="0" w:color="auto"/>
            <w:bottom w:val="none" w:sz="0" w:space="0" w:color="auto"/>
            <w:right w:val="none" w:sz="0" w:space="0" w:color="auto"/>
          </w:divBdr>
          <w:divsChild>
            <w:div w:id="867136640">
              <w:marLeft w:val="0"/>
              <w:marRight w:val="0"/>
              <w:marTop w:val="0"/>
              <w:marBottom w:val="0"/>
              <w:divBdr>
                <w:top w:val="none" w:sz="0" w:space="0" w:color="auto"/>
                <w:left w:val="none" w:sz="0" w:space="0" w:color="auto"/>
                <w:bottom w:val="none" w:sz="0" w:space="0" w:color="auto"/>
                <w:right w:val="none" w:sz="0" w:space="0" w:color="auto"/>
              </w:divBdr>
              <w:divsChild>
                <w:div w:id="1885091702">
                  <w:marLeft w:val="0"/>
                  <w:marRight w:val="0"/>
                  <w:marTop w:val="0"/>
                  <w:marBottom w:val="450"/>
                  <w:divBdr>
                    <w:top w:val="none" w:sz="0" w:space="0" w:color="auto"/>
                    <w:left w:val="none" w:sz="0" w:space="0" w:color="auto"/>
                    <w:bottom w:val="none" w:sz="0" w:space="0" w:color="auto"/>
                    <w:right w:val="none" w:sz="0" w:space="0" w:color="auto"/>
                  </w:divBdr>
                  <w:divsChild>
                    <w:div w:id="871840795">
                      <w:marLeft w:val="0"/>
                      <w:marRight w:val="0"/>
                      <w:marTop w:val="0"/>
                      <w:marBottom w:val="0"/>
                      <w:divBdr>
                        <w:top w:val="none" w:sz="0" w:space="0" w:color="auto"/>
                        <w:left w:val="none" w:sz="0" w:space="0" w:color="auto"/>
                        <w:bottom w:val="none" w:sz="0" w:space="0" w:color="auto"/>
                        <w:right w:val="none" w:sz="0" w:space="0" w:color="auto"/>
                      </w:divBdr>
                      <w:divsChild>
                        <w:div w:id="1557817784">
                          <w:marLeft w:val="0"/>
                          <w:marRight w:val="0"/>
                          <w:marTop w:val="0"/>
                          <w:marBottom w:val="0"/>
                          <w:divBdr>
                            <w:top w:val="none" w:sz="0" w:space="0" w:color="auto"/>
                            <w:left w:val="none" w:sz="0" w:space="0" w:color="auto"/>
                            <w:bottom w:val="none" w:sz="0" w:space="0" w:color="auto"/>
                            <w:right w:val="none" w:sz="0" w:space="0" w:color="auto"/>
                          </w:divBdr>
                          <w:divsChild>
                            <w:div w:id="796945538">
                              <w:marLeft w:val="0"/>
                              <w:marRight w:val="0"/>
                              <w:marTop w:val="0"/>
                              <w:marBottom w:val="0"/>
                              <w:divBdr>
                                <w:top w:val="none" w:sz="0" w:space="0" w:color="auto"/>
                                <w:left w:val="none" w:sz="0" w:space="0" w:color="auto"/>
                                <w:bottom w:val="none" w:sz="0" w:space="0" w:color="auto"/>
                                <w:right w:val="none" w:sz="0" w:space="0" w:color="auto"/>
                              </w:divBdr>
                              <w:divsChild>
                                <w:div w:id="1501893317">
                                  <w:marLeft w:val="0"/>
                                  <w:marRight w:val="0"/>
                                  <w:marTop w:val="0"/>
                                  <w:marBottom w:val="0"/>
                                  <w:divBdr>
                                    <w:top w:val="none" w:sz="0" w:space="0" w:color="auto"/>
                                    <w:left w:val="none" w:sz="0" w:space="0" w:color="auto"/>
                                    <w:bottom w:val="none" w:sz="0" w:space="0" w:color="auto"/>
                                    <w:right w:val="none" w:sz="0" w:space="0" w:color="auto"/>
                                  </w:divBdr>
                                  <w:divsChild>
                                    <w:div w:id="1068962279">
                                      <w:marLeft w:val="0"/>
                                      <w:marRight w:val="0"/>
                                      <w:marTop w:val="0"/>
                                      <w:marBottom w:val="0"/>
                                      <w:divBdr>
                                        <w:top w:val="none" w:sz="0" w:space="0" w:color="auto"/>
                                        <w:left w:val="none" w:sz="0" w:space="0" w:color="auto"/>
                                        <w:bottom w:val="none" w:sz="0" w:space="0" w:color="auto"/>
                                        <w:right w:val="none" w:sz="0" w:space="0" w:color="auto"/>
                                      </w:divBdr>
                                      <w:divsChild>
                                        <w:div w:id="1529444562">
                                          <w:marLeft w:val="0"/>
                                          <w:marRight w:val="0"/>
                                          <w:marTop w:val="0"/>
                                          <w:marBottom w:val="0"/>
                                          <w:divBdr>
                                            <w:top w:val="none" w:sz="0" w:space="0" w:color="auto"/>
                                            <w:left w:val="none" w:sz="0" w:space="0" w:color="auto"/>
                                            <w:bottom w:val="none" w:sz="0" w:space="0" w:color="auto"/>
                                            <w:right w:val="none" w:sz="0" w:space="0" w:color="auto"/>
                                          </w:divBdr>
                                          <w:divsChild>
                                            <w:div w:id="917907521">
                                              <w:marLeft w:val="0"/>
                                              <w:marRight w:val="0"/>
                                              <w:marTop w:val="0"/>
                                              <w:marBottom w:val="0"/>
                                              <w:divBdr>
                                                <w:top w:val="none" w:sz="0" w:space="0" w:color="auto"/>
                                                <w:left w:val="none" w:sz="0" w:space="0" w:color="auto"/>
                                                <w:bottom w:val="none" w:sz="0" w:space="0" w:color="auto"/>
                                                <w:right w:val="none" w:sz="0" w:space="0" w:color="auto"/>
                                              </w:divBdr>
                                              <w:divsChild>
                                                <w:div w:id="657152511">
                                                  <w:marLeft w:val="0"/>
                                                  <w:marRight w:val="0"/>
                                                  <w:marTop w:val="0"/>
                                                  <w:marBottom w:val="0"/>
                                                  <w:divBdr>
                                                    <w:top w:val="none" w:sz="0" w:space="0" w:color="auto"/>
                                                    <w:left w:val="none" w:sz="0" w:space="0" w:color="auto"/>
                                                    <w:bottom w:val="none" w:sz="0" w:space="0" w:color="auto"/>
                                                    <w:right w:val="none" w:sz="0" w:space="0" w:color="auto"/>
                                                  </w:divBdr>
                                                  <w:divsChild>
                                                    <w:div w:id="1520318769">
                                                      <w:marLeft w:val="0"/>
                                                      <w:marRight w:val="0"/>
                                                      <w:marTop w:val="0"/>
                                                      <w:marBottom w:val="0"/>
                                                      <w:divBdr>
                                                        <w:top w:val="none" w:sz="0" w:space="0" w:color="auto"/>
                                                        <w:left w:val="none" w:sz="0" w:space="0" w:color="auto"/>
                                                        <w:bottom w:val="none" w:sz="0" w:space="0" w:color="auto"/>
                                                        <w:right w:val="none" w:sz="0" w:space="0" w:color="auto"/>
                                                      </w:divBdr>
                                                    </w:div>
                                                    <w:div w:id="1127040743">
                                                      <w:marLeft w:val="0"/>
                                                      <w:marRight w:val="0"/>
                                                      <w:marTop w:val="0"/>
                                                      <w:marBottom w:val="0"/>
                                                      <w:divBdr>
                                                        <w:top w:val="none" w:sz="0" w:space="0" w:color="auto"/>
                                                        <w:left w:val="none" w:sz="0" w:space="0" w:color="auto"/>
                                                        <w:bottom w:val="none" w:sz="0" w:space="0" w:color="auto"/>
                                                        <w:right w:val="none" w:sz="0" w:space="0" w:color="auto"/>
                                                      </w:divBdr>
                                                      <w:divsChild>
                                                        <w:div w:id="1487166672">
                                                          <w:marLeft w:val="0"/>
                                                          <w:marRight w:val="165"/>
                                                          <w:marTop w:val="150"/>
                                                          <w:marBottom w:val="0"/>
                                                          <w:divBdr>
                                                            <w:top w:val="none" w:sz="0" w:space="0" w:color="auto"/>
                                                            <w:left w:val="none" w:sz="0" w:space="0" w:color="auto"/>
                                                            <w:bottom w:val="none" w:sz="0" w:space="0" w:color="auto"/>
                                                            <w:right w:val="none" w:sz="0" w:space="0" w:color="auto"/>
                                                          </w:divBdr>
                                                          <w:divsChild>
                                                            <w:div w:id="948926738">
                                                              <w:marLeft w:val="0"/>
                                                              <w:marRight w:val="0"/>
                                                              <w:marTop w:val="0"/>
                                                              <w:marBottom w:val="0"/>
                                                              <w:divBdr>
                                                                <w:top w:val="none" w:sz="0" w:space="0" w:color="auto"/>
                                                                <w:left w:val="none" w:sz="0" w:space="0" w:color="auto"/>
                                                                <w:bottom w:val="none" w:sz="0" w:space="0" w:color="auto"/>
                                                                <w:right w:val="none" w:sz="0" w:space="0" w:color="auto"/>
                                                              </w:divBdr>
                                                              <w:divsChild>
                                                                <w:div w:id="41558871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5434682">
                          <w:marLeft w:val="0"/>
                          <w:marRight w:val="0"/>
                          <w:marTop w:val="240"/>
                          <w:marBottom w:val="0"/>
                          <w:divBdr>
                            <w:top w:val="none" w:sz="0" w:space="0" w:color="auto"/>
                            <w:left w:val="none" w:sz="0" w:space="0" w:color="auto"/>
                            <w:bottom w:val="none" w:sz="0" w:space="0" w:color="auto"/>
                            <w:right w:val="none" w:sz="0" w:space="0" w:color="auto"/>
                          </w:divBdr>
                          <w:divsChild>
                            <w:div w:id="728462375">
                              <w:marLeft w:val="210"/>
                              <w:marRight w:val="0"/>
                              <w:marTop w:val="0"/>
                              <w:marBottom w:val="0"/>
                              <w:divBdr>
                                <w:top w:val="none" w:sz="0" w:space="0" w:color="auto"/>
                                <w:left w:val="none" w:sz="0" w:space="0" w:color="auto"/>
                                <w:bottom w:val="none" w:sz="0" w:space="0" w:color="auto"/>
                                <w:right w:val="none" w:sz="0" w:space="0" w:color="auto"/>
                              </w:divBdr>
                              <w:divsChild>
                                <w:div w:id="169530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337335">
          <w:marLeft w:val="0"/>
          <w:marRight w:val="0"/>
          <w:marTop w:val="0"/>
          <w:marBottom w:val="0"/>
          <w:divBdr>
            <w:top w:val="none" w:sz="0" w:space="0" w:color="auto"/>
            <w:left w:val="none" w:sz="0" w:space="0" w:color="auto"/>
            <w:bottom w:val="none" w:sz="0" w:space="0" w:color="auto"/>
            <w:right w:val="none" w:sz="0" w:space="0" w:color="auto"/>
          </w:divBdr>
          <w:divsChild>
            <w:div w:id="810362938">
              <w:marLeft w:val="0"/>
              <w:marRight w:val="0"/>
              <w:marTop w:val="0"/>
              <w:marBottom w:val="660"/>
              <w:divBdr>
                <w:top w:val="none" w:sz="0" w:space="0" w:color="auto"/>
                <w:left w:val="none" w:sz="0" w:space="0" w:color="auto"/>
                <w:bottom w:val="none" w:sz="0" w:space="0" w:color="auto"/>
                <w:right w:val="none" w:sz="0" w:space="0" w:color="auto"/>
              </w:divBdr>
              <w:divsChild>
                <w:div w:id="997272343">
                  <w:marLeft w:val="0"/>
                  <w:marRight w:val="0"/>
                  <w:marTop w:val="0"/>
                  <w:marBottom w:val="0"/>
                  <w:divBdr>
                    <w:top w:val="none" w:sz="0" w:space="0" w:color="auto"/>
                    <w:left w:val="none" w:sz="0" w:space="0" w:color="auto"/>
                    <w:bottom w:val="none" w:sz="0" w:space="0" w:color="auto"/>
                    <w:right w:val="none" w:sz="0" w:space="0" w:color="auto"/>
                  </w:divBdr>
                  <w:divsChild>
                    <w:div w:id="60301189">
                      <w:marLeft w:val="0"/>
                      <w:marRight w:val="0"/>
                      <w:marTop w:val="0"/>
                      <w:marBottom w:val="150"/>
                      <w:divBdr>
                        <w:top w:val="none" w:sz="0" w:space="0" w:color="auto"/>
                        <w:left w:val="none" w:sz="0" w:space="0" w:color="auto"/>
                        <w:bottom w:val="none" w:sz="0" w:space="0" w:color="auto"/>
                        <w:right w:val="none" w:sz="0" w:space="0" w:color="auto"/>
                      </w:divBdr>
                      <w:divsChild>
                        <w:div w:id="588193731">
                          <w:marLeft w:val="0"/>
                          <w:marRight w:val="0"/>
                          <w:marTop w:val="0"/>
                          <w:marBottom w:val="0"/>
                          <w:divBdr>
                            <w:top w:val="none" w:sz="0" w:space="0" w:color="auto"/>
                            <w:left w:val="none" w:sz="0" w:space="0" w:color="auto"/>
                            <w:bottom w:val="none" w:sz="0" w:space="0" w:color="auto"/>
                            <w:right w:val="none" w:sz="0" w:space="0" w:color="auto"/>
                          </w:divBdr>
                          <w:divsChild>
                            <w:div w:id="1954745095">
                              <w:marLeft w:val="0"/>
                              <w:marRight w:val="0"/>
                              <w:marTop w:val="0"/>
                              <w:marBottom w:val="0"/>
                              <w:divBdr>
                                <w:top w:val="none" w:sz="0" w:space="0" w:color="auto"/>
                                <w:left w:val="none" w:sz="0" w:space="0" w:color="auto"/>
                                <w:bottom w:val="none" w:sz="0" w:space="0" w:color="auto"/>
                                <w:right w:val="none" w:sz="0" w:space="0" w:color="auto"/>
                              </w:divBdr>
                              <w:divsChild>
                                <w:div w:id="1236360909">
                                  <w:marLeft w:val="0"/>
                                  <w:marRight w:val="0"/>
                                  <w:marTop w:val="0"/>
                                  <w:marBottom w:val="0"/>
                                  <w:divBdr>
                                    <w:top w:val="none" w:sz="0" w:space="0" w:color="auto"/>
                                    <w:left w:val="none" w:sz="0" w:space="0" w:color="auto"/>
                                    <w:bottom w:val="none" w:sz="0" w:space="0" w:color="auto"/>
                                    <w:right w:val="none" w:sz="0" w:space="0" w:color="auto"/>
                                  </w:divBdr>
                                  <w:divsChild>
                                    <w:div w:id="1875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205941">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324509420">
      <w:bodyDiv w:val="1"/>
      <w:marLeft w:val="0"/>
      <w:marRight w:val="0"/>
      <w:marTop w:val="0"/>
      <w:marBottom w:val="0"/>
      <w:divBdr>
        <w:top w:val="none" w:sz="0" w:space="0" w:color="auto"/>
        <w:left w:val="none" w:sz="0" w:space="0" w:color="auto"/>
        <w:bottom w:val="none" w:sz="0" w:space="0" w:color="auto"/>
        <w:right w:val="none" w:sz="0" w:space="0" w:color="auto"/>
      </w:divBdr>
    </w:div>
    <w:div w:id="1343630686">
      <w:bodyDiv w:val="1"/>
      <w:marLeft w:val="0"/>
      <w:marRight w:val="0"/>
      <w:marTop w:val="0"/>
      <w:marBottom w:val="0"/>
      <w:divBdr>
        <w:top w:val="none" w:sz="0" w:space="0" w:color="auto"/>
        <w:left w:val="none" w:sz="0" w:space="0" w:color="auto"/>
        <w:bottom w:val="none" w:sz="0" w:space="0" w:color="auto"/>
        <w:right w:val="none" w:sz="0" w:space="0" w:color="auto"/>
      </w:divBdr>
    </w:div>
    <w:div w:id="1422681975">
      <w:bodyDiv w:val="1"/>
      <w:marLeft w:val="0"/>
      <w:marRight w:val="0"/>
      <w:marTop w:val="0"/>
      <w:marBottom w:val="0"/>
      <w:divBdr>
        <w:top w:val="none" w:sz="0" w:space="0" w:color="auto"/>
        <w:left w:val="none" w:sz="0" w:space="0" w:color="auto"/>
        <w:bottom w:val="none" w:sz="0" w:space="0" w:color="auto"/>
        <w:right w:val="none" w:sz="0" w:space="0" w:color="auto"/>
      </w:divBdr>
    </w:div>
    <w:div w:id="1448505692">
      <w:bodyDiv w:val="1"/>
      <w:marLeft w:val="0"/>
      <w:marRight w:val="0"/>
      <w:marTop w:val="0"/>
      <w:marBottom w:val="0"/>
      <w:divBdr>
        <w:top w:val="none" w:sz="0" w:space="0" w:color="auto"/>
        <w:left w:val="none" w:sz="0" w:space="0" w:color="auto"/>
        <w:bottom w:val="none" w:sz="0" w:space="0" w:color="auto"/>
        <w:right w:val="none" w:sz="0" w:space="0" w:color="auto"/>
      </w:divBdr>
    </w:div>
    <w:div w:id="1451513706">
      <w:bodyDiv w:val="1"/>
      <w:marLeft w:val="0"/>
      <w:marRight w:val="0"/>
      <w:marTop w:val="0"/>
      <w:marBottom w:val="0"/>
      <w:divBdr>
        <w:top w:val="none" w:sz="0" w:space="0" w:color="auto"/>
        <w:left w:val="none" w:sz="0" w:space="0" w:color="auto"/>
        <w:bottom w:val="none" w:sz="0" w:space="0" w:color="auto"/>
        <w:right w:val="none" w:sz="0" w:space="0" w:color="auto"/>
      </w:divBdr>
      <w:divsChild>
        <w:div w:id="182208016">
          <w:marLeft w:val="0"/>
          <w:marRight w:val="0"/>
          <w:marTop w:val="105"/>
          <w:marBottom w:val="105"/>
          <w:divBdr>
            <w:top w:val="none" w:sz="0" w:space="0" w:color="auto"/>
            <w:left w:val="none" w:sz="0" w:space="0" w:color="auto"/>
            <w:bottom w:val="none" w:sz="0" w:space="0" w:color="auto"/>
            <w:right w:val="none" w:sz="0" w:space="0" w:color="auto"/>
          </w:divBdr>
        </w:div>
        <w:div w:id="1847161686">
          <w:marLeft w:val="0"/>
          <w:marRight w:val="0"/>
          <w:marTop w:val="105"/>
          <w:marBottom w:val="105"/>
          <w:divBdr>
            <w:top w:val="none" w:sz="0" w:space="0" w:color="auto"/>
            <w:left w:val="none" w:sz="0" w:space="0" w:color="auto"/>
            <w:bottom w:val="none" w:sz="0" w:space="0" w:color="auto"/>
            <w:right w:val="none" w:sz="0" w:space="0" w:color="auto"/>
          </w:divBdr>
        </w:div>
      </w:divsChild>
    </w:div>
    <w:div w:id="1487208843">
      <w:bodyDiv w:val="1"/>
      <w:marLeft w:val="0"/>
      <w:marRight w:val="0"/>
      <w:marTop w:val="0"/>
      <w:marBottom w:val="0"/>
      <w:divBdr>
        <w:top w:val="none" w:sz="0" w:space="0" w:color="auto"/>
        <w:left w:val="none" w:sz="0" w:space="0" w:color="auto"/>
        <w:bottom w:val="none" w:sz="0" w:space="0" w:color="auto"/>
        <w:right w:val="none" w:sz="0" w:space="0" w:color="auto"/>
      </w:divBdr>
    </w:div>
    <w:div w:id="1498611912">
      <w:bodyDiv w:val="1"/>
      <w:marLeft w:val="0"/>
      <w:marRight w:val="0"/>
      <w:marTop w:val="0"/>
      <w:marBottom w:val="0"/>
      <w:divBdr>
        <w:top w:val="none" w:sz="0" w:space="0" w:color="auto"/>
        <w:left w:val="none" w:sz="0" w:space="0" w:color="auto"/>
        <w:bottom w:val="none" w:sz="0" w:space="0" w:color="auto"/>
        <w:right w:val="none" w:sz="0" w:space="0" w:color="auto"/>
      </w:divBdr>
    </w:div>
    <w:div w:id="1533033914">
      <w:bodyDiv w:val="1"/>
      <w:marLeft w:val="0"/>
      <w:marRight w:val="0"/>
      <w:marTop w:val="0"/>
      <w:marBottom w:val="0"/>
      <w:divBdr>
        <w:top w:val="none" w:sz="0" w:space="0" w:color="auto"/>
        <w:left w:val="none" w:sz="0" w:space="0" w:color="auto"/>
        <w:bottom w:val="none" w:sz="0" w:space="0" w:color="auto"/>
        <w:right w:val="none" w:sz="0" w:space="0" w:color="auto"/>
      </w:divBdr>
    </w:div>
    <w:div w:id="1541672740">
      <w:bodyDiv w:val="1"/>
      <w:marLeft w:val="0"/>
      <w:marRight w:val="0"/>
      <w:marTop w:val="0"/>
      <w:marBottom w:val="0"/>
      <w:divBdr>
        <w:top w:val="none" w:sz="0" w:space="0" w:color="auto"/>
        <w:left w:val="none" w:sz="0" w:space="0" w:color="auto"/>
        <w:bottom w:val="none" w:sz="0" w:space="0" w:color="auto"/>
        <w:right w:val="none" w:sz="0" w:space="0" w:color="auto"/>
      </w:divBdr>
    </w:div>
    <w:div w:id="1669206651">
      <w:bodyDiv w:val="1"/>
      <w:marLeft w:val="0"/>
      <w:marRight w:val="0"/>
      <w:marTop w:val="0"/>
      <w:marBottom w:val="0"/>
      <w:divBdr>
        <w:top w:val="none" w:sz="0" w:space="0" w:color="auto"/>
        <w:left w:val="none" w:sz="0" w:space="0" w:color="auto"/>
        <w:bottom w:val="none" w:sz="0" w:space="0" w:color="auto"/>
        <w:right w:val="none" w:sz="0" w:space="0" w:color="auto"/>
      </w:divBdr>
      <w:divsChild>
        <w:div w:id="43067991">
          <w:marLeft w:val="0"/>
          <w:marRight w:val="0"/>
          <w:marTop w:val="0"/>
          <w:marBottom w:val="0"/>
          <w:divBdr>
            <w:top w:val="none" w:sz="0" w:space="0" w:color="auto"/>
            <w:left w:val="none" w:sz="0" w:space="0" w:color="auto"/>
            <w:bottom w:val="none" w:sz="0" w:space="0" w:color="auto"/>
            <w:right w:val="none" w:sz="0" w:space="0" w:color="auto"/>
          </w:divBdr>
        </w:div>
        <w:div w:id="165750783">
          <w:marLeft w:val="0"/>
          <w:marRight w:val="0"/>
          <w:marTop w:val="0"/>
          <w:marBottom w:val="0"/>
          <w:divBdr>
            <w:top w:val="none" w:sz="0" w:space="0" w:color="auto"/>
            <w:left w:val="none" w:sz="0" w:space="0" w:color="auto"/>
            <w:bottom w:val="none" w:sz="0" w:space="0" w:color="auto"/>
            <w:right w:val="none" w:sz="0" w:space="0" w:color="auto"/>
          </w:divBdr>
        </w:div>
      </w:divsChild>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777822624">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898973741">
      <w:bodyDiv w:val="1"/>
      <w:marLeft w:val="0"/>
      <w:marRight w:val="0"/>
      <w:marTop w:val="0"/>
      <w:marBottom w:val="0"/>
      <w:divBdr>
        <w:top w:val="none" w:sz="0" w:space="0" w:color="auto"/>
        <w:left w:val="none" w:sz="0" w:space="0" w:color="auto"/>
        <w:bottom w:val="none" w:sz="0" w:space="0" w:color="auto"/>
        <w:right w:val="none" w:sz="0" w:space="0" w:color="auto"/>
      </w:divBdr>
    </w:div>
    <w:div w:id="1931967134">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63531703">
      <w:bodyDiv w:val="1"/>
      <w:marLeft w:val="0"/>
      <w:marRight w:val="0"/>
      <w:marTop w:val="0"/>
      <w:marBottom w:val="0"/>
      <w:divBdr>
        <w:top w:val="none" w:sz="0" w:space="0" w:color="auto"/>
        <w:left w:val="none" w:sz="0" w:space="0" w:color="auto"/>
        <w:bottom w:val="none" w:sz="0" w:space="0" w:color="auto"/>
        <w:right w:val="none" w:sz="0" w:space="0" w:color="auto"/>
      </w:divBdr>
    </w:div>
    <w:div w:id="1976569538">
      <w:bodyDiv w:val="1"/>
      <w:marLeft w:val="0"/>
      <w:marRight w:val="0"/>
      <w:marTop w:val="0"/>
      <w:marBottom w:val="0"/>
      <w:divBdr>
        <w:top w:val="none" w:sz="0" w:space="0" w:color="auto"/>
        <w:left w:val="none" w:sz="0" w:space="0" w:color="auto"/>
        <w:bottom w:val="none" w:sz="0" w:space="0" w:color="auto"/>
        <w:right w:val="none" w:sz="0" w:space="0" w:color="auto"/>
      </w:divBdr>
    </w:div>
    <w:div w:id="1998418376">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 w:id="2053992533">
      <w:bodyDiv w:val="1"/>
      <w:marLeft w:val="0"/>
      <w:marRight w:val="0"/>
      <w:marTop w:val="0"/>
      <w:marBottom w:val="0"/>
      <w:divBdr>
        <w:top w:val="none" w:sz="0" w:space="0" w:color="auto"/>
        <w:left w:val="none" w:sz="0" w:space="0" w:color="auto"/>
        <w:bottom w:val="none" w:sz="0" w:space="0" w:color="auto"/>
        <w:right w:val="none" w:sz="0" w:space="0" w:color="auto"/>
      </w:divBdr>
    </w:div>
    <w:div w:id="2112431791">
      <w:bodyDiv w:val="1"/>
      <w:marLeft w:val="0"/>
      <w:marRight w:val="0"/>
      <w:marTop w:val="0"/>
      <w:marBottom w:val="0"/>
      <w:divBdr>
        <w:top w:val="none" w:sz="0" w:space="0" w:color="auto"/>
        <w:left w:val="none" w:sz="0" w:space="0" w:color="auto"/>
        <w:bottom w:val="none" w:sz="0" w:space="0" w:color="auto"/>
        <w:right w:val="none" w:sz="0" w:space="0" w:color="auto"/>
      </w:divBdr>
    </w:div>
    <w:div w:id="214665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1/np-mop-01-dec-09-es.pdf" TargetMode="External"/><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hyperlink" Target="https://www.cbd.int/doc/recommendations/sbi-03/sbi-03-rec-08-es.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2/np-mop-02-dec-08-es.pdf" TargetMode="External"/><Relationship Id="rId25" Type="http://schemas.openxmlformats.org/officeDocument/2006/relationships/chart" Target="charts/chart4.xm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np-mop-03/np-mop-03-dec-01-es.pdf" TargetMode="External"/><Relationship Id="rId20" Type="http://schemas.openxmlformats.org/officeDocument/2006/relationships/hyperlink" Target="https://www.cbd.int/doc/decisions/cop-14/cop-14-dec-24-es.pdf" TargetMode="Externa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3.xm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np-mop-03/np-mop-03-dec-05-es.pdf" TargetMode="External"/><Relationship Id="rId23" Type="http://schemas.openxmlformats.org/officeDocument/2006/relationships/chart" Target="charts/chart2.xml"/><Relationship Id="rId28" Type="http://schemas.openxmlformats.org/officeDocument/2006/relationships/chart" Target="charts/chart6.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np-mop-03/np-mop-03-dec-06-es.pdf" TargetMode="External"/><Relationship Id="rId31" Type="http://schemas.openxmlformats.org/officeDocument/2006/relationships/hyperlink" Target="https://www.cbd.int/doc/recommendations/sbi-03/sbi-03-rec-09-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8-es.pdf" TargetMode="External"/><Relationship Id="rId22" Type="http://schemas.openxmlformats.org/officeDocument/2006/relationships/chart" Target="charts/chart1.xml"/><Relationship Id="rId27" Type="http://schemas.openxmlformats.org/officeDocument/2006/relationships/hyperlink" Target="https://www.cbd.int/doc/decisions/np-mop-01/np-mop-01-dec-02-es.pdf" TargetMode="External"/><Relationship Id="rId30" Type="http://schemas.openxmlformats.org/officeDocument/2006/relationships/hyperlink" Target="https://www.cbd.int/doc/notifications/2021/ntf-2021-037-abs-en.pdf" TargetMode="Externa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si-gr/forum.shtml" TargetMode="External"/><Relationship Id="rId2" Type="http://schemas.openxmlformats.org/officeDocument/2006/relationships/hyperlink" Target="https://www.cbd.int/article/dsi-webinar-series-2020" TargetMode="External"/><Relationship Id="rId1" Type="http://schemas.openxmlformats.org/officeDocument/2006/relationships/hyperlink" Target="https://www.cbd.int/doc/c/3641/529d/6c2a79ecba9a6fa1fa276aa1/np-cb-ws-2019-01-02-en.pdf" TargetMode="External"/><Relationship Id="rId4" Type="http://schemas.openxmlformats.org/officeDocument/2006/relationships/hyperlink" Target="https://vimeo.com/263320356/513f748f8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44771\Documents\CBD\Complete%20Matrix%20-%20CB%20projects%202021ES%20REVISED%20NOV%201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44771\Documents\CBD\Complete%20Matrix%20-%20CB%20projects%202021ES%20REVISED%20NOV%201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44771\Documents\CBD\Complete%20Matrix%20-%20CB%20projects%202021ES%20REVISED%20NOV%201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44771\Documents\CBD\Complete%20Matrix%20-%20CB%20projects%202021ES%20REVISED%20NOV%201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44771\Documents\CBD\Copy%20of%20Complete%20Matrix%20-%20CB%20projects%202021ES%20REVISED%20FOR%20EDITOR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44771\Documents\CBD\List%20of%20cb%20resources%20202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44771\Documents\CBD\List%20of%20cb%20resources%20202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r>
              <a:rPr lang="en-US" sz="1200" b="1" cap="none" baseline="0">
                <a:solidFill>
                  <a:sysClr val="windowText" lastClr="000000"/>
                </a:solidFill>
                <a:latin typeface="Times New Roman" panose="02020603050405020304" pitchFamily="18" charset="0"/>
                <a:cs typeface="Times New Roman" panose="02020603050405020304" pitchFamily="18" charset="0"/>
              </a:rPr>
              <a:t>Figura 1: Estado de las iniciativas de creación</a:t>
            </a:r>
            <a:br>
              <a:rPr lang="en-US" sz="1200" b="1" cap="none" baseline="0">
                <a:solidFill>
                  <a:sysClr val="windowText" lastClr="000000"/>
                </a:solidFill>
                <a:latin typeface="Times New Roman" panose="02020603050405020304" pitchFamily="18" charset="0"/>
                <a:cs typeface="Times New Roman" panose="02020603050405020304" pitchFamily="18" charset="0"/>
              </a:rPr>
            </a:br>
            <a:r>
              <a:rPr lang="en-US" sz="1200" b="1" cap="none" baseline="0">
                <a:solidFill>
                  <a:sysClr val="windowText" lastClr="000000"/>
                </a:solidFill>
                <a:latin typeface="Times New Roman" panose="02020603050405020304" pitchFamily="18" charset="0"/>
                <a:cs typeface="Times New Roman" panose="02020603050405020304" pitchFamily="18" charset="0"/>
              </a:rPr>
              <a:t>de capacidad</a:t>
            </a:r>
            <a:br>
              <a:rPr lang="en-US" sz="1200" b="1" cap="none" baseline="0">
                <a:solidFill>
                  <a:sysClr val="windowText" lastClr="000000"/>
                </a:solidFill>
              </a:rPr>
            </a:br>
            <a:r>
              <a:rPr lang="en-US" sz="1200" b="1" cap="none" baseline="0">
                <a:solidFill>
                  <a:sysClr val="windowText" lastClr="000000"/>
                </a:solidFill>
                <a:latin typeface="Times New Roman" panose="02020603050405020304" pitchFamily="18" charset="0"/>
                <a:cs typeface="Times New Roman" panose="02020603050405020304" pitchFamily="18" charset="0"/>
              </a:rPr>
              <a:t> n=103</a:t>
            </a:r>
          </a:p>
        </c:rich>
      </c:tx>
      <c:layout>
        <c:manualLayout>
          <c:xMode val="edge"/>
          <c:yMode val="edge"/>
          <c:x val="0.12551990926486692"/>
          <c:y val="7.9620761690502966E-3"/>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pattFill prst="dkUpDiag">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AC5A-454F-8458-66C4C424E420}"/>
              </c:ext>
            </c:extLst>
          </c:dPt>
          <c:dPt>
            <c:idx val="1"/>
            <c:bubble3D val="0"/>
            <c:spPr>
              <a:pattFill prst="pct5">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AC5A-454F-8458-66C4C424E420}"/>
              </c:ext>
            </c:extLst>
          </c:dPt>
          <c:dPt>
            <c:idx val="2"/>
            <c:bubble3D val="0"/>
            <c:spPr>
              <a:solidFill>
                <a:schemeClr val="bg1">
                  <a:lumMod val="7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AC5A-454F-8458-66C4C424E420}"/>
              </c:ext>
            </c:extLst>
          </c:dPt>
          <c:dPt>
            <c:idx val="3"/>
            <c:bubble3D val="0"/>
            <c:spPr>
              <a:solidFill>
                <a:schemeClr val="tx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AC5A-454F-8458-66C4C424E420}"/>
              </c:ext>
            </c:extLst>
          </c:dPt>
          <c:dLbls>
            <c:dLbl>
              <c:idx val="0"/>
              <c:layout>
                <c:manualLayout>
                  <c:x val="0"/>
                  <c:y val="0"/>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fld id="{151D2A6A-47DD-4EBB-BC48-83E0CEDB9912}" type="CATEGORYNAME">
                      <a:rPr lang="en-US">
                        <a:latin typeface="Times New Roman" panose="02020603050405020304" pitchFamily="18" charset="0"/>
                        <a:cs typeface="Times New Roman" panose="02020603050405020304" pitchFamily="18" charset="0"/>
                      </a:rPr>
                      <a:pPr>
                        <a:defRPr>
                          <a:solidFill>
                            <a:schemeClr val="tx1"/>
                          </a:solidFill>
                        </a:defRPr>
                      </a:pPr>
                      <a:t>[CATEGORY NAME]</a:t>
                    </a:fld>
                    <a:r>
                      <a:rPr lang="en-US" baseline="0">
                        <a:latin typeface="Times New Roman" panose="02020603050405020304" pitchFamily="18" charset="0"/>
                        <a:cs typeface="Times New Roman" panose="02020603050405020304" pitchFamily="18" charset="0"/>
                      </a:rPr>
                      <a:t>
</a:t>
                    </a:r>
                    <a:fld id="{CC497411-B4F9-4381-A100-AFE94F6310E6}" type="PERCENTAGE">
                      <a:rPr lang="en-US" baseline="0">
                        <a:latin typeface="Times New Roman" panose="02020603050405020304" pitchFamily="18" charset="0"/>
                        <a:cs typeface="Times New Roman" panose="02020603050405020304" pitchFamily="18" charset="0"/>
                      </a:rPr>
                      <a:pPr>
                        <a:defRPr>
                          <a:solidFill>
                            <a:schemeClr val="tx1"/>
                          </a:solidFill>
                        </a:defRPr>
                      </a:pPr>
                      <a:t>[PERCENTAGE]</a:t>
                    </a:fld>
                    <a:endParaRPr lang="en-US" baseline="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C5A-454F-8458-66C4C424E420}"/>
                </c:ext>
              </c:extLst>
            </c:dLbl>
            <c:dLbl>
              <c:idx val="1"/>
              <c:layout>
                <c:manualLayout>
                  <c:x val="2.7495872912776378E-3"/>
                  <c:y val="3.613138166972505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fld id="{ACC7041C-532E-44AE-B071-C143405B045B}" type="CATEGORYNAME">
                      <a:rPr lang="en-US">
                        <a:latin typeface="Times New Roman" panose="02020603050405020304" pitchFamily="18" charset="0"/>
                        <a:cs typeface="Times New Roman" panose="02020603050405020304" pitchFamily="18" charset="0"/>
                      </a:rPr>
                      <a:pPr>
                        <a:defRPr>
                          <a:solidFill>
                            <a:schemeClr val="tx1"/>
                          </a:solidFill>
                        </a:defRPr>
                      </a:pPr>
                      <a:t>[CATEGORY NAME]</a:t>
                    </a:fld>
                    <a:r>
                      <a:rPr lang="en-US" baseline="0">
                        <a:latin typeface="Times New Roman" panose="02020603050405020304" pitchFamily="18" charset="0"/>
                        <a:cs typeface="Times New Roman" panose="02020603050405020304" pitchFamily="18" charset="0"/>
                      </a:rPr>
                      <a:t>
</a:t>
                    </a:r>
                    <a:fld id="{1700A34E-2E8E-4C7D-B525-7D9154E473C4}" type="PERCENTAGE">
                      <a:rPr lang="en-US" baseline="0">
                        <a:latin typeface="Times New Roman" panose="02020603050405020304" pitchFamily="18" charset="0"/>
                        <a:cs typeface="Times New Roman" panose="02020603050405020304" pitchFamily="18" charset="0"/>
                      </a:rPr>
                      <a:pPr>
                        <a:defRPr>
                          <a:solidFill>
                            <a:schemeClr val="tx1"/>
                          </a:solidFill>
                        </a:defRPr>
                      </a:pPr>
                      <a:t>[PERCENTAGE]</a:t>
                    </a:fld>
                    <a:endParaRPr lang="en-US" baseline="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C5A-454F-8458-66C4C424E420}"/>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fld id="{8CB84BE6-BEAC-4323-97B9-BF8909A6F701}" type="CATEGORYNAME">
                      <a:rPr lang="en-US">
                        <a:latin typeface="Times New Roman" panose="02020603050405020304" pitchFamily="18" charset="0"/>
                        <a:cs typeface="Times New Roman" panose="02020603050405020304" pitchFamily="18" charset="0"/>
                      </a:rPr>
                      <a:pPr>
                        <a:defRPr>
                          <a:solidFill>
                            <a:schemeClr val="tx1"/>
                          </a:solidFill>
                        </a:defRPr>
                      </a:pPr>
                      <a:t>[CATEGORY NAME]</a:t>
                    </a:fld>
                    <a:r>
                      <a:rPr lang="en-US" baseline="0">
                        <a:latin typeface="Times New Roman" panose="02020603050405020304" pitchFamily="18" charset="0"/>
                        <a:cs typeface="Times New Roman" panose="02020603050405020304" pitchFamily="18" charset="0"/>
                      </a:rPr>
                      <a:t>
</a:t>
                    </a:r>
                    <a:fld id="{D6B955E4-3022-44F5-99F2-5E95105C9F9D}" type="PERCENTAGE">
                      <a:rPr lang="en-US" baseline="0">
                        <a:latin typeface="Times New Roman" panose="02020603050405020304" pitchFamily="18" charset="0"/>
                        <a:cs typeface="Times New Roman" panose="02020603050405020304" pitchFamily="18" charset="0"/>
                      </a:rPr>
                      <a:pPr>
                        <a:defRPr>
                          <a:solidFill>
                            <a:schemeClr val="tx1"/>
                          </a:solidFill>
                        </a:defRPr>
                      </a:pPr>
                      <a:t>[PERCENTAGE]</a:t>
                    </a:fld>
                    <a:endParaRPr lang="en-US" baseline="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C5A-454F-8458-66C4C424E420}"/>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fld id="{32244282-4D6E-41CF-A8A3-0F2204849F90}" type="CATEGORYNAME">
                      <a:rPr lang="en-US">
                        <a:latin typeface="Times New Roman" panose="02020603050405020304" pitchFamily="18" charset="0"/>
                        <a:cs typeface="Times New Roman" panose="02020603050405020304" pitchFamily="18" charset="0"/>
                      </a:rPr>
                      <a:pPr>
                        <a:defRPr>
                          <a:solidFill>
                            <a:schemeClr val="tx1"/>
                          </a:solidFill>
                        </a:defRPr>
                      </a:pPr>
                      <a:t>[CATEGORY NAME]</a:t>
                    </a:fld>
                    <a:r>
                      <a:rPr lang="en-US" baseline="0">
                        <a:latin typeface="Times New Roman" panose="02020603050405020304" pitchFamily="18" charset="0"/>
                        <a:cs typeface="Times New Roman" panose="02020603050405020304" pitchFamily="18" charset="0"/>
                      </a:rPr>
                      <a:t>
</a:t>
                    </a:r>
                    <a:fld id="{8AF1E6F0-D3BE-4C81-AB48-0B28E45176C8}" type="PERCENTAGE">
                      <a:rPr lang="en-US" baseline="0">
                        <a:latin typeface="Times New Roman" panose="02020603050405020304" pitchFamily="18" charset="0"/>
                        <a:cs typeface="Times New Roman" panose="02020603050405020304" pitchFamily="18" charset="0"/>
                      </a:rPr>
                      <a:pPr>
                        <a:defRPr>
                          <a:solidFill>
                            <a:schemeClr val="tx1"/>
                          </a:solidFill>
                        </a:defRPr>
                      </a:pPr>
                      <a:t>[PERCENTAGE]</a:t>
                    </a:fld>
                    <a:endParaRPr lang="en-US" baseline="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C5A-454F-8458-66C4C424E42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'Analysis 2021'!$C$4:$F$4</c:f>
              <c:strCache>
                <c:ptCount val="4"/>
                <c:pt idx="0">
                  <c:v>Propuestas</c:v>
                </c:pt>
                <c:pt idx="1">
                  <c:v>Aprobadas</c:v>
                </c:pt>
                <c:pt idx="2">
                  <c:v>En curso</c:v>
                </c:pt>
                <c:pt idx="3">
                  <c:v>Finalizadas</c:v>
                </c:pt>
              </c:strCache>
            </c:strRef>
          </c:cat>
          <c:val>
            <c:numRef>
              <c:f>'Analysis 2021'!$C$10:$F$10</c:f>
              <c:numCache>
                <c:formatCode>General</c:formatCode>
                <c:ptCount val="4"/>
                <c:pt idx="0">
                  <c:v>3</c:v>
                </c:pt>
                <c:pt idx="1">
                  <c:v>8</c:v>
                </c:pt>
                <c:pt idx="2">
                  <c:v>24</c:v>
                </c:pt>
                <c:pt idx="3">
                  <c:v>68</c:v>
                </c:pt>
              </c:numCache>
            </c:numRef>
          </c:val>
          <c:extLst>
            <c:ext xmlns:c16="http://schemas.microsoft.com/office/drawing/2014/chart" uri="{C3380CC4-5D6E-409C-BE32-E72D297353CC}">
              <c16:uniqueId val="{00000008-AC5A-454F-8458-66C4C424E420}"/>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0" i="0" u="none" strike="noStrike" baseline="0">
                <a:solidFill>
                  <a:srgbClr val="000000"/>
                </a:solidFill>
                <a:latin typeface="Times New Roman"/>
                <a:ea typeface="Times New Roman"/>
                <a:cs typeface="Times New Roman"/>
              </a:defRPr>
            </a:pPr>
            <a:r>
              <a:rPr lang="en-US" sz="1400" b="1" i="0" u="none" strike="noStrike" baseline="0">
                <a:solidFill>
                  <a:srgbClr val="000000"/>
                </a:solidFill>
                <a:latin typeface="Times New Roman"/>
                <a:cs typeface="Times New Roman"/>
              </a:rPr>
              <a:t>Figura 2: Iniciativas de creación de capacidad, por tipo y por región
(n=103) </a:t>
            </a:r>
            <a:endParaRPr lang="en-US" sz="1400" b="0" i="0" u="none" strike="noStrike" baseline="0">
              <a:solidFill>
                <a:srgbClr val="000000"/>
              </a:solidFill>
              <a:latin typeface="Times New Roman"/>
              <a:cs typeface="Times New Roman"/>
            </a:endParaRPr>
          </a:p>
        </c:rich>
      </c:tx>
      <c:overlay val="0"/>
    </c:title>
    <c:autoTitleDeleted val="0"/>
    <c:plotArea>
      <c:layout>
        <c:manualLayout>
          <c:layoutTarget val="inner"/>
          <c:xMode val="edge"/>
          <c:yMode val="edge"/>
          <c:x val="0.12458642080348993"/>
          <c:y val="0.29214129483814522"/>
          <c:w val="0.84659890991032805"/>
          <c:h val="0.4785345581802275"/>
        </c:manualLayout>
      </c:layout>
      <c:barChart>
        <c:barDir val="col"/>
        <c:grouping val="stacked"/>
        <c:varyColors val="0"/>
        <c:ser>
          <c:idx val="0"/>
          <c:order val="0"/>
          <c:tx>
            <c:strRef>
              <c:f>'Analysis 2021'!$C$38</c:f>
              <c:strCache>
                <c:ptCount val="1"/>
                <c:pt idx="0">
                  <c:v>Nacional</c:v>
                </c:pt>
              </c:strCache>
            </c:strRef>
          </c:tx>
          <c:spPr>
            <a:solidFill>
              <a:schemeClr val="bg1">
                <a:lumMod val="75000"/>
              </a:schemeClr>
            </a:solidFill>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BFA3-4C8A-ABD5-28B0BA82C6AC}"/>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África</c:v>
                </c:pt>
                <c:pt idx="1">
                  <c:v>Asia y el Pacífico</c:v>
                </c:pt>
                <c:pt idx="2">
                  <c:v>ECO</c:v>
                </c:pt>
                <c:pt idx="3">
                  <c:v>GRULAC</c:v>
                </c:pt>
                <c:pt idx="4">
                  <c:v>Mundial</c:v>
                </c:pt>
              </c:strCache>
            </c:strRef>
          </c:cat>
          <c:val>
            <c:numRef>
              <c:f>'Analysis 2021'!$C$39:$C$43</c:f>
              <c:numCache>
                <c:formatCode>General</c:formatCode>
                <c:ptCount val="5"/>
                <c:pt idx="0">
                  <c:v>37</c:v>
                </c:pt>
                <c:pt idx="1">
                  <c:v>27</c:v>
                </c:pt>
                <c:pt idx="2">
                  <c:v>1</c:v>
                </c:pt>
                <c:pt idx="3">
                  <c:v>17</c:v>
                </c:pt>
                <c:pt idx="4">
                  <c:v>0</c:v>
                </c:pt>
              </c:numCache>
            </c:numRef>
          </c:val>
          <c:extLst>
            <c:ext xmlns:c16="http://schemas.microsoft.com/office/drawing/2014/chart" uri="{C3380CC4-5D6E-409C-BE32-E72D297353CC}">
              <c16:uniqueId val="{00000001-BFA3-4C8A-ABD5-28B0BA82C6AC}"/>
            </c:ext>
          </c:extLst>
        </c:ser>
        <c:ser>
          <c:idx val="1"/>
          <c:order val="1"/>
          <c:tx>
            <c:strRef>
              <c:f>'Analysis 2021'!$D$38</c:f>
              <c:strCache>
                <c:ptCount val="1"/>
                <c:pt idx="0">
                  <c:v>Regional/subregional</c:v>
                </c:pt>
              </c:strCache>
            </c:strRef>
          </c:tx>
          <c:spPr>
            <a:pattFill prst="pct25">
              <a:fgClr>
                <a:schemeClr val="tx1">
                  <a:lumMod val="50000"/>
                  <a:lumOff val="50000"/>
                </a:schemeClr>
              </a:fgClr>
              <a:bgClr>
                <a:schemeClr val="bg1"/>
              </a:bgClr>
            </a:pattFill>
            <a:ln>
              <a:noFill/>
            </a:ln>
          </c:spPr>
          <c:invertIfNegative val="0"/>
          <c:dLbls>
            <c:dLbl>
              <c:idx val="2"/>
              <c:layout>
                <c:manualLayout>
                  <c:x val="0"/>
                  <c:y val="-6.9444444444444448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FA3-4C8A-ABD5-28B0BA82C6AC}"/>
                </c:ext>
              </c:extLst>
            </c:dLbl>
            <c:dLbl>
              <c:idx val="4"/>
              <c:delete val="1"/>
              <c:extLst>
                <c:ext xmlns:c15="http://schemas.microsoft.com/office/drawing/2012/chart" uri="{CE6537A1-D6FC-4f65-9D91-7224C49458BB}"/>
                <c:ext xmlns:c16="http://schemas.microsoft.com/office/drawing/2014/chart" uri="{C3380CC4-5D6E-409C-BE32-E72D297353CC}">
                  <c16:uniqueId val="{00000003-BFA3-4C8A-ABD5-28B0BA82C6AC}"/>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África</c:v>
                </c:pt>
                <c:pt idx="1">
                  <c:v>Asia y el Pacífico</c:v>
                </c:pt>
                <c:pt idx="2">
                  <c:v>ECO</c:v>
                </c:pt>
                <c:pt idx="3">
                  <c:v>GRULAC</c:v>
                </c:pt>
                <c:pt idx="4">
                  <c:v>Mundial</c:v>
                </c:pt>
              </c:strCache>
            </c:strRef>
          </c:cat>
          <c:val>
            <c:numRef>
              <c:f>'Analysis 2021'!$D$39:$D$43</c:f>
              <c:numCache>
                <c:formatCode>General</c:formatCode>
                <c:ptCount val="5"/>
                <c:pt idx="0">
                  <c:v>8</c:v>
                </c:pt>
                <c:pt idx="1">
                  <c:v>6</c:v>
                </c:pt>
                <c:pt idx="3">
                  <c:v>4</c:v>
                </c:pt>
                <c:pt idx="4">
                  <c:v>0</c:v>
                </c:pt>
              </c:numCache>
            </c:numRef>
          </c:val>
          <c:extLst>
            <c:ext xmlns:c16="http://schemas.microsoft.com/office/drawing/2014/chart" uri="{C3380CC4-5D6E-409C-BE32-E72D297353CC}">
              <c16:uniqueId val="{00000004-BFA3-4C8A-ABD5-28B0BA82C6AC}"/>
            </c:ext>
          </c:extLst>
        </c:ser>
        <c:ser>
          <c:idx val="2"/>
          <c:order val="2"/>
          <c:tx>
            <c:strRef>
              <c:f>'Analysis 2021'!$E$38</c:f>
              <c:strCache>
                <c:ptCount val="1"/>
                <c:pt idx="0">
                  <c:v>Mundial</c:v>
                </c:pt>
              </c:strCache>
            </c:strRef>
          </c:tx>
          <c:spPr>
            <a:pattFill prst="pct80">
              <a:fgClr>
                <a:schemeClr val="tx1">
                  <a:lumMod val="50000"/>
                  <a:lumOff val="50000"/>
                </a:schemeClr>
              </a:fgClr>
              <a:bgClr>
                <a:schemeClr val="bg1"/>
              </a:bgClr>
            </a:pattFill>
          </c:spPr>
          <c:invertIfNegative val="0"/>
          <c:dLbls>
            <c:dLbl>
              <c:idx val="4"/>
              <c:layout>
                <c:manualLayout>
                  <c:x val="0"/>
                  <c:y val="-7.8703703703703706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FA3-4C8A-ABD5-28B0BA82C6AC}"/>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África</c:v>
                </c:pt>
                <c:pt idx="1">
                  <c:v>Asia y el Pacífico</c:v>
                </c:pt>
                <c:pt idx="2">
                  <c:v>ECO</c:v>
                </c:pt>
                <c:pt idx="3">
                  <c:v>GRULAC</c:v>
                </c:pt>
                <c:pt idx="4">
                  <c:v>Mundial</c:v>
                </c:pt>
              </c:strCache>
            </c:strRef>
          </c:cat>
          <c:val>
            <c:numRef>
              <c:f>'Analysis 2021'!$E$39:$E$43</c:f>
              <c:numCache>
                <c:formatCode>General</c:formatCode>
                <c:ptCount val="5"/>
                <c:pt idx="4">
                  <c:v>3</c:v>
                </c:pt>
              </c:numCache>
            </c:numRef>
          </c:val>
          <c:extLst>
            <c:ext xmlns:c16="http://schemas.microsoft.com/office/drawing/2014/chart" uri="{C3380CC4-5D6E-409C-BE32-E72D297353CC}">
              <c16:uniqueId val="{00000006-BFA3-4C8A-ABD5-28B0BA82C6AC}"/>
            </c:ext>
          </c:extLst>
        </c:ser>
        <c:dLbls>
          <c:showLegendKey val="0"/>
          <c:showVal val="0"/>
          <c:showCatName val="0"/>
          <c:showSerName val="0"/>
          <c:showPercent val="0"/>
          <c:showBubbleSize val="0"/>
        </c:dLbls>
        <c:gapWidth val="75"/>
        <c:overlap val="100"/>
        <c:axId val="434687776"/>
        <c:axId val="1"/>
      </c:barChart>
      <c:catAx>
        <c:axId val="434687776"/>
        <c:scaling>
          <c:orientation val="minMax"/>
        </c:scaling>
        <c:delete val="0"/>
        <c:axPos val="b"/>
        <c:numFmt formatCode="General" sourceLinked="1"/>
        <c:majorTickMark val="none"/>
        <c:minorTickMark val="none"/>
        <c:tickLblPos val="nextTo"/>
        <c:txPr>
          <a:bodyPr rot="0" vert="horz"/>
          <a:lstStyle/>
          <a:p>
            <a:pPr>
              <a:defRPr sz="11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a:noFill/>
            </a:ln>
          </c:spPr>
        </c:majorGridlines>
        <c:title>
          <c:tx>
            <c:rich>
              <a:bodyPr/>
              <a:lstStyle/>
              <a:p>
                <a:pPr>
                  <a:defRPr sz="1100" b="1" i="0" u="none" strike="noStrike" baseline="0">
                    <a:solidFill>
                      <a:srgbClr val="000000"/>
                    </a:solidFill>
                    <a:latin typeface="Times New Roman"/>
                    <a:ea typeface="Times New Roman"/>
                    <a:cs typeface="Times New Roman"/>
                  </a:defRPr>
                </a:pPr>
                <a:r>
                  <a:rPr lang="en-CA"/>
                  <a:t>Número</a:t>
                </a:r>
                <a:r>
                  <a:rPr lang="en-CA" baseline="0"/>
                  <a:t> de iniciativas</a:t>
                </a:r>
                <a:endParaRPr lang="en-CA"/>
              </a:p>
            </c:rich>
          </c:tx>
          <c:overlay val="0"/>
        </c:title>
        <c:numFmt formatCode="General" sourceLinked="1"/>
        <c:majorTickMark val="none"/>
        <c:minorTickMark val="none"/>
        <c:tickLblPos val="nextTo"/>
        <c:spPr>
          <a:ln w="9525">
            <a:noFill/>
          </a:ln>
        </c:spPr>
        <c:txPr>
          <a:bodyPr rot="0" vert="horz"/>
          <a:lstStyle/>
          <a:p>
            <a:pPr>
              <a:defRPr sz="1000" b="0" i="0" u="none" strike="noStrike" baseline="0">
                <a:solidFill>
                  <a:srgbClr val="000000"/>
                </a:solidFill>
                <a:latin typeface="Calibri"/>
                <a:ea typeface="Calibri"/>
                <a:cs typeface="Calibri"/>
              </a:defRPr>
            </a:pPr>
            <a:endParaRPr lang="en-US"/>
          </a:p>
        </c:txPr>
        <c:crossAx val="434687776"/>
        <c:crosses val="autoZero"/>
        <c:crossBetween val="between"/>
        <c:majorUnit val="5"/>
      </c:valAx>
      <c:spPr>
        <a:ln>
          <a:noFill/>
        </a:ln>
      </c:spPr>
    </c:plotArea>
    <c:legend>
      <c:legendPos val="b"/>
      <c:layout>
        <c:manualLayout>
          <c:xMode val="edge"/>
          <c:yMode val="edge"/>
          <c:x val="0.1258640214643918"/>
          <c:y val="0.90724713758606268"/>
          <c:w val="0.8741359785356082"/>
          <c:h val="9.2752691627832229E-2"/>
        </c:manualLayout>
      </c:layout>
      <c:overlay val="0"/>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w="9525">
      <a:noFill/>
    </a:ln>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400" b="1" i="0" u="none" strike="noStrike" baseline="0">
                <a:solidFill>
                  <a:srgbClr val="000000"/>
                </a:solidFill>
                <a:latin typeface="Times New Roman"/>
                <a:cs typeface="Times New Roman"/>
              </a:rPr>
              <a:t>Figura 3: Iniciativas de creación de capacidad, por duración
(n= 103)</a:t>
            </a:r>
            <a:endParaRPr lang="en-US" sz="1400" b="0" i="0" u="none" strike="noStrike" baseline="0">
              <a:solidFill>
                <a:srgbClr val="000000"/>
              </a:solidFill>
              <a:latin typeface="Times New Roman"/>
              <a:cs typeface="Times New Roman"/>
            </a:endParaRPr>
          </a:p>
        </c:rich>
      </c:tx>
      <c:overlay val="0"/>
    </c:title>
    <c:autoTitleDeleted val="0"/>
    <c:plotArea>
      <c:layout/>
      <c:barChart>
        <c:barDir val="bar"/>
        <c:grouping val="stacked"/>
        <c:varyColors val="0"/>
        <c:ser>
          <c:idx val="0"/>
          <c:order val="0"/>
          <c:tx>
            <c:strRef>
              <c:f>'Analysis 2021'!$B$23</c:f>
              <c:strCache>
                <c:ptCount val="1"/>
                <c:pt idx="0">
                  <c:v>África</c:v>
                </c:pt>
              </c:strCache>
            </c:strRef>
          </c:tx>
          <c:spPr>
            <a:solidFill>
              <a:schemeClr val="tx1">
                <a:lumMod val="50000"/>
                <a:lumOff val="50000"/>
              </a:schemeClr>
            </a:solidFill>
            <a:ln>
              <a:noFill/>
            </a:ln>
          </c:spPr>
          <c:invertIfNegative val="0"/>
          <c:dLbls>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años</c:v>
                </c:pt>
                <c:pt idx="1">
                  <c:v>2-5 años</c:v>
                </c:pt>
                <c:pt idx="2">
                  <c:v>&gt; 5 años</c:v>
                </c:pt>
              </c:strCache>
            </c:strRef>
          </c:cat>
          <c:val>
            <c:numRef>
              <c:f>'Analysis 2021'!$C$23:$E$23</c:f>
              <c:numCache>
                <c:formatCode>General</c:formatCode>
                <c:ptCount val="3"/>
                <c:pt idx="0">
                  <c:v>7</c:v>
                </c:pt>
                <c:pt idx="1">
                  <c:v>31</c:v>
                </c:pt>
                <c:pt idx="2">
                  <c:v>7</c:v>
                </c:pt>
              </c:numCache>
            </c:numRef>
          </c:val>
          <c:extLst>
            <c:ext xmlns:c16="http://schemas.microsoft.com/office/drawing/2014/chart" uri="{C3380CC4-5D6E-409C-BE32-E72D297353CC}">
              <c16:uniqueId val="{00000000-0646-4E1A-AEF9-7F1FF9ABDB27}"/>
            </c:ext>
          </c:extLst>
        </c:ser>
        <c:ser>
          <c:idx val="1"/>
          <c:order val="1"/>
          <c:tx>
            <c:strRef>
              <c:f>'Analysis 2021'!$B$24</c:f>
              <c:strCache>
                <c:ptCount val="1"/>
                <c:pt idx="0">
                  <c:v>Asia y el Pacífico</c:v>
                </c:pt>
              </c:strCache>
            </c:strRef>
          </c:tx>
          <c:spPr>
            <a:pattFill prst="pct10">
              <a:fgClr>
                <a:schemeClr val="tx1"/>
              </a:fgClr>
              <a:bgClr>
                <a:schemeClr val="bg1">
                  <a:lumMod val="85000"/>
                </a:schemeClr>
              </a:bgClr>
            </a:pattFill>
            <a:ln>
              <a:noFill/>
            </a:ln>
          </c:spPr>
          <c:invertIfNegative val="0"/>
          <c:dLbls>
            <c:spPr>
              <a:noFill/>
              <a:ln w="25400">
                <a:noFill/>
              </a:ln>
            </c:spPr>
            <c:txPr>
              <a:bodyPr wrap="square" lIns="38100" tIns="19050" rIns="38100" bIns="19050" anchor="ctr">
                <a:spAutoFit/>
              </a:bodyPr>
              <a:lstStyle/>
              <a:p>
                <a:pPr>
                  <a:defRPr sz="1000" b="0" i="0" u="none" strike="noStrike" baseline="0">
                    <a:solidFill>
                      <a:sysClr val="windowText" lastClr="000000"/>
                    </a:solidFill>
                    <a:latin typeface="Calibri"/>
                    <a:ea typeface="Calibri"/>
                    <a:cs typeface="Calibri"/>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años</c:v>
                </c:pt>
                <c:pt idx="1">
                  <c:v>2-5 años</c:v>
                </c:pt>
                <c:pt idx="2">
                  <c:v>&gt; 5 años</c:v>
                </c:pt>
              </c:strCache>
            </c:strRef>
          </c:cat>
          <c:val>
            <c:numRef>
              <c:f>'Analysis 2021'!$C$24:$E$24</c:f>
              <c:numCache>
                <c:formatCode>General</c:formatCode>
                <c:ptCount val="3"/>
                <c:pt idx="0">
                  <c:v>4</c:v>
                </c:pt>
                <c:pt idx="1">
                  <c:v>27</c:v>
                </c:pt>
                <c:pt idx="2">
                  <c:v>2</c:v>
                </c:pt>
              </c:numCache>
            </c:numRef>
          </c:val>
          <c:extLst>
            <c:ext xmlns:c16="http://schemas.microsoft.com/office/drawing/2014/chart" uri="{C3380CC4-5D6E-409C-BE32-E72D297353CC}">
              <c16:uniqueId val="{00000001-0646-4E1A-AEF9-7F1FF9ABDB27}"/>
            </c:ext>
          </c:extLst>
        </c:ser>
        <c:ser>
          <c:idx val="2"/>
          <c:order val="2"/>
          <c:tx>
            <c:strRef>
              <c:f>'Analysis 2021'!$B$25</c:f>
              <c:strCache>
                <c:ptCount val="1"/>
                <c:pt idx="0">
                  <c:v>ECO</c:v>
                </c:pt>
              </c:strCache>
            </c:strRef>
          </c:tx>
          <c:spPr>
            <a:solidFill>
              <a:schemeClr val="bg1">
                <a:lumMod val="75000"/>
              </a:schemeClr>
            </a:solidFill>
            <a:ln>
              <a:noFill/>
            </a:ln>
          </c:spPr>
          <c:invertIfNegative val="0"/>
          <c:cat>
            <c:strRef>
              <c:f>'Analysis 2021'!$C$22:$E$22</c:f>
              <c:strCache>
                <c:ptCount val="3"/>
                <c:pt idx="0">
                  <c:v>&lt; 2 años</c:v>
                </c:pt>
                <c:pt idx="1">
                  <c:v>2-5 años</c:v>
                </c:pt>
                <c:pt idx="2">
                  <c:v>&gt; 5 años</c:v>
                </c:pt>
              </c:strCache>
            </c:strRef>
          </c:cat>
          <c:val>
            <c:numRef>
              <c:f>'Analysis 2021'!$C$25:$E$25</c:f>
              <c:numCache>
                <c:formatCode>General</c:formatCode>
                <c:ptCount val="3"/>
                <c:pt idx="0">
                  <c:v>0</c:v>
                </c:pt>
                <c:pt idx="1">
                  <c:v>0</c:v>
                </c:pt>
                <c:pt idx="2">
                  <c:v>1</c:v>
                </c:pt>
              </c:numCache>
            </c:numRef>
          </c:val>
          <c:extLst>
            <c:ext xmlns:c16="http://schemas.microsoft.com/office/drawing/2014/chart" uri="{C3380CC4-5D6E-409C-BE32-E72D297353CC}">
              <c16:uniqueId val="{00000002-0646-4E1A-AEF9-7F1FF9ABDB27}"/>
            </c:ext>
          </c:extLst>
        </c:ser>
        <c:ser>
          <c:idx val="3"/>
          <c:order val="3"/>
          <c:tx>
            <c:strRef>
              <c:f>'Analysis 2021'!$B$26</c:f>
              <c:strCache>
                <c:ptCount val="1"/>
                <c:pt idx="0">
                  <c:v>GRULAC</c:v>
                </c:pt>
              </c:strCache>
            </c:strRef>
          </c:tx>
          <c:spPr>
            <a:solidFill>
              <a:schemeClr val="tx1"/>
            </a:solidFill>
            <a:ln>
              <a:noFill/>
            </a:ln>
          </c:spPr>
          <c:invertIfNegative val="0"/>
          <c:dLbls>
            <c:dLbl>
              <c:idx val="2"/>
              <c:layout>
                <c:manualLayout>
                  <c:x val="0"/>
                  <c:y val="-9.6789716990787061E-2"/>
                </c:manualLayout>
              </c:layout>
              <c:spPr>
                <a:noFill/>
                <a:ln w="25400">
                  <a:noFill/>
                </a:ln>
              </c:spPr>
              <c:txPr>
                <a:bodyPr wrap="square" lIns="38100" tIns="19050" rIns="38100" bIns="19050" anchor="ctr">
                  <a:spAutoFit/>
                </a:bodyPr>
                <a:lstStyle/>
                <a:p>
                  <a:pPr>
                    <a:defRPr sz="1000" b="0" i="0" u="none" strike="noStrike" baseline="0">
                      <a:solidFill>
                        <a:schemeClr val="tx1"/>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646-4E1A-AEF9-7F1FF9ABDB27}"/>
                </c:ext>
              </c:extLst>
            </c:dLbl>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años</c:v>
                </c:pt>
                <c:pt idx="1">
                  <c:v>2-5 años</c:v>
                </c:pt>
                <c:pt idx="2">
                  <c:v>&gt; 5 años</c:v>
                </c:pt>
              </c:strCache>
            </c:strRef>
          </c:cat>
          <c:val>
            <c:numRef>
              <c:f>'Analysis 2021'!$C$26:$E$26</c:f>
              <c:numCache>
                <c:formatCode>General</c:formatCode>
                <c:ptCount val="3"/>
                <c:pt idx="0">
                  <c:v>2</c:v>
                </c:pt>
                <c:pt idx="1">
                  <c:v>18</c:v>
                </c:pt>
                <c:pt idx="2">
                  <c:v>1</c:v>
                </c:pt>
              </c:numCache>
            </c:numRef>
          </c:val>
          <c:extLst>
            <c:ext xmlns:c16="http://schemas.microsoft.com/office/drawing/2014/chart" uri="{C3380CC4-5D6E-409C-BE32-E72D297353CC}">
              <c16:uniqueId val="{00000004-0646-4E1A-AEF9-7F1FF9ABDB27}"/>
            </c:ext>
          </c:extLst>
        </c:ser>
        <c:ser>
          <c:idx val="4"/>
          <c:order val="4"/>
          <c:tx>
            <c:strRef>
              <c:f>'Analysis 2021'!$B$27</c:f>
              <c:strCache>
                <c:ptCount val="1"/>
                <c:pt idx="0">
                  <c:v>Mundial</c:v>
                </c:pt>
              </c:strCache>
            </c:strRef>
          </c:tx>
          <c:spPr>
            <a:pattFill prst="pct60">
              <a:fgClr>
                <a:schemeClr val="bg1">
                  <a:lumMod val="75000"/>
                </a:schemeClr>
              </a:fgClr>
              <a:bgClr>
                <a:schemeClr val="tx1">
                  <a:lumMod val="50000"/>
                  <a:lumOff val="50000"/>
                </a:schemeClr>
              </a:bgClr>
            </a:pattFill>
            <a:ln>
              <a:noFill/>
            </a:ln>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5-0646-4E1A-AEF9-7F1FF9ABDB27}"/>
                </c:ext>
              </c:extLst>
            </c:dLbl>
            <c:dLbl>
              <c:idx val="2"/>
              <c:delete val="1"/>
              <c:extLst>
                <c:ext xmlns:c15="http://schemas.microsoft.com/office/drawing/2012/chart" uri="{CE6537A1-D6FC-4f65-9D91-7224C49458BB}"/>
                <c:ext xmlns:c16="http://schemas.microsoft.com/office/drawing/2014/chart" uri="{C3380CC4-5D6E-409C-BE32-E72D297353CC}">
                  <c16:uniqueId val="{00000006-0646-4E1A-AEF9-7F1FF9ABDB27}"/>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años</c:v>
                </c:pt>
                <c:pt idx="1">
                  <c:v>2-5 años</c:v>
                </c:pt>
                <c:pt idx="2">
                  <c:v>&gt; 5 años</c:v>
                </c:pt>
              </c:strCache>
            </c:strRef>
          </c:cat>
          <c:val>
            <c:numRef>
              <c:f>'Analysis 2021'!$C$27:$E$27</c:f>
              <c:numCache>
                <c:formatCode>General</c:formatCode>
                <c:ptCount val="3"/>
                <c:pt idx="0">
                  <c:v>0</c:v>
                </c:pt>
                <c:pt idx="1">
                  <c:v>2</c:v>
                </c:pt>
                <c:pt idx="2">
                  <c:v>1</c:v>
                </c:pt>
              </c:numCache>
            </c:numRef>
          </c:val>
          <c:extLst>
            <c:ext xmlns:c16="http://schemas.microsoft.com/office/drawing/2014/chart" uri="{C3380CC4-5D6E-409C-BE32-E72D297353CC}">
              <c16:uniqueId val="{00000007-0646-4E1A-AEF9-7F1FF9ABDB27}"/>
            </c:ext>
          </c:extLst>
        </c:ser>
        <c:dLbls>
          <c:showLegendKey val="0"/>
          <c:showVal val="0"/>
          <c:showCatName val="0"/>
          <c:showSerName val="0"/>
          <c:showPercent val="0"/>
          <c:showBubbleSize val="0"/>
        </c:dLbls>
        <c:gapWidth val="55"/>
        <c:overlap val="100"/>
        <c:axId val="434688432"/>
        <c:axId val="1"/>
      </c:barChart>
      <c:catAx>
        <c:axId val="434688432"/>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CA"/>
                  <a:t>Duración (años)</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b"/>
        <c:majorGridlines>
          <c:spPr>
            <a:ln>
              <a:noFill/>
            </a:ln>
          </c:spPr>
        </c:majorGridlines>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4688432"/>
        <c:crosses val="autoZero"/>
        <c:crossBetween val="between"/>
      </c:valAx>
    </c:plotArea>
    <c:legend>
      <c:legendPos val="r"/>
      <c:layout>
        <c:manualLayout>
          <c:xMode val="edge"/>
          <c:yMode val="edge"/>
          <c:x val="0.82820955510462879"/>
          <c:y val="0.23317425625979263"/>
          <c:w val="0.15632595798495477"/>
          <c:h val="0.70322407055176817"/>
        </c:manualLayout>
      </c:layout>
      <c:overlay val="0"/>
      <c:txPr>
        <a:bodyPr/>
        <a:lstStyle/>
        <a:p>
          <a:pPr>
            <a:defRPr sz="10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400" b="1" i="0" u="none" strike="noStrike" baseline="0">
                <a:solidFill>
                  <a:srgbClr val="000000"/>
                </a:solidFill>
                <a:latin typeface="Times New Roman"/>
                <a:cs typeface="Times New Roman"/>
              </a:rPr>
              <a:t>Figura 4: Nivel de financiación básica para las iniciativas nacionales de creación de capacidad 
(n=81) </a:t>
            </a:r>
            <a:endParaRPr lang="en-US" sz="1400" b="0" i="0" u="none" strike="noStrike" baseline="0">
              <a:solidFill>
                <a:srgbClr val="000000"/>
              </a:solidFill>
              <a:latin typeface="Times New Roman"/>
              <a:cs typeface="Times New Roman"/>
            </a:endParaRPr>
          </a:p>
        </c:rich>
      </c:tx>
      <c:overlay val="0"/>
    </c:title>
    <c:autoTitleDeleted val="0"/>
    <c:plotArea>
      <c:layout/>
      <c:barChart>
        <c:barDir val="bar"/>
        <c:grouping val="stacked"/>
        <c:varyColors val="0"/>
        <c:ser>
          <c:idx val="3"/>
          <c:order val="0"/>
          <c:tx>
            <c:strRef>
              <c:f>'Analysis 2021'!$B$56</c:f>
              <c:strCache>
                <c:ptCount val="1"/>
                <c:pt idx="0">
                  <c:v>África</c:v>
                </c:pt>
              </c:strCache>
            </c:strRef>
          </c:tx>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500 000 $EUA</c:v>
                </c:pt>
                <c:pt idx="1">
                  <c:v>500 000 -
2 000 000 $EUA</c:v>
                </c:pt>
                <c:pt idx="2">
                  <c:v>&gt; 2 000 000 $EUA</c:v>
                </c:pt>
              </c:strCache>
            </c:strRef>
          </c:cat>
          <c:val>
            <c:numRef>
              <c:f>'Analysis 2021'!$C$56:$F$56</c:f>
              <c:numCache>
                <c:formatCode>General</c:formatCode>
                <c:ptCount val="4"/>
                <c:pt idx="0">
                  <c:v>18</c:v>
                </c:pt>
                <c:pt idx="1">
                  <c:v>8</c:v>
                </c:pt>
                <c:pt idx="2">
                  <c:v>11</c:v>
                </c:pt>
              </c:numCache>
            </c:numRef>
          </c:val>
          <c:extLst>
            <c:ext xmlns:c16="http://schemas.microsoft.com/office/drawing/2014/chart" uri="{C3380CC4-5D6E-409C-BE32-E72D297353CC}">
              <c16:uniqueId val="{00000000-CC38-4147-8A6D-539E6427AF3F}"/>
            </c:ext>
          </c:extLst>
        </c:ser>
        <c:ser>
          <c:idx val="0"/>
          <c:order val="1"/>
          <c:tx>
            <c:strRef>
              <c:f>'Analysis 2021'!$B$57</c:f>
              <c:strCache>
                <c:ptCount val="1"/>
                <c:pt idx="0">
                  <c:v>Asia y el Pacífico</c:v>
                </c:pt>
              </c:strCache>
            </c:strRef>
          </c:tx>
          <c:spPr>
            <a:pattFill prst="pct20">
              <a:fgClr>
                <a:schemeClr val="tx1">
                  <a:lumMod val="50000"/>
                  <a:lumOff val="50000"/>
                </a:schemeClr>
              </a:fgClr>
              <a:bgClr>
                <a:schemeClr val="bg1">
                  <a:lumMod val="85000"/>
                </a:schemeClr>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500 000 $EUA</c:v>
                </c:pt>
                <c:pt idx="1">
                  <c:v>500 000 -
2 000 000 $EUA</c:v>
                </c:pt>
                <c:pt idx="2">
                  <c:v>&gt; 2 000 000 $EUA</c:v>
                </c:pt>
              </c:strCache>
            </c:strRef>
          </c:cat>
          <c:val>
            <c:numRef>
              <c:f>'Analysis 2021'!$C$57:$F$57</c:f>
              <c:numCache>
                <c:formatCode>General</c:formatCode>
                <c:ptCount val="4"/>
                <c:pt idx="0">
                  <c:v>11</c:v>
                </c:pt>
                <c:pt idx="1">
                  <c:v>8</c:v>
                </c:pt>
                <c:pt idx="2">
                  <c:v>7</c:v>
                </c:pt>
              </c:numCache>
            </c:numRef>
          </c:val>
          <c:extLst>
            <c:ext xmlns:c16="http://schemas.microsoft.com/office/drawing/2014/chart" uri="{C3380CC4-5D6E-409C-BE32-E72D297353CC}">
              <c16:uniqueId val="{00000001-CC38-4147-8A6D-539E6427AF3F}"/>
            </c:ext>
          </c:extLst>
        </c:ser>
        <c:ser>
          <c:idx val="1"/>
          <c:order val="2"/>
          <c:tx>
            <c:strRef>
              <c:f>'Analysis 2021'!$B$58</c:f>
              <c:strCache>
                <c:ptCount val="1"/>
                <c:pt idx="0">
                  <c:v>ECO</c:v>
                </c:pt>
              </c:strCache>
            </c:strRef>
          </c:tx>
          <c:spPr>
            <a:pattFill prst="wdUpDiag">
              <a:fgClr>
                <a:schemeClr val="tx1"/>
              </a:fgClr>
              <a:bgClr>
                <a:schemeClr val="bg1"/>
              </a:bgClr>
            </a:pattFill>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CC38-4147-8A6D-539E6427AF3F}"/>
                </c:ext>
              </c:extLst>
            </c:dLbl>
            <c:dLbl>
              <c:idx val="2"/>
              <c:delete val="1"/>
              <c:extLst>
                <c:ext xmlns:c15="http://schemas.microsoft.com/office/drawing/2012/chart" uri="{CE6537A1-D6FC-4f65-9D91-7224C49458BB}"/>
                <c:ext xmlns:c16="http://schemas.microsoft.com/office/drawing/2014/chart" uri="{C3380CC4-5D6E-409C-BE32-E72D297353CC}">
                  <c16:uniqueId val="{00000003-CC38-4147-8A6D-539E6427AF3F}"/>
                </c:ext>
              </c:extLst>
            </c:dLbl>
            <c:dLbl>
              <c:idx val="3"/>
              <c:delete val="1"/>
              <c:extLst>
                <c:ext xmlns:c15="http://schemas.microsoft.com/office/drawing/2012/chart" uri="{CE6537A1-D6FC-4f65-9D91-7224C49458BB}"/>
                <c:ext xmlns:c16="http://schemas.microsoft.com/office/drawing/2014/chart" uri="{C3380CC4-5D6E-409C-BE32-E72D297353CC}">
                  <c16:uniqueId val="{00000004-CC38-4147-8A6D-539E6427AF3F}"/>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500 000 $EUA</c:v>
                </c:pt>
                <c:pt idx="1">
                  <c:v>500 000 -
2 000 000 $EUA</c:v>
                </c:pt>
                <c:pt idx="2">
                  <c:v>&gt; 2 000 000 $EUA</c:v>
                </c:pt>
              </c:strCache>
            </c:strRef>
          </c:cat>
          <c:val>
            <c:numRef>
              <c:f>'Analysis 2021'!$C$58:$F$58</c:f>
              <c:numCache>
                <c:formatCode>General</c:formatCode>
                <c:ptCount val="4"/>
                <c:pt idx="0">
                  <c:v>0</c:v>
                </c:pt>
                <c:pt idx="1">
                  <c:v>1</c:v>
                </c:pt>
                <c:pt idx="2">
                  <c:v>0</c:v>
                </c:pt>
              </c:numCache>
            </c:numRef>
          </c:val>
          <c:extLst>
            <c:ext xmlns:c16="http://schemas.microsoft.com/office/drawing/2014/chart" uri="{C3380CC4-5D6E-409C-BE32-E72D297353CC}">
              <c16:uniqueId val="{00000005-CC38-4147-8A6D-539E6427AF3F}"/>
            </c:ext>
          </c:extLst>
        </c:ser>
        <c:ser>
          <c:idx val="2"/>
          <c:order val="3"/>
          <c:tx>
            <c:strRef>
              <c:f>'Analysis 2021'!$B$59</c:f>
              <c:strCache>
                <c:ptCount val="1"/>
                <c:pt idx="0">
                  <c:v>GRULAC</c:v>
                </c:pt>
              </c:strCache>
            </c:strRef>
          </c:tx>
          <c:spPr>
            <a:solidFill>
              <a:schemeClr val="tx1"/>
            </a:solidFill>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6-CC38-4147-8A6D-539E6427AF3F}"/>
                </c:ext>
              </c:extLst>
            </c:dLbl>
            <c:spPr>
              <a:noFill/>
              <a:ln w="25400">
                <a:noFill/>
              </a:ln>
            </c:spPr>
            <c:txPr>
              <a:bodyPr wrap="square" lIns="38100" tIns="19050" rIns="38100" bIns="19050" anchor="ctr">
                <a:spAutoFit/>
              </a:bodyPr>
              <a:lstStyle/>
              <a:p>
                <a:pPr>
                  <a:defRPr sz="1000" b="0" i="0" u="none" strike="noStrike" baseline="0">
                    <a:solidFill>
                      <a:srgbClr val="FFFFFF"/>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500 000 $EUA</c:v>
                </c:pt>
                <c:pt idx="1">
                  <c:v>500 000 -
2 000 000 $EUA</c:v>
                </c:pt>
                <c:pt idx="2">
                  <c:v>&gt; 2 000 000 $EUA</c:v>
                </c:pt>
              </c:strCache>
            </c:strRef>
          </c:cat>
          <c:val>
            <c:numRef>
              <c:f>'Analysis 2021'!$C$59:$F$59</c:f>
              <c:numCache>
                <c:formatCode>General</c:formatCode>
                <c:ptCount val="4"/>
                <c:pt idx="0">
                  <c:v>3</c:v>
                </c:pt>
                <c:pt idx="1">
                  <c:v>7</c:v>
                </c:pt>
                <c:pt idx="2">
                  <c:v>7</c:v>
                </c:pt>
              </c:numCache>
            </c:numRef>
          </c:val>
          <c:extLst>
            <c:ext xmlns:c16="http://schemas.microsoft.com/office/drawing/2014/chart" uri="{C3380CC4-5D6E-409C-BE32-E72D297353CC}">
              <c16:uniqueId val="{00000007-CC38-4147-8A6D-539E6427AF3F}"/>
            </c:ext>
          </c:extLst>
        </c:ser>
        <c:dLbls>
          <c:showLegendKey val="0"/>
          <c:showVal val="0"/>
          <c:showCatName val="0"/>
          <c:showSerName val="0"/>
          <c:showPercent val="0"/>
          <c:showBubbleSize val="0"/>
        </c:dLbls>
        <c:gapWidth val="55"/>
        <c:overlap val="100"/>
        <c:axId val="435083560"/>
        <c:axId val="1"/>
      </c:barChart>
      <c:catAx>
        <c:axId val="435083560"/>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CA"/>
                  <a:t>Financación básica ($EUA)</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b"/>
        <c:majorGridlines/>
        <c:title>
          <c:tx>
            <c:rich>
              <a:bodyPr/>
              <a:lstStyle/>
              <a:p>
                <a:pPr>
                  <a:defRPr sz="1100" b="1" i="0" u="none" strike="noStrike" baseline="0">
                    <a:solidFill>
                      <a:srgbClr val="000000"/>
                    </a:solidFill>
                    <a:latin typeface="Times New Roman"/>
                    <a:ea typeface="Times New Roman"/>
                    <a:cs typeface="Times New Roman"/>
                  </a:defRPr>
                </a:pPr>
                <a:r>
                  <a:rPr lang="en-CA"/>
                  <a:t>Número</a:t>
                </a:r>
                <a:r>
                  <a:rPr lang="en-CA" baseline="0"/>
                  <a:t> de iniciativas nacionales </a:t>
                </a:r>
                <a:r>
                  <a:rPr lang="en-CA"/>
                  <a:t> </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5083560"/>
        <c:crosses val="autoZero"/>
        <c:crossBetween val="between"/>
      </c:valAx>
    </c:plotArea>
    <c:legend>
      <c:legendPos val="r"/>
      <c:layout>
        <c:manualLayout>
          <c:xMode val="edge"/>
          <c:yMode val="edge"/>
          <c:x val="0.82868605135331597"/>
          <c:y val="0.30633134453554128"/>
          <c:w val="0.16152216048087673"/>
          <c:h val="0.58341281759883112"/>
        </c:manualLayout>
      </c:layout>
      <c:overlay val="0"/>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CA" sz="1400" b="1" i="0" u="none" strike="noStrike" baseline="0">
                <a:solidFill>
                  <a:srgbClr val="000000"/>
                </a:solidFill>
                <a:latin typeface="Times New Roman"/>
                <a:cs typeface="Times New Roman"/>
              </a:rPr>
              <a:t>Figura 5: Cobertura de áreas clave del marco estratégico</a:t>
            </a:r>
          </a:p>
          <a:p>
            <a:pPr>
              <a:defRPr sz="1000" b="0" i="0" u="none" strike="noStrike" baseline="0">
                <a:solidFill>
                  <a:srgbClr val="000000"/>
                </a:solidFill>
                <a:latin typeface="Calibri"/>
                <a:ea typeface="Calibri"/>
                <a:cs typeface="Calibri"/>
              </a:defRPr>
            </a:pPr>
            <a:r>
              <a:rPr lang="en-CA" sz="1400" b="1" i="0" u="none" strike="noStrike" baseline="0">
                <a:solidFill>
                  <a:srgbClr val="000000"/>
                </a:solidFill>
                <a:latin typeface="Times New Roman"/>
                <a:cs typeface="Times New Roman"/>
              </a:rPr>
              <a:t>(n=101) </a:t>
            </a:r>
          </a:p>
        </c:rich>
      </c:tx>
      <c:overlay val="0"/>
    </c:title>
    <c:autoTitleDeleted val="0"/>
    <c:plotArea>
      <c:layout>
        <c:manualLayout>
          <c:layoutTarget val="inner"/>
          <c:xMode val="edge"/>
          <c:yMode val="edge"/>
          <c:x val="9.8155960829485023E-2"/>
          <c:y val="0.16075911186281006"/>
          <c:w val="0.86335751935966687"/>
          <c:h val="0.35876753817527224"/>
        </c:manualLayout>
      </c:layout>
      <c:barChart>
        <c:barDir val="col"/>
        <c:grouping val="clustered"/>
        <c:varyColors val="0"/>
        <c:ser>
          <c:idx val="0"/>
          <c:order val="0"/>
          <c:tx>
            <c:strRef>
              <c:f>'Analysis 2021'!$C$72</c:f>
              <c:strCache>
                <c:ptCount val="1"/>
                <c:pt idx="0">
                  <c:v>Área clave 1 - Capacidad para aplicar y cumplir con el Protocolo</c:v>
                </c:pt>
              </c:strCache>
            </c:strRef>
          </c:tx>
          <c:spPr>
            <a:solidFill>
              <a:schemeClr val="tx1"/>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2021'!$C$78</c:f>
              <c:numCache>
                <c:formatCode>General</c:formatCode>
                <c:ptCount val="1"/>
                <c:pt idx="0">
                  <c:v>71</c:v>
                </c:pt>
              </c:numCache>
            </c:numRef>
          </c:val>
          <c:extLst>
            <c:ext xmlns:c16="http://schemas.microsoft.com/office/drawing/2014/chart" uri="{C3380CC4-5D6E-409C-BE32-E72D297353CC}">
              <c16:uniqueId val="{00000000-C610-4790-AF93-668A1BA2A0A0}"/>
            </c:ext>
          </c:extLst>
        </c:ser>
        <c:ser>
          <c:idx val="1"/>
          <c:order val="1"/>
          <c:tx>
            <c:strRef>
              <c:f>'Analysis 2021'!$D$72</c:f>
              <c:strCache>
                <c:ptCount val="1"/>
                <c:pt idx="0">
                  <c:v>Área clave 2 - Capacidad para formular, aplicar y hacer cumplir medidas de APB</c:v>
                </c:pt>
              </c:strCache>
            </c:strRef>
          </c:tx>
          <c:spPr>
            <a:pattFill prst="ltUp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2021'!$D$78</c:f>
              <c:numCache>
                <c:formatCode>General</c:formatCode>
                <c:ptCount val="1"/>
                <c:pt idx="0">
                  <c:v>88</c:v>
                </c:pt>
              </c:numCache>
            </c:numRef>
          </c:val>
          <c:extLst>
            <c:ext xmlns:c16="http://schemas.microsoft.com/office/drawing/2014/chart" uri="{C3380CC4-5D6E-409C-BE32-E72D297353CC}">
              <c16:uniqueId val="{00000001-C610-4790-AF93-668A1BA2A0A0}"/>
            </c:ext>
          </c:extLst>
        </c:ser>
        <c:ser>
          <c:idx val="2"/>
          <c:order val="2"/>
          <c:tx>
            <c:strRef>
              <c:f>'Analysis 2021'!$E$72</c:f>
              <c:strCache>
                <c:ptCount val="1"/>
                <c:pt idx="0">
                  <c:v>Área clave 3 - Capacidad para negociar condiciones mutuamente acordadas</c:v>
                </c:pt>
              </c:strCache>
            </c:strRef>
          </c:tx>
          <c:spPr>
            <a:solidFill>
              <a:schemeClr val="bg1">
                <a:lumMod val="6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2021'!$E$78</c:f>
              <c:numCache>
                <c:formatCode>General</c:formatCode>
                <c:ptCount val="1"/>
                <c:pt idx="0">
                  <c:v>56</c:v>
                </c:pt>
              </c:numCache>
            </c:numRef>
          </c:val>
          <c:extLst>
            <c:ext xmlns:c16="http://schemas.microsoft.com/office/drawing/2014/chart" uri="{C3380CC4-5D6E-409C-BE32-E72D297353CC}">
              <c16:uniqueId val="{00000002-C610-4790-AF93-668A1BA2A0A0}"/>
            </c:ext>
          </c:extLst>
        </c:ser>
        <c:ser>
          <c:idx val="3"/>
          <c:order val="3"/>
          <c:tx>
            <c:strRef>
              <c:f>'Analysis 2021'!$F$72</c:f>
              <c:strCache>
                <c:ptCount val="1"/>
                <c:pt idx="0">
                  <c:v>Área clave 4 - Capacidad de los PLIC y los interesados pertinentes para aplicar el Protocolo</c:v>
                </c:pt>
              </c:strCache>
            </c:strRef>
          </c:tx>
          <c:spPr>
            <a:pattFill prst="wdDn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2021'!$F$78</c:f>
              <c:numCache>
                <c:formatCode>General</c:formatCode>
                <c:ptCount val="1"/>
                <c:pt idx="0">
                  <c:v>78</c:v>
                </c:pt>
              </c:numCache>
            </c:numRef>
          </c:val>
          <c:extLst>
            <c:ext xmlns:c16="http://schemas.microsoft.com/office/drawing/2014/chart" uri="{C3380CC4-5D6E-409C-BE32-E72D297353CC}">
              <c16:uniqueId val="{00000003-C610-4790-AF93-668A1BA2A0A0}"/>
            </c:ext>
          </c:extLst>
        </c:ser>
        <c:ser>
          <c:idx val="4"/>
          <c:order val="4"/>
          <c:tx>
            <c:strRef>
              <c:f>'Analysis 2021'!$G$72</c:f>
              <c:strCache>
                <c:ptCount val="1"/>
                <c:pt idx="0">
                  <c:v>Área clave 5 - Capacidad para desarrollar las capacidades endógenas de investigación</c:v>
                </c:pt>
              </c:strCache>
            </c:strRef>
          </c:tx>
          <c:spPr>
            <a:solidFill>
              <a:schemeClr val="tx1">
                <a:lumMod val="75000"/>
                <a:lumOff val="2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2021'!$G$78</c:f>
              <c:numCache>
                <c:formatCode>General</c:formatCode>
                <c:ptCount val="1"/>
                <c:pt idx="0">
                  <c:v>59</c:v>
                </c:pt>
              </c:numCache>
            </c:numRef>
          </c:val>
          <c:extLst>
            <c:ext xmlns:c16="http://schemas.microsoft.com/office/drawing/2014/chart" uri="{C3380CC4-5D6E-409C-BE32-E72D297353CC}">
              <c16:uniqueId val="{00000004-C610-4790-AF93-668A1BA2A0A0}"/>
            </c:ext>
          </c:extLst>
        </c:ser>
        <c:dLbls>
          <c:showLegendKey val="0"/>
          <c:showVal val="0"/>
          <c:showCatName val="0"/>
          <c:showSerName val="0"/>
          <c:showPercent val="0"/>
          <c:showBubbleSize val="0"/>
        </c:dLbls>
        <c:gapWidth val="115"/>
        <c:overlap val="-40"/>
        <c:axId val="435085200"/>
        <c:axId val="1"/>
      </c:barChart>
      <c:catAx>
        <c:axId val="435085200"/>
        <c:scaling>
          <c:orientation val="minMax"/>
        </c:scaling>
        <c:delete val="1"/>
        <c:axPos val="b"/>
        <c:majorTickMark val="out"/>
        <c:minorTickMark val="none"/>
        <c:tickLblPos val="nextTo"/>
        <c:crossAx val="1"/>
        <c:crosses val="autoZero"/>
        <c:auto val="1"/>
        <c:lblAlgn val="ctr"/>
        <c:lblOffset val="100"/>
        <c:noMultiLvlLbl val="0"/>
      </c:catAx>
      <c:valAx>
        <c:axId val="1"/>
        <c:scaling>
          <c:orientation val="minMax"/>
        </c:scaling>
        <c:delete val="0"/>
        <c:axPos val="l"/>
        <c:majorGridlines/>
        <c:title>
          <c:tx>
            <c:rich>
              <a:bodyPr/>
              <a:lstStyle/>
              <a:p>
                <a:pPr>
                  <a:defRPr sz="1000" b="1" i="0" u="none" strike="noStrike" baseline="0">
                    <a:solidFill>
                      <a:srgbClr val="000000"/>
                    </a:solidFill>
                    <a:latin typeface="Times New Roman"/>
                    <a:ea typeface="Times New Roman"/>
                    <a:cs typeface="Times New Roman"/>
                  </a:defRPr>
                </a:pPr>
                <a:r>
                  <a:rPr lang="en-CA"/>
                  <a:t>Número de iniciativas</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5085200"/>
        <c:crosses val="autoZero"/>
        <c:crossBetween val="between"/>
      </c:valAx>
    </c:plotArea>
    <c:legend>
      <c:legendPos val="r"/>
      <c:layout>
        <c:manualLayout>
          <c:xMode val="edge"/>
          <c:yMode val="edge"/>
          <c:x val="3.7490678271707809E-2"/>
          <c:y val="0.55882924114982402"/>
          <c:w val="0.95601089548110618"/>
          <c:h val="0.44117075885017609"/>
        </c:manualLayout>
      </c:layout>
      <c:overlay val="0"/>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GB" sz="1200" b="1" i="0" u="none" strike="noStrike" baseline="0">
                <a:solidFill>
                  <a:srgbClr val="000000"/>
                </a:solidFill>
                <a:latin typeface="Times New Roman"/>
                <a:cs typeface="Times New Roman"/>
              </a:rPr>
              <a:t>Figura 6: Suministro de recursos según su objetivo principal </a:t>
            </a:r>
          </a:p>
          <a:p>
            <a:pPr>
              <a:defRPr sz="1000" b="0" i="0" u="none" strike="noStrike" baseline="0">
                <a:solidFill>
                  <a:srgbClr val="000000"/>
                </a:solidFill>
                <a:latin typeface="Calibri"/>
                <a:ea typeface="Calibri"/>
                <a:cs typeface="Calibri"/>
              </a:defRPr>
            </a:pPr>
            <a:r>
              <a:rPr lang="en-GB" sz="1200" b="1" i="0" u="none" strike="noStrike" baseline="0">
                <a:solidFill>
                  <a:srgbClr val="000000"/>
                </a:solidFill>
                <a:latin typeface="Times New Roman"/>
                <a:cs typeface="Times New Roman"/>
              </a:rPr>
              <a:t>n=120</a:t>
            </a:r>
          </a:p>
        </c:rich>
      </c:tx>
      <c:overlay val="0"/>
    </c:title>
    <c:autoTitleDeleted val="0"/>
    <c:plotArea>
      <c:layout/>
      <c:barChart>
        <c:barDir val="col"/>
        <c:grouping val="clustered"/>
        <c:varyColors val="0"/>
        <c:ser>
          <c:idx val="0"/>
          <c:order val="0"/>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2021'!$B$4:$F$4</c:f>
              <c:strCache>
                <c:ptCount val="5"/>
                <c:pt idx="0">
                  <c:v>Evaluación de las necesidades de creación de capacidad (1)</c:v>
                </c:pt>
                <c:pt idx="1">
                  <c:v>Sensibilización (5)</c:v>
                </c:pt>
                <c:pt idx="2">
                  <c:v>Seguimiento y evaluación (2)</c:v>
                </c:pt>
                <c:pt idx="3">
                  <c:v>Capacitación y aprendizaje (3)</c:v>
                </c:pt>
                <c:pt idx="4">
                  <c:v>Suministro de orientación técnica (4)</c:v>
                </c:pt>
              </c:strCache>
            </c:strRef>
          </c:cat>
          <c:val>
            <c:numRef>
              <c:f>'Analysis 2021'!$B$6:$F$6</c:f>
              <c:numCache>
                <c:formatCode>0%</c:formatCode>
                <c:ptCount val="5"/>
                <c:pt idx="0">
                  <c:v>1.6666666666666666E-2</c:v>
                </c:pt>
                <c:pt idx="1">
                  <c:v>0.4</c:v>
                </c:pt>
                <c:pt idx="2">
                  <c:v>8.3333333333333332E-3</c:v>
                </c:pt>
                <c:pt idx="3">
                  <c:v>0.1</c:v>
                </c:pt>
                <c:pt idx="4">
                  <c:v>0.47499999999999998</c:v>
                </c:pt>
              </c:numCache>
            </c:numRef>
          </c:val>
          <c:extLst>
            <c:ext xmlns:c16="http://schemas.microsoft.com/office/drawing/2014/chart" uri="{C3380CC4-5D6E-409C-BE32-E72D297353CC}">
              <c16:uniqueId val="{00000000-556B-4452-B274-AACC09A05F9E}"/>
            </c:ext>
          </c:extLst>
        </c:ser>
        <c:dLbls>
          <c:showLegendKey val="0"/>
          <c:showVal val="0"/>
          <c:showCatName val="0"/>
          <c:showSerName val="0"/>
          <c:showPercent val="0"/>
          <c:showBubbleSize val="0"/>
        </c:dLbls>
        <c:gapWidth val="150"/>
        <c:axId val="29569712"/>
        <c:axId val="1"/>
      </c:barChart>
      <c:catAx>
        <c:axId val="29569712"/>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
        <c:crosses val="autoZero"/>
        <c:auto val="0"/>
        <c:lblAlgn val="ctr"/>
        <c:lblOffset val="100"/>
        <c:noMultiLvlLbl val="0"/>
      </c:catAx>
      <c:valAx>
        <c:axId val="1"/>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GB"/>
                  <a:t>Porcentaje (%)</a:t>
                </a:r>
              </a:p>
            </c:rich>
          </c:tx>
          <c:overlay val="0"/>
        </c:title>
        <c:numFmt formatCode="0%"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29569712"/>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en-GB"/>
              <a:t>Figura 7: Recursos existentes en relación con las áreas clave del marco estratégico</a:t>
            </a:r>
          </a:p>
        </c:rich>
      </c:tx>
      <c:layout>
        <c:manualLayout>
          <c:xMode val="edge"/>
          <c:yMode val="edge"/>
          <c:x val="0.17435359744522796"/>
          <c:y val="4.4742659120734912E-2"/>
        </c:manualLayout>
      </c:layout>
      <c:overlay val="0"/>
    </c:title>
    <c:autoTitleDeleted val="0"/>
    <c:plotArea>
      <c:layout>
        <c:manualLayout>
          <c:layoutTarget val="inner"/>
          <c:xMode val="edge"/>
          <c:yMode val="edge"/>
          <c:x val="9.082794939094152E-2"/>
          <c:y val="0.15222257755036778"/>
          <c:w val="0.85964752002153577"/>
          <c:h val="0.40949263337605663"/>
        </c:manualLayout>
      </c:layout>
      <c:barChart>
        <c:barDir val="col"/>
        <c:grouping val="clustered"/>
        <c:varyColors val="0"/>
        <c:ser>
          <c:idx val="0"/>
          <c:order val="0"/>
          <c:tx>
            <c:strRef>
              <c:f>'Analysis 2021'!$B$22</c:f>
              <c:strCache>
                <c:ptCount val="1"/>
                <c:pt idx="0">
                  <c:v>Área clave 1 - Capacidad para aplicar y cumplir con el Protocolo</c:v>
                </c:pt>
              </c:strCache>
            </c:strRef>
          </c:tx>
          <c:spPr>
            <a:solidFill>
              <a:schemeClr val="tx1"/>
            </a:solid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2021'!$B$23</c:f>
              <c:numCache>
                <c:formatCode>General</c:formatCode>
                <c:ptCount val="1"/>
                <c:pt idx="0">
                  <c:v>83</c:v>
                </c:pt>
              </c:numCache>
            </c:numRef>
          </c:val>
          <c:extLst>
            <c:ext xmlns:c16="http://schemas.microsoft.com/office/drawing/2014/chart" uri="{C3380CC4-5D6E-409C-BE32-E72D297353CC}">
              <c16:uniqueId val="{00000000-BA8D-45B5-8D18-0FC731087776}"/>
            </c:ext>
          </c:extLst>
        </c:ser>
        <c:ser>
          <c:idx val="1"/>
          <c:order val="1"/>
          <c:tx>
            <c:strRef>
              <c:f>'Analysis 2021'!$C$22</c:f>
              <c:strCache>
                <c:ptCount val="1"/>
                <c:pt idx="0">
                  <c:v>Área clave 2 - Capacidad para formular, aplicar y hacer cumplir medidas de APB</c:v>
                </c:pt>
              </c:strCache>
            </c:strRef>
          </c:tx>
          <c:spPr>
            <a:pattFill prst="ltUpDiag">
              <a:fgClr>
                <a:schemeClr val="tx1"/>
              </a:fgClr>
              <a:bgClr>
                <a:schemeClr val="bg1"/>
              </a:bgClr>
            </a:patt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2021'!$C$23</c:f>
              <c:numCache>
                <c:formatCode>General</c:formatCode>
                <c:ptCount val="1"/>
                <c:pt idx="0">
                  <c:v>40</c:v>
                </c:pt>
              </c:numCache>
            </c:numRef>
          </c:val>
          <c:extLst>
            <c:ext xmlns:c16="http://schemas.microsoft.com/office/drawing/2014/chart" uri="{C3380CC4-5D6E-409C-BE32-E72D297353CC}">
              <c16:uniqueId val="{00000001-BA8D-45B5-8D18-0FC731087776}"/>
            </c:ext>
          </c:extLst>
        </c:ser>
        <c:ser>
          <c:idx val="2"/>
          <c:order val="2"/>
          <c:tx>
            <c:strRef>
              <c:f>'Analysis 2021'!$D$22</c:f>
              <c:strCache>
                <c:ptCount val="1"/>
                <c:pt idx="0">
                  <c:v>Área clave 3 - Capacidad para negociar condiciones mutuamente acordadas</c:v>
                </c:pt>
              </c:strCache>
            </c:strRef>
          </c:tx>
          <c:spPr>
            <a:solidFill>
              <a:schemeClr val="bg1">
                <a:lumMod val="50000"/>
              </a:schemeClr>
            </a:solid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2021'!$D$23</c:f>
              <c:numCache>
                <c:formatCode>General</c:formatCode>
                <c:ptCount val="1"/>
                <c:pt idx="0">
                  <c:v>23</c:v>
                </c:pt>
              </c:numCache>
            </c:numRef>
          </c:val>
          <c:extLst>
            <c:ext xmlns:c16="http://schemas.microsoft.com/office/drawing/2014/chart" uri="{C3380CC4-5D6E-409C-BE32-E72D297353CC}">
              <c16:uniqueId val="{00000002-BA8D-45B5-8D18-0FC731087776}"/>
            </c:ext>
          </c:extLst>
        </c:ser>
        <c:ser>
          <c:idx val="3"/>
          <c:order val="3"/>
          <c:tx>
            <c:strRef>
              <c:f>'Analysis 2021'!$E$22</c:f>
              <c:strCache>
                <c:ptCount val="1"/>
                <c:pt idx="0">
                  <c:v>Área clave 4 - Capacidad de los PLIC y los interesados pertinentes para aplicar el Protocolo</c:v>
                </c:pt>
              </c:strCache>
            </c:strRef>
          </c:tx>
          <c:spPr>
            <a:pattFill prst="wdDnDiag">
              <a:fgClr>
                <a:schemeClr val="tx1"/>
              </a:fgClr>
              <a:bgClr>
                <a:schemeClr val="bg1"/>
              </a:bgClr>
            </a:patt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2021'!$E$23</c:f>
              <c:numCache>
                <c:formatCode>General</c:formatCode>
                <c:ptCount val="1"/>
                <c:pt idx="0">
                  <c:v>36</c:v>
                </c:pt>
              </c:numCache>
            </c:numRef>
          </c:val>
          <c:extLst>
            <c:ext xmlns:c16="http://schemas.microsoft.com/office/drawing/2014/chart" uri="{C3380CC4-5D6E-409C-BE32-E72D297353CC}">
              <c16:uniqueId val="{00000003-BA8D-45B5-8D18-0FC731087776}"/>
            </c:ext>
          </c:extLst>
        </c:ser>
        <c:ser>
          <c:idx val="4"/>
          <c:order val="4"/>
          <c:tx>
            <c:strRef>
              <c:f>'Analysis 2021'!$F$22</c:f>
              <c:strCache>
                <c:ptCount val="1"/>
                <c:pt idx="0">
                  <c:v>Área clave 5 - Capacidad para desarrollar las capacidades endógenas de investigación</c:v>
                </c:pt>
              </c:strCache>
            </c:strRef>
          </c:tx>
          <c:spPr>
            <a:solidFill>
              <a:schemeClr val="tx1">
                <a:lumMod val="65000"/>
                <a:lumOff val="35000"/>
              </a:schemeClr>
            </a:solid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2021'!$F$23</c:f>
              <c:numCache>
                <c:formatCode>General</c:formatCode>
                <c:ptCount val="1"/>
                <c:pt idx="0">
                  <c:v>12</c:v>
                </c:pt>
              </c:numCache>
            </c:numRef>
          </c:val>
          <c:extLst>
            <c:ext xmlns:c16="http://schemas.microsoft.com/office/drawing/2014/chart" uri="{C3380CC4-5D6E-409C-BE32-E72D297353CC}">
              <c16:uniqueId val="{00000004-BA8D-45B5-8D18-0FC731087776}"/>
            </c:ext>
          </c:extLst>
        </c:ser>
        <c:dLbls>
          <c:showLegendKey val="0"/>
          <c:showVal val="0"/>
          <c:showCatName val="0"/>
          <c:showSerName val="0"/>
          <c:showPercent val="0"/>
          <c:showBubbleSize val="0"/>
        </c:dLbls>
        <c:gapWidth val="114"/>
        <c:overlap val="-50"/>
        <c:axId val="546759104"/>
        <c:axId val="1"/>
      </c:barChart>
      <c:catAx>
        <c:axId val="546759104"/>
        <c:scaling>
          <c:orientation val="minMax"/>
        </c:scaling>
        <c:delete val="0"/>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title>
          <c:tx>
            <c:rich>
              <a:bodyPr/>
              <a:lstStyle/>
              <a:p>
                <a:pPr>
                  <a:defRPr sz="1000" b="1" i="0" u="none" strike="noStrike" baseline="0">
                    <a:solidFill>
                      <a:srgbClr val="000000"/>
                    </a:solidFill>
                    <a:latin typeface="Times New Roman"/>
                    <a:ea typeface="Times New Roman"/>
                    <a:cs typeface="Times New Roman"/>
                  </a:defRPr>
                </a:pPr>
                <a:r>
                  <a:rPr lang="en-GB"/>
                  <a:t>Número de recursos (n=113)</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546759104"/>
        <c:crosses val="autoZero"/>
        <c:crossBetween val="between"/>
      </c:valAx>
    </c:plotArea>
    <c:legend>
      <c:legendPos val="r"/>
      <c:layout>
        <c:manualLayout>
          <c:xMode val="edge"/>
          <c:yMode val="edge"/>
          <c:x val="6.8522949054445129E-2"/>
          <c:y val="0.60294891584346655"/>
          <c:w val="0.9005368800053839"/>
          <c:h val="0.39609245358561074"/>
        </c:manualLayout>
      </c:layout>
      <c:overlay val="0"/>
      <c:txPr>
        <a:bodyPr/>
        <a:lstStyle/>
        <a:p>
          <a:pPr>
            <a:defRPr sz="10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B94EB1A13F4AD091D62960A34ACB95"/>
        <w:category>
          <w:name w:val="General"/>
          <w:gallery w:val="placeholder"/>
        </w:category>
        <w:types>
          <w:type w:val="bbPlcHdr"/>
        </w:types>
        <w:behaviors>
          <w:behavior w:val="content"/>
        </w:behaviors>
        <w:guid w:val="{201223F0-06B4-4EF4-9E01-E86FF917C5C6}"/>
      </w:docPartPr>
      <w:docPartBody>
        <w:p w:rsidR="0004760C" w:rsidRDefault="000E63E3" w:rsidP="000E63E3">
          <w:pPr>
            <w:pStyle w:val="6AB94EB1A13F4AD091D62960A34ACB95"/>
          </w:pPr>
          <w:r w:rsidRPr="00C3031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altName w:val="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B1"/>
    <w:rsid w:val="0004760C"/>
    <w:rsid w:val="00075A4E"/>
    <w:rsid w:val="00086E67"/>
    <w:rsid w:val="000A1968"/>
    <w:rsid w:val="000E63E3"/>
    <w:rsid w:val="000F4F7D"/>
    <w:rsid w:val="00105C44"/>
    <w:rsid w:val="002273B1"/>
    <w:rsid w:val="00292796"/>
    <w:rsid w:val="0035637B"/>
    <w:rsid w:val="003D549E"/>
    <w:rsid w:val="00415D99"/>
    <w:rsid w:val="00463F30"/>
    <w:rsid w:val="00470C40"/>
    <w:rsid w:val="00493906"/>
    <w:rsid w:val="00611334"/>
    <w:rsid w:val="006B0EF3"/>
    <w:rsid w:val="007E687C"/>
    <w:rsid w:val="008C222C"/>
    <w:rsid w:val="00906BA4"/>
    <w:rsid w:val="00932A80"/>
    <w:rsid w:val="00A83892"/>
    <w:rsid w:val="00C53B65"/>
    <w:rsid w:val="00D61ABD"/>
    <w:rsid w:val="00DC2BA9"/>
    <w:rsid w:val="00E04844"/>
    <w:rsid w:val="00E10169"/>
    <w:rsid w:val="00E32768"/>
    <w:rsid w:val="00EE29CA"/>
    <w:rsid w:val="00EF0E65"/>
    <w:rsid w:val="00F079E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E63E3"/>
    <w:rPr>
      <w:color w:val="808080"/>
    </w:rPr>
  </w:style>
  <w:style w:type="paragraph" w:customStyle="1" w:styleId="6AB94EB1A13F4AD091D62960A34ACB95">
    <w:name w:val="6AB94EB1A13F4AD091D62960A34ACB95"/>
    <w:rsid w:val="000E63E3"/>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BriefDescription xmlns="394bbfa8-7490-4a48-8e49-faa91c2d11d7" xsi:nil="true"/>
    <TaxCatchAll xmlns="985ec44e-1bab-4c0b-9df0-6ba128686fc9" xsi:nil="true"/>
    <lcf76f155ced4ddcb4097134ff3c332f xmlns="394bbfa8-7490-4a48-8e49-faa91c2d11d7">
      <Terms xmlns="http://schemas.microsoft.com/office/infopath/2007/PartnerControls"/>
    </lcf76f155ced4ddcb4097134ff3c332f>
    <SharedWithUsers xmlns="600c1254-847a-46ac-8186-5eb644b4cfcd">
      <UserInfo>
        <DisplayName>MEA-CBD-Nagoya Members</DisplayName>
        <AccountId>7</AccountId>
        <AccountType/>
      </UserInfo>
      <UserInfo>
        <DisplayName>Kristina Taboulchanas</DisplayName>
        <AccountId>14</AccountId>
        <AccountType/>
      </UserInfo>
      <UserInfo>
        <DisplayName>Alexandra Coelho</DisplayName>
        <AccountId>27</AccountId>
        <AccountType/>
      </UserInfo>
    </SharedWithUsers>
  </documentManagement>
</p:properties>
</file>

<file path=customXml/itemProps1.xml><?xml version="1.0" encoding="utf-8"?>
<ds:datastoreItem xmlns:ds="http://schemas.openxmlformats.org/officeDocument/2006/customXml" ds:itemID="{63E2E088-7BE7-43F5-A02D-7B8F7517C817}">
  <ds:schemaRefs>
    <ds:schemaRef ds:uri="http://schemas.openxmlformats.org/officeDocument/2006/bibliography"/>
  </ds:schemaRefs>
</ds:datastoreItem>
</file>

<file path=customXml/itemProps2.xml><?xml version="1.0" encoding="utf-8"?>
<ds:datastoreItem xmlns:ds="http://schemas.openxmlformats.org/officeDocument/2006/customXml" ds:itemID="{EDC242D4-4384-4B31-994D-3F8C5BF5D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F599C-D186-4471-B0BE-627AA4E6F29C}">
  <ds:schemaRefs>
    <ds:schemaRef ds:uri="http://schemas.microsoft.com/sharepoint/v3/contenttype/forms"/>
  </ds:schemaRefs>
</ds:datastoreItem>
</file>

<file path=customXml/itemProps4.xml><?xml version="1.0" encoding="utf-8"?>
<ds:datastoreItem xmlns:ds="http://schemas.openxmlformats.org/officeDocument/2006/customXml" ds:itemID="{01B7E55D-927B-4D27-B701-4751E521A195}">
  <ds:schemaRefs>
    <ds:schemaRef ds:uri="http://schemas.microsoft.com/office/2006/metadata/properties"/>
    <ds:schemaRef ds:uri="http://schemas.microsoft.com/office/infopath/2007/PartnerControls"/>
    <ds:schemaRef ds:uri="394bbfa8-7490-4a48-8e49-faa91c2d11d7"/>
    <ds:schemaRef ds:uri="985ec44e-1bab-4c0b-9df0-6ba128686fc9"/>
    <ds:schemaRef ds:uri="600c1254-847a-46ac-8186-5eb644b4cfcd"/>
  </ds:schemaRefs>
</ds:datastoreItem>
</file>

<file path=docProps/app.xml><?xml version="1.0" encoding="utf-8"?>
<Properties xmlns="http://schemas.openxmlformats.org/officeDocument/2006/extended-properties" xmlns:vt="http://schemas.openxmlformats.org/officeDocument/2006/docPropsVTypes">
  <Template>Normal.dotm</Template>
  <TotalTime>2157</TotalTime>
  <Pages>17</Pages>
  <Words>6774</Words>
  <Characters>38613</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Progress report on measures to assist in capacity-building and capacity development (Article 22)</vt:lpstr>
    </vt:vector>
  </TitlesOfParts>
  <Company>SCBD</Company>
  <LinksUpToDate>false</LinksUpToDate>
  <CharactersWithSpaces>45297</CharactersWithSpaces>
  <SharedDoc>false</SharedDoc>
  <HLinks>
    <vt:vector size="240" baseType="variant">
      <vt:variant>
        <vt:i4>1245268</vt:i4>
      </vt:variant>
      <vt:variant>
        <vt:i4>111</vt:i4>
      </vt:variant>
      <vt:variant>
        <vt:i4>0</vt:i4>
      </vt:variant>
      <vt:variant>
        <vt:i4>5</vt:i4>
      </vt:variant>
      <vt:variant>
        <vt:lpwstr>https://www.cbd.int/doc/recommendations/sbi-03/sbi-03-rec-09-en.docx</vt:lpwstr>
      </vt:variant>
      <vt:variant>
        <vt:lpwstr/>
      </vt:variant>
      <vt:variant>
        <vt:i4>1179732</vt:i4>
      </vt:variant>
      <vt:variant>
        <vt:i4>108</vt:i4>
      </vt:variant>
      <vt:variant>
        <vt:i4>0</vt:i4>
      </vt:variant>
      <vt:variant>
        <vt:i4>5</vt:i4>
      </vt:variant>
      <vt:variant>
        <vt:lpwstr>https://www.cbd.int/doc/recommendations/sbi-03/sbi-03-rec-08-en.docx</vt:lpwstr>
      </vt:variant>
      <vt:variant>
        <vt:lpwstr/>
      </vt:variant>
      <vt:variant>
        <vt:i4>6750248</vt:i4>
      </vt:variant>
      <vt:variant>
        <vt:i4>105</vt:i4>
      </vt:variant>
      <vt:variant>
        <vt:i4>0</vt:i4>
      </vt:variant>
      <vt:variant>
        <vt:i4>5</vt:i4>
      </vt:variant>
      <vt:variant>
        <vt:lpwstr>https://www.cbd.int/abs/doc/cepa-toolkit-en.pdf</vt:lpwstr>
      </vt:variant>
      <vt:variant>
        <vt:lpwstr/>
      </vt:variant>
      <vt:variant>
        <vt:i4>6750248</vt:i4>
      </vt:variant>
      <vt:variant>
        <vt:i4>102</vt:i4>
      </vt:variant>
      <vt:variant>
        <vt:i4>0</vt:i4>
      </vt:variant>
      <vt:variant>
        <vt:i4>5</vt:i4>
      </vt:variant>
      <vt:variant>
        <vt:lpwstr>https://www.cbd.int/abs/doc/cepa-toolkit-en.pdf</vt:lpwstr>
      </vt:variant>
      <vt:variant>
        <vt:lpwstr/>
      </vt:variant>
      <vt:variant>
        <vt:i4>3014759</vt:i4>
      </vt:variant>
      <vt:variant>
        <vt:i4>99</vt:i4>
      </vt:variant>
      <vt:variant>
        <vt:i4>0</vt:i4>
      </vt:variant>
      <vt:variant>
        <vt:i4>5</vt:i4>
      </vt:variant>
      <vt:variant>
        <vt:lpwstr>https://www.cbd.int/doc/notifications/2021/ntf-2021-037-abs-en.pdf</vt:lpwstr>
      </vt:variant>
      <vt:variant>
        <vt:lpwstr/>
      </vt:variant>
      <vt:variant>
        <vt:i4>6750248</vt:i4>
      </vt:variant>
      <vt:variant>
        <vt:i4>96</vt:i4>
      </vt:variant>
      <vt:variant>
        <vt:i4>0</vt:i4>
      </vt:variant>
      <vt:variant>
        <vt:i4>5</vt:i4>
      </vt:variant>
      <vt:variant>
        <vt:lpwstr>https://www.cbd.int/abs/doc/cepa-toolkit-en.pdf</vt:lpwstr>
      </vt:variant>
      <vt:variant>
        <vt:lpwstr/>
      </vt:variant>
      <vt:variant>
        <vt:i4>4784205</vt:i4>
      </vt:variant>
      <vt:variant>
        <vt:i4>93</vt:i4>
      </vt:variant>
      <vt:variant>
        <vt:i4>0</vt:i4>
      </vt:variant>
      <vt:variant>
        <vt:i4>5</vt:i4>
      </vt:variant>
      <vt:variant>
        <vt:lpwstr>https://www.cbd.int/doc/c/3e5d/b75c/c9902079d65a1bc886daf45e/np-cbiac-2019-01-04-en.docx</vt:lpwstr>
      </vt:variant>
      <vt:variant>
        <vt:lpwstr/>
      </vt:variant>
      <vt:variant>
        <vt:i4>3342368</vt:i4>
      </vt:variant>
      <vt:variant>
        <vt:i4>90</vt:i4>
      </vt:variant>
      <vt:variant>
        <vt:i4>0</vt:i4>
      </vt:variant>
      <vt:variant>
        <vt:i4>5</vt:i4>
      </vt:variant>
      <vt:variant>
        <vt:lpwstr>https://absch.cbd.int/</vt:lpwstr>
      </vt:variant>
      <vt:variant>
        <vt:lpwstr/>
      </vt:variant>
      <vt:variant>
        <vt:i4>7733297</vt:i4>
      </vt:variant>
      <vt:variant>
        <vt:i4>87</vt:i4>
      </vt:variant>
      <vt:variant>
        <vt:i4>0</vt:i4>
      </vt:variant>
      <vt:variant>
        <vt:i4>5</vt:i4>
      </vt:variant>
      <vt:variant>
        <vt:lpwstr>https://www.cbd.int/doc/decisions/np-mop-01/np-mop-01-dec-02-en.pdf</vt:lpwstr>
      </vt:variant>
      <vt:variant>
        <vt:lpwstr/>
      </vt:variant>
      <vt:variant>
        <vt:i4>8126513</vt:i4>
      </vt:variant>
      <vt:variant>
        <vt:i4>84</vt:i4>
      </vt:variant>
      <vt:variant>
        <vt:i4>0</vt:i4>
      </vt:variant>
      <vt:variant>
        <vt:i4>5</vt:i4>
      </vt:variant>
      <vt:variant>
        <vt:lpwstr>https://www.cbd.int/doc/decisions/np-mop-01/np-mop-01-dec-08-en.pdf</vt:lpwstr>
      </vt:variant>
      <vt:variant>
        <vt:lpwstr/>
      </vt:variant>
      <vt:variant>
        <vt:i4>2097272</vt:i4>
      </vt:variant>
      <vt:variant>
        <vt:i4>81</vt:i4>
      </vt:variant>
      <vt:variant>
        <vt:i4>0</vt:i4>
      </vt:variant>
      <vt:variant>
        <vt:i4>5</vt:i4>
      </vt:variant>
      <vt:variant>
        <vt:lpwstr>https://www.giz.de/en/</vt:lpwstr>
      </vt:variant>
      <vt:variant>
        <vt:lpwstr/>
      </vt:variant>
      <vt:variant>
        <vt:i4>8192103</vt:i4>
      </vt:variant>
      <vt:variant>
        <vt:i4>78</vt:i4>
      </vt:variant>
      <vt:variant>
        <vt:i4>0</vt:i4>
      </vt:variant>
      <vt:variant>
        <vt:i4>5</vt:i4>
      </vt:variant>
      <vt:variant>
        <vt:lpwstr>http://www.abs-initiative.info/</vt:lpwstr>
      </vt:variant>
      <vt:variant>
        <vt:lpwstr/>
      </vt:variant>
      <vt:variant>
        <vt:i4>4063267</vt:i4>
      </vt:variant>
      <vt:variant>
        <vt:i4>75</vt:i4>
      </vt:variant>
      <vt:variant>
        <vt:i4>0</vt:i4>
      </vt:variant>
      <vt:variant>
        <vt:i4>5</vt:i4>
      </vt:variant>
      <vt:variant>
        <vt:lpwstr>https://www.unenvironment.org/</vt:lpwstr>
      </vt:variant>
      <vt:variant>
        <vt:lpwstr/>
      </vt:variant>
      <vt:variant>
        <vt:i4>4784198</vt:i4>
      </vt:variant>
      <vt:variant>
        <vt:i4>72</vt:i4>
      </vt:variant>
      <vt:variant>
        <vt:i4>0</vt:i4>
      </vt:variant>
      <vt:variant>
        <vt:i4>5</vt:i4>
      </vt:variant>
      <vt:variant>
        <vt:lpwstr>http://www.undp.org/</vt:lpwstr>
      </vt:variant>
      <vt:variant>
        <vt:lpwstr/>
      </vt:variant>
      <vt:variant>
        <vt:i4>2687080</vt:i4>
      </vt:variant>
      <vt:variant>
        <vt:i4>69</vt:i4>
      </vt:variant>
      <vt:variant>
        <vt:i4>0</vt:i4>
      </vt:variant>
      <vt:variant>
        <vt:i4>5</vt:i4>
      </vt:variant>
      <vt:variant>
        <vt:lpwstr>https://www.thegef.org/</vt:lpwstr>
      </vt:variant>
      <vt:variant>
        <vt:lpwstr/>
      </vt:variant>
      <vt:variant>
        <vt:i4>131142</vt:i4>
      </vt:variant>
      <vt:variant>
        <vt:i4>66</vt:i4>
      </vt:variant>
      <vt:variant>
        <vt:i4>0</vt:i4>
      </vt:variant>
      <vt:variant>
        <vt:i4>5</vt:i4>
      </vt:variant>
      <vt:variant>
        <vt:lpwstr>https://www.cbd.int/doc/decisions/np-mop-03/np-mop-03-dec-05-en.docx</vt:lpwstr>
      </vt:variant>
      <vt:variant>
        <vt:lpwstr/>
      </vt:variant>
      <vt:variant>
        <vt:i4>7798821</vt:i4>
      </vt:variant>
      <vt:variant>
        <vt:i4>63</vt:i4>
      </vt:variant>
      <vt:variant>
        <vt:i4>0</vt:i4>
      </vt:variant>
      <vt:variant>
        <vt:i4>5</vt:i4>
      </vt:variant>
      <vt:variant>
        <vt:lpwstr>https://www.cbd.int/doc/decisions/np-mop-01/np-mop-01-dec-08-en.doc</vt:lpwstr>
      </vt:variant>
      <vt:variant>
        <vt:lpwstr/>
      </vt:variant>
      <vt:variant>
        <vt:i4>196693</vt:i4>
      </vt:variant>
      <vt:variant>
        <vt:i4>60</vt:i4>
      </vt:variant>
      <vt:variant>
        <vt:i4>0</vt:i4>
      </vt:variant>
      <vt:variant>
        <vt:i4>5</vt:i4>
      </vt:variant>
      <vt:variant>
        <vt:lpwstr>https://youtu.be/xJ0ZjpY0VQo</vt:lpwstr>
      </vt:variant>
      <vt:variant>
        <vt:lpwstr/>
      </vt:variant>
      <vt:variant>
        <vt:i4>3670077</vt:i4>
      </vt:variant>
      <vt:variant>
        <vt:i4>57</vt:i4>
      </vt:variant>
      <vt:variant>
        <vt:i4>0</vt:i4>
      </vt:variant>
      <vt:variant>
        <vt:i4>5</vt:i4>
      </vt:variant>
      <vt:variant>
        <vt:lpwstr>https://vimeo.com/263320356/513f748f8a</vt:lpwstr>
      </vt:variant>
      <vt:variant>
        <vt:lpwstr/>
      </vt:variant>
      <vt:variant>
        <vt:i4>65610</vt:i4>
      </vt:variant>
      <vt:variant>
        <vt:i4>54</vt:i4>
      </vt:variant>
      <vt:variant>
        <vt:i4>0</vt:i4>
      </vt:variant>
      <vt:variant>
        <vt:i4>5</vt:i4>
      </vt:variant>
      <vt:variant>
        <vt:lpwstr>https://scbd.unssc.org/course/index.php?categoryid=4</vt:lpwstr>
      </vt:variant>
      <vt:variant>
        <vt:lpwstr/>
      </vt:variant>
      <vt:variant>
        <vt:i4>8257649</vt:i4>
      </vt:variant>
      <vt:variant>
        <vt:i4>51</vt:i4>
      </vt:variant>
      <vt:variant>
        <vt:i4>0</vt:i4>
      </vt:variant>
      <vt:variant>
        <vt:i4>5</vt:i4>
      </vt:variant>
      <vt:variant>
        <vt:lpwstr>https://www.cbd.int/biobridge/projects/selected</vt:lpwstr>
      </vt:variant>
      <vt:variant>
        <vt:lpwstr/>
      </vt:variant>
      <vt:variant>
        <vt:i4>7274532</vt:i4>
      </vt:variant>
      <vt:variant>
        <vt:i4>48</vt:i4>
      </vt:variant>
      <vt:variant>
        <vt:i4>0</vt:i4>
      </vt:variant>
      <vt:variant>
        <vt:i4>5</vt:i4>
      </vt:variant>
      <vt:variant>
        <vt:lpwstr>https://www.cbd.int/biobridge/</vt:lpwstr>
      </vt:variant>
      <vt:variant>
        <vt:lpwstr/>
      </vt:variant>
      <vt:variant>
        <vt:i4>1310726</vt:i4>
      </vt:variant>
      <vt:variant>
        <vt:i4>45</vt:i4>
      </vt:variant>
      <vt:variant>
        <vt:i4>0</vt:i4>
      </vt:variant>
      <vt:variant>
        <vt:i4>5</vt:i4>
      </vt:variant>
      <vt:variant>
        <vt:lpwstr>https://www.cbd.int/doc/c/a48b/812d/cae5e667c7c76aefbcc9e440/np-mop-04-06-en.docx</vt:lpwstr>
      </vt:variant>
      <vt:variant>
        <vt:lpwstr/>
      </vt:variant>
      <vt:variant>
        <vt:i4>8060974</vt:i4>
      </vt:variant>
      <vt:variant>
        <vt:i4>42</vt:i4>
      </vt:variant>
      <vt:variant>
        <vt:i4>0</vt:i4>
      </vt:variant>
      <vt:variant>
        <vt:i4>5</vt:i4>
      </vt:variant>
      <vt:variant>
        <vt:lpwstr>https://www.cbd.int/dsi-gr/forum.shtml</vt:lpwstr>
      </vt:variant>
      <vt:variant>
        <vt:lpwstr/>
      </vt:variant>
      <vt:variant>
        <vt:i4>8126516</vt:i4>
      </vt:variant>
      <vt:variant>
        <vt:i4>39</vt:i4>
      </vt:variant>
      <vt:variant>
        <vt:i4>0</vt:i4>
      </vt:variant>
      <vt:variant>
        <vt:i4>5</vt:i4>
      </vt:variant>
      <vt:variant>
        <vt:lpwstr>https://www.cbd.int/article/dsi-webinar-series-2020</vt:lpwstr>
      </vt:variant>
      <vt:variant>
        <vt:lpwstr/>
      </vt:variant>
      <vt:variant>
        <vt:i4>2621501</vt:i4>
      </vt:variant>
      <vt:variant>
        <vt:i4>36</vt:i4>
      </vt:variant>
      <vt:variant>
        <vt:i4>0</vt:i4>
      </vt:variant>
      <vt:variant>
        <vt:i4>5</vt:i4>
      </vt:variant>
      <vt:variant>
        <vt:lpwstr>https://community.abs-sustainabledevelopment.net/event/global-abs-conference-2020/</vt:lpwstr>
      </vt:variant>
      <vt:variant>
        <vt:lpwstr/>
      </vt:variant>
      <vt:variant>
        <vt:i4>983069</vt:i4>
      </vt:variant>
      <vt:variant>
        <vt:i4>33</vt:i4>
      </vt:variant>
      <vt:variant>
        <vt:i4>0</vt:i4>
      </vt:variant>
      <vt:variant>
        <vt:i4>5</vt:i4>
      </vt:variant>
      <vt:variant>
        <vt:lpwstr>https://www.cbd.int/doc/c/d210/94de/84895ba809c4f701330279d0/np-cb-ws-2019-01-02-en.docx</vt:lpwstr>
      </vt:variant>
      <vt:variant>
        <vt:lpwstr/>
      </vt:variant>
      <vt:variant>
        <vt:i4>3014759</vt:i4>
      </vt:variant>
      <vt:variant>
        <vt:i4>30</vt:i4>
      </vt:variant>
      <vt:variant>
        <vt:i4>0</vt:i4>
      </vt:variant>
      <vt:variant>
        <vt:i4>5</vt:i4>
      </vt:variant>
      <vt:variant>
        <vt:lpwstr>https://www.cbd.int/doc/notifications/2021/ntf-2021-037-abs-en.pdf</vt:lpwstr>
      </vt:variant>
      <vt:variant>
        <vt:lpwstr/>
      </vt:variant>
      <vt:variant>
        <vt:i4>4784205</vt:i4>
      </vt:variant>
      <vt:variant>
        <vt:i4>27</vt:i4>
      </vt:variant>
      <vt:variant>
        <vt:i4>0</vt:i4>
      </vt:variant>
      <vt:variant>
        <vt:i4>5</vt:i4>
      </vt:variant>
      <vt:variant>
        <vt:lpwstr>https://www.cbd.int/doc/c/3e5d/b75c/c9902079d65a1bc886daf45e/np-cbiac-2019-01-04-en.docx</vt:lpwstr>
      </vt:variant>
      <vt:variant>
        <vt:lpwstr/>
      </vt:variant>
      <vt:variant>
        <vt:i4>1179732</vt:i4>
      </vt:variant>
      <vt:variant>
        <vt:i4>24</vt:i4>
      </vt:variant>
      <vt:variant>
        <vt:i4>0</vt:i4>
      </vt:variant>
      <vt:variant>
        <vt:i4>5</vt:i4>
      </vt:variant>
      <vt:variant>
        <vt:lpwstr>https://www.cbd.int/doc/recommendations/sbi-03/sbi-03-rec-08-en.docx</vt:lpwstr>
      </vt:variant>
      <vt:variant>
        <vt:lpwstr/>
      </vt:variant>
      <vt:variant>
        <vt:i4>720968</vt:i4>
      </vt:variant>
      <vt:variant>
        <vt:i4>21</vt:i4>
      </vt:variant>
      <vt:variant>
        <vt:i4>0</vt:i4>
      </vt:variant>
      <vt:variant>
        <vt:i4>5</vt:i4>
      </vt:variant>
      <vt:variant>
        <vt:lpwstr>https://www.cbd.int/doc/decisions/cop-14/cop-14-dec-24-en.pdf</vt:lpwstr>
      </vt:variant>
      <vt:variant>
        <vt:lpwstr/>
      </vt:variant>
      <vt:variant>
        <vt:i4>65606</vt:i4>
      </vt:variant>
      <vt:variant>
        <vt:i4>18</vt:i4>
      </vt:variant>
      <vt:variant>
        <vt:i4>0</vt:i4>
      </vt:variant>
      <vt:variant>
        <vt:i4>5</vt:i4>
      </vt:variant>
      <vt:variant>
        <vt:lpwstr>https://www.cbd.int/doc/decisions/np-mop-03/np-mop-03-dec-06-en.docx</vt:lpwstr>
      </vt:variant>
      <vt:variant>
        <vt:lpwstr/>
      </vt:variant>
      <vt:variant>
        <vt:i4>8192049</vt:i4>
      </vt:variant>
      <vt:variant>
        <vt:i4>15</vt:i4>
      </vt:variant>
      <vt:variant>
        <vt:i4>0</vt:i4>
      </vt:variant>
      <vt:variant>
        <vt:i4>5</vt:i4>
      </vt:variant>
      <vt:variant>
        <vt:lpwstr>https://www.cbd.int/doc/decisions/np-mop-01/np-mop-01-dec-09-en.pdf</vt:lpwstr>
      </vt:variant>
      <vt:variant>
        <vt:lpwstr/>
      </vt:variant>
      <vt:variant>
        <vt:i4>7798821</vt:i4>
      </vt:variant>
      <vt:variant>
        <vt:i4>12</vt:i4>
      </vt:variant>
      <vt:variant>
        <vt:i4>0</vt:i4>
      </vt:variant>
      <vt:variant>
        <vt:i4>5</vt:i4>
      </vt:variant>
      <vt:variant>
        <vt:lpwstr>https://www.cbd.int/doc/decisions/np-mop-02/np-mop-02-dec-08-en.doc</vt:lpwstr>
      </vt:variant>
      <vt:variant>
        <vt:lpwstr/>
      </vt:variant>
      <vt:variant>
        <vt:i4>131142</vt:i4>
      </vt:variant>
      <vt:variant>
        <vt:i4>9</vt:i4>
      </vt:variant>
      <vt:variant>
        <vt:i4>0</vt:i4>
      </vt:variant>
      <vt:variant>
        <vt:i4>5</vt:i4>
      </vt:variant>
      <vt:variant>
        <vt:lpwstr>https://www.cbd.int/doc/decisions/np-mop-03/np-mop-03-dec-05-en.docx</vt:lpwstr>
      </vt:variant>
      <vt:variant>
        <vt:lpwstr/>
      </vt:variant>
      <vt:variant>
        <vt:i4>393286</vt:i4>
      </vt:variant>
      <vt:variant>
        <vt:i4>6</vt:i4>
      </vt:variant>
      <vt:variant>
        <vt:i4>0</vt:i4>
      </vt:variant>
      <vt:variant>
        <vt:i4>5</vt:i4>
      </vt:variant>
      <vt:variant>
        <vt:lpwstr>https://www.cbd.int/doc/decisions/np-mop-03/np-mop-03-dec-01-en.docx</vt:lpwstr>
      </vt:variant>
      <vt:variant>
        <vt:lpwstr/>
      </vt:variant>
      <vt:variant>
        <vt:i4>131142</vt:i4>
      </vt:variant>
      <vt:variant>
        <vt:i4>3</vt:i4>
      </vt:variant>
      <vt:variant>
        <vt:i4>0</vt:i4>
      </vt:variant>
      <vt:variant>
        <vt:i4>5</vt:i4>
      </vt:variant>
      <vt:variant>
        <vt:lpwstr>https://www.cbd.int/doc/decisions/np-mop-03/np-mop-03-dec-05-en.docx</vt:lpwstr>
      </vt:variant>
      <vt:variant>
        <vt:lpwstr/>
      </vt:variant>
      <vt:variant>
        <vt:i4>8126513</vt:i4>
      </vt:variant>
      <vt:variant>
        <vt:i4>0</vt:i4>
      </vt:variant>
      <vt:variant>
        <vt:i4>0</vt:i4>
      </vt:variant>
      <vt:variant>
        <vt:i4>5</vt:i4>
      </vt:variant>
      <vt:variant>
        <vt:lpwstr>https://www.cbd.int/doc/decisions/np-mop-01/np-mop-01-dec-08-en.pdf</vt:lpwstr>
      </vt:variant>
      <vt:variant>
        <vt:lpwstr/>
      </vt:variant>
      <vt:variant>
        <vt:i4>8126513</vt:i4>
      </vt:variant>
      <vt:variant>
        <vt:i4>3</vt:i4>
      </vt:variant>
      <vt:variant>
        <vt:i4>0</vt:i4>
      </vt:variant>
      <vt:variant>
        <vt:i4>5</vt:i4>
      </vt:variant>
      <vt:variant>
        <vt:lpwstr>https://www.cbd.int/doc/decisions/np-mop-01/np-mop-01-dec-08-en.pdf</vt:lpwstr>
      </vt:variant>
      <vt:variant>
        <vt:lpwstr/>
      </vt:variant>
      <vt:variant>
        <vt:i4>4980763</vt:i4>
      </vt:variant>
      <vt:variant>
        <vt:i4>0</vt:i4>
      </vt:variant>
      <vt:variant>
        <vt:i4>0</vt:i4>
      </vt:variant>
      <vt:variant>
        <vt:i4>5</vt:i4>
      </vt:variant>
      <vt:variant>
        <vt:lpwstr>https://www.cbd.int/doc/c/ad17/76f8/cab36f3adfecf8328605e346/np-cbiac-2019-01-02-en.docx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measures to assist in capacity-building and capacity development (Article 22)</dc:title>
  <dc:subject>CBD/NP/MOP/4/5</dc:subject>
  <dc:creator>SCBD</dc:creator>
  <cp:keywords/>
  <cp:lastModifiedBy>Xue He Yan</cp:lastModifiedBy>
  <cp:revision>127</cp:revision>
  <cp:lastPrinted>2018-09-27T02:46:00Z</cp:lastPrinted>
  <dcterms:created xsi:type="dcterms:W3CDTF">2022-10-30T00:01:00Z</dcterms:created>
  <dcterms:modified xsi:type="dcterms:W3CDTF">2022-11-06T14:11:00Z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