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49D33" w14:textId="77777777" w:rsidR="00833FEF" w:rsidRDefault="00833FEF">
      <w:pPr>
        <w:widowControl w:val="0"/>
        <w:pBdr>
          <w:top w:val="nil"/>
          <w:left w:val="nil"/>
          <w:bottom w:val="nil"/>
          <w:right w:val="nil"/>
          <w:between w:val="nil"/>
        </w:pBdr>
        <w:spacing w:line="276" w:lineRule="auto"/>
        <w:jc w:val="left"/>
        <w:rPr>
          <w:rFonts w:ascii="SimSun" w:hAnsi="SimSun" w:cs="SimSun"/>
          <w:color w:val="000000"/>
        </w:rPr>
      </w:pPr>
    </w:p>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833FEF" w14:paraId="0EC701AC" w14:textId="77777777">
        <w:trPr>
          <w:trHeight w:val="851"/>
        </w:trPr>
        <w:tc>
          <w:tcPr>
            <w:tcW w:w="953" w:type="dxa"/>
            <w:tcBorders>
              <w:bottom w:val="single" w:sz="8" w:space="0" w:color="000000"/>
            </w:tcBorders>
            <w:vAlign w:val="bottom"/>
          </w:tcPr>
          <w:p w14:paraId="1CAF82F3" w14:textId="77777777" w:rsidR="00833FEF" w:rsidRDefault="00986C10">
            <w:pPr>
              <w:spacing w:after="120"/>
              <w:rPr>
                <w:rFonts w:ascii="SimSun" w:hAnsi="SimSun" w:cs="SimSun"/>
                <w:sz w:val="24"/>
                <w:szCs w:val="24"/>
              </w:rPr>
            </w:pPr>
            <w:bookmarkStart w:id="0" w:name="_heading=h.gjdgxs" w:colFirst="0" w:colLast="0"/>
            <w:bookmarkEnd w:id="0"/>
            <w:r>
              <w:rPr>
                <w:rFonts w:ascii="SimSun" w:hAnsi="SimSun" w:cs="SimSun"/>
                <w:noProof/>
                <w:sz w:val="24"/>
                <w:szCs w:val="24"/>
              </w:rPr>
              <w:drawing>
                <wp:inline distT="0" distB="0" distL="0" distR="0" wp14:anchorId="4A94F27E" wp14:editId="4F27B9D8">
                  <wp:extent cx="476494" cy="403200"/>
                  <wp:effectExtent l="0" t="0" r="0" b="0"/>
                  <wp:docPr id="1173017622" name="image2.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2.png" descr="Macintosh HD:Users:bilodeau:Desktop:logos:template 2017:un.emf"/>
                          <pic:cNvPicPr preferRelativeResize="0"/>
                        </pic:nvPicPr>
                        <pic:blipFill>
                          <a:blip r:embed="rId8"/>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143F5A74" w14:textId="77777777" w:rsidR="00833FEF" w:rsidRPr="00886C18" w:rsidRDefault="00986C10">
            <w:pPr>
              <w:spacing w:before="60"/>
              <w:rPr>
                <w:rFonts w:ascii="SimSun" w:hAnsi="SimSun" w:cs="SimSun"/>
                <w:b/>
                <w:bCs/>
                <w:sz w:val="24"/>
                <w:szCs w:val="24"/>
              </w:rPr>
            </w:pPr>
            <w:r w:rsidRPr="00886C18">
              <w:rPr>
                <w:rFonts w:ascii="SimSun" w:hAnsi="SimSun" w:cs="SimSun"/>
                <w:b/>
                <w:bCs/>
                <w:sz w:val="24"/>
                <w:szCs w:val="24"/>
              </w:rPr>
              <w:t>联合国</w:t>
            </w:r>
            <w:r w:rsidRPr="00886C18">
              <w:rPr>
                <w:b/>
                <w:bCs/>
                <w:noProof/>
              </w:rPr>
              <w:drawing>
                <wp:anchor distT="0" distB="0" distL="114300" distR="114300" simplePos="0" relativeHeight="251658240" behindDoc="0" locked="0" layoutInCell="1" hidden="0" allowOverlap="1" wp14:anchorId="421166CA" wp14:editId="30A12CA0">
                  <wp:simplePos x="0" y="0"/>
                  <wp:positionH relativeFrom="column">
                    <wp:posOffset>465176</wp:posOffset>
                  </wp:positionH>
                  <wp:positionV relativeFrom="paragraph">
                    <wp:posOffset>43366</wp:posOffset>
                  </wp:positionV>
                  <wp:extent cx="181069" cy="191492"/>
                  <wp:effectExtent l="0" t="0" r="0" b="0"/>
                  <wp:wrapNone/>
                  <wp:docPr id="11730176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81069" cy="191492"/>
                          </a:xfrm>
                          <a:prstGeom prst="rect">
                            <a:avLst/>
                          </a:prstGeom>
                          <a:ln/>
                        </pic:spPr>
                      </pic:pic>
                    </a:graphicData>
                  </a:graphic>
                </wp:anchor>
              </w:drawing>
            </w:r>
          </w:p>
          <w:p w14:paraId="5D7DD421" w14:textId="77777777" w:rsidR="00833FEF" w:rsidRDefault="00986C10">
            <w:pPr>
              <w:rPr>
                <w:rFonts w:ascii="SimSun" w:hAnsi="SimSun" w:cs="SimSun"/>
                <w:sz w:val="24"/>
                <w:szCs w:val="24"/>
              </w:rPr>
            </w:pPr>
            <w:r w:rsidRPr="00886C18">
              <w:rPr>
                <w:rFonts w:ascii="SimSun" w:hAnsi="SimSun" w:cs="SimSun"/>
                <w:b/>
                <w:bCs/>
                <w:sz w:val="24"/>
                <w:szCs w:val="24"/>
              </w:rPr>
              <w:t>环境规划署</w:t>
            </w:r>
          </w:p>
        </w:tc>
        <w:tc>
          <w:tcPr>
            <w:tcW w:w="5648" w:type="dxa"/>
            <w:tcBorders>
              <w:bottom w:val="single" w:sz="8" w:space="0" w:color="000000"/>
            </w:tcBorders>
            <w:vAlign w:val="bottom"/>
          </w:tcPr>
          <w:p w14:paraId="3F3FD479" w14:textId="77777777" w:rsidR="00833FEF" w:rsidRPr="00886C18" w:rsidRDefault="00986C10">
            <w:pPr>
              <w:spacing w:after="120"/>
              <w:ind w:left="2021"/>
              <w:jc w:val="right"/>
              <w:rPr>
                <w:sz w:val="22"/>
                <w:szCs w:val="22"/>
              </w:rPr>
            </w:pPr>
            <w:r w:rsidRPr="00886C18">
              <w:rPr>
                <w:sz w:val="40"/>
                <w:szCs w:val="40"/>
              </w:rPr>
              <w:t>CBD</w:t>
            </w:r>
            <w:r w:rsidRPr="00886C18">
              <w:rPr>
                <w:sz w:val="24"/>
                <w:szCs w:val="24"/>
              </w:rPr>
              <w:t>/COP/16/11</w:t>
            </w:r>
          </w:p>
        </w:tc>
      </w:tr>
      <w:tr w:rsidR="00833FEF" w14:paraId="6307506B" w14:textId="77777777">
        <w:tc>
          <w:tcPr>
            <w:tcW w:w="4843" w:type="dxa"/>
            <w:gridSpan w:val="2"/>
            <w:tcBorders>
              <w:top w:val="single" w:sz="8" w:space="0" w:color="000000"/>
              <w:bottom w:val="single" w:sz="12" w:space="0" w:color="000000"/>
            </w:tcBorders>
          </w:tcPr>
          <w:p w14:paraId="0397E38D" w14:textId="77777777" w:rsidR="00833FEF" w:rsidRDefault="00986C10">
            <w:pPr>
              <w:spacing w:before="120" w:after="120"/>
              <w:jc w:val="left"/>
              <w:rPr>
                <w:rFonts w:ascii="SimSun" w:hAnsi="SimSun" w:cs="SimSun"/>
                <w:sz w:val="24"/>
                <w:szCs w:val="24"/>
              </w:rPr>
            </w:pPr>
            <w:r>
              <w:rPr>
                <w:rFonts w:ascii="SimSun" w:hAnsi="SimSun" w:cs="SimSun"/>
                <w:b/>
                <w:noProof/>
                <w:sz w:val="24"/>
                <w:szCs w:val="24"/>
              </w:rPr>
              <w:drawing>
                <wp:inline distT="0" distB="0" distL="0" distR="0" wp14:anchorId="3239B66A" wp14:editId="6B17D480">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0"/>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7501574F" w14:textId="77777777" w:rsidR="00833FEF" w:rsidRPr="00886C18" w:rsidRDefault="00986C10">
            <w:pPr>
              <w:ind w:left="2021"/>
              <w:rPr>
                <w:sz w:val="24"/>
                <w:szCs w:val="24"/>
              </w:rPr>
            </w:pPr>
            <w:r w:rsidRPr="00886C18">
              <w:rPr>
                <w:sz w:val="24"/>
                <w:szCs w:val="24"/>
              </w:rPr>
              <w:t>Distr.: General</w:t>
            </w:r>
          </w:p>
          <w:p w14:paraId="4F7F6FA7" w14:textId="77777777" w:rsidR="00833FEF" w:rsidRPr="00886C18" w:rsidRDefault="00986C10">
            <w:pPr>
              <w:ind w:left="2021"/>
              <w:rPr>
                <w:sz w:val="24"/>
                <w:szCs w:val="24"/>
              </w:rPr>
            </w:pPr>
            <w:r w:rsidRPr="00886C18">
              <w:rPr>
                <w:sz w:val="24"/>
                <w:szCs w:val="24"/>
              </w:rPr>
              <w:t>8 September 2024</w:t>
            </w:r>
          </w:p>
          <w:p w14:paraId="66EB408B" w14:textId="77777777" w:rsidR="00833FEF" w:rsidRPr="00886C18" w:rsidRDefault="00986C10">
            <w:pPr>
              <w:ind w:left="2021"/>
              <w:rPr>
                <w:sz w:val="24"/>
                <w:szCs w:val="24"/>
              </w:rPr>
            </w:pPr>
            <w:r w:rsidRPr="00886C18">
              <w:rPr>
                <w:sz w:val="24"/>
                <w:szCs w:val="24"/>
              </w:rPr>
              <w:t>Chinese</w:t>
            </w:r>
          </w:p>
          <w:p w14:paraId="6A17FD65" w14:textId="77777777" w:rsidR="00833FEF" w:rsidRDefault="00986C10">
            <w:pPr>
              <w:ind w:left="2021"/>
              <w:rPr>
                <w:rFonts w:ascii="SimSun" w:hAnsi="SimSun" w:cs="SimSun"/>
                <w:sz w:val="24"/>
                <w:szCs w:val="24"/>
              </w:rPr>
            </w:pPr>
            <w:r w:rsidRPr="00886C18">
              <w:rPr>
                <w:sz w:val="24"/>
                <w:szCs w:val="24"/>
              </w:rPr>
              <w:t>Original: English</w:t>
            </w:r>
          </w:p>
          <w:p w14:paraId="3560F0EC" w14:textId="77777777" w:rsidR="00833FEF" w:rsidRDefault="00833FEF">
            <w:pPr>
              <w:rPr>
                <w:rFonts w:ascii="SimSun" w:hAnsi="SimSun" w:cs="SimSun"/>
                <w:sz w:val="24"/>
                <w:szCs w:val="24"/>
              </w:rPr>
            </w:pPr>
          </w:p>
        </w:tc>
      </w:tr>
    </w:tbl>
    <w:p w14:paraId="2AA50C0A" w14:textId="77777777" w:rsidR="00833FEF" w:rsidRDefault="00986C10">
      <w:pPr>
        <w:pBdr>
          <w:top w:val="nil"/>
          <w:left w:val="nil"/>
          <w:bottom w:val="nil"/>
          <w:right w:val="nil"/>
          <w:between w:val="nil"/>
        </w:pBdr>
        <w:spacing w:before="120"/>
        <w:jc w:val="left"/>
        <w:rPr>
          <w:rFonts w:ascii="SimSun" w:hAnsi="SimSun" w:cs="SimSun"/>
          <w:b/>
          <w:color w:val="000000"/>
          <w:sz w:val="24"/>
          <w:szCs w:val="24"/>
        </w:rPr>
      </w:pPr>
      <w:r>
        <w:rPr>
          <w:rFonts w:ascii="SimSun" w:hAnsi="SimSun" w:cs="SimSun"/>
          <w:b/>
          <w:color w:val="000000"/>
          <w:sz w:val="24"/>
          <w:szCs w:val="24"/>
        </w:rPr>
        <w:t>生物多样性公约缔约方大会</w:t>
      </w:r>
    </w:p>
    <w:p w14:paraId="18CB9614" w14:textId="77777777" w:rsidR="00833FEF" w:rsidRDefault="00986C10">
      <w:pPr>
        <w:pBdr>
          <w:top w:val="nil"/>
          <w:left w:val="nil"/>
          <w:bottom w:val="nil"/>
          <w:right w:val="nil"/>
          <w:between w:val="nil"/>
        </w:pBdr>
        <w:jc w:val="left"/>
        <w:rPr>
          <w:rFonts w:ascii="SimSun" w:hAnsi="SimSun" w:cs="SimSun"/>
          <w:b/>
          <w:color w:val="000000"/>
          <w:sz w:val="24"/>
          <w:szCs w:val="24"/>
        </w:rPr>
      </w:pPr>
      <w:r>
        <w:rPr>
          <w:rFonts w:ascii="SimSun" w:hAnsi="SimSun" w:cs="SimSun"/>
          <w:b/>
          <w:color w:val="000000"/>
          <w:sz w:val="24"/>
          <w:szCs w:val="24"/>
        </w:rPr>
        <w:t>第十六届会议</w:t>
      </w:r>
    </w:p>
    <w:p w14:paraId="55494AD1" w14:textId="77777777" w:rsidR="00833FEF" w:rsidRDefault="00986C10">
      <w:pPr>
        <w:pBdr>
          <w:top w:val="nil"/>
          <w:left w:val="nil"/>
          <w:bottom w:val="nil"/>
          <w:right w:val="nil"/>
          <w:between w:val="nil"/>
        </w:pBdr>
        <w:jc w:val="left"/>
        <w:rPr>
          <w:rFonts w:ascii="SimSun" w:hAnsi="SimSun" w:cs="SimSun"/>
          <w:color w:val="000000"/>
          <w:sz w:val="24"/>
          <w:szCs w:val="24"/>
        </w:rPr>
      </w:pPr>
      <w:r>
        <w:rPr>
          <w:rFonts w:ascii="SimSun" w:hAnsi="SimSun" w:cs="SimSun"/>
          <w:color w:val="000000"/>
          <w:sz w:val="24"/>
          <w:szCs w:val="24"/>
        </w:rPr>
        <w:t>2024</w:t>
      </w:r>
      <w:r>
        <w:rPr>
          <w:rFonts w:ascii="SimSun" w:hAnsi="SimSun" w:cs="SimSun"/>
          <w:color w:val="000000"/>
          <w:sz w:val="24"/>
          <w:szCs w:val="24"/>
        </w:rPr>
        <w:t>年</w:t>
      </w:r>
      <w:r>
        <w:rPr>
          <w:rFonts w:ascii="SimSun" w:hAnsi="SimSun" w:cs="SimSun"/>
          <w:color w:val="000000"/>
          <w:sz w:val="24"/>
          <w:szCs w:val="24"/>
        </w:rPr>
        <w:t>10</w:t>
      </w:r>
      <w:r>
        <w:rPr>
          <w:rFonts w:ascii="SimSun" w:hAnsi="SimSun" w:cs="SimSun"/>
          <w:color w:val="000000"/>
          <w:sz w:val="24"/>
          <w:szCs w:val="24"/>
        </w:rPr>
        <w:t>月</w:t>
      </w:r>
      <w:r>
        <w:rPr>
          <w:rFonts w:ascii="SimSun" w:hAnsi="SimSun" w:cs="SimSun"/>
          <w:color w:val="000000"/>
          <w:sz w:val="24"/>
          <w:szCs w:val="24"/>
        </w:rPr>
        <w:t>21</w:t>
      </w:r>
      <w:r>
        <w:rPr>
          <w:rFonts w:ascii="SimSun" w:hAnsi="SimSun" w:cs="SimSun"/>
          <w:color w:val="000000"/>
          <w:sz w:val="24"/>
          <w:szCs w:val="24"/>
        </w:rPr>
        <w:t>日至</w:t>
      </w:r>
      <w:r>
        <w:rPr>
          <w:rFonts w:ascii="SimSun" w:hAnsi="SimSun" w:cs="SimSun"/>
          <w:color w:val="000000"/>
          <w:sz w:val="24"/>
          <w:szCs w:val="24"/>
        </w:rPr>
        <w:t>11</w:t>
      </w:r>
      <w:r>
        <w:rPr>
          <w:rFonts w:ascii="SimSun" w:hAnsi="SimSun" w:cs="SimSun"/>
          <w:color w:val="000000"/>
          <w:sz w:val="24"/>
          <w:szCs w:val="24"/>
        </w:rPr>
        <w:t>月</w:t>
      </w:r>
      <w:r>
        <w:rPr>
          <w:rFonts w:ascii="SimSun" w:hAnsi="SimSun" w:cs="SimSun"/>
          <w:color w:val="000000"/>
          <w:sz w:val="24"/>
          <w:szCs w:val="24"/>
        </w:rPr>
        <w:t>1</w:t>
      </w:r>
      <w:r>
        <w:rPr>
          <w:rFonts w:ascii="SimSun" w:hAnsi="SimSun" w:cs="SimSun"/>
          <w:color w:val="000000"/>
          <w:sz w:val="24"/>
          <w:szCs w:val="24"/>
        </w:rPr>
        <w:t>日，哥伦比亚卡利</w:t>
      </w:r>
    </w:p>
    <w:p w14:paraId="77C80DB0" w14:textId="11651403" w:rsidR="00833FEF" w:rsidRDefault="00986C10">
      <w:pPr>
        <w:pBdr>
          <w:top w:val="nil"/>
          <w:left w:val="nil"/>
          <w:bottom w:val="nil"/>
          <w:right w:val="nil"/>
          <w:between w:val="nil"/>
        </w:pBdr>
        <w:jc w:val="left"/>
        <w:rPr>
          <w:rFonts w:ascii="SimSun" w:hAnsi="SimSun" w:cs="SimSun"/>
          <w:color w:val="000000"/>
          <w:sz w:val="24"/>
          <w:szCs w:val="24"/>
        </w:rPr>
      </w:pPr>
      <w:r>
        <w:rPr>
          <w:rFonts w:ascii="SimSun" w:hAnsi="SimSun" w:cs="SimSun"/>
          <w:color w:val="000000"/>
          <w:sz w:val="24"/>
          <w:szCs w:val="24"/>
        </w:rPr>
        <w:t>临时议程</w:t>
      </w:r>
      <w:r w:rsidR="002C1608" w:rsidRPr="002C1608">
        <w:rPr>
          <w:rStyle w:val="FootnoteReference"/>
          <w:rFonts w:ascii="SimSun" w:hAnsi="SimSun" w:cs="SimSun"/>
          <w:color w:val="000000"/>
          <w:sz w:val="24"/>
          <w:szCs w:val="24"/>
        </w:rPr>
        <w:footnoteReference w:customMarkFollows="1" w:id="1"/>
        <w:sym w:font="Symbol" w:char="F02A"/>
      </w:r>
      <w:r>
        <w:rPr>
          <w:rFonts w:ascii="SimSun" w:hAnsi="SimSun" w:cs="SimSun"/>
          <w:color w:val="000000"/>
          <w:sz w:val="24"/>
          <w:szCs w:val="24"/>
        </w:rPr>
        <w:t>项目</w:t>
      </w:r>
      <w:r>
        <w:rPr>
          <w:rFonts w:ascii="SimSun" w:hAnsi="SimSun" w:cs="SimSun"/>
          <w:sz w:val="24"/>
          <w:szCs w:val="24"/>
        </w:rPr>
        <w:t>19</w:t>
      </w:r>
    </w:p>
    <w:p w14:paraId="50C20A01" w14:textId="6673E674" w:rsidR="00833FEF" w:rsidRDefault="00986C10">
      <w:pPr>
        <w:pBdr>
          <w:top w:val="nil"/>
          <w:left w:val="nil"/>
          <w:bottom w:val="nil"/>
          <w:right w:val="nil"/>
          <w:between w:val="nil"/>
        </w:pBdr>
        <w:jc w:val="left"/>
        <w:rPr>
          <w:rFonts w:ascii="SimSun" w:hAnsi="SimSun" w:cs="SimSun"/>
          <w:b/>
          <w:color w:val="000000"/>
          <w:sz w:val="24"/>
          <w:szCs w:val="24"/>
        </w:rPr>
      </w:pPr>
      <w:r>
        <w:rPr>
          <w:rFonts w:ascii="SimSun" w:hAnsi="SimSun" w:cs="SimSun"/>
          <w:b/>
          <w:sz w:val="24"/>
          <w:szCs w:val="24"/>
        </w:rPr>
        <w:t>可持续的野生</w:t>
      </w:r>
      <w:r w:rsidR="00886C18">
        <w:rPr>
          <w:rFonts w:ascii="SimSun" w:hAnsi="SimSun" w:cs="SimSun" w:hint="eastAsia"/>
          <w:b/>
          <w:sz w:val="24"/>
          <w:szCs w:val="24"/>
        </w:rPr>
        <w:t>生物</w:t>
      </w:r>
      <w:r>
        <w:rPr>
          <w:rFonts w:ascii="SimSun" w:hAnsi="SimSun" w:cs="SimSun"/>
          <w:b/>
          <w:sz w:val="24"/>
          <w:szCs w:val="24"/>
        </w:rPr>
        <w:t>管理</w:t>
      </w:r>
    </w:p>
    <w:p w14:paraId="3F06A5F3" w14:textId="77777777" w:rsidR="00833FEF" w:rsidRDefault="00833FEF">
      <w:pPr>
        <w:rPr>
          <w:rFonts w:ascii="SimSun" w:hAnsi="SimSun" w:cs="SimSun"/>
          <w:sz w:val="24"/>
          <w:szCs w:val="24"/>
        </w:rPr>
      </w:pPr>
    </w:p>
    <w:p w14:paraId="7D193018" w14:textId="02E32CB7" w:rsidR="00833FEF" w:rsidRPr="002C1608" w:rsidRDefault="00986C10">
      <w:pPr>
        <w:keepNext/>
        <w:keepLines/>
        <w:pBdr>
          <w:top w:val="nil"/>
          <w:left w:val="nil"/>
          <w:bottom w:val="nil"/>
          <w:right w:val="nil"/>
          <w:between w:val="nil"/>
        </w:pBdr>
        <w:tabs>
          <w:tab w:val="left" w:pos="2835"/>
          <w:tab w:val="left" w:pos="3402"/>
        </w:tabs>
        <w:spacing w:before="240" w:after="240"/>
        <w:ind w:left="490"/>
        <w:jc w:val="left"/>
        <w:rPr>
          <w:rFonts w:ascii="SimSun" w:eastAsia="SimHei" w:hAnsi="SimSun" w:cs="SimSun"/>
          <w:b/>
          <w:color w:val="000000"/>
          <w:sz w:val="28"/>
          <w:szCs w:val="28"/>
        </w:rPr>
      </w:pPr>
      <w:r w:rsidRPr="002C1608">
        <w:rPr>
          <w:rFonts w:ascii="SimSun" w:eastAsia="SimHei" w:hAnsi="SimSun" w:cs="SimSun"/>
          <w:b/>
          <w:sz w:val="28"/>
          <w:szCs w:val="28"/>
        </w:rPr>
        <w:t>可持续野生</w:t>
      </w:r>
      <w:r w:rsidR="002C1608">
        <w:rPr>
          <w:rFonts w:ascii="SimSun" w:eastAsia="SimHei" w:hAnsi="SimSun" w:cs="SimSun" w:hint="eastAsia"/>
          <w:b/>
          <w:sz w:val="28"/>
          <w:szCs w:val="28"/>
        </w:rPr>
        <w:t>生</w:t>
      </w:r>
      <w:r w:rsidRPr="002C1608">
        <w:rPr>
          <w:rFonts w:ascii="SimSun" w:eastAsia="SimHei" w:hAnsi="SimSun" w:cs="SimSun"/>
          <w:b/>
          <w:sz w:val="28"/>
          <w:szCs w:val="28"/>
        </w:rPr>
        <w:t>物管理各领域现有指导</w:t>
      </w:r>
      <w:r w:rsidR="001E003E">
        <w:rPr>
          <w:rFonts w:ascii="SimSun" w:eastAsia="SimHei" w:hAnsi="SimSun" w:cs="SimSun" w:hint="eastAsia"/>
          <w:b/>
          <w:sz w:val="28"/>
          <w:szCs w:val="28"/>
        </w:rPr>
        <w:t>意见</w:t>
      </w:r>
      <w:r w:rsidRPr="002C1608">
        <w:rPr>
          <w:rFonts w:ascii="SimSun" w:eastAsia="SimHei" w:hAnsi="SimSun" w:cs="SimSun"/>
          <w:b/>
          <w:sz w:val="28"/>
          <w:szCs w:val="28"/>
        </w:rPr>
        <w:t>、工具和文件</w:t>
      </w:r>
      <w:r w:rsidR="001E003E">
        <w:rPr>
          <w:rFonts w:ascii="SimSun" w:eastAsia="SimHei" w:hAnsi="SimSun" w:cs="SimSun" w:hint="eastAsia"/>
          <w:b/>
          <w:sz w:val="28"/>
          <w:szCs w:val="28"/>
        </w:rPr>
        <w:t>以及可能需要补充指导意见的领域</w:t>
      </w:r>
    </w:p>
    <w:p w14:paraId="4A56FA3C" w14:textId="77777777" w:rsidR="00833FEF" w:rsidRPr="002C1608" w:rsidRDefault="00986C10">
      <w:pPr>
        <w:spacing w:line="276" w:lineRule="auto"/>
        <w:ind w:left="490"/>
        <w:jc w:val="left"/>
        <w:rPr>
          <w:rFonts w:ascii="SimSun" w:hAnsi="SimSun" w:cs="SimSun"/>
          <w:b/>
          <w:bCs/>
          <w:sz w:val="24"/>
          <w:szCs w:val="24"/>
        </w:rPr>
      </w:pPr>
      <w:r w:rsidRPr="002C1608">
        <w:rPr>
          <w:rFonts w:ascii="SimSun" w:hAnsi="SimSun" w:cs="SimSun"/>
          <w:b/>
          <w:bCs/>
          <w:sz w:val="24"/>
          <w:szCs w:val="24"/>
        </w:rPr>
        <w:t>秘书处的说明</w:t>
      </w:r>
    </w:p>
    <w:p w14:paraId="05CAB0D5" w14:textId="77777777" w:rsidR="00833FEF" w:rsidRDefault="00833FEF">
      <w:pPr>
        <w:spacing w:line="276" w:lineRule="auto"/>
        <w:ind w:left="490"/>
        <w:jc w:val="left"/>
        <w:rPr>
          <w:rFonts w:ascii="SimSun" w:hAnsi="SimSun" w:cs="SimSun"/>
          <w:sz w:val="24"/>
          <w:szCs w:val="24"/>
        </w:rPr>
      </w:pPr>
    </w:p>
    <w:p w14:paraId="4BEE9779" w14:textId="373B0E19" w:rsidR="00833FEF" w:rsidRPr="002C1608" w:rsidRDefault="00886C18">
      <w:pPr>
        <w:spacing w:line="276" w:lineRule="auto"/>
        <w:jc w:val="left"/>
        <w:rPr>
          <w:rFonts w:ascii="SimSun" w:hAnsi="SimSun" w:cs="SimSun"/>
          <w:b/>
          <w:bCs/>
          <w:sz w:val="28"/>
          <w:szCs w:val="28"/>
        </w:rPr>
      </w:pPr>
      <w:r w:rsidRPr="002C1608">
        <w:rPr>
          <w:rFonts w:ascii="SimSun" w:hAnsi="SimSun" w:cs="SimSun" w:hint="eastAsia"/>
          <w:b/>
          <w:bCs/>
          <w:sz w:val="28"/>
          <w:szCs w:val="28"/>
        </w:rPr>
        <w:t>一</w:t>
      </w:r>
      <w:r w:rsidRPr="002C1608">
        <w:rPr>
          <w:rFonts w:ascii="SimSun" w:hAnsi="SimSun" w:cs="SimSun"/>
          <w:b/>
          <w:bCs/>
          <w:sz w:val="28"/>
          <w:szCs w:val="28"/>
        </w:rPr>
        <w:t>.</w:t>
      </w:r>
      <w:r w:rsidRPr="002C1608">
        <w:rPr>
          <w:rFonts w:ascii="SimSun" w:hAnsi="SimSun" w:cs="SimSun"/>
          <w:b/>
          <w:bCs/>
          <w:sz w:val="28"/>
          <w:szCs w:val="28"/>
        </w:rPr>
        <w:tab/>
        <w:t>导言</w:t>
      </w:r>
    </w:p>
    <w:p w14:paraId="2F3A2532" w14:textId="6AC6866A" w:rsidR="00833FE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sz w:val="24"/>
          <w:szCs w:val="24"/>
        </w:rPr>
      </w:pPr>
      <w:r w:rsidRPr="0073507F">
        <w:rPr>
          <w:sz w:val="24"/>
          <w:szCs w:val="24"/>
        </w:rPr>
        <w:t>科学、技术和工艺咨询附属机构第</w:t>
      </w:r>
      <w:r w:rsidRPr="0073507F">
        <w:rPr>
          <w:sz w:val="24"/>
          <w:szCs w:val="24"/>
        </w:rPr>
        <w:t xml:space="preserve"> </w:t>
      </w:r>
      <w:hyperlink r:id="rId11">
        <w:r w:rsidRPr="0073507F">
          <w:rPr>
            <w:color w:val="1155CC"/>
            <w:sz w:val="24"/>
            <w:szCs w:val="24"/>
            <w:u w:val="single"/>
          </w:rPr>
          <w:t>25/7</w:t>
        </w:r>
      </w:hyperlink>
      <w:r w:rsidRPr="0073507F">
        <w:rPr>
          <w:sz w:val="24"/>
          <w:szCs w:val="24"/>
        </w:rPr>
        <w:t xml:space="preserve"> </w:t>
      </w:r>
      <w:r w:rsidRPr="0073507F">
        <w:rPr>
          <w:sz w:val="24"/>
          <w:szCs w:val="24"/>
        </w:rPr>
        <w:t>号建议请</w:t>
      </w:r>
      <w:r w:rsidR="002C1608" w:rsidRPr="0073507F">
        <w:rPr>
          <w:sz w:val="24"/>
          <w:szCs w:val="24"/>
        </w:rPr>
        <w:t>执行秘书与可持续野生生物管理合作伙伴关系协作，根据《公约》的任务授权以及《框架》的长期目标和行动目标进一步分析差距，查明相关多边环境协定和主管政府间组织制定的现有指导意见没有充分涵盖的领域</w:t>
      </w:r>
      <w:r w:rsidRPr="0073507F">
        <w:rPr>
          <w:sz w:val="24"/>
          <w:szCs w:val="24"/>
        </w:rPr>
        <w:t>。</w:t>
      </w:r>
    </w:p>
    <w:p w14:paraId="64B1CC00" w14:textId="77777777" w:rsidR="00833FE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sz w:val="24"/>
          <w:szCs w:val="24"/>
        </w:rPr>
      </w:pPr>
      <w:r w:rsidRPr="0073507F">
        <w:rPr>
          <w:sz w:val="24"/>
          <w:szCs w:val="24"/>
        </w:rPr>
        <w:t>执行问题附属机构还请执行秘书在进行进一步差距分析时</w:t>
      </w:r>
      <w:r w:rsidRPr="0073507F">
        <w:rPr>
          <w:rFonts w:ascii="SimSun" w:hAnsi="SimSun" w:cs="SimSun"/>
          <w:sz w:val="24"/>
          <w:szCs w:val="24"/>
        </w:rPr>
        <w:t>：</w:t>
      </w:r>
    </w:p>
    <w:p w14:paraId="5E90A749" w14:textId="1C038A78" w:rsidR="00833FEF" w:rsidRPr="0073507F" w:rsidRDefault="00986C10" w:rsidP="0073507F">
      <w:pPr>
        <w:numPr>
          <w:ilvl w:val="0"/>
          <w:numId w:val="18"/>
        </w:numPr>
        <w:tabs>
          <w:tab w:val="clear" w:pos="567"/>
          <w:tab w:val="clear" w:pos="1134"/>
          <w:tab w:val="clear" w:pos="1701"/>
          <w:tab w:val="clear" w:pos="2268"/>
        </w:tabs>
        <w:adjustRightInd w:val="0"/>
        <w:snapToGrid w:val="0"/>
        <w:spacing w:before="120" w:after="120" w:line="240" w:lineRule="atLeast"/>
        <w:ind w:left="490" w:firstLine="490"/>
        <w:jc w:val="left"/>
        <w:rPr>
          <w:rFonts w:ascii="SimSun" w:hAnsi="SimSun" w:cs="SimSun"/>
          <w:sz w:val="24"/>
          <w:szCs w:val="24"/>
        </w:rPr>
      </w:pPr>
      <w:r w:rsidRPr="0073507F">
        <w:rPr>
          <w:rFonts w:ascii="SimSun" w:hAnsi="SimSun" w:cs="SimSun"/>
          <w:sz w:val="24"/>
          <w:szCs w:val="24"/>
        </w:rPr>
        <w:t>根据《公约》的任务以及《框架》的</w:t>
      </w:r>
      <w:r w:rsidR="00886C18" w:rsidRPr="0073507F">
        <w:rPr>
          <w:rFonts w:ascii="SimSun" w:hAnsi="SimSun" w:cs="SimSun" w:hint="eastAsia"/>
          <w:sz w:val="24"/>
          <w:szCs w:val="24"/>
        </w:rPr>
        <w:t>长期</w:t>
      </w:r>
      <w:r w:rsidRPr="0073507F">
        <w:rPr>
          <w:rFonts w:ascii="SimSun" w:hAnsi="SimSun" w:cs="SimSun"/>
          <w:sz w:val="24"/>
          <w:szCs w:val="24"/>
        </w:rPr>
        <w:t>目标和</w:t>
      </w:r>
      <w:r w:rsidR="00886C18" w:rsidRPr="0073507F">
        <w:rPr>
          <w:rFonts w:ascii="SimSun" w:hAnsi="SimSun" w:cs="SimSun" w:hint="eastAsia"/>
          <w:sz w:val="24"/>
          <w:szCs w:val="24"/>
        </w:rPr>
        <w:t>行动</w:t>
      </w:r>
      <w:r w:rsidRPr="0073507F">
        <w:rPr>
          <w:rFonts w:ascii="SimSun" w:hAnsi="SimSun" w:cs="SimSun"/>
          <w:sz w:val="24"/>
          <w:szCs w:val="24"/>
        </w:rPr>
        <w:t>目标，考虑生物多样性和生态系统服务政府间科学</w:t>
      </w:r>
      <w:r w:rsidR="00886C18" w:rsidRPr="0073507F">
        <w:rPr>
          <w:rFonts w:ascii="SimSun" w:hAnsi="SimSun" w:cs="SimSun" w:hint="eastAsia"/>
          <w:sz w:val="24"/>
          <w:szCs w:val="24"/>
        </w:rPr>
        <w:t>与</w:t>
      </w:r>
      <w:r w:rsidRPr="0073507F">
        <w:rPr>
          <w:rFonts w:ascii="SimSun" w:hAnsi="SimSun" w:cs="SimSun"/>
          <w:sz w:val="24"/>
          <w:szCs w:val="24"/>
        </w:rPr>
        <w:t>政策平台《野生物种可持续利用专题评估报告》</w:t>
      </w:r>
      <w:r w:rsidR="002C1608" w:rsidRPr="0073507F">
        <w:rPr>
          <w:rFonts w:ascii="SimSun" w:hAnsi="SimSun" w:cs="SimSun" w:hint="eastAsia"/>
          <w:sz w:val="24"/>
          <w:szCs w:val="24"/>
        </w:rPr>
        <w:t>查明</w:t>
      </w:r>
      <w:r w:rsidRPr="0073507F">
        <w:rPr>
          <w:rFonts w:ascii="SimSun" w:hAnsi="SimSun" w:cs="SimSun"/>
          <w:sz w:val="24"/>
          <w:szCs w:val="24"/>
        </w:rPr>
        <w:t>的野生物种可持续利用有效政策</w:t>
      </w:r>
      <w:r w:rsidRPr="00ED535E">
        <w:rPr>
          <w:sz w:val="24"/>
          <w:szCs w:val="24"/>
          <w:vertAlign w:val="superscript"/>
        </w:rPr>
        <w:footnoteReference w:id="2"/>
      </w:r>
      <w:r w:rsidRPr="0073507F">
        <w:rPr>
          <w:rFonts w:ascii="SimSun" w:hAnsi="SimSun" w:cs="SimSun"/>
          <w:sz w:val="24"/>
          <w:szCs w:val="24"/>
        </w:rPr>
        <w:t>的七个关键要素；</w:t>
      </w:r>
    </w:p>
    <w:p w14:paraId="6E6E78BA" w14:textId="39214ACC" w:rsidR="00833FEF" w:rsidRDefault="00986C10" w:rsidP="0073507F">
      <w:pPr>
        <w:numPr>
          <w:ilvl w:val="0"/>
          <w:numId w:val="18"/>
        </w:numPr>
        <w:tabs>
          <w:tab w:val="clear" w:pos="567"/>
          <w:tab w:val="clear" w:pos="1134"/>
          <w:tab w:val="clear" w:pos="1701"/>
          <w:tab w:val="clear" w:pos="2268"/>
        </w:tabs>
        <w:adjustRightInd w:val="0"/>
        <w:snapToGrid w:val="0"/>
        <w:spacing w:before="120" w:after="120" w:line="240" w:lineRule="atLeast"/>
        <w:ind w:left="490" w:firstLine="490"/>
        <w:jc w:val="left"/>
        <w:rPr>
          <w:rFonts w:ascii="SimSun" w:hAnsi="SimSun" w:cs="SimSun"/>
          <w:sz w:val="24"/>
          <w:szCs w:val="24"/>
        </w:rPr>
      </w:pPr>
      <w:r w:rsidRPr="0073507F">
        <w:rPr>
          <w:rFonts w:ascii="SimSun" w:hAnsi="SimSun" w:cs="SimSun"/>
          <w:sz w:val="24"/>
          <w:szCs w:val="24"/>
        </w:rPr>
        <w:t>征求缔约方、其他国家政府、土著人民和地方社区、妇女和青年、相关多边环境协定秘书处和主管政府间机构的意见和投入，同时全面审查和分析可支持落实</w:t>
      </w:r>
      <w:r w:rsidR="00886C18" w:rsidRPr="0073507F">
        <w:rPr>
          <w:rFonts w:ascii="SimSun" w:hAnsi="SimSun" w:cs="SimSun" w:hint="eastAsia"/>
          <w:sz w:val="24"/>
          <w:szCs w:val="24"/>
        </w:rPr>
        <w:t>《</w:t>
      </w:r>
      <w:r w:rsidRPr="0073507F">
        <w:rPr>
          <w:rFonts w:ascii="SimSun" w:hAnsi="SimSun" w:cs="SimSun"/>
          <w:sz w:val="24"/>
          <w:szCs w:val="24"/>
        </w:rPr>
        <w:t>框架</w:t>
      </w:r>
      <w:r w:rsidR="00886C18" w:rsidRPr="0073507F">
        <w:rPr>
          <w:rFonts w:ascii="SimSun" w:hAnsi="SimSun" w:cs="SimSun" w:hint="eastAsia"/>
          <w:sz w:val="24"/>
          <w:szCs w:val="24"/>
        </w:rPr>
        <w:t>》长期</w:t>
      </w:r>
      <w:r w:rsidRPr="0073507F">
        <w:rPr>
          <w:rFonts w:ascii="SimSun" w:hAnsi="SimSun" w:cs="SimSun"/>
          <w:sz w:val="24"/>
          <w:szCs w:val="24"/>
        </w:rPr>
        <w:t>目标和</w:t>
      </w:r>
      <w:r w:rsidR="00886C18" w:rsidRPr="0073507F">
        <w:rPr>
          <w:rFonts w:ascii="SimSun" w:hAnsi="SimSun" w:cs="SimSun" w:hint="eastAsia"/>
          <w:sz w:val="24"/>
          <w:szCs w:val="24"/>
        </w:rPr>
        <w:t>行动</w:t>
      </w:r>
      <w:r w:rsidRPr="0073507F">
        <w:rPr>
          <w:rFonts w:ascii="SimSun" w:hAnsi="SimSun" w:cs="SimSun"/>
          <w:sz w:val="24"/>
          <w:szCs w:val="24"/>
        </w:rPr>
        <w:t>目标的现有工具和指导</w:t>
      </w:r>
      <w:r w:rsidR="002C1608" w:rsidRPr="0073507F">
        <w:rPr>
          <w:rFonts w:ascii="SimSun" w:hAnsi="SimSun" w:cs="SimSun" w:hint="eastAsia"/>
          <w:sz w:val="24"/>
          <w:szCs w:val="24"/>
        </w:rPr>
        <w:t>意见</w:t>
      </w:r>
      <w:r w:rsidRPr="0073507F">
        <w:rPr>
          <w:rFonts w:ascii="SimSun" w:hAnsi="SimSun" w:cs="SimSun"/>
          <w:sz w:val="24"/>
          <w:szCs w:val="24"/>
        </w:rPr>
        <w:t>；</w:t>
      </w:r>
      <w:r w:rsidRPr="0073507F">
        <w:rPr>
          <w:rFonts w:ascii="SimSun" w:hAnsi="SimSun" w:cs="SimSun"/>
          <w:sz w:val="24"/>
          <w:szCs w:val="24"/>
        </w:rPr>
        <w:br/>
      </w:r>
    </w:p>
    <w:p w14:paraId="3B7D705C" w14:textId="77777777" w:rsidR="0073507F" w:rsidRPr="0073507F" w:rsidRDefault="00986C10" w:rsidP="0073507F">
      <w:pPr>
        <w:numPr>
          <w:ilvl w:val="0"/>
          <w:numId w:val="1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rPr>
      </w:pPr>
      <w:r w:rsidRPr="0073507F">
        <w:rPr>
          <w:rFonts w:ascii="SimSun" w:hAnsi="SimSun" w:cs="SimSun"/>
          <w:sz w:val="24"/>
          <w:szCs w:val="24"/>
        </w:rPr>
        <w:lastRenderedPageBreak/>
        <w:t>在进一步差距分析的基础上，审查可能需要补充指导</w:t>
      </w:r>
      <w:r w:rsidR="002C1608" w:rsidRPr="0073507F">
        <w:rPr>
          <w:rFonts w:ascii="SimSun" w:hAnsi="SimSun" w:cs="SimSun" w:hint="eastAsia"/>
          <w:sz w:val="24"/>
          <w:szCs w:val="24"/>
        </w:rPr>
        <w:t>意见</w:t>
      </w:r>
      <w:r w:rsidRPr="0073507F">
        <w:rPr>
          <w:rFonts w:ascii="SimSun" w:hAnsi="SimSun" w:cs="SimSun"/>
          <w:sz w:val="24"/>
          <w:szCs w:val="24"/>
        </w:rPr>
        <w:t>的领域清单，同时考虑到第</w:t>
      </w:r>
      <w:r w:rsidRPr="0073507F">
        <w:rPr>
          <w:rFonts w:ascii="SimSun" w:hAnsi="SimSun" w:cs="SimSun"/>
          <w:sz w:val="24"/>
          <w:szCs w:val="24"/>
        </w:rPr>
        <w:t xml:space="preserve"> 25/7</w:t>
      </w:r>
      <w:r w:rsidRPr="0073507F">
        <w:rPr>
          <w:rFonts w:ascii="SimSun" w:hAnsi="SimSun" w:cs="SimSun"/>
          <w:sz w:val="24"/>
          <w:szCs w:val="24"/>
        </w:rPr>
        <w:t>号建议第</w:t>
      </w:r>
      <w:r w:rsidRPr="0073507F">
        <w:rPr>
          <w:rFonts w:ascii="SimSun" w:hAnsi="SimSun" w:cs="SimSun"/>
          <w:sz w:val="24"/>
          <w:szCs w:val="24"/>
        </w:rPr>
        <w:t>3</w:t>
      </w:r>
      <w:r w:rsidRPr="0073507F">
        <w:rPr>
          <w:rFonts w:ascii="SimSun" w:hAnsi="SimSun" w:cs="SimSun"/>
          <w:sz w:val="24"/>
          <w:szCs w:val="24"/>
        </w:rPr>
        <w:t>段中提及的意见；</w:t>
      </w:r>
    </w:p>
    <w:p w14:paraId="5445D4CC" w14:textId="77DB84AA" w:rsidR="0073507F" w:rsidRPr="0073507F" w:rsidRDefault="00986C10" w:rsidP="0073507F">
      <w:pPr>
        <w:numPr>
          <w:ilvl w:val="0"/>
          <w:numId w:val="18"/>
        </w:numPr>
        <w:tabs>
          <w:tab w:val="clear" w:pos="567"/>
          <w:tab w:val="clear" w:pos="1134"/>
          <w:tab w:val="clear" w:pos="1701"/>
          <w:tab w:val="clear" w:pos="2268"/>
        </w:tabs>
        <w:adjustRightInd w:val="0"/>
        <w:snapToGrid w:val="0"/>
        <w:spacing w:before="120" w:after="120" w:line="240" w:lineRule="atLeast"/>
        <w:ind w:left="490" w:firstLine="490"/>
        <w:jc w:val="left"/>
        <w:rPr>
          <w:sz w:val="24"/>
          <w:szCs w:val="24"/>
        </w:rPr>
      </w:pPr>
      <w:r w:rsidRPr="0073507F">
        <w:rPr>
          <w:rFonts w:ascii="SimSun" w:hAnsi="SimSun" w:cs="SimSun"/>
          <w:sz w:val="24"/>
          <w:szCs w:val="24"/>
        </w:rPr>
        <w:t>向缔约方大会第十六</w:t>
      </w:r>
      <w:r w:rsidR="00544857" w:rsidRPr="0073507F">
        <w:rPr>
          <w:rFonts w:ascii="SimSun" w:hAnsi="SimSun" w:cs="SimSun" w:hint="eastAsia"/>
          <w:sz w:val="24"/>
          <w:szCs w:val="24"/>
        </w:rPr>
        <w:t>届</w:t>
      </w:r>
      <w:r w:rsidRPr="0073507F">
        <w:rPr>
          <w:rFonts w:ascii="SimSun" w:hAnsi="SimSun" w:cs="SimSun"/>
          <w:sz w:val="24"/>
          <w:szCs w:val="24"/>
        </w:rPr>
        <w:t>会议提交进一步差距分析的结果，包括修订后的清单，供其审议。</w:t>
      </w:r>
    </w:p>
    <w:p w14:paraId="6E519B25" w14:textId="510C10A1" w:rsidR="0073507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73507F">
        <w:rPr>
          <w:sz w:val="24"/>
          <w:szCs w:val="24"/>
        </w:rPr>
        <w:t>根据这些要求，秘书处发</w:t>
      </w:r>
      <w:r w:rsidR="0073507F">
        <w:rPr>
          <w:rFonts w:hint="eastAsia"/>
          <w:sz w:val="24"/>
          <w:szCs w:val="24"/>
        </w:rPr>
        <w:t>出</w:t>
      </w:r>
      <w:r w:rsidRPr="0073507F">
        <w:rPr>
          <w:sz w:val="24"/>
          <w:szCs w:val="24"/>
        </w:rPr>
        <w:t>了第</w:t>
      </w:r>
      <w:r w:rsidRPr="0073507F">
        <w:rPr>
          <w:sz w:val="24"/>
          <w:szCs w:val="24"/>
        </w:rPr>
        <w:t xml:space="preserve"> 2023-121</w:t>
      </w:r>
      <w:r w:rsidRPr="0073507F">
        <w:rPr>
          <w:sz w:val="24"/>
          <w:szCs w:val="24"/>
        </w:rPr>
        <w:t>号通知，邀请缔约方、其他国家政府、土著人民和地方社区、妇女、青年和相关组织提交关于可持续野生</w:t>
      </w:r>
      <w:r w:rsidR="00544857" w:rsidRPr="0073507F">
        <w:rPr>
          <w:rFonts w:hint="eastAsia"/>
          <w:sz w:val="24"/>
          <w:szCs w:val="24"/>
        </w:rPr>
        <w:t>生物</w:t>
      </w:r>
      <w:r w:rsidRPr="0073507F">
        <w:rPr>
          <w:sz w:val="24"/>
          <w:szCs w:val="24"/>
        </w:rPr>
        <w:t>管理最佳做法的意见，以及关于可能需要补充指导的领域。</w:t>
      </w:r>
      <w:r w:rsidRPr="0073507F">
        <w:rPr>
          <w:sz w:val="24"/>
          <w:szCs w:val="24"/>
          <w:vertAlign w:val="superscript"/>
        </w:rPr>
        <w:footnoteReference w:id="3"/>
      </w:r>
    </w:p>
    <w:p w14:paraId="69465F64" w14:textId="36B58F92" w:rsidR="00833FE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rPr>
          <w:sz w:val="24"/>
          <w:szCs w:val="24"/>
        </w:rPr>
      </w:pPr>
      <w:r w:rsidRPr="0073507F">
        <w:rPr>
          <w:sz w:val="24"/>
          <w:szCs w:val="24"/>
        </w:rPr>
        <w:t>此外，</w:t>
      </w:r>
      <w:r w:rsidR="0056209C" w:rsidRPr="0073507F">
        <w:rPr>
          <w:rFonts w:hint="eastAsia"/>
          <w:sz w:val="24"/>
          <w:szCs w:val="24"/>
        </w:rPr>
        <w:t>应</w:t>
      </w:r>
      <w:r w:rsidRPr="0073507F">
        <w:rPr>
          <w:sz w:val="24"/>
          <w:szCs w:val="24"/>
        </w:rPr>
        <w:t>第</w:t>
      </w:r>
      <w:r w:rsidRPr="0073507F">
        <w:rPr>
          <w:sz w:val="24"/>
          <w:szCs w:val="24"/>
        </w:rPr>
        <w:t xml:space="preserve"> 2023-120 </w:t>
      </w:r>
      <w:r w:rsidRPr="0073507F">
        <w:rPr>
          <w:sz w:val="24"/>
          <w:szCs w:val="24"/>
        </w:rPr>
        <w:t>号通知</w:t>
      </w:r>
      <w:r w:rsidR="0056209C" w:rsidRPr="0073507F">
        <w:rPr>
          <w:rFonts w:hint="eastAsia"/>
          <w:sz w:val="24"/>
          <w:szCs w:val="24"/>
        </w:rPr>
        <w:t>提交</w:t>
      </w:r>
      <w:r w:rsidRPr="0073507F">
        <w:rPr>
          <w:sz w:val="24"/>
          <w:szCs w:val="24"/>
        </w:rPr>
        <w:t>的关于提交可支持执行《框架》的工具和</w:t>
      </w:r>
      <w:r w:rsidR="001E003E" w:rsidRPr="0073507F">
        <w:rPr>
          <w:rFonts w:hint="eastAsia"/>
          <w:sz w:val="24"/>
          <w:szCs w:val="24"/>
        </w:rPr>
        <w:t>指导</w:t>
      </w:r>
      <w:r w:rsidRPr="0073507F">
        <w:rPr>
          <w:sz w:val="24"/>
          <w:szCs w:val="24"/>
        </w:rPr>
        <w:t>的意见和信息的若干呈件与</w:t>
      </w:r>
      <w:r w:rsidR="00544857" w:rsidRPr="0073507F">
        <w:rPr>
          <w:rFonts w:hint="eastAsia"/>
          <w:sz w:val="24"/>
          <w:szCs w:val="24"/>
        </w:rPr>
        <w:t>执行问题</w:t>
      </w:r>
      <w:r w:rsidRPr="0073507F">
        <w:rPr>
          <w:sz w:val="24"/>
          <w:szCs w:val="24"/>
        </w:rPr>
        <w:t>附属机构的上述要求</w:t>
      </w:r>
      <w:r w:rsidR="0056209C" w:rsidRPr="0073507F">
        <w:rPr>
          <w:rFonts w:hint="eastAsia"/>
          <w:sz w:val="24"/>
          <w:szCs w:val="24"/>
        </w:rPr>
        <w:t>相关</w:t>
      </w:r>
      <w:r w:rsidRPr="0073507F">
        <w:rPr>
          <w:sz w:val="24"/>
          <w:szCs w:val="24"/>
        </w:rPr>
        <w:t>。</w:t>
      </w:r>
      <w:r w:rsidRPr="0073507F">
        <w:rPr>
          <w:sz w:val="24"/>
          <w:szCs w:val="24"/>
          <w:vertAlign w:val="superscript"/>
        </w:rPr>
        <w:footnoteReference w:id="4"/>
      </w:r>
    </w:p>
    <w:p w14:paraId="10A470C3" w14:textId="77777777" w:rsidR="0073507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vertAlign w:val="superscript"/>
        </w:rPr>
      </w:pPr>
      <w:r w:rsidRPr="0073507F">
        <w:rPr>
          <w:sz w:val="24"/>
          <w:szCs w:val="24"/>
        </w:rPr>
        <w:t xml:space="preserve"> </w:t>
      </w:r>
      <w:r w:rsidRPr="0073507F">
        <w:rPr>
          <w:sz w:val="24"/>
          <w:szCs w:val="24"/>
        </w:rPr>
        <w:t>根据同一要求，合作伙伴关系汇编了</w:t>
      </w:r>
      <w:r w:rsidR="0056209C" w:rsidRPr="0073507F">
        <w:rPr>
          <w:rFonts w:hint="eastAsia"/>
          <w:sz w:val="24"/>
          <w:szCs w:val="24"/>
        </w:rPr>
        <w:t>应</w:t>
      </w:r>
      <w:r w:rsidRPr="0073507F">
        <w:rPr>
          <w:sz w:val="24"/>
          <w:szCs w:val="24"/>
        </w:rPr>
        <w:t>第</w:t>
      </w:r>
      <w:r w:rsidRPr="0073507F">
        <w:rPr>
          <w:sz w:val="24"/>
          <w:szCs w:val="24"/>
        </w:rPr>
        <w:t xml:space="preserve"> 2023-120</w:t>
      </w:r>
      <w:r w:rsidRPr="0073507F">
        <w:rPr>
          <w:sz w:val="24"/>
          <w:szCs w:val="24"/>
        </w:rPr>
        <w:t>号和第</w:t>
      </w:r>
      <w:r w:rsidRPr="0073507F">
        <w:rPr>
          <w:sz w:val="24"/>
          <w:szCs w:val="24"/>
        </w:rPr>
        <w:t xml:space="preserve"> 2023-121</w:t>
      </w:r>
      <w:r w:rsidRPr="0073507F">
        <w:rPr>
          <w:sz w:val="24"/>
          <w:szCs w:val="24"/>
        </w:rPr>
        <w:t>号</w:t>
      </w:r>
      <w:r w:rsidRPr="0073507F">
        <w:rPr>
          <w:sz w:val="24"/>
          <w:szCs w:val="24"/>
          <w:vertAlign w:val="superscript"/>
        </w:rPr>
        <w:footnoteReference w:id="5"/>
      </w:r>
      <w:r w:rsidRPr="0073507F">
        <w:rPr>
          <w:sz w:val="24"/>
          <w:szCs w:val="24"/>
        </w:rPr>
        <w:t>通知</w:t>
      </w:r>
      <w:r w:rsidR="0056209C" w:rsidRPr="0073507F">
        <w:rPr>
          <w:rFonts w:hint="eastAsia"/>
          <w:sz w:val="24"/>
          <w:szCs w:val="24"/>
        </w:rPr>
        <w:t>提交</w:t>
      </w:r>
      <w:r w:rsidRPr="0073507F">
        <w:rPr>
          <w:sz w:val="24"/>
          <w:szCs w:val="24"/>
        </w:rPr>
        <w:t>的</w:t>
      </w:r>
      <w:r w:rsidR="0056209C" w:rsidRPr="0073507F">
        <w:rPr>
          <w:rFonts w:hint="eastAsia"/>
          <w:sz w:val="24"/>
          <w:szCs w:val="24"/>
        </w:rPr>
        <w:t>和其成员提供的信息</w:t>
      </w:r>
      <w:r w:rsidRPr="0073507F">
        <w:rPr>
          <w:sz w:val="24"/>
          <w:szCs w:val="24"/>
        </w:rPr>
        <w:t>清单。为确保最大覆盖面，还从相关实体获取了补充信息。在该清单的基础上，合作伙伴关系随后编写了一份分析草案，分析了根据相关</w:t>
      </w:r>
      <w:r w:rsidRPr="0073507F">
        <w:rPr>
          <w:sz w:val="24"/>
        </w:rPr>
        <w:t>多边环境协定和主管政府间组织制定的现有</w:t>
      </w:r>
      <w:r w:rsidR="001E003E" w:rsidRPr="0073507F">
        <w:rPr>
          <w:rFonts w:hint="eastAsia"/>
          <w:sz w:val="24"/>
        </w:rPr>
        <w:t>指导意见</w:t>
      </w:r>
      <w:r w:rsidRPr="0073507F">
        <w:rPr>
          <w:sz w:val="24"/>
        </w:rPr>
        <w:t>未充分涵盖的领域。</w:t>
      </w:r>
      <w:r w:rsidRPr="0073507F">
        <w:rPr>
          <w:sz w:val="24"/>
        </w:rPr>
        <w:t xml:space="preserve"> </w:t>
      </w:r>
    </w:p>
    <w:p w14:paraId="159C3E2C" w14:textId="0E2A87B2" w:rsidR="00833FEF" w:rsidRPr="0073507F" w:rsidRDefault="00986C10" w:rsidP="0073507F">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vertAlign w:val="superscript"/>
        </w:rPr>
      </w:pPr>
      <w:r w:rsidRPr="0073507F">
        <w:rPr>
          <w:sz w:val="24"/>
        </w:rPr>
        <w:t>第</w:t>
      </w:r>
      <w:r w:rsidRPr="0073507F">
        <w:rPr>
          <w:sz w:val="24"/>
        </w:rPr>
        <w:t xml:space="preserve"> 2024-063 </w:t>
      </w:r>
      <w:r w:rsidRPr="0073507F">
        <w:rPr>
          <w:sz w:val="24"/>
          <w:szCs w:val="24"/>
        </w:rPr>
        <w:t>号通知</w:t>
      </w:r>
      <w:r w:rsidR="00014381" w:rsidRPr="0073507F">
        <w:rPr>
          <w:rFonts w:hint="eastAsia"/>
          <w:sz w:val="24"/>
          <w:szCs w:val="24"/>
        </w:rPr>
        <w:t>邀请</w:t>
      </w:r>
      <w:r w:rsidRPr="0073507F">
        <w:rPr>
          <w:sz w:val="24"/>
          <w:szCs w:val="24"/>
        </w:rPr>
        <w:t>缔约方</w:t>
      </w:r>
      <w:r w:rsidRPr="0073507F">
        <w:rPr>
          <w:sz w:val="24"/>
        </w:rPr>
        <w:t>、其他国家政府、土著人民和地方社区、妇女、</w:t>
      </w:r>
      <w:r w:rsidRPr="0073507F">
        <w:rPr>
          <w:rFonts w:ascii="SimSun" w:hAnsi="SimSun" w:cs="SimSun"/>
          <w:sz w:val="24"/>
          <w:szCs w:val="24"/>
        </w:rPr>
        <w:t xml:space="preserve"> </w:t>
      </w:r>
      <w:r w:rsidRPr="0073507F">
        <w:rPr>
          <w:rFonts w:ascii="SimSun" w:hAnsi="SimSun" w:cs="SimSun"/>
          <w:sz w:val="24"/>
          <w:szCs w:val="24"/>
        </w:rPr>
        <w:t>青年和相关组织就差距分析草案发表评论和意见。</w:t>
      </w:r>
      <w:r w:rsidRPr="002C1608">
        <w:rPr>
          <w:szCs w:val="24"/>
          <w:vertAlign w:val="superscript"/>
        </w:rPr>
        <w:footnoteReference w:id="6"/>
      </w:r>
    </w:p>
    <w:p w14:paraId="635EDA66" w14:textId="542CB174" w:rsidR="00833FEF" w:rsidRPr="0073507F" w:rsidRDefault="00986C10" w:rsidP="00B91126">
      <w:pPr>
        <w:pStyle w:val="ListParagraph"/>
        <w:tabs>
          <w:tab w:val="clear" w:pos="567"/>
          <w:tab w:val="clear" w:pos="1134"/>
          <w:tab w:val="clear" w:pos="1701"/>
          <w:tab w:val="clear" w:pos="2268"/>
        </w:tabs>
        <w:spacing w:before="120" w:after="120" w:line="240" w:lineRule="atLeast"/>
        <w:ind w:left="490" w:firstLine="0"/>
        <w:contextualSpacing w:val="0"/>
        <w:rPr>
          <w:sz w:val="24"/>
          <w:szCs w:val="24"/>
        </w:rPr>
      </w:pPr>
      <w:r w:rsidRPr="0073507F">
        <w:rPr>
          <w:sz w:val="24"/>
          <w:szCs w:val="24"/>
        </w:rPr>
        <w:t>合作伙伴关系</w:t>
      </w:r>
      <w:r w:rsidR="0072556A" w:rsidRPr="0073507F">
        <w:rPr>
          <w:sz w:val="24"/>
          <w:szCs w:val="24"/>
        </w:rPr>
        <w:t>参考</w:t>
      </w:r>
      <w:r w:rsidRPr="0073507F">
        <w:rPr>
          <w:sz w:val="24"/>
          <w:szCs w:val="24"/>
        </w:rPr>
        <w:t>同行</w:t>
      </w:r>
      <w:r w:rsidR="0072556A" w:rsidRPr="0073507F">
        <w:rPr>
          <w:sz w:val="24"/>
          <w:szCs w:val="24"/>
        </w:rPr>
        <w:t>评议</w:t>
      </w:r>
      <w:r w:rsidRPr="0073507F">
        <w:rPr>
          <w:sz w:val="24"/>
          <w:szCs w:val="24"/>
        </w:rPr>
        <w:t>意见完成的研究报告</w:t>
      </w:r>
      <w:r w:rsidR="0072556A" w:rsidRPr="0073507F">
        <w:rPr>
          <w:sz w:val="24"/>
          <w:szCs w:val="24"/>
        </w:rPr>
        <w:t>定稿</w:t>
      </w:r>
      <w:r w:rsidRPr="0073507F">
        <w:rPr>
          <w:sz w:val="24"/>
          <w:szCs w:val="24"/>
        </w:rPr>
        <w:t>载于</w:t>
      </w:r>
      <w:r w:rsidRPr="0073507F">
        <w:rPr>
          <w:sz w:val="24"/>
          <w:szCs w:val="24"/>
        </w:rPr>
        <w:t xml:space="preserve"> CBD/COP/16/INF/6 </w:t>
      </w:r>
      <w:r w:rsidRPr="0073507F">
        <w:rPr>
          <w:sz w:val="24"/>
          <w:szCs w:val="24"/>
        </w:rPr>
        <w:t>号文件。由于合作伙伴关系的任务仅限于陆生脊椎动物，秘书处根据第</w:t>
      </w:r>
      <w:r w:rsidRPr="0073507F">
        <w:rPr>
          <w:sz w:val="24"/>
          <w:szCs w:val="24"/>
        </w:rPr>
        <w:t xml:space="preserve"> 25/7 </w:t>
      </w:r>
      <w:r w:rsidRPr="0073507F">
        <w:rPr>
          <w:sz w:val="24"/>
          <w:szCs w:val="24"/>
        </w:rPr>
        <w:t>号建议和同行</w:t>
      </w:r>
      <w:r w:rsidR="0072556A" w:rsidRPr="0073507F">
        <w:rPr>
          <w:sz w:val="24"/>
          <w:szCs w:val="24"/>
        </w:rPr>
        <w:t>评议</w:t>
      </w:r>
      <w:r w:rsidRPr="0073507F">
        <w:rPr>
          <w:sz w:val="24"/>
          <w:szCs w:val="24"/>
        </w:rPr>
        <w:t>期间提出的意见进行了补充分析，以更广泛地</w:t>
      </w:r>
      <w:r w:rsidR="0072556A" w:rsidRPr="0073507F">
        <w:rPr>
          <w:sz w:val="24"/>
          <w:szCs w:val="24"/>
        </w:rPr>
        <w:t>处理</w:t>
      </w:r>
      <w:r w:rsidRPr="0073507F">
        <w:rPr>
          <w:sz w:val="24"/>
          <w:szCs w:val="24"/>
        </w:rPr>
        <w:t>野生</w:t>
      </w:r>
      <w:r w:rsidR="0072556A" w:rsidRPr="0073507F">
        <w:rPr>
          <w:sz w:val="24"/>
          <w:szCs w:val="24"/>
        </w:rPr>
        <w:t>生物</w:t>
      </w:r>
      <w:r w:rsidRPr="0073507F">
        <w:rPr>
          <w:sz w:val="24"/>
          <w:szCs w:val="24"/>
        </w:rPr>
        <w:t>管理问题。补充分析作为</w:t>
      </w:r>
      <w:r w:rsidRPr="0073507F">
        <w:rPr>
          <w:sz w:val="24"/>
          <w:szCs w:val="24"/>
        </w:rPr>
        <w:t xml:space="preserve"> CBD/COP/16/INF/7 </w:t>
      </w:r>
      <w:r w:rsidRPr="0073507F">
        <w:rPr>
          <w:sz w:val="24"/>
          <w:szCs w:val="24"/>
        </w:rPr>
        <w:t>号文件提供。</w:t>
      </w:r>
    </w:p>
    <w:p w14:paraId="5462E0EA" w14:textId="5530536B" w:rsidR="00833FEF" w:rsidRDefault="00014381" w:rsidP="00ED535E">
      <w:pPr>
        <w:tabs>
          <w:tab w:val="clear" w:pos="567"/>
          <w:tab w:val="clear" w:pos="1134"/>
          <w:tab w:val="clear" w:pos="1701"/>
          <w:tab w:val="clear" w:pos="2268"/>
        </w:tabs>
        <w:spacing w:before="120" w:after="120" w:line="240" w:lineRule="atLeast"/>
        <w:ind w:left="720" w:right="288" w:hanging="720"/>
        <w:jc w:val="left"/>
        <w:rPr>
          <w:rFonts w:ascii="SimSun" w:hAnsi="SimSun" w:cs="SimSun"/>
          <w:b/>
          <w:sz w:val="24"/>
          <w:szCs w:val="24"/>
        </w:rPr>
      </w:pPr>
      <w:r w:rsidRPr="002C1608">
        <w:rPr>
          <w:rFonts w:ascii="SimSun" w:hAnsi="SimSun" w:cs="SimSun" w:hint="eastAsia"/>
          <w:b/>
          <w:sz w:val="28"/>
          <w:szCs w:val="28"/>
        </w:rPr>
        <w:t>二</w:t>
      </w:r>
      <w:r w:rsidRPr="002C1608">
        <w:rPr>
          <w:rFonts w:ascii="SimSun" w:hAnsi="SimSun" w:cs="SimSun"/>
          <w:b/>
          <w:sz w:val="28"/>
          <w:szCs w:val="28"/>
        </w:rPr>
        <w:t>.</w:t>
      </w:r>
      <w:r w:rsidRPr="002C1608">
        <w:rPr>
          <w:rFonts w:ascii="SimSun" w:hAnsi="SimSun" w:cs="SimSun"/>
          <w:b/>
          <w:sz w:val="28"/>
          <w:szCs w:val="28"/>
        </w:rPr>
        <w:tab/>
        <w:t>相关多边环境协定和主管政府间组织制定的</w:t>
      </w:r>
      <w:r w:rsidR="001E003E">
        <w:rPr>
          <w:rFonts w:ascii="SimSun" w:hAnsi="SimSun" w:cs="SimSun" w:hint="eastAsia"/>
          <w:b/>
          <w:sz w:val="28"/>
          <w:szCs w:val="28"/>
        </w:rPr>
        <w:t>指导意见</w:t>
      </w:r>
      <w:r w:rsidRPr="002C1608">
        <w:rPr>
          <w:rFonts w:ascii="SimSun" w:hAnsi="SimSun" w:cs="SimSun"/>
          <w:b/>
          <w:sz w:val="28"/>
          <w:szCs w:val="28"/>
        </w:rPr>
        <w:t>未充分涵盖的领域</w:t>
      </w:r>
    </w:p>
    <w:p w14:paraId="0EEF070F" w14:textId="77777777" w:rsidR="00B91126" w:rsidRDefault="001E003E" w:rsidP="00B91126">
      <w:pPr>
        <w:tabs>
          <w:tab w:val="clear" w:pos="567"/>
          <w:tab w:val="clear" w:pos="1134"/>
          <w:tab w:val="clear" w:pos="1701"/>
          <w:tab w:val="clear" w:pos="2268"/>
        </w:tabs>
        <w:adjustRightInd w:val="0"/>
        <w:spacing w:before="120" w:after="120" w:line="240" w:lineRule="atLeast"/>
        <w:jc w:val="left"/>
        <w:rPr>
          <w:b/>
          <w:sz w:val="24"/>
          <w:szCs w:val="24"/>
        </w:rPr>
      </w:pPr>
      <w:r w:rsidRPr="00B91126">
        <w:rPr>
          <w:b/>
          <w:sz w:val="24"/>
          <w:szCs w:val="24"/>
        </w:rPr>
        <w:t>A.</w:t>
      </w:r>
      <w:r w:rsidRPr="00B91126">
        <w:rPr>
          <w:b/>
          <w:sz w:val="24"/>
          <w:szCs w:val="24"/>
        </w:rPr>
        <w:tab/>
      </w:r>
      <w:r w:rsidRPr="00B91126">
        <w:rPr>
          <w:b/>
          <w:sz w:val="24"/>
          <w:szCs w:val="24"/>
        </w:rPr>
        <w:t>可持续野生</w:t>
      </w:r>
      <w:r w:rsidR="007F4B4D" w:rsidRPr="00B91126">
        <w:rPr>
          <w:b/>
          <w:sz w:val="24"/>
          <w:szCs w:val="24"/>
        </w:rPr>
        <w:t>生</w:t>
      </w:r>
      <w:r w:rsidRPr="00B91126">
        <w:rPr>
          <w:b/>
          <w:sz w:val="24"/>
          <w:szCs w:val="24"/>
        </w:rPr>
        <w:t>物管理合作伙伴关系</w:t>
      </w:r>
      <w:r w:rsidR="00F6762E" w:rsidRPr="00B91126">
        <w:rPr>
          <w:b/>
          <w:sz w:val="24"/>
          <w:szCs w:val="24"/>
        </w:rPr>
        <w:t>查明</w:t>
      </w:r>
      <w:r w:rsidRPr="00B91126">
        <w:rPr>
          <w:b/>
          <w:sz w:val="24"/>
          <w:szCs w:val="24"/>
        </w:rPr>
        <w:t>的差距</w:t>
      </w:r>
    </w:p>
    <w:p w14:paraId="06777E86" w14:textId="0A7F1A23" w:rsidR="00833FEF" w:rsidRDefault="00986C10" w:rsidP="00B91126">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sz w:val="24"/>
          <w:szCs w:val="24"/>
        </w:rPr>
      </w:pPr>
      <w:r>
        <w:rPr>
          <w:rFonts w:ascii="SimSun" w:hAnsi="SimSun" w:cs="SimSun"/>
          <w:sz w:val="24"/>
          <w:szCs w:val="24"/>
        </w:rPr>
        <w:t>在确定野生动植物可持续管理指导方面的差距时，合作伙伴关系以《野生物种可持续利用专题评估报告》</w:t>
      </w:r>
      <w:r w:rsidRPr="00B91126">
        <w:rPr>
          <w:sz w:val="24"/>
          <w:szCs w:val="24"/>
        </w:rPr>
        <w:t>决策者摘要所载的野生物种可持续利用专题评估知识差距表</w:t>
      </w:r>
      <w:r>
        <w:rPr>
          <w:rFonts w:ascii="SimSun" w:hAnsi="SimSun" w:cs="SimSun"/>
          <w:sz w:val="24"/>
          <w:szCs w:val="24"/>
        </w:rPr>
        <w:t>（表</w:t>
      </w:r>
      <w:r>
        <w:rPr>
          <w:rFonts w:ascii="SimSun" w:hAnsi="SimSun" w:cs="SimSun"/>
          <w:sz w:val="24"/>
          <w:szCs w:val="24"/>
        </w:rPr>
        <w:t xml:space="preserve"> SPM.A.2</w:t>
      </w:r>
      <w:r>
        <w:rPr>
          <w:rFonts w:ascii="SimSun" w:hAnsi="SimSun" w:cs="SimSun"/>
          <w:sz w:val="24"/>
          <w:szCs w:val="24"/>
        </w:rPr>
        <w:t>）为指导。差距分类如下：数据和信息的提供和获取；评估和监测方法、模型和情景</w:t>
      </w:r>
      <w:r w:rsidR="007F4B4D">
        <w:rPr>
          <w:rFonts w:ascii="SimSun" w:hAnsi="SimSun" w:cs="SimSun" w:hint="eastAsia"/>
          <w:sz w:val="24"/>
          <w:szCs w:val="24"/>
        </w:rPr>
        <w:t>设想</w:t>
      </w:r>
      <w:r>
        <w:rPr>
          <w:rFonts w:ascii="SimSun" w:hAnsi="SimSun" w:cs="SimSun"/>
          <w:sz w:val="24"/>
          <w:szCs w:val="24"/>
        </w:rPr>
        <w:t>；土著和地方知识；多种用途</w:t>
      </w:r>
      <w:r w:rsidR="007F4B4D">
        <w:rPr>
          <w:rFonts w:ascii="SimSun" w:hAnsi="SimSun" w:cs="SimSun" w:hint="eastAsia"/>
          <w:sz w:val="24"/>
          <w:szCs w:val="24"/>
        </w:rPr>
        <w:t>和</w:t>
      </w:r>
      <w:r>
        <w:rPr>
          <w:rFonts w:ascii="SimSun" w:hAnsi="SimSun" w:cs="SimSun"/>
          <w:sz w:val="24"/>
          <w:szCs w:val="24"/>
        </w:rPr>
        <w:t>用途与其他压力的相互作用。</w:t>
      </w:r>
    </w:p>
    <w:p w14:paraId="313D9D5E" w14:textId="77777777" w:rsidR="00833FEF" w:rsidRDefault="00986C10" w:rsidP="002C1608">
      <w:pPr>
        <w:numPr>
          <w:ilvl w:val="0"/>
          <w:numId w:val="7"/>
        </w:numPr>
        <w:spacing w:line="276" w:lineRule="auto"/>
        <w:ind w:left="360"/>
        <w:jc w:val="left"/>
        <w:rPr>
          <w:rFonts w:ascii="SimSun" w:hAnsi="SimSun" w:cs="SimSun"/>
          <w:b/>
          <w:sz w:val="24"/>
          <w:szCs w:val="24"/>
        </w:rPr>
      </w:pPr>
      <w:r>
        <w:rPr>
          <w:rFonts w:ascii="SimSun" w:hAnsi="SimSun" w:cs="SimSun"/>
          <w:b/>
          <w:sz w:val="24"/>
          <w:szCs w:val="24"/>
        </w:rPr>
        <w:t>数据和信息的提供与获取</w:t>
      </w:r>
    </w:p>
    <w:p w14:paraId="23CAEBF4" w14:textId="494F3006" w:rsidR="00833FEF" w:rsidRDefault="00986C10" w:rsidP="00B91126">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sz w:val="24"/>
          <w:szCs w:val="24"/>
        </w:rPr>
      </w:pPr>
      <w:r>
        <w:rPr>
          <w:rFonts w:ascii="SimSun" w:hAnsi="SimSun" w:cs="SimSun"/>
          <w:sz w:val="24"/>
          <w:szCs w:val="24"/>
        </w:rPr>
        <w:t>合作伙伴关系在这一类别中确定了以下</w:t>
      </w:r>
      <w:r>
        <w:rPr>
          <w:rFonts w:ascii="SimSun" w:hAnsi="SimSun" w:cs="SimSun"/>
          <w:sz w:val="24"/>
          <w:szCs w:val="24"/>
        </w:rPr>
        <w:t>14</w:t>
      </w:r>
      <w:r>
        <w:rPr>
          <w:rFonts w:ascii="SimSun" w:hAnsi="SimSun" w:cs="SimSun"/>
          <w:sz w:val="24"/>
          <w:szCs w:val="24"/>
        </w:rPr>
        <w:t>项差距：</w:t>
      </w:r>
    </w:p>
    <w:p w14:paraId="3ACAAA16" w14:textId="021F18F1"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lastRenderedPageBreak/>
        <w:t>温带地区野生动植物可持续管理总体</w:t>
      </w:r>
      <w:r w:rsidR="001E003E">
        <w:rPr>
          <w:rFonts w:ascii="SimSun" w:hAnsi="SimSun" w:cs="SimSun" w:hint="eastAsia"/>
          <w:sz w:val="24"/>
          <w:szCs w:val="24"/>
        </w:rPr>
        <w:t>指导意见</w:t>
      </w:r>
      <w:r>
        <w:rPr>
          <w:rFonts w:ascii="SimSun" w:hAnsi="SimSun" w:cs="SimSun"/>
          <w:sz w:val="24"/>
          <w:szCs w:val="24"/>
        </w:rPr>
        <w:t>；</w:t>
      </w:r>
    </w:p>
    <w:p w14:paraId="0BEBDB8C" w14:textId="7E0C84D4"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温带地区以及非洲和亚洲以外地区人类与野生动物冲突</w:t>
      </w:r>
      <w:r w:rsidR="001E003E">
        <w:rPr>
          <w:rFonts w:ascii="SimSun" w:hAnsi="SimSun" w:cs="SimSun" w:hint="eastAsia"/>
          <w:sz w:val="24"/>
          <w:szCs w:val="24"/>
        </w:rPr>
        <w:t>指导意见</w:t>
      </w:r>
      <w:r>
        <w:rPr>
          <w:rFonts w:ascii="SimSun" w:hAnsi="SimSun" w:cs="SimSun"/>
          <w:sz w:val="24"/>
          <w:szCs w:val="24"/>
        </w:rPr>
        <w:t>；</w:t>
      </w:r>
    </w:p>
    <w:p w14:paraId="72523D42" w14:textId="4150AA76"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野生陆生脊椎动物遗传多样性管理</w:t>
      </w:r>
      <w:r w:rsidR="001E003E">
        <w:rPr>
          <w:rFonts w:ascii="SimSun" w:hAnsi="SimSun" w:cs="SimSun" w:hint="eastAsia"/>
          <w:sz w:val="24"/>
          <w:szCs w:val="24"/>
        </w:rPr>
        <w:t>指导意见</w:t>
      </w:r>
      <w:r>
        <w:rPr>
          <w:rFonts w:ascii="SimSun" w:hAnsi="SimSun" w:cs="SimSun"/>
          <w:sz w:val="24"/>
          <w:szCs w:val="24"/>
        </w:rPr>
        <w:t>；</w:t>
      </w:r>
    </w:p>
    <w:p w14:paraId="5804FE0B" w14:textId="3EFFB070"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关于热带和亚热带地区可持续狩猎（不限于自给性狩猎）的数据和</w:t>
      </w:r>
      <w:r w:rsidR="00AD3639">
        <w:rPr>
          <w:rFonts w:ascii="SimSun" w:hAnsi="SimSun" w:cs="SimSun" w:hint="eastAsia"/>
          <w:sz w:val="24"/>
          <w:szCs w:val="24"/>
        </w:rPr>
        <w:t xml:space="preserve">    </w:t>
      </w:r>
      <w:r>
        <w:rPr>
          <w:rFonts w:ascii="SimSun" w:hAnsi="SimSun" w:cs="SimSun"/>
          <w:sz w:val="24"/>
          <w:szCs w:val="24"/>
        </w:rPr>
        <w:t>信息；</w:t>
      </w:r>
    </w:p>
    <w:p w14:paraId="5292C995"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温带地区可持续森林管理的数据和信息；</w:t>
      </w:r>
    </w:p>
    <w:p w14:paraId="644C2DF2"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关于非洲内部野生肉类和野生动物产品贸易的数据和信息；</w:t>
      </w:r>
    </w:p>
    <w:p w14:paraId="598B8E6E"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关于温带地区以及非洲和亚洲以外地区野生肉类收获可持续性的数据和信息；</w:t>
      </w:r>
    </w:p>
    <w:p w14:paraId="59E3F2EB"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关于非致命性陆生脊椎动物采伐的数据和信息；</w:t>
      </w:r>
    </w:p>
    <w:p w14:paraId="18EAFCDC" w14:textId="4EA83B92"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非致命性陆生脊椎动物采伐区域</w:t>
      </w:r>
      <w:r w:rsidR="001E003E">
        <w:rPr>
          <w:rFonts w:ascii="SimSun" w:hAnsi="SimSun" w:cs="SimSun" w:hint="eastAsia"/>
          <w:sz w:val="24"/>
          <w:szCs w:val="24"/>
        </w:rPr>
        <w:t>指导意见</w:t>
      </w:r>
      <w:r>
        <w:rPr>
          <w:rFonts w:ascii="SimSun" w:hAnsi="SimSun" w:cs="SimSun"/>
          <w:sz w:val="24"/>
          <w:szCs w:val="24"/>
        </w:rPr>
        <w:t>；</w:t>
      </w:r>
    </w:p>
    <w:p w14:paraId="09F35573"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关于世界各地陆生脊椎动物非采掘活动的数据和信息；</w:t>
      </w:r>
    </w:p>
    <w:p w14:paraId="5721C1DE" w14:textId="27022D8D"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陆生脊椎动物非采掘作业区域</w:t>
      </w:r>
      <w:r w:rsidR="001E003E">
        <w:rPr>
          <w:rFonts w:ascii="SimSun" w:hAnsi="SimSun" w:cs="SimSun" w:hint="eastAsia"/>
          <w:sz w:val="24"/>
          <w:szCs w:val="24"/>
        </w:rPr>
        <w:t>指导意见</w:t>
      </w:r>
      <w:r>
        <w:rPr>
          <w:rFonts w:ascii="SimSun" w:hAnsi="SimSun" w:cs="SimSun"/>
          <w:sz w:val="24"/>
          <w:szCs w:val="24"/>
        </w:rPr>
        <w:t>；</w:t>
      </w:r>
    </w:p>
    <w:p w14:paraId="4517381E"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关于</w:t>
      </w:r>
      <w:r>
        <w:rPr>
          <w:rFonts w:ascii="SimSun" w:hAnsi="SimSun" w:cs="SimSun"/>
          <w:sz w:val="24"/>
          <w:szCs w:val="24"/>
        </w:rPr>
        <w:t xml:space="preserve"> “</w:t>
      </w:r>
      <w:r>
        <w:rPr>
          <w:rFonts w:ascii="SimSun" w:hAnsi="SimSun" w:cs="SimSun"/>
          <w:sz w:val="24"/>
          <w:szCs w:val="24"/>
        </w:rPr>
        <w:t>同一健康</w:t>
      </w:r>
      <w:r>
        <w:rPr>
          <w:rFonts w:ascii="SimSun" w:hAnsi="SimSun" w:cs="SimSun"/>
          <w:sz w:val="24"/>
          <w:szCs w:val="24"/>
        </w:rPr>
        <w:t xml:space="preserve"> ”</w:t>
      </w:r>
      <w:r>
        <w:rPr>
          <w:rFonts w:ascii="SimSun" w:hAnsi="SimSun" w:cs="SimSun"/>
          <w:sz w:val="24"/>
          <w:szCs w:val="24"/>
        </w:rPr>
        <w:t>野生物种利用方法成果的数据和信息；</w:t>
      </w:r>
    </w:p>
    <w:p w14:paraId="26D0A1E7" w14:textId="77777777"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有关地区野生动物经济的数据和信息；</w:t>
      </w:r>
    </w:p>
    <w:p w14:paraId="2CDFEDF1" w14:textId="199A4813" w:rsidR="00833FEF" w:rsidRDefault="00986C10" w:rsidP="00AD3639">
      <w:pPr>
        <w:numPr>
          <w:ilvl w:val="0"/>
          <w:numId w:val="25"/>
        </w:numPr>
        <w:spacing w:before="120" w:after="120" w:line="240" w:lineRule="atLeast"/>
        <w:ind w:left="490" w:firstLine="490"/>
        <w:jc w:val="left"/>
        <w:rPr>
          <w:rFonts w:ascii="SimSun" w:hAnsi="SimSun" w:cs="SimSun"/>
          <w:sz w:val="24"/>
          <w:szCs w:val="24"/>
        </w:rPr>
      </w:pPr>
      <w:r>
        <w:rPr>
          <w:rFonts w:ascii="SimSun" w:hAnsi="SimSun" w:cs="SimSun"/>
          <w:sz w:val="24"/>
          <w:szCs w:val="24"/>
        </w:rPr>
        <w:t>性别平等和野生物种管理</w:t>
      </w:r>
      <w:r w:rsidR="001E003E">
        <w:rPr>
          <w:rFonts w:ascii="SimSun" w:hAnsi="SimSun" w:cs="SimSun" w:hint="eastAsia"/>
          <w:sz w:val="24"/>
          <w:szCs w:val="24"/>
        </w:rPr>
        <w:t>指导意见</w:t>
      </w:r>
      <w:r>
        <w:rPr>
          <w:rFonts w:ascii="SimSun" w:hAnsi="SimSun" w:cs="SimSun"/>
          <w:sz w:val="24"/>
          <w:szCs w:val="24"/>
        </w:rPr>
        <w:t>。</w:t>
      </w:r>
    </w:p>
    <w:p w14:paraId="1D154F25" w14:textId="4ECBD02D" w:rsidR="00833FEF" w:rsidRDefault="00986C10" w:rsidP="00B91126">
      <w:pPr>
        <w:numPr>
          <w:ilvl w:val="0"/>
          <w:numId w:val="7"/>
        </w:numPr>
        <w:spacing w:line="276" w:lineRule="auto"/>
        <w:ind w:left="0" w:firstLine="0"/>
        <w:jc w:val="left"/>
        <w:rPr>
          <w:rFonts w:ascii="SimSun" w:hAnsi="SimSun" w:cs="SimSun"/>
          <w:b/>
          <w:sz w:val="24"/>
          <w:szCs w:val="24"/>
        </w:rPr>
      </w:pPr>
      <w:r>
        <w:rPr>
          <w:rFonts w:ascii="SimSun" w:hAnsi="SimSun" w:cs="SimSun"/>
          <w:b/>
          <w:sz w:val="24"/>
          <w:szCs w:val="24"/>
        </w:rPr>
        <w:t>评估和监测方法、模型和</w:t>
      </w:r>
      <w:r w:rsidR="007F4B4D">
        <w:rPr>
          <w:rFonts w:ascii="SimSun" w:hAnsi="SimSun" w:cs="SimSun" w:hint="eastAsia"/>
          <w:b/>
          <w:sz w:val="24"/>
          <w:szCs w:val="24"/>
        </w:rPr>
        <w:t>情景设想</w:t>
      </w:r>
    </w:p>
    <w:p w14:paraId="558A10F0" w14:textId="57FE7792" w:rsidR="00833FEF" w:rsidRDefault="00986C10" w:rsidP="00B91126">
      <w:pPr>
        <w:pStyle w:val="ListParagraph"/>
        <w:tabs>
          <w:tab w:val="clear" w:pos="567"/>
          <w:tab w:val="clear" w:pos="1134"/>
          <w:tab w:val="clear" w:pos="1701"/>
          <w:tab w:val="clear" w:pos="2268"/>
        </w:tabs>
        <w:spacing w:before="120" w:after="120" w:line="240" w:lineRule="atLeast"/>
        <w:ind w:left="490" w:firstLine="0"/>
        <w:contextualSpacing w:val="0"/>
        <w:rPr>
          <w:rFonts w:ascii="SimSun" w:hAnsi="SimSun" w:cs="SimSun"/>
          <w:sz w:val="24"/>
          <w:szCs w:val="24"/>
        </w:rPr>
      </w:pPr>
      <w:r>
        <w:rPr>
          <w:rFonts w:ascii="SimSun" w:hAnsi="SimSun" w:cs="SimSun"/>
          <w:sz w:val="24"/>
          <w:szCs w:val="24"/>
        </w:rPr>
        <w:t>合作伙伴关系在这一类别中确定了以下</w:t>
      </w:r>
      <w:r>
        <w:rPr>
          <w:rFonts w:ascii="SimSun" w:hAnsi="SimSun" w:cs="SimSun"/>
          <w:sz w:val="24"/>
          <w:szCs w:val="24"/>
        </w:rPr>
        <w:t>10</w:t>
      </w:r>
      <w:r>
        <w:rPr>
          <w:rFonts w:ascii="SimSun" w:hAnsi="SimSun" w:cs="SimSun"/>
          <w:sz w:val="24"/>
          <w:szCs w:val="24"/>
        </w:rPr>
        <w:t>项差距：</w:t>
      </w:r>
      <w:r>
        <w:rPr>
          <w:rFonts w:ascii="SimSun" w:hAnsi="SimSun" w:cs="SimSun"/>
          <w:sz w:val="24"/>
          <w:szCs w:val="24"/>
        </w:rPr>
        <w:t xml:space="preserve"> </w:t>
      </w:r>
    </w:p>
    <w:p w14:paraId="2CB8A081"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以温带地区以及非洲和亚洲以外地区的人类与野生动物冲突为重点的情景研究；</w:t>
      </w:r>
    </w:p>
    <w:p w14:paraId="41F23C1F" w14:textId="7489C426"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以温带地区以及非洲和亚洲以外地区的</w:t>
      </w:r>
      <w:r w:rsidR="006D7E6C">
        <w:rPr>
          <w:rFonts w:ascii="SimSun" w:hAnsi="SimSun" w:cs="SimSun" w:hint="eastAsia"/>
          <w:sz w:val="24"/>
          <w:szCs w:val="24"/>
        </w:rPr>
        <w:t>野味狩猎</w:t>
      </w:r>
      <w:r>
        <w:rPr>
          <w:rFonts w:ascii="SimSun" w:hAnsi="SimSun" w:cs="SimSun"/>
          <w:sz w:val="24"/>
          <w:szCs w:val="24"/>
        </w:rPr>
        <w:t>为重点的情景</w:t>
      </w:r>
      <w:r w:rsidR="001D5A92">
        <w:rPr>
          <w:rFonts w:ascii="SimSun" w:hAnsi="SimSun" w:cs="SimSun" w:hint="eastAsia"/>
          <w:sz w:val="24"/>
          <w:szCs w:val="24"/>
        </w:rPr>
        <w:t>设想</w:t>
      </w:r>
      <w:r>
        <w:rPr>
          <w:rFonts w:ascii="SimSun" w:hAnsi="SimSun" w:cs="SimSun"/>
          <w:sz w:val="24"/>
          <w:szCs w:val="24"/>
        </w:rPr>
        <w:t>研究</w:t>
      </w:r>
      <w:r>
        <w:rPr>
          <w:rFonts w:ascii="SimSun" w:hAnsi="SimSun" w:cs="SimSun"/>
          <w:sz w:val="24"/>
          <w:szCs w:val="24"/>
        </w:rPr>
        <w:t>;</w:t>
      </w:r>
    </w:p>
    <w:p w14:paraId="04F94124"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监测和评估热带和亚热带地区的可持续狩猎（不限于自给性狩猎）；</w:t>
      </w:r>
    </w:p>
    <w:p w14:paraId="6944A751"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监测和处理陆生脊椎动物遗传多样性的工具和资源；</w:t>
      </w:r>
    </w:p>
    <w:p w14:paraId="09D3B2D5"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陆生脊椎动物种群和贸易统计的国际标准监测、评估和报告方法；</w:t>
      </w:r>
    </w:p>
    <w:p w14:paraId="19805825"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对陆生脊椎动物的所有用途进行趋势监测；</w:t>
      </w:r>
    </w:p>
    <w:p w14:paraId="6BC230D8" w14:textId="77777777"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陆生脊椎动物物种管理计划；</w:t>
      </w:r>
    </w:p>
    <w:p w14:paraId="13D8D185" w14:textId="6436CA22"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情景</w:t>
      </w:r>
      <w:r w:rsidR="001D5A92">
        <w:rPr>
          <w:rFonts w:ascii="SimSun" w:hAnsi="SimSun" w:cs="SimSun" w:hint="eastAsia"/>
          <w:sz w:val="24"/>
          <w:szCs w:val="24"/>
        </w:rPr>
        <w:t>设想</w:t>
      </w:r>
      <w:r>
        <w:rPr>
          <w:rFonts w:ascii="SimSun" w:hAnsi="SimSun" w:cs="SimSun"/>
          <w:sz w:val="24"/>
          <w:szCs w:val="24"/>
        </w:rPr>
        <w:t>研究侧重于涉及陆生脊椎动物的非</w:t>
      </w:r>
      <w:r w:rsidR="001D5A92">
        <w:rPr>
          <w:rFonts w:ascii="SimSun" w:hAnsi="SimSun" w:cs="SimSun" w:hint="eastAsia"/>
          <w:sz w:val="24"/>
          <w:szCs w:val="24"/>
        </w:rPr>
        <w:t>采猎做法</w:t>
      </w:r>
      <w:r>
        <w:rPr>
          <w:rFonts w:ascii="SimSun" w:hAnsi="SimSun" w:cs="SimSun"/>
          <w:sz w:val="24"/>
          <w:szCs w:val="24"/>
        </w:rPr>
        <w:t>；</w:t>
      </w:r>
    </w:p>
    <w:p w14:paraId="7FEAA950" w14:textId="76F49144"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监测和评估区域野生物经济的工具和资源；</w:t>
      </w:r>
    </w:p>
    <w:p w14:paraId="686E65A2" w14:textId="527B52AF" w:rsidR="00833FEF" w:rsidRDefault="00986C10" w:rsidP="00AD3639">
      <w:pPr>
        <w:numPr>
          <w:ilvl w:val="0"/>
          <w:numId w:val="29"/>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衡量和监测人类与野生</w:t>
      </w:r>
      <w:r w:rsidR="00ED535E">
        <w:rPr>
          <w:rFonts w:ascii="SimSun" w:hAnsi="SimSun" w:cs="SimSun" w:hint="eastAsia"/>
          <w:sz w:val="24"/>
          <w:szCs w:val="24"/>
        </w:rPr>
        <w:t>动</w:t>
      </w:r>
      <w:r>
        <w:rPr>
          <w:rFonts w:ascii="SimSun" w:hAnsi="SimSun" w:cs="SimSun"/>
          <w:sz w:val="24"/>
          <w:szCs w:val="24"/>
        </w:rPr>
        <w:t>物冲突的框架。</w:t>
      </w:r>
    </w:p>
    <w:p w14:paraId="6E3DF68E" w14:textId="77777777" w:rsidR="00833FEF" w:rsidRDefault="00833FEF">
      <w:pPr>
        <w:spacing w:line="276" w:lineRule="auto"/>
        <w:ind w:left="1440"/>
        <w:jc w:val="left"/>
        <w:rPr>
          <w:rFonts w:ascii="SimSun" w:hAnsi="SimSun" w:cs="SimSun"/>
          <w:sz w:val="24"/>
          <w:szCs w:val="24"/>
        </w:rPr>
      </w:pPr>
    </w:p>
    <w:p w14:paraId="5A288558" w14:textId="0FA671FD" w:rsidR="00833FEF" w:rsidRDefault="001D5A92" w:rsidP="001D5A92">
      <w:pPr>
        <w:keepNext/>
        <w:tabs>
          <w:tab w:val="clear" w:pos="567"/>
          <w:tab w:val="clear" w:pos="1134"/>
          <w:tab w:val="clear" w:pos="1701"/>
          <w:tab w:val="clear" w:pos="2268"/>
        </w:tabs>
        <w:spacing w:line="276" w:lineRule="auto"/>
        <w:jc w:val="left"/>
        <w:rPr>
          <w:rFonts w:ascii="SimSun" w:hAnsi="SimSun" w:cs="SimSun"/>
          <w:b/>
          <w:sz w:val="24"/>
          <w:szCs w:val="24"/>
        </w:rPr>
      </w:pPr>
      <w:r>
        <w:rPr>
          <w:rFonts w:ascii="SimSun" w:hAnsi="SimSun" w:cs="SimSun" w:hint="eastAsia"/>
          <w:b/>
          <w:sz w:val="24"/>
          <w:szCs w:val="24"/>
        </w:rPr>
        <w:lastRenderedPageBreak/>
        <w:t>3.</w:t>
      </w:r>
      <w:r>
        <w:rPr>
          <w:rFonts w:ascii="SimSun" w:hAnsi="SimSun" w:cs="SimSun"/>
          <w:b/>
          <w:sz w:val="24"/>
          <w:szCs w:val="24"/>
        </w:rPr>
        <w:tab/>
        <w:t>土著和地方知识</w:t>
      </w:r>
    </w:p>
    <w:p w14:paraId="21BE0470" w14:textId="03733588" w:rsidR="00B91126" w:rsidRDefault="00986C10" w:rsidP="00B91126">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合作伙伴关系在这一类别中确定了以下六项差距：</w:t>
      </w:r>
      <w:r>
        <w:rPr>
          <w:rFonts w:ascii="SimSun" w:hAnsi="SimSun" w:cs="SimSun"/>
          <w:sz w:val="24"/>
          <w:szCs w:val="24"/>
        </w:rPr>
        <w:tab/>
      </w:r>
    </w:p>
    <w:p w14:paraId="5F906033" w14:textId="00734C93" w:rsidR="00833FEF" w:rsidRP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调查和评估土著社区利用野生动物的做法；</w:t>
      </w:r>
    </w:p>
    <w:p w14:paraId="40C77F8F" w14:textId="5E4FFEBD" w:rsidR="00833FEF" w:rsidRP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在政策指导中公平纳入土著价值观和与野生物种的关系；</w:t>
      </w:r>
      <w:r w:rsidRPr="00F4718D">
        <w:rPr>
          <w:rFonts w:ascii="SimSun" w:hAnsi="SimSun" w:cs="SimSun"/>
          <w:sz w:val="24"/>
          <w:szCs w:val="24"/>
        </w:rPr>
        <w:t xml:space="preserve"> </w:t>
      </w:r>
    </w:p>
    <w:p w14:paraId="40757487" w14:textId="6247FB13" w:rsidR="00833FEF" w:rsidRP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在人类与野生动物冲突指导中公平应用本土和地方知识；</w:t>
      </w:r>
    </w:p>
    <w:p w14:paraId="7504483D" w14:textId="248B827A" w:rsidR="00833FEF" w:rsidRP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在遗传资源管理中公平应用本土和地方知识；</w:t>
      </w:r>
    </w:p>
    <w:p w14:paraId="3E4F0FC0" w14:textId="305B72C5" w:rsid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支持原住民和</w:t>
      </w:r>
      <w:r w:rsidR="00F4718D">
        <w:rPr>
          <w:rFonts w:ascii="SimSun" w:hAnsi="SimSun" w:cs="SimSun" w:hint="eastAsia"/>
          <w:sz w:val="24"/>
          <w:szCs w:val="24"/>
        </w:rPr>
        <w:t>地方</w:t>
      </w:r>
      <w:r w:rsidRPr="00F4718D">
        <w:rPr>
          <w:rFonts w:ascii="SimSun" w:hAnsi="SimSun" w:cs="SimSun"/>
          <w:sz w:val="24"/>
          <w:szCs w:val="24"/>
        </w:rPr>
        <w:t>社区开展研究、监测和管理的方法；</w:t>
      </w:r>
    </w:p>
    <w:p w14:paraId="62856FF0" w14:textId="7A1BFF1B" w:rsidR="00F4718D" w:rsidRPr="00F4718D" w:rsidRDefault="00986C10" w:rsidP="001D5A92">
      <w:pPr>
        <w:pStyle w:val="ListParagraph"/>
        <w:numPr>
          <w:ilvl w:val="0"/>
          <w:numId w:val="32"/>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F4718D">
        <w:rPr>
          <w:rFonts w:ascii="SimSun" w:hAnsi="SimSun" w:cs="SimSun"/>
          <w:sz w:val="24"/>
          <w:szCs w:val="24"/>
        </w:rPr>
        <w:t>为可持续的社区生计和相关的生物多样性改善提供能力建设和支持。</w:t>
      </w:r>
    </w:p>
    <w:p w14:paraId="40544D43" w14:textId="43AA9DC4" w:rsidR="00833FEF" w:rsidRDefault="00986C10" w:rsidP="00ED535E">
      <w:pPr>
        <w:keepNext/>
        <w:spacing w:before="240" w:after="120" w:line="276" w:lineRule="auto"/>
        <w:jc w:val="left"/>
        <w:rPr>
          <w:rFonts w:ascii="SimSun" w:hAnsi="SimSun" w:cs="SimSun"/>
          <w:sz w:val="24"/>
          <w:szCs w:val="24"/>
        </w:rPr>
      </w:pPr>
      <w:r>
        <w:rPr>
          <w:rFonts w:ascii="SimSun" w:hAnsi="SimSun" w:cs="SimSun"/>
          <w:b/>
          <w:sz w:val="24"/>
          <w:szCs w:val="24"/>
        </w:rPr>
        <w:t>4.</w:t>
      </w:r>
      <w:r w:rsidRPr="00F4718D">
        <w:rPr>
          <w:rFonts w:ascii="SimSun" w:hAnsi="SimSun" w:cs="SimSun"/>
          <w:b/>
          <w:sz w:val="24"/>
          <w:szCs w:val="24"/>
        </w:rPr>
        <w:t xml:space="preserve"> </w:t>
      </w:r>
      <w:r>
        <w:rPr>
          <w:rFonts w:ascii="SimSun" w:hAnsi="SimSun" w:cs="SimSun"/>
          <w:b/>
          <w:sz w:val="24"/>
          <w:szCs w:val="24"/>
        </w:rPr>
        <w:t>多种用途</w:t>
      </w:r>
      <w:r w:rsidR="007F4B4D">
        <w:rPr>
          <w:rFonts w:ascii="SimSun" w:hAnsi="SimSun" w:cs="SimSun" w:hint="eastAsia"/>
          <w:b/>
          <w:sz w:val="24"/>
          <w:szCs w:val="24"/>
        </w:rPr>
        <w:t>和</w:t>
      </w:r>
      <w:r>
        <w:rPr>
          <w:rFonts w:ascii="SimSun" w:hAnsi="SimSun" w:cs="SimSun"/>
          <w:b/>
          <w:sz w:val="24"/>
          <w:szCs w:val="24"/>
        </w:rPr>
        <w:t>用途与其他压力的相互作用</w:t>
      </w:r>
    </w:p>
    <w:p w14:paraId="7D24DBFA" w14:textId="3ACB0AF2"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合作伙伴关系在这一类别中确定了以下</w:t>
      </w:r>
      <w:r>
        <w:rPr>
          <w:rFonts w:ascii="SimSun" w:hAnsi="SimSun" w:cs="SimSun"/>
          <w:sz w:val="24"/>
          <w:szCs w:val="24"/>
        </w:rPr>
        <w:t>10</w:t>
      </w:r>
      <w:r>
        <w:rPr>
          <w:rFonts w:ascii="SimSun" w:hAnsi="SimSun" w:cs="SimSun"/>
          <w:sz w:val="24"/>
          <w:szCs w:val="24"/>
        </w:rPr>
        <w:t>项差距：</w:t>
      </w:r>
    </w:p>
    <w:p w14:paraId="0A180175" w14:textId="615B3F78"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可持续利用野生物种对减贫的影响；</w:t>
      </w:r>
    </w:p>
    <w:p w14:paraId="55FC8DE4" w14:textId="049EC4BA"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可持续利用野生物种对粮食安全的影响，尤其是在最缺乏数据的温带地区；</w:t>
      </w:r>
    </w:p>
    <w:p w14:paraId="54DC39FF" w14:textId="59EDB6C9"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技术进步对可持续野生物种利用和管理的影响；</w:t>
      </w:r>
    </w:p>
    <w:p w14:paraId="1FA9C122" w14:textId="0F8A2519"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利用野生物种的生态和社会因素之间的相互作用，即野生物种的可持续利用与社会、经济和环境利弊之间的联系；</w:t>
      </w:r>
    </w:p>
    <w:p w14:paraId="4E62F27E" w14:textId="5CAB8057"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非洲内部</w:t>
      </w:r>
      <w:r w:rsidR="001D5A92">
        <w:rPr>
          <w:rFonts w:ascii="SimSun" w:hAnsi="SimSun" w:cs="SimSun" w:hint="eastAsia"/>
          <w:sz w:val="24"/>
          <w:szCs w:val="24"/>
        </w:rPr>
        <w:t>野味</w:t>
      </w:r>
      <w:r w:rsidRPr="002C1608">
        <w:rPr>
          <w:rFonts w:ascii="SimSun" w:hAnsi="SimSun" w:cs="SimSun" w:hint="eastAsia"/>
          <w:sz w:val="24"/>
          <w:szCs w:val="24"/>
        </w:rPr>
        <w:t>和野生</w:t>
      </w:r>
      <w:r w:rsidR="00ED535E">
        <w:rPr>
          <w:rFonts w:ascii="SimSun" w:hAnsi="SimSun" w:cs="SimSun" w:hint="eastAsia"/>
          <w:sz w:val="24"/>
          <w:szCs w:val="24"/>
        </w:rPr>
        <w:t>动</w:t>
      </w:r>
      <w:r w:rsidRPr="002C1608">
        <w:rPr>
          <w:rFonts w:ascii="SimSun" w:hAnsi="SimSun" w:cs="SimSun" w:hint="eastAsia"/>
          <w:sz w:val="24"/>
          <w:szCs w:val="24"/>
        </w:rPr>
        <w:t>物产品贸易对物种保护和生计的影响；</w:t>
      </w:r>
      <w:r w:rsidRPr="002C1608">
        <w:rPr>
          <w:rFonts w:ascii="SimSun" w:hAnsi="SimSun" w:cs="SimSun"/>
          <w:sz w:val="24"/>
          <w:szCs w:val="24"/>
        </w:rPr>
        <w:t xml:space="preserve"> </w:t>
      </w:r>
    </w:p>
    <w:p w14:paraId="44FDAE01" w14:textId="3C5E540F"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非</w:t>
      </w:r>
      <w:r w:rsidR="001D5A92">
        <w:rPr>
          <w:rFonts w:ascii="SimSun" w:hAnsi="SimSun" w:cs="SimSun" w:hint="eastAsia"/>
          <w:sz w:val="24"/>
          <w:szCs w:val="24"/>
        </w:rPr>
        <w:t>采猎做法</w:t>
      </w:r>
      <w:r w:rsidRPr="002C1608">
        <w:rPr>
          <w:rFonts w:ascii="SimSun" w:hAnsi="SimSun" w:cs="SimSun" w:hint="eastAsia"/>
          <w:sz w:val="24"/>
          <w:szCs w:val="24"/>
        </w:rPr>
        <w:t>（包括文化和精神活动）的生态和社会组成部分之间的相互作用</w:t>
      </w:r>
      <w:r w:rsidRPr="002C1608">
        <w:rPr>
          <w:rFonts w:ascii="SimSun" w:hAnsi="SimSun" w:cs="SimSun"/>
          <w:sz w:val="24"/>
          <w:szCs w:val="24"/>
        </w:rPr>
        <w:t>;</w:t>
      </w:r>
    </w:p>
    <w:p w14:paraId="53093B39" w14:textId="1FB3146D"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气候变化对陆生脊椎动物种群、栖息地和利用的影响；</w:t>
      </w:r>
    </w:p>
    <w:p w14:paraId="2431D1E6" w14:textId="2E0A4FFE"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气候变化对野生</w:t>
      </w:r>
      <w:r w:rsidR="00ED535E">
        <w:rPr>
          <w:rFonts w:ascii="SimSun" w:hAnsi="SimSun" w:cs="SimSun" w:hint="eastAsia"/>
          <w:sz w:val="24"/>
          <w:szCs w:val="24"/>
        </w:rPr>
        <w:t>动</w:t>
      </w:r>
      <w:r w:rsidRPr="002C1608">
        <w:rPr>
          <w:rFonts w:ascii="SimSun" w:hAnsi="SimSun" w:cs="SimSun" w:hint="eastAsia"/>
          <w:sz w:val="24"/>
          <w:szCs w:val="24"/>
        </w:rPr>
        <w:t>物健康的影响以及对人类和家畜的连锁反应；</w:t>
      </w:r>
    </w:p>
    <w:p w14:paraId="264E3661" w14:textId="72180A2D"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气候变化与人类食用陆生</w:t>
      </w:r>
      <w:r w:rsidR="001D5A92">
        <w:rPr>
          <w:rFonts w:ascii="SimSun" w:hAnsi="SimSun" w:cs="SimSun" w:hint="eastAsia"/>
          <w:sz w:val="24"/>
          <w:szCs w:val="24"/>
        </w:rPr>
        <w:t>野味</w:t>
      </w:r>
      <w:r w:rsidRPr="002C1608">
        <w:rPr>
          <w:rFonts w:ascii="SimSun" w:hAnsi="SimSun" w:cs="SimSun" w:hint="eastAsia"/>
          <w:sz w:val="24"/>
          <w:szCs w:val="24"/>
        </w:rPr>
        <w:t>之间的相互作用；</w:t>
      </w:r>
    </w:p>
    <w:p w14:paraId="2188E834" w14:textId="62803B7D" w:rsidR="00833FEF" w:rsidRPr="002C1608" w:rsidRDefault="00986C10" w:rsidP="001D5A92">
      <w:pPr>
        <w:pStyle w:val="ListParagraph"/>
        <w:numPr>
          <w:ilvl w:val="0"/>
          <w:numId w:val="36"/>
        </w:numPr>
        <w:tabs>
          <w:tab w:val="clear" w:pos="567"/>
          <w:tab w:val="clear" w:pos="1134"/>
          <w:tab w:val="clear" w:pos="1701"/>
          <w:tab w:val="clear" w:pos="2268"/>
        </w:tabs>
        <w:spacing w:before="120" w:after="120" w:line="240" w:lineRule="atLeast"/>
        <w:ind w:left="490" w:firstLine="490"/>
        <w:contextualSpacing w:val="0"/>
        <w:jc w:val="left"/>
        <w:rPr>
          <w:rFonts w:ascii="SimSun" w:hAnsi="SimSun" w:cs="SimSun"/>
          <w:sz w:val="24"/>
          <w:szCs w:val="24"/>
        </w:rPr>
      </w:pPr>
      <w:r w:rsidRPr="002C1608">
        <w:rPr>
          <w:rFonts w:ascii="SimSun" w:hAnsi="SimSun" w:cs="SimSun" w:hint="eastAsia"/>
          <w:sz w:val="24"/>
          <w:szCs w:val="24"/>
        </w:rPr>
        <w:t>人畜共患病对野</w:t>
      </w:r>
      <w:r w:rsidR="00ED535E">
        <w:rPr>
          <w:rFonts w:ascii="SimSun" w:hAnsi="SimSun" w:cs="SimSun" w:hint="eastAsia"/>
          <w:sz w:val="24"/>
          <w:szCs w:val="24"/>
        </w:rPr>
        <w:t>味</w:t>
      </w:r>
      <w:r w:rsidRPr="002C1608">
        <w:rPr>
          <w:rFonts w:ascii="SimSun" w:hAnsi="SimSun" w:cs="SimSun" w:hint="eastAsia"/>
          <w:sz w:val="24"/>
          <w:szCs w:val="24"/>
        </w:rPr>
        <w:t>消费和野生动物数量的影响。</w:t>
      </w:r>
    </w:p>
    <w:p w14:paraId="1C40D8E0" w14:textId="77777777" w:rsidR="00833FEF" w:rsidRDefault="00833FEF">
      <w:pPr>
        <w:spacing w:line="276" w:lineRule="auto"/>
        <w:jc w:val="left"/>
        <w:rPr>
          <w:rFonts w:ascii="SimSun" w:hAnsi="SimSun" w:cs="SimSun"/>
          <w:sz w:val="24"/>
          <w:szCs w:val="24"/>
        </w:rPr>
      </w:pPr>
    </w:p>
    <w:p w14:paraId="1335DDAD" w14:textId="556F3B21" w:rsidR="00833FEF" w:rsidRPr="00F4718D" w:rsidRDefault="00F6762E" w:rsidP="00F4718D">
      <w:pPr>
        <w:tabs>
          <w:tab w:val="clear" w:pos="567"/>
          <w:tab w:val="clear" w:pos="1134"/>
          <w:tab w:val="clear" w:pos="1701"/>
          <w:tab w:val="clear" w:pos="2268"/>
        </w:tabs>
        <w:spacing w:before="120" w:after="120" w:line="240" w:lineRule="atLeast"/>
        <w:jc w:val="left"/>
        <w:rPr>
          <w:b/>
          <w:sz w:val="24"/>
          <w:szCs w:val="24"/>
        </w:rPr>
      </w:pPr>
      <w:r w:rsidRPr="00F4718D">
        <w:rPr>
          <w:b/>
          <w:sz w:val="28"/>
          <w:szCs w:val="28"/>
        </w:rPr>
        <w:t>B.</w:t>
      </w:r>
      <w:r w:rsidR="00F4718D">
        <w:rPr>
          <w:b/>
          <w:sz w:val="28"/>
          <w:szCs w:val="28"/>
        </w:rPr>
        <w:tab/>
      </w:r>
      <w:r w:rsidRPr="00F4718D">
        <w:rPr>
          <w:b/>
          <w:sz w:val="28"/>
          <w:szCs w:val="28"/>
        </w:rPr>
        <w:t>秘书处查明的其他差距</w:t>
      </w:r>
    </w:p>
    <w:p w14:paraId="70F5DF94" w14:textId="77777777" w:rsidR="00833FEF" w:rsidRDefault="00986C10" w:rsidP="00F4718D">
      <w:pPr>
        <w:numPr>
          <w:ilvl w:val="0"/>
          <w:numId w:val="5"/>
        </w:numPr>
        <w:tabs>
          <w:tab w:val="clear" w:pos="567"/>
          <w:tab w:val="clear" w:pos="1134"/>
          <w:tab w:val="clear" w:pos="1701"/>
          <w:tab w:val="clear" w:pos="2268"/>
        </w:tabs>
        <w:spacing w:before="120" w:after="120" w:line="240" w:lineRule="atLeast"/>
        <w:ind w:left="0" w:firstLine="0"/>
        <w:jc w:val="left"/>
        <w:rPr>
          <w:rFonts w:ascii="SimSun" w:hAnsi="SimSun" w:cs="SimSun"/>
          <w:b/>
          <w:sz w:val="24"/>
          <w:szCs w:val="24"/>
        </w:rPr>
      </w:pPr>
      <w:r>
        <w:rPr>
          <w:rFonts w:ascii="SimSun" w:hAnsi="SimSun" w:cs="SimSun"/>
          <w:b/>
          <w:sz w:val="24"/>
          <w:szCs w:val="24"/>
        </w:rPr>
        <w:t>物种</w:t>
      </w:r>
    </w:p>
    <w:p w14:paraId="238F2FEC" w14:textId="42A49786"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在水生动物方面，秘书处发现在包容性和参与性决策、纳入多种形式的知识和承认权利、公平分配成本和</w:t>
      </w:r>
      <w:r w:rsidR="00262E38">
        <w:rPr>
          <w:rFonts w:ascii="SimSun" w:hAnsi="SimSun" w:cs="SimSun" w:hint="eastAsia"/>
          <w:sz w:val="24"/>
          <w:szCs w:val="24"/>
        </w:rPr>
        <w:t>惠益</w:t>
      </w:r>
      <w:r>
        <w:rPr>
          <w:rFonts w:ascii="SimSun" w:hAnsi="SimSun" w:cs="SimSun"/>
          <w:sz w:val="24"/>
          <w:szCs w:val="24"/>
        </w:rPr>
        <w:t>以及健全的机构等方面的指导存在差距。另一方面，秘书处发现，在监测社会和生态条件及做法方面，以及在与水生动物有关的协调和统一政策方面，都有充分的指导。</w:t>
      </w:r>
    </w:p>
    <w:p w14:paraId="472E2DA7" w14:textId="081DD7AE"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关于陆生动物，秘书处发现，在监测社会和生态条件及做法方面有充分的指导，在根据当地社会和生态环境以及多个关键要素制定政策方面有有限的指导。另</w:t>
      </w:r>
      <w:r>
        <w:rPr>
          <w:rFonts w:ascii="SimSun" w:hAnsi="SimSun" w:cs="SimSun"/>
          <w:sz w:val="24"/>
          <w:szCs w:val="24"/>
        </w:rPr>
        <w:lastRenderedPageBreak/>
        <w:t>一方面，秘书处发现在包容性和参与性决策、纳入多种形式的知识和承认权利、公平分配成本和收益、协调统一的政策以及健全的机构等方面的指导存在差距。</w:t>
      </w:r>
    </w:p>
    <w:p w14:paraId="22BCF77F" w14:textId="15FC3370" w:rsidR="00833FEF" w:rsidRDefault="00986C10" w:rsidP="00ED535E">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关于树木、其他植物、真菌和藻类，秘书处发现在所有七个关键要素方面的指导都存在差距。</w:t>
      </w:r>
    </w:p>
    <w:p w14:paraId="427B9947" w14:textId="7BB9A02A" w:rsidR="00833FEF" w:rsidRDefault="00F6762E" w:rsidP="00ED535E">
      <w:pPr>
        <w:numPr>
          <w:ilvl w:val="0"/>
          <w:numId w:val="5"/>
        </w:numPr>
        <w:tabs>
          <w:tab w:val="clear" w:pos="567"/>
          <w:tab w:val="clear" w:pos="1134"/>
          <w:tab w:val="clear" w:pos="1701"/>
          <w:tab w:val="clear" w:pos="2268"/>
        </w:tabs>
        <w:spacing w:line="276" w:lineRule="auto"/>
        <w:ind w:left="0" w:firstLine="0"/>
        <w:jc w:val="left"/>
        <w:rPr>
          <w:rFonts w:ascii="SimSun" w:hAnsi="SimSun" w:cs="SimSun"/>
          <w:b/>
          <w:sz w:val="24"/>
          <w:szCs w:val="24"/>
        </w:rPr>
      </w:pPr>
      <w:r>
        <w:rPr>
          <w:rFonts w:ascii="SimSun" w:hAnsi="SimSun" w:cs="SimSun" w:hint="eastAsia"/>
          <w:b/>
          <w:sz w:val="24"/>
          <w:szCs w:val="24"/>
        </w:rPr>
        <w:t>做法</w:t>
      </w:r>
    </w:p>
    <w:p w14:paraId="090504FC" w14:textId="1BD0FA57"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渔业方面，秘书处发现在监测社会和生态条件和做法以及协调统一的政策方面有充分的指导。但是，在包容性和参与性决策、纳入多种形式的知识和承认权利、公平分配成本和利益、根据当地社会和生态环境制定政策以及健全的机构等方面的指导还存在差距。</w:t>
      </w:r>
    </w:p>
    <w:p w14:paraId="69F2C6B4" w14:textId="77777777" w:rsidR="00ED535E"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sidRPr="00ED535E">
        <w:rPr>
          <w:rFonts w:ascii="SimSun" w:hAnsi="SimSun" w:cs="SimSun"/>
          <w:sz w:val="24"/>
          <w:szCs w:val="24"/>
        </w:rPr>
        <w:t>关于非采掘做法，秘书处发现，在监测社会和生态条件及做法方面有充分的指导，但在所有其余六个关键要素方面存在差距。</w:t>
      </w:r>
    </w:p>
    <w:p w14:paraId="3826B6F2" w14:textId="7BE70D36" w:rsidR="00833FEF" w:rsidRPr="00ED535E"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sidRPr="00ED535E">
        <w:rPr>
          <w:rFonts w:ascii="SimSun" w:hAnsi="SimSun" w:cs="SimSun"/>
          <w:sz w:val="24"/>
          <w:szCs w:val="24"/>
        </w:rPr>
        <w:t>在采集、伐木和陆生动物采伐方面，秘书处发现所有七个关键要素的指导都存在差距。</w:t>
      </w:r>
    </w:p>
    <w:p w14:paraId="3A2C3722" w14:textId="40BA7025"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在涵盖多种做法的指导方面，秘书处发现在以下方面的指导存在差距：包容性和参与性决策、纳入多种形式的知识、承认权利、公平分配成本和</w:t>
      </w:r>
      <w:r w:rsidR="00262E38">
        <w:rPr>
          <w:rFonts w:ascii="SimSun" w:hAnsi="SimSun" w:cs="SimSun" w:hint="eastAsia"/>
          <w:sz w:val="24"/>
          <w:szCs w:val="24"/>
        </w:rPr>
        <w:t>惠益</w:t>
      </w:r>
      <w:r>
        <w:rPr>
          <w:rFonts w:ascii="SimSun" w:hAnsi="SimSun" w:cs="SimSun"/>
          <w:sz w:val="24"/>
          <w:szCs w:val="24"/>
        </w:rPr>
        <w:t>以及根据当地社会和生态环境制定政策。</w:t>
      </w:r>
    </w:p>
    <w:p w14:paraId="72701E25" w14:textId="77777777" w:rsidR="00833FEF" w:rsidRDefault="00986C10" w:rsidP="00ED535E">
      <w:pPr>
        <w:numPr>
          <w:ilvl w:val="0"/>
          <w:numId w:val="5"/>
        </w:numPr>
        <w:tabs>
          <w:tab w:val="clear" w:pos="567"/>
          <w:tab w:val="clear" w:pos="1134"/>
          <w:tab w:val="clear" w:pos="1701"/>
          <w:tab w:val="clear" w:pos="2268"/>
        </w:tabs>
        <w:spacing w:line="276" w:lineRule="auto"/>
        <w:ind w:left="0" w:firstLine="0"/>
        <w:jc w:val="left"/>
        <w:rPr>
          <w:rFonts w:ascii="SimSun" w:hAnsi="SimSun" w:cs="SimSun"/>
          <w:b/>
          <w:sz w:val="24"/>
          <w:szCs w:val="24"/>
        </w:rPr>
      </w:pPr>
      <w:r>
        <w:rPr>
          <w:rFonts w:ascii="SimSun" w:hAnsi="SimSun" w:cs="SimSun"/>
          <w:b/>
          <w:sz w:val="24"/>
          <w:szCs w:val="24"/>
        </w:rPr>
        <w:t>地域覆盖范围</w:t>
      </w:r>
    </w:p>
    <w:p w14:paraId="338F1A3E" w14:textId="1C414B37"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在全球覆盖面方面，秘书处发现在有关包容性和参与性决策、纳入多种形式的知识、承认权利以及公平分配成本和收益的指导方面存在差距。</w:t>
      </w:r>
    </w:p>
    <w:p w14:paraId="3FEF0348" w14:textId="0125C05E"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在除欧洲以外的所有地区，秘书处都发现在所有七个关键要素的指导覆盖面上存在差距。</w:t>
      </w:r>
    </w:p>
    <w:p w14:paraId="58630B40" w14:textId="3714388C"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在欧洲，秘书处发现在监测社会和生态条件及做法方面有充分的指导，在协调统一的政策和强有力的机构方面也有一些指导。然而，在包容性和参与性决策、纳入多种形式的知识和承认权利、公平分配成本和</w:t>
      </w:r>
      <w:r w:rsidR="00262E38">
        <w:rPr>
          <w:rFonts w:ascii="SimSun" w:hAnsi="SimSun" w:cs="SimSun" w:hint="eastAsia"/>
          <w:sz w:val="24"/>
          <w:szCs w:val="24"/>
        </w:rPr>
        <w:t>惠益</w:t>
      </w:r>
      <w:r>
        <w:rPr>
          <w:rFonts w:ascii="SimSun" w:hAnsi="SimSun" w:cs="SimSun"/>
          <w:sz w:val="24"/>
          <w:szCs w:val="24"/>
        </w:rPr>
        <w:t>以及根据当地社会和生态环境制定政策等方面的指导还存在差距。</w:t>
      </w:r>
    </w:p>
    <w:p w14:paraId="01391006" w14:textId="21BDCB6C" w:rsidR="00833FEF" w:rsidRPr="002C1608" w:rsidRDefault="00F6762E" w:rsidP="00F6762E">
      <w:pPr>
        <w:spacing w:line="276" w:lineRule="auto"/>
        <w:jc w:val="left"/>
        <w:rPr>
          <w:rFonts w:ascii="SimSun" w:hAnsi="SimSun" w:cs="SimSun"/>
          <w:b/>
          <w:sz w:val="28"/>
          <w:szCs w:val="28"/>
        </w:rPr>
      </w:pPr>
      <w:r w:rsidRPr="002C1608">
        <w:rPr>
          <w:rFonts w:ascii="SimSun" w:hAnsi="SimSun" w:cs="SimSun" w:hint="eastAsia"/>
          <w:b/>
          <w:sz w:val="28"/>
          <w:szCs w:val="28"/>
        </w:rPr>
        <w:t>三</w:t>
      </w:r>
      <w:r w:rsidRPr="002C1608">
        <w:rPr>
          <w:rFonts w:ascii="SimSun" w:hAnsi="SimSun" w:cs="SimSun"/>
          <w:b/>
          <w:sz w:val="28"/>
          <w:szCs w:val="28"/>
        </w:rPr>
        <w:t>.</w:t>
      </w:r>
      <w:r w:rsidRPr="002C1608">
        <w:rPr>
          <w:rFonts w:ascii="SimSun" w:hAnsi="SimSun" w:cs="SimSun"/>
          <w:b/>
          <w:sz w:val="28"/>
          <w:szCs w:val="28"/>
        </w:rPr>
        <w:tab/>
        <w:t>可能需要补充指导</w:t>
      </w:r>
      <w:r w:rsidR="00ED535E">
        <w:rPr>
          <w:rFonts w:ascii="SimSun" w:hAnsi="SimSun" w:cs="SimSun" w:hint="eastAsia"/>
          <w:b/>
          <w:sz w:val="28"/>
          <w:szCs w:val="28"/>
        </w:rPr>
        <w:t>意见</w:t>
      </w:r>
      <w:r w:rsidRPr="002C1608">
        <w:rPr>
          <w:rFonts w:ascii="SimSun" w:hAnsi="SimSun" w:cs="SimSun"/>
          <w:b/>
          <w:sz w:val="28"/>
          <w:szCs w:val="28"/>
        </w:rPr>
        <w:t>的领域</w:t>
      </w:r>
    </w:p>
    <w:p w14:paraId="78731A55" w14:textId="7AEC0A43" w:rsidR="00833FEF" w:rsidRPr="00F4718D"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F4718D">
        <w:rPr>
          <w:sz w:val="24"/>
          <w:szCs w:val="24"/>
        </w:rPr>
        <w:t>CBD/SBSTTA/25/11</w:t>
      </w:r>
      <w:r w:rsidRPr="00F4718D">
        <w:rPr>
          <w:sz w:val="24"/>
          <w:szCs w:val="24"/>
        </w:rPr>
        <w:t>号文件第</w:t>
      </w:r>
      <w:r w:rsidRPr="00F4718D">
        <w:rPr>
          <w:sz w:val="24"/>
          <w:szCs w:val="24"/>
        </w:rPr>
        <w:t>45</w:t>
      </w:r>
      <w:r w:rsidRPr="00F4718D">
        <w:rPr>
          <w:sz w:val="24"/>
          <w:szCs w:val="24"/>
        </w:rPr>
        <w:t>段提出的可能需要补充指导的领域清单是基于《野生物种可持续利用专题评估报告》的结论，其中确定野生物种的利用不可持续或面临新的威胁。本文件中提到的分析包括对相关多边环境协定和主管政府间组织制定的现有指导的审查，以提供更广泛的参考基础，在确定可能需要补充指导的领域时加以考虑。</w:t>
      </w:r>
    </w:p>
    <w:p w14:paraId="72C63268" w14:textId="57B3D312" w:rsidR="00833FEF"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合作伙伴关系和秘书处在各自的分析中发现，大多数现有指导都针对多个物种、做法和地理区域。如果存在针对物种组的指导，则主要侧重于监测社会和生态条件及做法，以及协调和统一政策。在可持续利用实践方面也发现了类似的模式。</w:t>
      </w:r>
    </w:p>
    <w:p w14:paraId="6B810411" w14:textId="77777777" w:rsidR="00F4718D"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除了合作伙伴关系确定的知识差距外，秘书处还确定了各种做法、物种和地理区域在指导方面的许多差距，特别是在包容性和参与性决策、纳入多种形式的知识和承认权利、公平分配成本和</w:t>
      </w:r>
      <w:r w:rsidR="00F6762E">
        <w:rPr>
          <w:rFonts w:ascii="SimSun" w:hAnsi="SimSun" w:cs="SimSun" w:hint="eastAsia"/>
          <w:sz w:val="24"/>
          <w:szCs w:val="24"/>
        </w:rPr>
        <w:t>惠益</w:t>
      </w:r>
      <w:r>
        <w:rPr>
          <w:rFonts w:ascii="SimSun" w:hAnsi="SimSun" w:cs="SimSun"/>
          <w:sz w:val="24"/>
          <w:szCs w:val="24"/>
        </w:rPr>
        <w:t>以及根据当地社会和生态环境制定政策方面。</w:t>
      </w:r>
    </w:p>
    <w:p w14:paraId="518AC8FA" w14:textId="77777777" w:rsidR="00F4718D"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sidRPr="00F4718D">
        <w:rPr>
          <w:rFonts w:ascii="SimSun" w:hAnsi="SimSun" w:cs="SimSun"/>
          <w:sz w:val="24"/>
          <w:szCs w:val="24"/>
        </w:rPr>
        <w:lastRenderedPageBreak/>
        <w:t>在《公约》下开展的进程不可能填补所有已查明的空白，而且鉴于七个关键要素的重点主要是当地的社会和生态环境</w:t>
      </w:r>
      <w:r w:rsidRPr="00ED535E">
        <w:rPr>
          <w:sz w:val="24"/>
          <w:szCs w:val="24"/>
          <w:vertAlign w:val="superscript"/>
        </w:rPr>
        <w:footnoteReference w:id="7"/>
      </w:r>
      <w:r w:rsidRPr="00F4718D">
        <w:rPr>
          <w:rFonts w:ascii="SimSun" w:hAnsi="SimSun" w:cs="SimSun"/>
          <w:sz w:val="24"/>
          <w:szCs w:val="24"/>
        </w:rPr>
        <w:t>，如果在区域和次区域一级编制指导，可能会更有用。在这方面，缔约方大会可考虑邀请区域和次区域组织编制野生动植物可持续管理指南。</w:t>
      </w:r>
    </w:p>
    <w:p w14:paraId="294A7F51" w14:textId="77777777" w:rsidR="00986C10" w:rsidRPr="00986C10" w:rsidRDefault="00986C10" w:rsidP="00F4718D">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sidRPr="00F4718D">
        <w:rPr>
          <w:rFonts w:ascii="SimSun" w:hAnsi="SimSun" w:cs="SimSun"/>
          <w:sz w:val="24"/>
          <w:szCs w:val="24"/>
        </w:rPr>
        <w:t>因此，缔约方大会不妨根据《公约》的任务以及《框架》的目标和具体目标，将重点放在侧重于多物种和多种做法的全球一级指导上。如下表所示，多物种和多种做法的全球一级指导中最关键的差距涉及包容性和参与性决策、纳入多种形式的知识和对权利的承认，以及成本和</w:t>
      </w:r>
      <w:r w:rsidR="00262E38" w:rsidRPr="00F4718D">
        <w:rPr>
          <w:rFonts w:ascii="SimSun" w:hAnsi="SimSun" w:cs="SimSun" w:hint="eastAsia"/>
          <w:sz w:val="24"/>
          <w:szCs w:val="24"/>
        </w:rPr>
        <w:t>惠益</w:t>
      </w:r>
      <w:r w:rsidRPr="00F4718D">
        <w:rPr>
          <w:rFonts w:ascii="SimSun" w:hAnsi="SimSun" w:cs="SimSun"/>
          <w:sz w:val="24"/>
          <w:szCs w:val="24"/>
        </w:rPr>
        <w:t>的公平分配。</w:t>
      </w:r>
    </w:p>
    <w:p w14:paraId="640BD767" w14:textId="2A0302BF" w:rsidR="00833FEF" w:rsidRPr="00F4718D" w:rsidRDefault="00986C10" w:rsidP="00986C10">
      <w:pPr>
        <w:pStyle w:val="ListParagraph"/>
        <w:numPr>
          <w:ilvl w:val="0"/>
          <w:numId w:val="0"/>
        </w:numPr>
        <w:tabs>
          <w:tab w:val="clear" w:pos="567"/>
          <w:tab w:val="clear" w:pos="1134"/>
          <w:tab w:val="clear" w:pos="1701"/>
          <w:tab w:val="clear" w:pos="2268"/>
        </w:tabs>
        <w:spacing w:before="120" w:after="120" w:line="240" w:lineRule="atLeast"/>
        <w:ind w:left="490"/>
        <w:contextualSpacing w:val="0"/>
        <w:jc w:val="left"/>
        <w:rPr>
          <w:rFonts w:ascii="SimSun" w:hAnsi="SimSun" w:cs="SimSun"/>
          <w:sz w:val="24"/>
          <w:szCs w:val="24"/>
        </w:rPr>
      </w:pPr>
      <w:r w:rsidRPr="00F4718D">
        <w:rPr>
          <w:rFonts w:ascii="SimSun" w:hAnsi="SimSun" w:cs="SimSun"/>
          <w:b/>
          <w:sz w:val="24"/>
          <w:szCs w:val="24"/>
        </w:rPr>
        <w:t>涵盖全球层面以及多种</w:t>
      </w:r>
      <w:r w:rsidR="00262E38" w:rsidRPr="00F4718D">
        <w:rPr>
          <w:rFonts w:ascii="SimSun" w:hAnsi="SimSun" w:cs="SimSun" w:hint="eastAsia"/>
          <w:b/>
          <w:sz w:val="24"/>
          <w:szCs w:val="24"/>
        </w:rPr>
        <w:t>做法</w:t>
      </w:r>
      <w:r w:rsidRPr="00F4718D">
        <w:rPr>
          <w:rFonts w:ascii="SimSun" w:hAnsi="SimSun" w:cs="SimSun"/>
          <w:b/>
          <w:sz w:val="24"/>
          <w:szCs w:val="24"/>
        </w:rPr>
        <w:t>和物种的</w:t>
      </w:r>
      <w:r w:rsidR="00262E38" w:rsidRPr="00F4718D">
        <w:rPr>
          <w:rFonts w:ascii="SimSun" w:hAnsi="SimSun" w:cs="SimSun" w:hint="eastAsia"/>
          <w:b/>
          <w:sz w:val="24"/>
          <w:szCs w:val="24"/>
        </w:rPr>
        <w:t>指导意见</w:t>
      </w:r>
    </w:p>
    <w:tbl>
      <w:tblPr>
        <w:tblStyle w:val="a0"/>
        <w:tblW w:w="8931" w:type="dxa"/>
        <w:tblInd w:w="562" w:type="dxa"/>
        <w:tblLayout w:type="fixed"/>
        <w:tblLook w:val="0400" w:firstRow="0" w:lastRow="0" w:firstColumn="0" w:lastColumn="0" w:noHBand="0" w:noVBand="1"/>
      </w:tblPr>
      <w:tblGrid>
        <w:gridCol w:w="5807"/>
        <w:gridCol w:w="1039"/>
        <w:gridCol w:w="1040"/>
        <w:gridCol w:w="1045"/>
      </w:tblGrid>
      <w:tr w:rsidR="00833FEF" w14:paraId="5C6F52ED" w14:textId="77777777">
        <w:trPr>
          <w:trHeight w:val="580"/>
        </w:trPr>
        <w:tc>
          <w:tcPr>
            <w:tcW w:w="580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5387D9" w14:textId="77777777" w:rsidR="00833FEF" w:rsidRPr="002C1608" w:rsidRDefault="00986C10">
            <w:pPr>
              <w:tabs>
                <w:tab w:val="left" w:pos="2835"/>
                <w:tab w:val="left" w:pos="3402"/>
              </w:tabs>
              <w:spacing w:before="40" w:after="80"/>
              <w:jc w:val="left"/>
              <w:rPr>
                <w:rFonts w:ascii="SimSun" w:eastAsia="KaiTi" w:hAnsi="SimSun" w:cs="SimSun"/>
                <w:iCs/>
                <w:sz w:val="20"/>
                <w:szCs w:val="20"/>
              </w:rPr>
            </w:pPr>
            <w:r w:rsidRPr="002C1608">
              <w:rPr>
                <w:rFonts w:ascii="SimSun" w:eastAsia="KaiTi" w:hAnsi="SimSun" w:cs="SimSun"/>
                <w:iCs/>
                <w:sz w:val="20"/>
                <w:szCs w:val="20"/>
              </w:rPr>
              <w:t>关键要素</w:t>
            </w:r>
          </w:p>
        </w:tc>
        <w:tc>
          <w:tcPr>
            <w:tcW w:w="1039" w:type="dxa"/>
            <w:tcBorders>
              <w:top w:val="single" w:sz="4" w:space="0" w:color="000000"/>
              <w:left w:val="nil"/>
              <w:bottom w:val="single" w:sz="4" w:space="0" w:color="000000"/>
              <w:right w:val="single" w:sz="4" w:space="0" w:color="000000"/>
            </w:tcBorders>
            <w:shd w:val="clear" w:color="auto" w:fill="auto"/>
            <w:vAlign w:val="bottom"/>
          </w:tcPr>
          <w:p w14:paraId="608F6C38" w14:textId="16A5F48B" w:rsidR="00833FEF" w:rsidRPr="002C1608" w:rsidRDefault="00986C10">
            <w:pPr>
              <w:tabs>
                <w:tab w:val="left" w:pos="2835"/>
                <w:tab w:val="left" w:pos="3402"/>
              </w:tabs>
              <w:spacing w:before="40" w:after="80"/>
              <w:jc w:val="left"/>
              <w:rPr>
                <w:rFonts w:ascii="SimSun" w:eastAsia="KaiTi" w:hAnsi="SimSun" w:cs="SimSun"/>
                <w:iCs/>
                <w:sz w:val="20"/>
                <w:szCs w:val="20"/>
              </w:rPr>
            </w:pPr>
            <w:r w:rsidRPr="002C1608">
              <w:rPr>
                <w:rFonts w:ascii="SimSun" w:eastAsia="KaiTi" w:hAnsi="SimSun" w:cs="SimSun"/>
                <w:iCs/>
                <w:sz w:val="20"/>
                <w:szCs w:val="20"/>
              </w:rPr>
              <w:t>多种</w:t>
            </w:r>
            <w:r w:rsidR="00E3030B">
              <w:rPr>
                <w:rFonts w:ascii="SimSun" w:eastAsia="KaiTi" w:hAnsi="SimSun" w:cs="SimSun" w:hint="eastAsia"/>
                <w:iCs/>
                <w:sz w:val="20"/>
                <w:szCs w:val="20"/>
              </w:rPr>
              <w:t>做法</w:t>
            </w:r>
          </w:p>
        </w:tc>
        <w:tc>
          <w:tcPr>
            <w:tcW w:w="1040" w:type="dxa"/>
            <w:tcBorders>
              <w:top w:val="single" w:sz="4" w:space="0" w:color="000000"/>
              <w:left w:val="nil"/>
              <w:bottom w:val="single" w:sz="4" w:space="0" w:color="000000"/>
              <w:right w:val="single" w:sz="4" w:space="0" w:color="000000"/>
            </w:tcBorders>
            <w:shd w:val="clear" w:color="auto" w:fill="auto"/>
            <w:vAlign w:val="bottom"/>
          </w:tcPr>
          <w:p w14:paraId="793778C2" w14:textId="77777777" w:rsidR="00833FEF" w:rsidRPr="002C1608" w:rsidRDefault="00986C10">
            <w:pPr>
              <w:tabs>
                <w:tab w:val="left" w:pos="2835"/>
                <w:tab w:val="left" w:pos="3402"/>
              </w:tabs>
              <w:spacing w:before="40" w:after="80"/>
              <w:jc w:val="left"/>
              <w:rPr>
                <w:rFonts w:ascii="SimSun" w:eastAsia="KaiTi" w:hAnsi="SimSun" w:cs="SimSun"/>
                <w:iCs/>
                <w:sz w:val="20"/>
                <w:szCs w:val="20"/>
              </w:rPr>
            </w:pPr>
            <w:r w:rsidRPr="002C1608">
              <w:rPr>
                <w:rFonts w:ascii="SimSun" w:eastAsia="KaiTi" w:hAnsi="SimSun" w:cs="SimSun"/>
                <w:iCs/>
                <w:sz w:val="20"/>
                <w:szCs w:val="20"/>
              </w:rPr>
              <w:t>全球</w:t>
            </w:r>
          </w:p>
        </w:tc>
        <w:tc>
          <w:tcPr>
            <w:tcW w:w="1045" w:type="dxa"/>
            <w:tcBorders>
              <w:top w:val="single" w:sz="4" w:space="0" w:color="000000"/>
              <w:left w:val="nil"/>
              <w:bottom w:val="single" w:sz="4" w:space="0" w:color="000000"/>
              <w:right w:val="single" w:sz="4" w:space="0" w:color="000000"/>
            </w:tcBorders>
            <w:shd w:val="clear" w:color="auto" w:fill="auto"/>
            <w:vAlign w:val="bottom"/>
          </w:tcPr>
          <w:p w14:paraId="60209134" w14:textId="77777777" w:rsidR="00833FEF" w:rsidRPr="002C1608" w:rsidRDefault="00986C10">
            <w:pPr>
              <w:tabs>
                <w:tab w:val="left" w:pos="2835"/>
                <w:tab w:val="left" w:pos="3402"/>
              </w:tabs>
              <w:spacing w:before="40" w:after="80"/>
              <w:jc w:val="left"/>
              <w:rPr>
                <w:rFonts w:ascii="SimSun" w:eastAsia="KaiTi" w:hAnsi="SimSun" w:cs="SimSun"/>
                <w:iCs/>
                <w:sz w:val="20"/>
                <w:szCs w:val="20"/>
              </w:rPr>
            </w:pPr>
            <w:r w:rsidRPr="002C1608">
              <w:rPr>
                <w:rFonts w:ascii="SimSun" w:eastAsia="KaiTi" w:hAnsi="SimSun" w:cs="SimSun"/>
                <w:iCs/>
                <w:sz w:val="20"/>
                <w:szCs w:val="20"/>
              </w:rPr>
              <w:t>多种物种</w:t>
            </w:r>
          </w:p>
        </w:tc>
      </w:tr>
      <w:tr w:rsidR="00833FEF" w14:paraId="3EEE21B4" w14:textId="77777777">
        <w:trPr>
          <w:trHeight w:val="270"/>
        </w:trPr>
        <w:tc>
          <w:tcPr>
            <w:tcW w:w="5807" w:type="dxa"/>
            <w:tcBorders>
              <w:top w:val="nil"/>
              <w:left w:val="single" w:sz="4" w:space="0" w:color="000000"/>
              <w:bottom w:val="single" w:sz="4" w:space="0" w:color="000000"/>
              <w:right w:val="single" w:sz="4" w:space="0" w:color="000000"/>
            </w:tcBorders>
            <w:shd w:val="clear" w:color="auto" w:fill="auto"/>
            <w:vAlign w:val="bottom"/>
          </w:tcPr>
          <w:p w14:paraId="35CD428A" w14:textId="24816219"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1. </w:t>
            </w:r>
            <w:r>
              <w:rPr>
                <w:rFonts w:ascii="SimSun" w:hAnsi="SimSun" w:cs="SimSun"/>
                <w:sz w:val="20"/>
                <w:szCs w:val="20"/>
              </w:rPr>
              <w:t>包容性和参与性决策</w:t>
            </w:r>
          </w:p>
        </w:tc>
        <w:tc>
          <w:tcPr>
            <w:tcW w:w="1039" w:type="dxa"/>
            <w:tcBorders>
              <w:top w:val="nil"/>
              <w:left w:val="nil"/>
              <w:bottom w:val="single" w:sz="4" w:space="0" w:color="000000"/>
              <w:right w:val="single" w:sz="4" w:space="0" w:color="000000"/>
            </w:tcBorders>
            <w:shd w:val="clear" w:color="auto" w:fill="FF5353"/>
            <w:vAlign w:val="bottom"/>
          </w:tcPr>
          <w:p w14:paraId="1E7E65F3"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4</w:t>
            </w:r>
          </w:p>
        </w:tc>
        <w:tc>
          <w:tcPr>
            <w:tcW w:w="1040" w:type="dxa"/>
            <w:tcBorders>
              <w:top w:val="nil"/>
              <w:left w:val="nil"/>
              <w:bottom w:val="single" w:sz="4" w:space="0" w:color="000000"/>
              <w:right w:val="single" w:sz="4" w:space="0" w:color="000000"/>
            </w:tcBorders>
            <w:shd w:val="clear" w:color="auto" w:fill="FF5353"/>
            <w:vAlign w:val="bottom"/>
          </w:tcPr>
          <w:p w14:paraId="7219EF7E"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4</w:t>
            </w:r>
          </w:p>
        </w:tc>
        <w:tc>
          <w:tcPr>
            <w:tcW w:w="1045" w:type="dxa"/>
            <w:tcBorders>
              <w:top w:val="nil"/>
              <w:left w:val="nil"/>
              <w:bottom w:val="single" w:sz="4" w:space="0" w:color="000000"/>
              <w:right w:val="single" w:sz="4" w:space="0" w:color="000000"/>
            </w:tcBorders>
            <w:shd w:val="clear" w:color="auto" w:fill="FF5353"/>
            <w:vAlign w:val="bottom"/>
          </w:tcPr>
          <w:p w14:paraId="6805BB45"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3</w:t>
            </w:r>
          </w:p>
        </w:tc>
      </w:tr>
      <w:tr w:rsidR="00833FEF" w14:paraId="6084248A" w14:textId="77777777">
        <w:tc>
          <w:tcPr>
            <w:tcW w:w="5807" w:type="dxa"/>
            <w:tcBorders>
              <w:top w:val="nil"/>
              <w:left w:val="single" w:sz="4" w:space="0" w:color="000000"/>
              <w:bottom w:val="single" w:sz="4" w:space="0" w:color="000000"/>
              <w:right w:val="single" w:sz="4" w:space="0" w:color="000000"/>
            </w:tcBorders>
            <w:shd w:val="clear" w:color="auto" w:fill="auto"/>
            <w:vAlign w:val="bottom"/>
          </w:tcPr>
          <w:p w14:paraId="508FD5D9"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2. </w:t>
            </w:r>
            <w:r>
              <w:rPr>
                <w:rFonts w:ascii="SimSun" w:hAnsi="SimSun" w:cs="SimSun"/>
                <w:sz w:val="20"/>
                <w:szCs w:val="20"/>
              </w:rPr>
              <w:t>纳入多种形式的知识并承认权利</w:t>
            </w:r>
          </w:p>
        </w:tc>
        <w:tc>
          <w:tcPr>
            <w:tcW w:w="1039" w:type="dxa"/>
            <w:tcBorders>
              <w:top w:val="nil"/>
              <w:left w:val="nil"/>
              <w:bottom w:val="single" w:sz="4" w:space="0" w:color="000000"/>
              <w:right w:val="single" w:sz="4" w:space="0" w:color="000000"/>
            </w:tcBorders>
            <w:shd w:val="clear" w:color="auto" w:fill="FF5353"/>
            <w:vAlign w:val="bottom"/>
          </w:tcPr>
          <w:p w14:paraId="390BCF68"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4</w:t>
            </w:r>
          </w:p>
        </w:tc>
        <w:tc>
          <w:tcPr>
            <w:tcW w:w="1040" w:type="dxa"/>
            <w:tcBorders>
              <w:top w:val="nil"/>
              <w:left w:val="nil"/>
              <w:bottom w:val="single" w:sz="4" w:space="0" w:color="000000"/>
              <w:right w:val="single" w:sz="4" w:space="0" w:color="000000"/>
            </w:tcBorders>
            <w:shd w:val="clear" w:color="auto" w:fill="FFC000"/>
            <w:vAlign w:val="bottom"/>
          </w:tcPr>
          <w:p w14:paraId="1520A000"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7</w:t>
            </w:r>
          </w:p>
        </w:tc>
        <w:tc>
          <w:tcPr>
            <w:tcW w:w="1045" w:type="dxa"/>
            <w:tcBorders>
              <w:top w:val="nil"/>
              <w:left w:val="nil"/>
              <w:bottom w:val="single" w:sz="4" w:space="0" w:color="000000"/>
              <w:right w:val="single" w:sz="4" w:space="0" w:color="000000"/>
            </w:tcBorders>
            <w:shd w:val="clear" w:color="auto" w:fill="FFC000"/>
            <w:vAlign w:val="bottom"/>
          </w:tcPr>
          <w:p w14:paraId="1FA6E3F6"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5</w:t>
            </w:r>
          </w:p>
        </w:tc>
      </w:tr>
      <w:tr w:rsidR="00833FEF" w14:paraId="2B27F124" w14:textId="77777777">
        <w:trPr>
          <w:trHeight w:val="371"/>
        </w:trPr>
        <w:tc>
          <w:tcPr>
            <w:tcW w:w="5807" w:type="dxa"/>
            <w:tcBorders>
              <w:top w:val="nil"/>
              <w:left w:val="single" w:sz="4" w:space="0" w:color="000000"/>
              <w:bottom w:val="single" w:sz="4" w:space="0" w:color="000000"/>
              <w:right w:val="single" w:sz="4" w:space="0" w:color="000000"/>
            </w:tcBorders>
            <w:shd w:val="clear" w:color="auto" w:fill="auto"/>
            <w:vAlign w:val="bottom"/>
          </w:tcPr>
          <w:p w14:paraId="487AA99C" w14:textId="129D1E18"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3. </w:t>
            </w:r>
            <w:r>
              <w:rPr>
                <w:rFonts w:ascii="SimSun" w:hAnsi="SimSun" w:cs="SimSun"/>
                <w:sz w:val="20"/>
                <w:szCs w:val="20"/>
              </w:rPr>
              <w:t>公平分配成本和</w:t>
            </w:r>
            <w:r w:rsidR="00262E38">
              <w:rPr>
                <w:rFonts w:ascii="SimSun" w:hAnsi="SimSun" w:cs="SimSun" w:hint="eastAsia"/>
                <w:sz w:val="20"/>
                <w:szCs w:val="20"/>
              </w:rPr>
              <w:t>惠益</w:t>
            </w:r>
          </w:p>
        </w:tc>
        <w:tc>
          <w:tcPr>
            <w:tcW w:w="1039" w:type="dxa"/>
            <w:tcBorders>
              <w:top w:val="nil"/>
              <w:left w:val="nil"/>
              <w:bottom w:val="single" w:sz="4" w:space="0" w:color="000000"/>
              <w:right w:val="single" w:sz="4" w:space="0" w:color="000000"/>
            </w:tcBorders>
            <w:shd w:val="clear" w:color="auto" w:fill="FF5353"/>
            <w:vAlign w:val="bottom"/>
          </w:tcPr>
          <w:p w14:paraId="24C99998"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w:t>
            </w:r>
          </w:p>
        </w:tc>
        <w:tc>
          <w:tcPr>
            <w:tcW w:w="1040" w:type="dxa"/>
            <w:tcBorders>
              <w:top w:val="nil"/>
              <w:left w:val="nil"/>
              <w:bottom w:val="single" w:sz="4" w:space="0" w:color="000000"/>
              <w:right w:val="single" w:sz="4" w:space="0" w:color="000000"/>
            </w:tcBorders>
            <w:shd w:val="clear" w:color="auto" w:fill="FF5353"/>
            <w:vAlign w:val="bottom"/>
          </w:tcPr>
          <w:p w14:paraId="6516207A"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w:t>
            </w:r>
          </w:p>
        </w:tc>
        <w:tc>
          <w:tcPr>
            <w:tcW w:w="1045" w:type="dxa"/>
            <w:tcBorders>
              <w:top w:val="nil"/>
              <w:left w:val="nil"/>
              <w:bottom w:val="single" w:sz="4" w:space="0" w:color="000000"/>
              <w:right w:val="single" w:sz="4" w:space="0" w:color="000000"/>
            </w:tcBorders>
            <w:shd w:val="clear" w:color="auto" w:fill="FF5353"/>
            <w:vAlign w:val="bottom"/>
          </w:tcPr>
          <w:p w14:paraId="1CE8D45F"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w:t>
            </w:r>
          </w:p>
        </w:tc>
      </w:tr>
      <w:tr w:rsidR="00833FEF" w14:paraId="7C4EB3C7" w14:textId="77777777">
        <w:trPr>
          <w:trHeight w:val="359"/>
        </w:trPr>
        <w:tc>
          <w:tcPr>
            <w:tcW w:w="5807" w:type="dxa"/>
            <w:tcBorders>
              <w:top w:val="nil"/>
              <w:left w:val="single" w:sz="4" w:space="0" w:color="000000"/>
              <w:bottom w:val="single" w:sz="4" w:space="0" w:color="000000"/>
              <w:right w:val="single" w:sz="4" w:space="0" w:color="000000"/>
            </w:tcBorders>
            <w:shd w:val="clear" w:color="auto" w:fill="auto"/>
            <w:vAlign w:val="bottom"/>
          </w:tcPr>
          <w:p w14:paraId="365AC77F"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4. </w:t>
            </w:r>
            <w:r>
              <w:rPr>
                <w:rFonts w:ascii="SimSun" w:hAnsi="SimSun" w:cs="SimSun"/>
                <w:sz w:val="20"/>
                <w:szCs w:val="20"/>
              </w:rPr>
              <w:t>适合当地社会和生态环境的政策</w:t>
            </w:r>
          </w:p>
        </w:tc>
        <w:tc>
          <w:tcPr>
            <w:tcW w:w="1039" w:type="dxa"/>
            <w:tcBorders>
              <w:top w:val="nil"/>
              <w:left w:val="nil"/>
              <w:bottom w:val="single" w:sz="4" w:space="0" w:color="000000"/>
              <w:right w:val="single" w:sz="4" w:space="0" w:color="000000"/>
            </w:tcBorders>
            <w:shd w:val="clear" w:color="auto" w:fill="FFC000"/>
            <w:vAlign w:val="bottom"/>
          </w:tcPr>
          <w:p w14:paraId="53A42FAC"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7</w:t>
            </w:r>
          </w:p>
        </w:tc>
        <w:tc>
          <w:tcPr>
            <w:tcW w:w="1040" w:type="dxa"/>
            <w:tcBorders>
              <w:top w:val="nil"/>
              <w:left w:val="nil"/>
              <w:bottom w:val="single" w:sz="4" w:space="0" w:color="000000"/>
              <w:right w:val="single" w:sz="4" w:space="0" w:color="000000"/>
            </w:tcBorders>
            <w:shd w:val="clear" w:color="auto" w:fill="00B050"/>
            <w:vAlign w:val="bottom"/>
          </w:tcPr>
          <w:p w14:paraId="5CC5BFD6"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15</w:t>
            </w:r>
          </w:p>
        </w:tc>
        <w:tc>
          <w:tcPr>
            <w:tcW w:w="1045" w:type="dxa"/>
            <w:tcBorders>
              <w:top w:val="nil"/>
              <w:left w:val="nil"/>
              <w:bottom w:val="single" w:sz="4" w:space="0" w:color="000000"/>
              <w:right w:val="single" w:sz="4" w:space="0" w:color="000000"/>
            </w:tcBorders>
            <w:shd w:val="clear" w:color="auto" w:fill="FFC000"/>
            <w:vAlign w:val="bottom"/>
          </w:tcPr>
          <w:p w14:paraId="295D533A"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9</w:t>
            </w:r>
          </w:p>
        </w:tc>
      </w:tr>
      <w:tr w:rsidR="00833FEF" w14:paraId="55CB0877" w14:textId="77777777">
        <w:trPr>
          <w:trHeight w:val="266"/>
        </w:trPr>
        <w:tc>
          <w:tcPr>
            <w:tcW w:w="5807" w:type="dxa"/>
            <w:tcBorders>
              <w:top w:val="nil"/>
              <w:left w:val="single" w:sz="4" w:space="0" w:color="000000"/>
              <w:bottom w:val="single" w:sz="4" w:space="0" w:color="000000"/>
              <w:right w:val="single" w:sz="4" w:space="0" w:color="000000"/>
            </w:tcBorders>
            <w:shd w:val="clear" w:color="auto" w:fill="auto"/>
            <w:vAlign w:val="bottom"/>
          </w:tcPr>
          <w:p w14:paraId="7253E615"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5. </w:t>
            </w:r>
            <w:r>
              <w:rPr>
                <w:rFonts w:ascii="SimSun" w:hAnsi="SimSun" w:cs="SimSun"/>
                <w:sz w:val="20"/>
                <w:szCs w:val="20"/>
              </w:rPr>
              <w:t>监测社会和生态条件及做法</w:t>
            </w:r>
          </w:p>
        </w:tc>
        <w:tc>
          <w:tcPr>
            <w:tcW w:w="1039" w:type="dxa"/>
            <w:tcBorders>
              <w:top w:val="nil"/>
              <w:left w:val="nil"/>
              <w:bottom w:val="single" w:sz="4" w:space="0" w:color="000000"/>
              <w:right w:val="single" w:sz="4" w:space="0" w:color="000000"/>
            </w:tcBorders>
            <w:shd w:val="clear" w:color="auto" w:fill="00B050"/>
            <w:vAlign w:val="bottom"/>
          </w:tcPr>
          <w:p w14:paraId="17AE9929"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30</w:t>
            </w:r>
          </w:p>
        </w:tc>
        <w:tc>
          <w:tcPr>
            <w:tcW w:w="1040" w:type="dxa"/>
            <w:tcBorders>
              <w:top w:val="nil"/>
              <w:left w:val="nil"/>
              <w:bottom w:val="single" w:sz="4" w:space="0" w:color="000000"/>
              <w:right w:val="single" w:sz="4" w:space="0" w:color="000000"/>
            </w:tcBorders>
            <w:shd w:val="clear" w:color="auto" w:fill="00B050"/>
            <w:vAlign w:val="bottom"/>
          </w:tcPr>
          <w:p w14:paraId="2036722B"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53</w:t>
            </w:r>
          </w:p>
        </w:tc>
        <w:tc>
          <w:tcPr>
            <w:tcW w:w="1045" w:type="dxa"/>
            <w:tcBorders>
              <w:top w:val="nil"/>
              <w:left w:val="nil"/>
              <w:bottom w:val="single" w:sz="4" w:space="0" w:color="000000"/>
              <w:right w:val="single" w:sz="4" w:space="0" w:color="000000"/>
            </w:tcBorders>
            <w:shd w:val="clear" w:color="auto" w:fill="00B050"/>
            <w:vAlign w:val="bottom"/>
          </w:tcPr>
          <w:p w14:paraId="63C69EE8"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32</w:t>
            </w:r>
          </w:p>
        </w:tc>
      </w:tr>
      <w:tr w:rsidR="00833FEF" w14:paraId="7492B246" w14:textId="77777777">
        <w:trPr>
          <w:trHeight w:val="290"/>
        </w:trPr>
        <w:tc>
          <w:tcPr>
            <w:tcW w:w="5807" w:type="dxa"/>
            <w:tcBorders>
              <w:top w:val="nil"/>
              <w:left w:val="single" w:sz="4" w:space="0" w:color="000000"/>
              <w:bottom w:val="single" w:sz="4" w:space="0" w:color="000000"/>
              <w:right w:val="single" w:sz="4" w:space="0" w:color="000000"/>
            </w:tcBorders>
            <w:shd w:val="clear" w:color="auto" w:fill="auto"/>
            <w:vAlign w:val="bottom"/>
          </w:tcPr>
          <w:p w14:paraId="6910A36E"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6. </w:t>
            </w:r>
            <w:r>
              <w:rPr>
                <w:rFonts w:ascii="SimSun" w:hAnsi="SimSun" w:cs="SimSun"/>
                <w:sz w:val="20"/>
                <w:szCs w:val="20"/>
              </w:rPr>
              <w:t>协调统一的政策</w:t>
            </w:r>
          </w:p>
        </w:tc>
        <w:tc>
          <w:tcPr>
            <w:tcW w:w="1039" w:type="dxa"/>
            <w:tcBorders>
              <w:top w:val="nil"/>
              <w:left w:val="nil"/>
              <w:bottom w:val="single" w:sz="4" w:space="0" w:color="000000"/>
              <w:right w:val="single" w:sz="4" w:space="0" w:color="000000"/>
            </w:tcBorders>
            <w:shd w:val="clear" w:color="auto" w:fill="00B050"/>
            <w:vAlign w:val="bottom"/>
          </w:tcPr>
          <w:p w14:paraId="3E5AA9DF"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27</w:t>
            </w:r>
          </w:p>
        </w:tc>
        <w:tc>
          <w:tcPr>
            <w:tcW w:w="1040" w:type="dxa"/>
            <w:tcBorders>
              <w:top w:val="nil"/>
              <w:left w:val="nil"/>
              <w:bottom w:val="single" w:sz="4" w:space="0" w:color="000000"/>
              <w:right w:val="single" w:sz="4" w:space="0" w:color="000000"/>
            </w:tcBorders>
            <w:shd w:val="clear" w:color="auto" w:fill="00B050"/>
            <w:vAlign w:val="bottom"/>
          </w:tcPr>
          <w:p w14:paraId="3733B3F8"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45</w:t>
            </w:r>
          </w:p>
        </w:tc>
        <w:tc>
          <w:tcPr>
            <w:tcW w:w="1045" w:type="dxa"/>
            <w:tcBorders>
              <w:top w:val="nil"/>
              <w:left w:val="nil"/>
              <w:bottom w:val="single" w:sz="4" w:space="0" w:color="000000"/>
              <w:right w:val="single" w:sz="4" w:space="0" w:color="000000"/>
            </w:tcBorders>
            <w:shd w:val="clear" w:color="auto" w:fill="00B050"/>
            <w:vAlign w:val="bottom"/>
          </w:tcPr>
          <w:p w14:paraId="558BF068"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22</w:t>
            </w:r>
          </w:p>
        </w:tc>
      </w:tr>
      <w:tr w:rsidR="00833FEF" w14:paraId="4227E31C" w14:textId="77777777">
        <w:trPr>
          <w:trHeight w:val="261"/>
        </w:trPr>
        <w:tc>
          <w:tcPr>
            <w:tcW w:w="5807" w:type="dxa"/>
            <w:tcBorders>
              <w:top w:val="nil"/>
              <w:left w:val="single" w:sz="4" w:space="0" w:color="000000"/>
              <w:bottom w:val="single" w:sz="4" w:space="0" w:color="000000"/>
              <w:right w:val="single" w:sz="4" w:space="0" w:color="000000"/>
            </w:tcBorders>
            <w:shd w:val="clear" w:color="auto" w:fill="auto"/>
            <w:vAlign w:val="bottom"/>
          </w:tcPr>
          <w:p w14:paraId="3ACE283B"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7. </w:t>
            </w:r>
            <w:r>
              <w:rPr>
                <w:rFonts w:ascii="SimSun" w:hAnsi="SimSun" w:cs="SimSun"/>
                <w:sz w:val="20"/>
                <w:szCs w:val="20"/>
              </w:rPr>
              <w:t>从习俗到法定的健全机构</w:t>
            </w:r>
          </w:p>
        </w:tc>
        <w:tc>
          <w:tcPr>
            <w:tcW w:w="1039" w:type="dxa"/>
            <w:tcBorders>
              <w:top w:val="nil"/>
              <w:left w:val="nil"/>
              <w:bottom w:val="single" w:sz="4" w:space="0" w:color="000000"/>
              <w:right w:val="single" w:sz="4" w:space="0" w:color="000000"/>
            </w:tcBorders>
            <w:shd w:val="clear" w:color="auto" w:fill="92D050"/>
            <w:vAlign w:val="bottom"/>
          </w:tcPr>
          <w:p w14:paraId="11EA4291"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10</w:t>
            </w:r>
          </w:p>
        </w:tc>
        <w:tc>
          <w:tcPr>
            <w:tcW w:w="1040" w:type="dxa"/>
            <w:tcBorders>
              <w:top w:val="nil"/>
              <w:left w:val="nil"/>
              <w:bottom w:val="single" w:sz="4" w:space="0" w:color="000000"/>
              <w:right w:val="single" w:sz="4" w:space="0" w:color="000000"/>
            </w:tcBorders>
            <w:shd w:val="clear" w:color="auto" w:fill="92D050"/>
            <w:vAlign w:val="bottom"/>
          </w:tcPr>
          <w:p w14:paraId="63087410"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14</w:t>
            </w:r>
          </w:p>
        </w:tc>
        <w:tc>
          <w:tcPr>
            <w:tcW w:w="1045" w:type="dxa"/>
            <w:tcBorders>
              <w:top w:val="nil"/>
              <w:left w:val="nil"/>
              <w:bottom w:val="single" w:sz="4" w:space="0" w:color="000000"/>
              <w:right w:val="single" w:sz="4" w:space="0" w:color="000000"/>
            </w:tcBorders>
            <w:shd w:val="clear" w:color="auto" w:fill="FFC000"/>
            <w:vAlign w:val="bottom"/>
          </w:tcPr>
          <w:p w14:paraId="56597D47"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9</w:t>
            </w:r>
          </w:p>
        </w:tc>
      </w:tr>
      <w:tr w:rsidR="00833FEF" w14:paraId="03012862" w14:textId="77777777">
        <w:trPr>
          <w:trHeight w:val="290"/>
        </w:trPr>
        <w:tc>
          <w:tcPr>
            <w:tcW w:w="5807" w:type="dxa"/>
            <w:tcBorders>
              <w:top w:val="nil"/>
              <w:left w:val="single" w:sz="4" w:space="0" w:color="000000"/>
              <w:bottom w:val="single" w:sz="4" w:space="0" w:color="000000"/>
              <w:right w:val="single" w:sz="4" w:space="0" w:color="000000"/>
            </w:tcBorders>
            <w:shd w:val="clear" w:color="auto" w:fill="auto"/>
            <w:vAlign w:val="bottom"/>
          </w:tcPr>
          <w:p w14:paraId="0F408C9B" w14:textId="77777777" w:rsidR="00833FEF" w:rsidRDefault="00986C10">
            <w:pPr>
              <w:tabs>
                <w:tab w:val="left" w:pos="2835"/>
                <w:tab w:val="left" w:pos="3402"/>
              </w:tabs>
              <w:spacing w:before="40" w:after="80"/>
              <w:jc w:val="left"/>
              <w:rPr>
                <w:rFonts w:ascii="SimSun" w:hAnsi="SimSun" w:cs="SimSun"/>
                <w:sz w:val="20"/>
                <w:szCs w:val="20"/>
              </w:rPr>
            </w:pPr>
            <w:r>
              <w:rPr>
                <w:rFonts w:ascii="SimSun" w:hAnsi="SimSun" w:cs="SimSun"/>
                <w:sz w:val="20"/>
                <w:szCs w:val="20"/>
              </w:rPr>
              <w:t xml:space="preserve">8. </w:t>
            </w:r>
            <w:r>
              <w:rPr>
                <w:rFonts w:ascii="SimSun" w:hAnsi="SimSun" w:cs="SimSun"/>
                <w:sz w:val="20"/>
                <w:szCs w:val="20"/>
              </w:rPr>
              <w:t>多种关键要素</w:t>
            </w:r>
          </w:p>
        </w:tc>
        <w:tc>
          <w:tcPr>
            <w:tcW w:w="1039" w:type="dxa"/>
            <w:tcBorders>
              <w:top w:val="nil"/>
              <w:left w:val="nil"/>
              <w:bottom w:val="single" w:sz="4" w:space="0" w:color="000000"/>
              <w:right w:val="single" w:sz="4" w:space="0" w:color="000000"/>
            </w:tcBorders>
            <w:shd w:val="clear" w:color="auto" w:fill="92D050"/>
            <w:vAlign w:val="bottom"/>
          </w:tcPr>
          <w:p w14:paraId="3A5ECB35"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18</w:t>
            </w:r>
          </w:p>
        </w:tc>
        <w:tc>
          <w:tcPr>
            <w:tcW w:w="1040" w:type="dxa"/>
            <w:tcBorders>
              <w:top w:val="nil"/>
              <w:left w:val="nil"/>
              <w:bottom w:val="single" w:sz="4" w:space="0" w:color="000000"/>
              <w:right w:val="single" w:sz="4" w:space="0" w:color="000000"/>
            </w:tcBorders>
            <w:shd w:val="clear" w:color="auto" w:fill="00B050"/>
            <w:vAlign w:val="bottom"/>
          </w:tcPr>
          <w:p w14:paraId="61A6933C"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32</w:t>
            </w:r>
          </w:p>
        </w:tc>
        <w:tc>
          <w:tcPr>
            <w:tcW w:w="1045" w:type="dxa"/>
            <w:tcBorders>
              <w:top w:val="nil"/>
              <w:left w:val="nil"/>
              <w:bottom w:val="single" w:sz="4" w:space="0" w:color="000000"/>
              <w:right w:val="single" w:sz="4" w:space="0" w:color="000000"/>
            </w:tcBorders>
            <w:shd w:val="clear" w:color="auto" w:fill="00B050"/>
            <w:vAlign w:val="bottom"/>
          </w:tcPr>
          <w:p w14:paraId="4E6B3C9D" w14:textId="77777777" w:rsidR="00833FEF" w:rsidRDefault="00986C10">
            <w:pPr>
              <w:tabs>
                <w:tab w:val="left" w:pos="2835"/>
                <w:tab w:val="left" w:pos="3402"/>
              </w:tabs>
              <w:spacing w:before="40" w:after="80"/>
              <w:jc w:val="right"/>
              <w:rPr>
                <w:rFonts w:ascii="SimSun" w:hAnsi="SimSun" w:cs="SimSun"/>
                <w:sz w:val="20"/>
                <w:szCs w:val="20"/>
              </w:rPr>
            </w:pPr>
            <w:r>
              <w:rPr>
                <w:rFonts w:ascii="SimSun" w:hAnsi="SimSun" w:cs="SimSun"/>
                <w:sz w:val="20"/>
                <w:szCs w:val="20"/>
              </w:rPr>
              <w:t>18</w:t>
            </w:r>
          </w:p>
        </w:tc>
      </w:tr>
    </w:tbl>
    <w:p w14:paraId="5E76E6CE" w14:textId="77777777" w:rsidR="00833FEF" w:rsidRDefault="00986C10">
      <w:pPr>
        <w:tabs>
          <w:tab w:val="left" w:pos="3969"/>
        </w:tabs>
        <w:spacing w:before="120" w:after="120"/>
        <w:ind w:left="567"/>
        <w:rPr>
          <w:rFonts w:ascii="SimSun" w:hAnsi="SimSun" w:cs="SimSun"/>
          <w:i/>
          <w:sz w:val="20"/>
          <w:szCs w:val="20"/>
        </w:rPr>
      </w:pPr>
      <w:r w:rsidRPr="002C1608">
        <w:rPr>
          <w:rFonts w:ascii="SimSun" w:eastAsia="KaiTi" w:hAnsi="SimSun" w:cs="SimSun"/>
          <w:iCs/>
          <w:sz w:val="20"/>
          <w:szCs w:val="20"/>
        </w:rPr>
        <w:t>注：</w:t>
      </w:r>
      <w:r w:rsidRPr="002C1608">
        <w:rPr>
          <w:rFonts w:ascii="SimSun" w:hAnsi="SimSun" w:cs="SimSun"/>
          <w:iCs/>
          <w:sz w:val="20"/>
          <w:szCs w:val="20"/>
        </w:rPr>
        <w:t>文件数量：</w:t>
      </w:r>
      <w:r w:rsidRPr="002C1608">
        <w:rPr>
          <w:rFonts w:ascii="SimSun" w:hAnsi="SimSun" w:cs="SimSun"/>
          <w:iCs/>
          <w:sz w:val="20"/>
          <w:szCs w:val="20"/>
        </w:rPr>
        <w:t xml:space="preserve"> 0-4</w:t>
      </w:r>
      <w:r w:rsidRPr="002C1608">
        <w:rPr>
          <w:rFonts w:ascii="SimSun" w:hAnsi="SimSun" w:cs="SimSun"/>
          <w:iCs/>
          <w:sz w:val="20"/>
          <w:szCs w:val="20"/>
        </w:rPr>
        <w:t>（红色）；</w:t>
      </w:r>
      <w:r w:rsidRPr="002C1608">
        <w:rPr>
          <w:rFonts w:ascii="SimSun" w:hAnsi="SimSun" w:cs="SimSun"/>
          <w:iCs/>
          <w:sz w:val="20"/>
          <w:szCs w:val="20"/>
        </w:rPr>
        <w:t>5-9</w:t>
      </w:r>
      <w:r w:rsidRPr="002C1608">
        <w:rPr>
          <w:rFonts w:ascii="SimSun" w:hAnsi="SimSun" w:cs="SimSun"/>
          <w:iCs/>
          <w:sz w:val="20"/>
          <w:szCs w:val="20"/>
        </w:rPr>
        <w:t>（橙色）；</w:t>
      </w:r>
      <w:r w:rsidRPr="002C1608">
        <w:rPr>
          <w:rFonts w:ascii="SimSun" w:hAnsi="SimSun" w:cs="SimSun"/>
          <w:iCs/>
          <w:sz w:val="20"/>
          <w:szCs w:val="20"/>
        </w:rPr>
        <w:t>10-15</w:t>
      </w:r>
      <w:r w:rsidRPr="002C1608">
        <w:rPr>
          <w:rFonts w:ascii="SimSun" w:hAnsi="SimSun" w:cs="SimSun"/>
          <w:iCs/>
          <w:sz w:val="20"/>
          <w:szCs w:val="20"/>
        </w:rPr>
        <w:t>（浅绿色）；</w:t>
      </w:r>
      <w:r w:rsidRPr="002C1608">
        <w:rPr>
          <w:rFonts w:ascii="SimSun" w:hAnsi="SimSun" w:cs="SimSun"/>
          <w:iCs/>
          <w:sz w:val="20"/>
          <w:szCs w:val="20"/>
        </w:rPr>
        <w:t xml:space="preserve">15 </w:t>
      </w:r>
      <w:r w:rsidRPr="002C1608">
        <w:rPr>
          <w:rFonts w:ascii="SimSun" w:hAnsi="SimSun" w:cs="SimSun"/>
          <w:iCs/>
          <w:sz w:val="20"/>
          <w:szCs w:val="20"/>
        </w:rPr>
        <w:t>及以上（深绿色）。</w:t>
      </w:r>
    </w:p>
    <w:p w14:paraId="12815751" w14:textId="77777777" w:rsidR="00833FEF" w:rsidRDefault="00833FEF">
      <w:pPr>
        <w:tabs>
          <w:tab w:val="left" w:pos="3969"/>
        </w:tabs>
        <w:spacing w:before="120" w:after="120"/>
        <w:ind w:left="567"/>
        <w:rPr>
          <w:rFonts w:ascii="SimSun" w:hAnsi="SimSun" w:cs="SimSun"/>
          <w:sz w:val="24"/>
          <w:szCs w:val="24"/>
        </w:rPr>
      </w:pPr>
    </w:p>
    <w:p w14:paraId="06FF66D1" w14:textId="3810DD70" w:rsidR="00833FEF" w:rsidRDefault="00986C10" w:rsidP="00E3030B">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因此</w:t>
      </w:r>
      <w:r w:rsidR="00E3030B">
        <w:rPr>
          <w:rFonts w:ascii="SimSun" w:hAnsi="SimSun" w:cs="SimSun" w:hint="eastAsia"/>
          <w:sz w:val="24"/>
          <w:szCs w:val="24"/>
        </w:rPr>
        <w:t>按照</w:t>
      </w:r>
      <w:r>
        <w:rPr>
          <w:rFonts w:ascii="SimSun" w:hAnsi="SimSun" w:cs="SimSun"/>
          <w:sz w:val="24"/>
          <w:szCs w:val="24"/>
        </w:rPr>
        <w:t>进一步差距分析修订</w:t>
      </w:r>
      <w:r w:rsidR="00E3030B">
        <w:rPr>
          <w:rFonts w:ascii="SimSun" w:hAnsi="SimSun" w:cs="SimSun" w:hint="eastAsia"/>
          <w:sz w:val="24"/>
          <w:szCs w:val="24"/>
        </w:rPr>
        <w:t>之后，</w:t>
      </w:r>
      <w:r>
        <w:rPr>
          <w:rFonts w:ascii="SimSun" w:hAnsi="SimSun" w:cs="SimSun"/>
          <w:sz w:val="24"/>
          <w:szCs w:val="24"/>
        </w:rPr>
        <w:t>可能需要补充指导</w:t>
      </w:r>
      <w:r w:rsidR="00262E38">
        <w:rPr>
          <w:rFonts w:ascii="SimSun" w:hAnsi="SimSun" w:cs="SimSun" w:hint="eastAsia"/>
          <w:sz w:val="24"/>
          <w:szCs w:val="24"/>
        </w:rPr>
        <w:t>意见</w:t>
      </w:r>
      <w:r>
        <w:rPr>
          <w:rFonts w:ascii="SimSun" w:hAnsi="SimSun" w:cs="SimSun"/>
          <w:sz w:val="24"/>
          <w:szCs w:val="24"/>
        </w:rPr>
        <w:t>的领域清单如下：</w:t>
      </w:r>
      <w:r>
        <w:rPr>
          <w:rFonts w:ascii="SimSun" w:hAnsi="SimSun" w:cs="SimSun"/>
          <w:sz w:val="24"/>
          <w:szCs w:val="24"/>
        </w:rPr>
        <w:t xml:space="preserve"> </w:t>
      </w:r>
    </w:p>
    <w:p w14:paraId="0F180FBC" w14:textId="30983D5C" w:rsidR="00833FEF" w:rsidRDefault="00986C10" w:rsidP="00E3030B">
      <w:pPr>
        <w:numPr>
          <w:ilvl w:val="0"/>
          <w:numId w:val="44"/>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关于包容性和参与性决策的全球</w:t>
      </w:r>
      <w:r w:rsidR="00262E38">
        <w:rPr>
          <w:rFonts w:ascii="SimSun" w:hAnsi="SimSun" w:cs="SimSun" w:hint="eastAsia"/>
          <w:sz w:val="24"/>
          <w:szCs w:val="24"/>
        </w:rPr>
        <w:t>指导意见</w:t>
      </w:r>
      <w:r>
        <w:rPr>
          <w:rFonts w:ascii="SimSun" w:hAnsi="SimSun" w:cs="SimSun"/>
          <w:sz w:val="24"/>
          <w:szCs w:val="24"/>
        </w:rPr>
        <w:t>；</w:t>
      </w:r>
    </w:p>
    <w:p w14:paraId="29204E6E" w14:textId="5B76C691" w:rsidR="00833FEF" w:rsidRDefault="00986C10" w:rsidP="00E3030B">
      <w:pPr>
        <w:numPr>
          <w:ilvl w:val="0"/>
          <w:numId w:val="44"/>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关于纳入多种形式的知识和承认权利的全球</w:t>
      </w:r>
      <w:r w:rsidR="00262E38">
        <w:rPr>
          <w:rFonts w:ascii="SimSun" w:hAnsi="SimSun" w:cs="SimSun" w:hint="eastAsia"/>
          <w:sz w:val="24"/>
          <w:szCs w:val="24"/>
        </w:rPr>
        <w:t>指导意见</w:t>
      </w:r>
      <w:r>
        <w:rPr>
          <w:rFonts w:ascii="SimSun" w:hAnsi="SimSun" w:cs="SimSun"/>
          <w:sz w:val="24"/>
          <w:szCs w:val="24"/>
        </w:rPr>
        <w:t>；</w:t>
      </w:r>
    </w:p>
    <w:p w14:paraId="576D8F1A" w14:textId="05426E82" w:rsidR="00833FEF" w:rsidRDefault="00986C10" w:rsidP="00E3030B">
      <w:pPr>
        <w:numPr>
          <w:ilvl w:val="0"/>
          <w:numId w:val="44"/>
        </w:numPr>
        <w:tabs>
          <w:tab w:val="clear" w:pos="567"/>
          <w:tab w:val="clear" w:pos="1134"/>
          <w:tab w:val="clear" w:pos="1701"/>
          <w:tab w:val="clear" w:pos="2268"/>
        </w:tabs>
        <w:spacing w:before="120" w:after="120" w:line="240" w:lineRule="atLeast"/>
        <w:ind w:left="490" w:firstLine="490"/>
        <w:jc w:val="left"/>
        <w:rPr>
          <w:rFonts w:ascii="SimSun" w:hAnsi="SimSun" w:cs="SimSun"/>
          <w:sz w:val="24"/>
          <w:szCs w:val="24"/>
        </w:rPr>
      </w:pPr>
      <w:r>
        <w:rPr>
          <w:rFonts w:ascii="SimSun" w:hAnsi="SimSun" w:cs="SimSun"/>
          <w:sz w:val="24"/>
          <w:szCs w:val="24"/>
        </w:rPr>
        <w:t>关于成本与</w:t>
      </w:r>
      <w:r w:rsidR="00262E38">
        <w:rPr>
          <w:rFonts w:ascii="SimSun" w:hAnsi="SimSun" w:cs="SimSun" w:hint="eastAsia"/>
          <w:sz w:val="24"/>
          <w:szCs w:val="24"/>
        </w:rPr>
        <w:t>惠益</w:t>
      </w:r>
      <w:r>
        <w:rPr>
          <w:rFonts w:ascii="SimSun" w:hAnsi="SimSun" w:cs="SimSun"/>
          <w:sz w:val="24"/>
          <w:szCs w:val="24"/>
        </w:rPr>
        <w:t>公平分配的全球</w:t>
      </w:r>
      <w:r w:rsidR="00262E38">
        <w:rPr>
          <w:rFonts w:ascii="SimSun" w:hAnsi="SimSun" w:cs="SimSun" w:hint="eastAsia"/>
          <w:sz w:val="24"/>
          <w:szCs w:val="24"/>
        </w:rPr>
        <w:t>指导意见</w:t>
      </w:r>
      <w:r>
        <w:rPr>
          <w:rFonts w:ascii="SimSun" w:hAnsi="SimSun" w:cs="SimSun"/>
          <w:sz w:val="24"/>
          <w:szCs w:val="24"/>
        </w:rPr>
        <w:t>。</w:t>
      </w:r>
    </w:p>
    <w:p w14:paraId="26615DB5" w14:textId="26E98F1E" w:rsidR="00833FEF" w:rsidRDefault="00262E38">
      <w:pPr>
        <w:spacing w:line="276" w:lineRule="auto"/>
        <w:jc w:val="left"/>
        <w:rPr>
          <w:rFonts w:ascii="SimSun" w:hAnsi="SimSun" w:cs="SimSun"/>
          <w:b/>
          <w:sz w:val="24"/>
          <w:szCs w:val="24"/>
        </w:rPr>
      </w:pPr>
      <w:r w:rsidRPr="002C1608">
        <w:rPr>
          <w:rFonts w:ascii="SimSun" w:hAnsi="SimSun" w:cs="SimSun" w:hint="eastAsia"/>
          <w:b/>
          <w:sz w:val="28"/>
          <w:szCs w:val="28"/>
        </w:rPr>
        <w:t>四</w:t>
      </w:r>
      <w:r w:rsidRPr="002C1608">
        <w:rPr>
          <w:rFonts w:ascii="SimSun" w:hAnsi="SimSun" w:cs="SimSun"/>
          <w:b/>
          <w:sz w:val="28"/>
          <w:szCs w:val="28"/>
        </w:rPr>
        <w:t>.</w:t>
      </w:r>
      <w:r w:rsidRPr="002C1608">
        <w:rPr>
          <w:rFonts w:ascii="SimSun" w:hAnsi="SimSun" w:cs="SimSun"/>
          <w:b/>
          <w:sz w:val="28"/>
          <w:szCs w:val="28"/>
        </w:rPr>
        <w:tab/>
        <w:t>建议</w:t>
      </w:r>
    </w:p>
    <w:p w14:paraId="0054C0F3" w14:textId="1DD59CB5" w:rsidR="00833FEF" w:rsidRDefault="00986C10" w:rsidP="00E3030B">
      <w:pPr>
        <w:pStyle w:val="ListParagraph"/>
        <w:tabs>
          <w:tab w:val="clear" w:pos="567"/>
          <w:tab w:val="clear" w:pos="1134"/>
          <w:tab w:val="clear" w:pos="1701"/>
          <w:tab w:val="clear" w:pos="2268"/>
        </w:tabs>
        <w:spacing w:before="120" w:after="120" w:line="240" w:lineRule="atLeast"/>
        <w:ind w:left="490" w:firstLine="0"/>
        <w:contextualSpacing w:val="0"/>
        <w:jc w:val="left"/>
        <w:rPr>
          <w:rFonts w:ascii="SimSun" w:hAnsi="SimSun" w:cs="SimSun"/>
          <w:sz w:val="24"/>
          <w:szCs w:val="24"/>
        </w:rPr>
      </w:pPr>
      <w:r>
        <w:rPr>
          <w:rFonts w:ascii="SimSun" w:hAnsi="SimSun" w:cs="SimSun"/>
          <w:sz w:val="24"/>
          <w:szCs w:val="24"/>
        </w:rPr>
        <w:t>在审议决定草案汇编中转载的第</w:t>
      </w:r>
      <w:r>
        <w:rPr>
          <w:rFonts w:ascii="SimSun" w:hAnsi="SimSun" w:cs="SimSun"/>
          <w:sz w:val="24"/>
          <w:szCs w:val="24"/>
        </w:rPr>
        <w:t>25/7</w:t>
      </w:r>
      <w:r>
        <w:rPr>
          <w:rFonts w:ascii="SimSun" w:hAnsi="SimSun" w:cs="SimSun"/>
          <w:sz w:val="24"/>
          <w:szCs w:val="24"/>
        </w:rPr>
        <w:t>号建议所载决定草案第</w:t>
      </w:r>
      <w:r>
        <w:rPr>
          <w:rFonts w:ascii="SimSun" w:hAnsi="SimSun" w:cs="SimSun"/>
          <w:sz w:val="24"/>
          <w:szCs w:val="24"/>
        </w:rPr>
        <w:t>5</w:t>
      </w:r>
      <w:r>
        <w:rPr>
          <w:rFonts w:ascii="SimSun" w:hAnsi="SimSun" w:cs="SimSun"/>
          <w:sz w:val="24"/>
          <w:szCs w:val="24"/>
        </w:rPr>
        <w:t>段时，缔约方大会不妨考虑本文件中概述的分析。</w:t>
      </w:r>
    </w:p>
    <w:p w14:paraId="596674A0" w14:textId="77777777" w:rsidR="00833FEF" w:rsidRDefault="00986C10">
      <w:pPr>
        <w:spacing w:line="276" w:lineRule="auto"/>
        <w:ind w:left="490"/>
        <w:jc w:val="center"/>
        <w:rPr>
          <w:rFonts w:ascii="SimSun" w:hAnsi="SimSun" w:cs="SimSun"/>
          <w:sz w:val="24"/>
          <w:szCs w:val="24"/>
        </w:rPr>
      </w:pPr>
      <w:r>
        <w:rPr>
          <w:rFonts w:ascii="SimSun" w:hAnsi="SimSun" w:cs="SimSun"/>
          <w:sz w:val="24"/>
          <w:szCs w:val="24"/>
        </w:rPr>
        <w:t>_</w:t>
      </w:r>
      <w:r>
        <w:rPr>
          <w:rFonts w:ascii="SimSun" w:hAnsi="SimSun" w:cs="SimSun"/>
          <w:sz w:val="24"/>
          <w:szCs w:val="24"/>
        </w:rPr>
        <w:t>_________</w:t>
      </w:r>
    </w:p>
    <w:sectPr w:rsidR="00833FEF">
      <w:headerReference w:type="even" r:id="rId12"/>
      <w:headerReference w:type="default" r:id="rId13"/>
      <w:footerReference w:type="even" r:id="rId14"/>
      <w:footerReference w:type="default" r:id="rId15"/>
      <w:headerReference w:type="first" r:id="rId16"/>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80847" w14:textId="77777777" w:rsidR="001A0279" w:rsidRDefault="001A0279">
      <w:r>
        <w:separator/>
      </w:r>
    </w:p>
  </w:endnote>
  <w:endnote w:type="continuationSeparator" w:id="0">
    <w:p w14:paraId="5D84A33E" w14:textId="77777777" w:rsidR="001A0279" w:rsidRDefault="001A0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103A9" w14:textId="5C955BC9" w:rsidR="00833FEF" w:rsidRDefault="00986C10">
    <w:pPr>
      <w:pBdr>
        <w:top w:val="nil"/>
        <w:left w:val="nil"/>
        <w:bottom w:val="nil"/>
        <w:right w:val="nil"/>
        <w:between w:val="nil"/>
      </w:pBdr>
      <w:tabs>
        <w:tab w:val="center" w:pos="4680"/>
        <w:tab w:val="right" w:pos="9360"/>
      </w:tabs>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7C0671">
      <w:rPr>
        <w:noProof/>
        <w:color w:val="000000"/>
        <w:sz w:val="20"/>
        <w:szCs w:val="20"/>
      </w:rPr>
      <w:t>2</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7C0671">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51068" w14:textId="362CC7A9" w:rsidR="00833FEF" w:rsidRDefault="00986C1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7C0671">
      <w:rPr>
        <w:noProof/>
        <w:color w:val="000000"/>
        <w:sz w:val="20"/>
        <w:szCs w:val="20"/>
      </w:rPr>
      <w:t>3</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7C0671">
      <w:rPr>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10533" w14:textId="77777777" w:rsidR="001A0279" w:rsidRDefault="001A0279">
      <w:r>
        <w:separator/>
      </w:r>
    </w:p>
  </w:footnote>
  <w:footnote w:type="continuationSeparator" w:id="0">
    <w:p w14:paraId="4AE9640F" w14:textId="77777777" w:rsidR="001A0279" w:rsidRDefault="001A0279">
      <w:r>
        <w:continuationSeparator/>
      </w:r>
    </w:p>
  </w:footnote>
  <w:footnote w:id="1">
    <w:p w14:paraId="6DBD6911" w14:textId="03927B74" w:rsidR="002C1608" w:rsidRPr="002C1608" w:rsidRDefault="002C1608" w:rsidP="002C1608">
      <w:pPr>
        <w:pStyle w:val="FootnoteText"/>
        <w:spacing w:after="60"/>
        <w:rPr>
          <w:sz w:val="20"/>
        </w:rPr>
      </w:pPr>
      <w:r w:rsidRPr="002C1608">
        <w:rPr>
          <w:rStyle w:val="FootnoteReference"/>
          <w:sz w:val="20"/>
        </w:rPr>
        <w:sym w:font="Symbol" w:char="F02A"/>
      </w:r>
      <w:r w:rsidRPr="002C1608">
        <w:rPr>
          <w:sz w:val="20"/>
        </w:rPr>
        <w:t xml:space="preserve"> </w:t>
      </w:r>
      <w:r w:rsidRPr="002C1608">
        <w:rPr>
          <w:rFonts w:hint="eastAsia"/>
          <w:sz w:val="20"/>
        </w:rPr>
        <w:t xml:space="preserve"> </w:t>
      </w:r>
      <w:r w:rsidRPr="002C1608">
        <w:rPr>
          <w:sz w:val="20"/>
        </w:rPr>
        <w:t>CBD/COP/16/1</w:t>
      </w:r>
      <w:r w:rsidRPr="002C1608">
        <w:rPr>
          <w:rFonts w:hint="eastAsia"/>
          <w:sz w:val="20"/>
        </w:rPr>
        <w:t>。</w:t>
      </w:r>
    </w:p>
  </w:footnote>
  <w:footnote w:id="2">
    <w:p w14:paraId="6DA927E8" w14:textId="1C55AF41" w:rsidR="00833FEF" w:rsidRDefault="00986C10" w:rsidP="002C1608">
      <w:pPr>
        <w:tabs>
          <w:tab w:val="left" w:pos="2835"/>
          <w:tab w:val="left" w:pos="3402"/>
        </w:tabs>
        <w:spacing w:after="60"/>
        <w:jc w:val="left"/>
        <w:rPr>
          <w:sz w:val="18"/>
          <w:szCs w:val="18"/>
        </w:rPr>
      </w:pPr>
      <w:r w:rsidRPr="002C1608">
        <w:rPr>
          <w:rStyle w:val="FootnoteReference"/>
          <w:sz w:val="20"/>
          <w:szCs w:val="20"/>
        </w:rPr>
        <w:footnoteRef/>
      </w:r>
      <w:sdt>
        <w:sdtPr>
          <w:rPr>
            <w:sz w:val="20"/>
            <w:szCs w:val="20"/>
          </w:rPr>
          <w:tag w:val="goog_rdk_1"/>
          <w:id w:val="-340392046"/>
        </w:sdtPr>
        <w:sdtEndPr/>
        <w:sdtContent>
          <w:r w:rsidRPr="002C1608">
            <w:rPr>
              <w:rFonts w:ascii="Gungsuh" w:hAnsi="Gungsuh" w:cs="Gungsuh"/>
              <w:sz w:val="20"/>
              <w:szCs w:val="20"/>
            </w:rPr>
            <w:t xml:space="preserve"> </w:t>
          </w:r>
          <w:r w:rsidRPr="002C1608">
            <w:rPr>
              <w:rFonts w:ascii="Gungsuh" w:hAnsi="Gungsuh" w:cs="Gungsuh"/>
              <w:sz w:val="20"/>
              <w:szCs w:val="20"/>
            </w:rPr>
            <w:t>这七个关键要素是：包容性和参与性决策；纳入多种形式的知识并承认权利；公平分配成本和</w:t>
          </w:r>
          <w:r w:rsidR="00262E38" w:rsidRPr="002C1608">
            <w:rPr>
              <w:rFonts w:ascii="Gungsuh" w:hAnsi="Gungsuh" w:cs="Gungsuh" w:hint="eastAsia"/>
              <w:sz w:val="20"/>
              <w:szCs w:val="20"/>
            </w:rPr>
            <w:t>惠益</w:t>
          </w:r>
          <w:r w:rsidRPr="002C1608">
            <w:rPr>
              <w:rFonts w:ascii="Gungsuh" w:hAnsi="Gungsuh" w:cs="Gungsuh"/>
              <w:sz w:val="20"/>
              <w:szCs w:val="20"/>
            </w:rPr>
            <w:t>；根据当地社会和生态环境制定政策；监测社会和生态条件及做法；协调统一的政策；以及从习俗到法定的健全机构。</w:t>
          </w:r>
        </w:sdtContent>
      </w:sdt>
    </w:p>
  </w:footnote>
  <w:footnote w:id="3">
    <w:p w14:paraId="0D6CDA95" w14:textId="3BB42E34" w:rsidR="00833FEF" w:rsidRPr="002C1608" w:rsidRDefault="00986C10" w:rsidP="002C1608">
      <w:pPr>
        <w:spacing w:after="60"/>
        <w:jc w:val="left"/>
        <w:rPr>
          <w:sz w:val="20"/>
          <w:szCs w:val="20"/>
        </w:rPr>
      </w:pPr>
      <w:r w:rsidRPr="002C1608">
        <w:rPr>
          <w:rStyle w:val="FootnoteReference"/>
          <w:sz w:val="20"/>
          <w:szCs w:val="20"/>
        </w:rPr>
        <w:footnoteRef/>
      </w:r>
      <w:sdt>
        <w:sdtPr>
          <w:rPr>
            <w:sz w:val="20"/>
            <w:szCs w:val="20"/>
          </w:rPr>
          <w:tag w:val="goog_rdk_2"/>
          <w:id w:val="-1181969191"/>
        </w:sdtPr>
        <w:sdtEndPr/>
        <w:sdtContent>
          <w:r w:rsidR="0072556A" w:rsidRPr="002C1608">
            <w:rPr>
              <w:sz w:val="20"/>
              <w:szCs w:val="20"/>
            </w:rPr>
            <w:t xml:space="preserve"> </w:t>
          </w:r>
          <w:r w:rsidRPr="002C1608">
            <w:rPr>
              <w:sz w:val="20"/>
              <w:szCs w:val="20"/>
            </w:rPr>
            <w:t xml:space="preserve"> 7 </w:t>
          </w:r>
          <w:r w:rsidRPr="002C1608">
            <w:rPr>
              <w:rFonts w:hint="eastAsia"/>
              <w:sz w:val="20"/>
              <w:szCs w:val="20"/>
            </w:rPr>
            <w:t>个缔约方（澳大利亚、白俄罗斯、巴西、加拿大、欧洲联盟、日本和墨西哥）和</w:t>
          </w:r>
          <w:r w:rsidRPr="002C1608">
            <w:rPr>
              <w:sz w:val="20"/>
              <w:szCs w:val="20"/>
            </w:rPr>
            <w:t xml:space="preserve"> 8 </w:t>
          </w:r>
          <w:r w:rsidRPr="002C1608">
            <w:rPr>
              <w:rFonts w:hint="eastAsia"/>
              <w:sz w:val="20"/>
              <w:szCs w:val="20"/>
            </w:rPr>
            <w:t>个组织（联合国粮食及农业组织、尼泊尔土著民族保护协会、尼泊尔湿地生物多样性保护协会、</w:t>
          </w:r>
          <w:r w:rsidRPr="002C1608">
            <w:rPr>
              <w:sz w:val="20"/>
              <w:szCs w:val="20"/>
            </w:rPr>
            <w:t xml:space="preserve"> Chemichemi </w:t>
          </w:r>
          <w:r w:rsidRPr="002C1608">
            <w:rPr>
              <w:sz w:val="20"/>
              <w:szCs w:val="20"/>
            </w:rPr>
            <w:t>基金</w:t>
          </w:r>
          <w:r w:rsidRPr="002C1608">
            <w:rPr>
              <w:rFonts w:hint="eastAsia"/>
              <w:sz w:val="20"/>
              <w:szCs w:val="20"/>
            </w:rPr>
            <w:t>会、非洲野生动物经济研究所、天生自由基金会、东非共同体秘书处和中西部地区民主与人权中心）提交了材料。</w:t>
          </w:r>
        </w:sdtContent>
      </w:sdt>
    </w:p>
  </w:footnote>
  <w:footnote w:id="4">
    <w:p w14:paraId="240A3DCD" w14:textId="22618828" w:rsidR="00833FEF" w:rsidRPr="002C1608" w:rsidRDefault="00986C10" w:rsidP="002C1608">
      <w:pPr>
        <w:spacing w:after="60"/>
        <w:jc w:val="left"/>
        <w:rPr>
          <w:sz w:val="20"/>
          <w:szCs w:val="20"/>
        </w:rPr>
      </w:pPr>
      <w:r w:rsidRPr="002C1608">
        <w:rPr>
          <w:rStyle w:val="FootnoteReference"/>
          <w:sz w:val="20"/>
          <w:szCs w:val="20"/>
        </w:rPr>
        <w:footnoteRef/>
      </w:r>
      <w:sdt>
        <w:sdtPr>
          <w:rPr>
            <w:sz w:val="20"/>
            <w:szCs w:val="20"/>
          </w:rPr>
          <w:tag w:val="goog_rdk_3"/>
          <w:id w:val="-1552533703"/>
        </w:sdtPr>
        <w:sdtEndPr/>
        <w:sdtContent>
          <w:r w:rsidRPr="002C1608">
            <w:rPr>
              <w:sz w:val="20"/>
              <w:szCs w:val="20"/>
            </w:rPr>
            <w:t xml:space="preserve"> </w:t>
          </w:r>
          <w:r w:rsidR="0072556A">
            <w:rPr>
              <w:rFonts w:hint="eastAsia"/>
              <w:sz w:val="20"/>
              <w:szCs w:val="20"/>
            </w:rPr>
            <w:t xml:space="preserve"> </w:t>
          </w:r>
          <w:r w:rsidRPr="002C1608">
            <w:rPr>
              <w:sz w:val="20"/>
              <w:szCs w:val="20"/>
            </w:rPr>
            <w:t>澳大利</w:t>
          </w:r>
          <w:r w:rsidRPr="002C1608">
            <w:rPr>
              <w:rFonts w:hint="eastAsia"/>
              <w:sz w:val="20"/>
              <w:szCs w:val="20"/>
            </w:rPr>
            <w:t>亚、加拿大、欧洲联盟、芬兰、日本、大不列颠及北爱尔兰联合王国、联合国海洋事务和海洋法司、国际农业发展基金、联合国环境规划署、世界旅游组织、联合国环境规划署世界养护监测中心、国际自然保护联盟、世界动物卫生组织、生态系统复原力遗传生物多样性知识组织和香港大学针对第</w:t>
          </w:r>
          <w:r w:rsidRPr="002C1608">
            <w:rPr>
              <w:sz w:val="20"/>
              <w:szCs w:val="20"/>
            </w:rPr>
            <w:t>2023-120</w:t>
          </w:r>
          <w:r w:rsidRPr="002C1608">
            <w:rPr>
              <w:rFonts w:hint="eastAsia"/>
              <w:sz w:val="20"/>
              <w:szCs w:val="20"/>
            </w:rPr>
            <w:t>号通知提交了与进一步差距分析有关的呈件。</w:t>
          </w:r>
        </w:sdtContent>
      </w:sdt>
    </w:p>
  </w:footnote>
  <w:footnote w:id="5">
    <w:p w14:paraId="37F1B9BD" w14:textId="30F5040C" w:rsidR="00833FEF" w:rsidRPr="002C1608" w:rsidRDefault="00986C10" w:rsidP="002C1608">
      <w:pPr>
        <w:spacing w:after="60"/>
        <w:jc w:val="left"/>
        <w:rPr>
          <w:sz w:val="20"/>
          <w:szCs w:val="20"/>
        </w:rPr>
      </w:pPr>
      <w:r w:rsidRPr="002C1608">
        <w:rPr>
          <w:rStyle w:val="FootnoteReference"/>
          <w:sz w:val="20"/>
          <w:szCs w:val="20"/>
        </w:rPr>
        <w:footnoteRef/>
      </w:r>
      <w:sdt>
        <w:sdtPr>
          <w:rPr>
            <w:sz w:val="20"/>
            <w:szCs w:val="20"/>
          </w:rPr>
          <w:tag w:val="goog_rdk_4"/>
          <w:id w:val="-682437832"/>
        </w:sdtPr>
        <w:sdtEndPr/>
        <w:sdtContent>
          <w:r w:rsidRPr="002C1608">
            <w:rPr>
              <w:sz w:val="20"/>
              <w:szCs w:val="20"/>
            </w:rPr>
            <w:t xml:space="preserve"> </w:t>
          </w:r>
          <w:r w:rsidR="0072556A">
            <w:rPr>
              <w:rFonts w:hint="eastAsia"/>
              <w:sz w:val="20"/>
              <w:szCs w:val="20"/>
            </w:rPr>
            <w:t xml:space="preserve"> </w:t>
          </w:r>
          <w:r w:rsidRPr="002C1608">
            <w:rPr>
              <w:rFonts w:hint="eastAsia"/>
              <w:sz w:val="20"/>
              <w:szCs w:val="20"/>
            </w:rPr>
            <w:t>见</w:t>
          </w:r>
          <w:r w:rsidRPr="002C1608">
            <w:rPr>
              <w:sz w:val="20"/>
              <w:szCs w:val="20"/>
            </w:rPr>
            <w:t xml:space="preserve"> </w:t>
          </w:r>
        </w:sdtContent>
      </w:sdt>
      <w:hyperlink r:id="rId1">
        <w:r w:rsidRPr="002C1608">
          <w:rPr>
            <w:color w:val="0563C1"/>
            <w:sz w:val="20"/>
            <w:szCs w:val="20"/>
            <w:u w:val="single"/>
          </w:rPr>
          <w:t>www.cbd.int/notifications/2024-063</w:t>
        </w:r>
      </w:hyperlink>
      <w:sdt>
        <w:sdtPr>
          <w:rPr>
            <w:sz w:val="20"/>
            <w:szCs w:val="20"/>
          </w:rPr>
          <w:tag w:val="goog_rdk_5"/>
          <w:id w:val="2067447162"/>
        </w:sdtPr>
        <w:sdtEndPr/>
        <w:sdtContent>
          <w:r w:rsidRPr="002C1608">
            <w:rPr>
              <w:sz w:val="20"/>
              <w:szCs w:val="20"/>
            </w:rPr>
            <w:t>。</w:t>
          </w:r>
        </w:sdtContent>
      </w:sdt>
    </w:p>
  </w:footnote>
  <w:footnote w:id="6">
    <w:p w14:paraId="4F6F6073" w14:textId="325F04FC" w:rsidR="00833FEF" w:rsidRDefault="00986C10" w:rsidP="002C1608">
      <w:pPr>
        <w:spacing w:after="60"/>
        <w:jc w:val="left"/>
        <w:rPr>
          <w:sz w:val="18"/>
          <w:szCs w:val="18"/>
        </w:rPr>
      </w:pPr>
      <w:r w:rsidRPr="002C1608">
        <w:rPr>
          <w:rStyle w:val="FootnoteReference"/>
          <w:sz w:val="20"/>
          <w:szCs w:val="20"/>
        </w:rPr>
        <w:footnoteRef/>
      </w:r>
      <w:sdt>
        <w:sdtPr>
          <w:rPr>
            <w:sz w:val="20"/>
            <w:szCs w:val="20"/>
          </w:rPr>
          <w:tag w:val="goog_rdk_6"/>
          <w:id w:val="1649009076"/>
        </w:sdtPr>
        <w:sdtEndPr/>
        <w:sdtContent>
          <w:r w:rsidRPr="002C1608">
            <w:rPr>
              <w:sz w:val="20"/>
              <w:szCs w:val="20"/>
            </w:rPr>
            <w:t xml:space="preserve"> </w:t>
          </w:r>
          <w:r w:rsidR="0072556A">
            <w:rPr>
              <w:rFonts w:hint="eastAsia"/>
              <w:sz w:val="20"/>
              <w:szCs w:val="20"/>
            </w:rPr>
            <w:t xml:space="preserve"> </w:t>
          </w:r>
          <w:r w:rsidR="0072556A" w:rsidRPr="002C1608">
            <w:rPr>
              <w:sz w:val="20"/>
              <w:szCs w:val="20"/>
            </w:rPr>
            <w:t>6</w:t>
          </w:r>
          <w:r w:rsidRPr="002C1608">
            <w:rPr>
              <w:rFonts w:hint="eastAsia"/>
              <w:sz w:val="20"/>
              <w:szCs w:val="20"/>
            </w:rPr>
            <w:t>个缔约方（加拿大、欧洲联盟、墨西哥、秘鲁、西班牙和联合王国）、联合国毒品和犯罪问题办公室和两个组织（国际林业研究组织联合会和兰卡基本权利组织）提交了材料。</w:t>
          </w:r>
        </w:sdtContent>
      </w:sdt>
    </w:p>
  </w:footnote>
  <w:footnote w:id="7">
    <w:p w14:paraId="7ED3FEFB" w14:textId="3667F4C1" w:rsidR="00833FEF" w:rsidRPr="00E3030B" w:rsidRDefault="00986C10">
      <w:pPr>
        <w:jc w:val="left"/>
        <w:rPr>
          <w:sz w:val="20"/>
          <w:szCs w:val="20"/>
        </w:rPr>
      </w:pPr>
      <w:r w:rsidRPr="00E3030B">
        <w:rPr>
          <w:rStyle w:val="FootnoteReference"/>
          <w:sz w:val="20"/>
          <w:szCs w:val="20"/>
        </w:rPr>
        <w:footnoteRef/>
      </w:r>
      <w:sdt>
        <w:sdtPr>
          <w:rPr>
            <w:sz w:val="20"/>
            <w:szCs w:val="20"/>
          </w:rPr>
          <w:tag w:val="goog_rdk_7"/>
          <w:id w:val="453914252"/>
        </w:sdtPr>
        <w:sdtEndPr/>
        <w:sdtContent>
          <w:r w:rsidRPr="00E3030B">
            <w:rPr>
              <w:sz w:val="20"/>
              <w:szCs w:val="20"/>
            </w:rPr>
            <w:t xml:space="preserve"> </w:t>
          </w:r>
          <w:r w:rsidR="00262E38" w:rsidRPr="00E3030B">
            <w:rPr>
              <w:rFonts w:hint="eastAsia"/>
              <w:sz w:val="20"/>
              <w:szCs w:val="20"/>
            </w:rPr>
            <w:t xml:space="preserve"> </w:t>
          </w:r>
          <w:r w:rsidRPr="00E3030B">
            <w:rPr>
              <w:rFonts w:ascii="SimSun" w:hAnsi="SimSun" w:cs="SimSun" w:hint="eastAsia"/>
              <w:sz w:val="20"/>
              <w:szCs w:val="20"/>
            </w:rPr>
            <w:t>详见</w:t>
          </w:r>
          <w:r w:rsidRPr="00E3030B">
            <w:rPr>
              <w:sz w:val="20"/>
              <w:szCs w:val="20"/>
            </w:rPr>
            <w:t xml:space="preserve"> CBD/COP/17/INF/7</w:t>
          </w:r>
          <w:r w:rsidRPr="00E3030B">
            <w:rPr>
              <w:sz w:val="20"/>
              <w:szCs w:val="20"/>
            </w:rPr>
            <w:t>。</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D8610" w14:textId="77777777" w:rsidR="00833FEF" w:rsidRDefault="00986C10">
    <w:pPr>
      <w:pBdr>
        <w:top w:val="nil"/>
        <w:left w:val="nil"/>
        <w:bottom w:val="single" w:sz="4" w:space="1" w:color="000000"/>
        <w:right w:val="nil"/>
        <w:between w:val="nil"/>
      </w:pBdr>
      <w:tabs>
        <w:tab w:val="center" w:pos="4680"/>
        <w:tab w:val="right" w:pos="9360"/>
      </w:tabs>
      <w:spacing w:after="240"/>
      <w:jc w:val="left"/>
      <w:rPr>
        <w:color w:val="000000"/>
        <w:sz w:val="20"/>
        <w:szCs w:val="20"/>
      </w:rPr>
    </w:pPr>
    <w:bookmarkStart w:id="1" w:name="_heading=h.30j0zll" w:colFirst="0" w:colLast="0"/>
    <w:bookmarkEnd w:id="1"/>
    <w:r>
      <w:rPr>
        <w:rFonts w:eastAsia="Times New Roman"/>
        <w:color w:val="000000"/>
        <w:sz w:val="20"/>
        <w:szCs w:val="20"/>
      </w:rPr>
      <w:t>CBD/COP/16/</w:t>
    </w:r>
    <w:r>
      <w:rPr>
        <w:sz w:val="20"/>
        <w:szCs w:val="20"/>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2D569" w14:textId="77777777" w:rsidR="00833FEF" w:rsidRDefault="00986C10">
    <w:pPr>
      <w:pBdr>
        <w:top w:val="nil"/>
        <w:left w:val="nil"/>
        <w:bottom w:val="single" w:sz="4" w:space="1" w:color="000000"/>
        <w:right w:val="nil"/>
        <w:between w:val="nil"/>
      </w:pBdr>
      <w:tabs>
        <w:tab w:val="center" w:pos="4680"/>
        <w:tab w:val="right" w:pos="9360"/>
      </w:tabs>
      <w:jc w:val="right"/>
      <w:rPr>
        <w:color w:val="000000"/>
        <w:sz w:val="20"/>
        <w:szCs w:val="20"/>
      </w:rPr>
    </w:pPr>
    <w:r>
      <w:rPr>
        <w:rFonts w:eastAsia="Times New Roman"/>
        <w:color w:val="000000"/>
        <w:sz w:val="20"/>
        <w:szCs w:val="20"/>
      </w:rPr>
      <w:t>CBD/COP/16/</w:t>
    </w:r>
    <w:r>
      <w:rPr>
        <w:sz w:val="20"/>
        <w:szCs w:val="20"/>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01C7E" w14:textId="77777777" w:rsidR="00833FEF" w:rsidRDefault="00833FEF">
    <w:pPr>
      <w:pBdr>
        <w:top w:val="nil"/>
        <w:left w:val="nil"/>
        <w:bottom w:val="none" w:sz="0" w:space="0" w:color="000000"/>
        <w:right w:val="nil"/>
        <w:between w:val="nil"/>
      </w:pBdr>
      <w:tabs>
        <w:tab w:val="center" w:pos="4680"/>
        <w:tab w:val="right" w:pos="9360"/>
      </w:tabs>
      <w:jc w:val="lef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51B98"/>
    <w:multiLevelType w:val="multilevel"/>
    <w:tmpl w:val="91EA536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B16639"/>
    <w:multiLevelType w:val="hybridMultilevel"/>
    <w:tmpl w:val="017E78E4"/>
    <w:lvl w:ilvl="0" w:tplc="0CB01280">
      <w:start w:val="1"/>
      <w:numFmt w:val="lowerLetter"/>
      <w:lvlText w:val="%1)"/>
      <w:lvlJc w:val="left"/>
      <w:pPr>
        <w:ind w:left="2057" w:hanging="360"/>
      </w:pPr>
      <w:rPr>
        <w:rFonts w:hint="default"/>
      </w:rPr>
    </w:lvl>
    <w:lvl w:ilvl="1" w:tplc="04090019" w:tentative="1">
      <w:start w:val="1"/>
      <w:numFmt w:val="lowerLetter"/>
      <w:lvlText w:val="%2."/>
      <w:lvlJc w:val="left"/>
      <w:pPr>
        <w:ind w:left="2777" w:hanging="360"/>
      </w:pPr>
    </w:lvl>
    <w:lvl w:ilvl="2" w:tplc="0409001B" w:tentative="1">
      <w:start w:val="1"/>
      <w:numFmt w:val="lowerRoman"/>
      <w:lvlText w:val="%3."/>
      <w:lvlJc w:val="right"/>
      <w:pPr>
        <w:ind w:left="3497" w:hanging="180"/>
      </w:pPr>
    </w:lvl>
    <w:lvl w:ilvl="3" w:tplc="0409000F" w:tentative="1">
      <w:start w:val="1"/>
      <w:numFmt w:val="decimal"/>
      <w:lvlText w:val="%4."/>
      <w:lvlJc w:val="left"/>
      <w:pPr>
        <w:ind w:left="4217" w:hanging="360"/>
      </w:pPr>
    </w:lvl>
    <w:lvl w:ilvl="4" w:tplc="04090019" w:tentative="1">
      <w:start w:val="1"/>
      <w:numFmt w:val="lowerLetter"/>
      <w:lvlText w:val="%5."/>
      <w:lvlJc w:val="left"/>
      <w:pPr>
        <w:ind w:left="4937" w:hanging="360"/>
      </w:pPr>
    </w:lvl>
    <w:lvl w:ilvl="5" w:tplc="0409001B" w:tentative="1">
      <w:start w:val="1"/>
      <w:numFmt w:val="lowerRoman"/>
      <w:lvlText w:val="%6."/>
      <w:lvlJc w:val="right"/>
      <w:pPr>
        <w:ind w:left="5657" w:hanging="180"/>
      </w:pPr>
    </w:lvl>
    <w:lvl w:ilvl="6" w:tplc="0409000F" w:tentative="1">
      <w:start w:val="1"/>
      <w:numFmt w:val="decimal"/>
      <w:lvlText w:val="%7."/>
      <w:lvlJc w:val="left"/>
      <w:pPr>
        <w:ind w:left="6377" w:hanging="360"/>
      </w:pPr>
    </w:lvl>
    <w:lvl w:ilvl="7" w:tplc="04090019" w:tentative="1">
      <w:start w:val="1"/>
      <w:numFmt w:val="lowerLetter"/>
      <w:lvlText w:val="%8."/>
      <w:lvlJc w:val="left"/>
      <w:pPr>
        <w:ind w:left="7097" w:hanging="360"/>
      </w:pPr>
    </w:lvl>
    <w:lvl w:ilvl="8" w:tplc="0409001B" w:tentative="1">
      <w:start w:val="1"/>
      <w:numFmt w:val="lowerRoman"/>
      <w:lvlText w:val="%9."/>
      <w:lvlJc w:val="right"/>
      <w:pPr>
        <w:ind w:left="7817" w:hanging="180"/>
      </w:pPr>
    </w:lvl>
  </w:abstractNum>
  <w:abstractNum w:abstractNumId="2" w15:restartNumberingAfterBreak="0">
    <w:nsid w:val="17677736"/>
    <w:multiLevelType w:val="multilevel"/>
    <w:tmpl w:val="63B451DC"/>
    <w:lvl w:ilvl="0">
      <w:start w:val="1"/>
      <w:numFmt w:val="lowerLetter"/>
      <w:lvlText w:val="（%1）"/>
      <w:lvlJc w:val="left"/>
      <w:pPr>
        <w:ind w:left="72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A3F1405"/>
    <w:multiLevelType w:val="multilevel"/>
    <w:tmpl w:val="73D2DC8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4" w15:restartNumberingAfterBreak="0">
    <w:nsid w:val="24580E84"/>
    <w:multiLevelType w:val="multilevel"/>
    <w:tmpl w:val="290C0DA4"/>
    <w:lvl w:ilvl="0">
      <w:start w:val="1"/>
      <w:numFmt w:val="lowerLetter"/>
      <w:pStyle w:val="Para3"/>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25C40770"/>
    <w:multiLevelType w:val="multilevel"/>
    <w:tmpl w:val="1BBA0D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EB631D5"/>
    <w:multiLevelType w:val="multilevel"/>
    <w:tmpl w:val="C11282DE"/>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366F794B"/>
    <w:multiLevelType w:val="hybridMultilevel"/>
    <w:tmpl w:val="05ECABD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834A4"/>
    <w:multiLevelType w:val="multilevel"/>
    <w:tmpl w:val="8B500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EB4354D"/>
    <w:multiLevelType w:val="hybridMultilevel"/>
    <w:tmpl w:val="1CAE908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F0162"/>
    <w:multiLevelType w:val="multilevel"/>
    <w:tmpl w:val="1280FB2E"/>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15:restartNumberingAfterBreak="0">
    <w:nsid w:val="479D0545"/>
    <w:multiLevelType w:val="multilevel"/>
    <w:tmpl w:val="461E7374"/>
    <w:lvl w:ilvl="0">
      <w:start w:val="1"/>
      <w:numFmt w:val="lowerLetter"/>
      <w:lvlText w:val="（%1）"/>
      <w:lvlJc w:val="left"/>
      <w:pPr>
        <w:ind w:left="72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53B87661"/>
    <w:multiLevelType w:val="multilevel"/>
    <w:tmpl w:val="29B67262"/>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15:restartNumberingAfterBreak="0">
    <w:nsid w:val="628A038A"/>
    <w:multiLevelType w:val="hybridMultilevel"/>
    <w:tmpl w:val="FAE85F44"/>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36E3073"/>
    <w:multiLevelType w:val="multilevel"/>
    <w:tmpl w:val="2AAA1DBC"/>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64932A9E"/>
    <w:multiLevelType w:val="multilevel"/>
    <w:tmpl w:val="78B2E1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49D18A7"/>
    <w:multiLevelType w:val="multilevel"/>
    <w:tmpl w:val="057E308E"/>
    <w:lvl w:ilvl="0">
      <w:start w:val="1"/>
      <w:numFmt w:val="lowerLetter"/>
      <w:pStyle w:val="Para1"/>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 w15:restartNumberingAfterBreak="0">
    <w:nsid w:val="6CDD38EF"/>
    <w:multiLevelType w:val="multilevel"/>
    <w:tmpl w:val="AC5603E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15:restartNumberingAfterBreak="0">
    <w:nsid w:val="6E8370FD"/>
    <w:multiLevelType w:val="multilevel"/>
    <w:tmpl w:val="882A1E60"/>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 w15:restartNumberingAfterBreak="0">
    <w:nsid w:val="74FD4E33"/>
    <w:multiLevelType w:val="multilevel"/>
    <w:tmpl w:val="37589A22"/>
    <w:lvl w:ilvl="0">
      <w:start w:val="1"/>
      <w:numFmt w:val="decimal"/>
      <w:pStyle w:val="ListParagraph"/>
      <w:lvlText w:val="%1."/>
      <w:lvlJc w:val="left"/>
      <w:pPr>
        <w:ind w:left="720" w:hanging="360"/>
      </w:pPr>
      <w:rPr>
        <w:rFonts w:ascii="Times New Roman" w:hAnsi="Times New Roman" w:hint="default"/>
        <w:b w:val="0"/>
        <w:sz w:val="24"/>
        <w:u w:val="none"/>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9D24A0E"/>
    <w:multiLevelType w:val="multilevel"/>
    <w:tmpl w:val="1B1EA846"/>
    <w:lvl w:ilvl="0">
      <w:start w:val="1"/>
      <w:numFmt w:val="lowerLetter"/>
      <w:lvlText w:val="（%1）"/>
      <w:lvlJc w:val="left"/>
      <w:pPr>
        <w:ind w:left="1440" w:hanging="360"/>
      </w:pPr>
      <w:rPr>
        <w:rFonts w:hint="default"/>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15:restartNumberingAfterBreak="0">
    <w:nsid w:val="7E736723"/>
    <w:multiLevelType w:val="multilevel"/>
    <w:tmpl w:val="FF283FD2"/>
    <w:lvl w:ilvl="0">
      <w:start w:val="1"/>
      <w:numFmt w:val="decimal"/>
      <w:pStyle w:val="CBDNormalNumb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1436468">
    <w:abstractNumId w:val="0"/>
  </w:num>
  <w:num w:numId="2" w16cid:durableId="1960717656">
    <w:abstractNumId w:val="16"/>
  </w:num>
  <w:num w:numId="3" w16cid:durableId="1319652999">
    <w:abstractNumId w:val="5"/>
  </w:num>
  <w:num w:numId="4" w16cid:durableId="294453260">
    <w:abstractNumId w:val="4"/>
  </w:num>
  <w:num w:numId="5" w16cid:durableId="1347057660">
    <w:abstractNumId w:val="8"/>
  </w:num>
  <w:num w:numId="6" w16cid:durableId="135993157">
    <w:abstractNumId w:val="17"/>
  </w:num>
  <w:num w:numId="7" w16cid:durableId="842090473">
    <w:abstractNumId w:val="15"/>
  </w:num>
  <w:num w:numId="8" w16cid:durableId="66849581">
    <w:abstractNumId w:val="21"/>
  </w:num>
  <w:num w:numId="9" w16cid:durableId="147522794">
    <w:abstractNumId w:val="3"/>
  </w:num>
  <w:num w:numId="10" w16cid:durableId="5648736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7849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3661407">
    <w:abstractNumId w:val="6"/>
  </w:num>
  <w:num w:numId="13" w16cid:durableId="971984532">
    <w:abstractNumId w:val="7"/>
  </w:num>
  <w:num w:numId="14" w16cid:durableId="587351161">
    <w:abstractNumId w:val="1"/>
  </w:num>
  <w:num w:numId="15" w16cid:durableId="937560511">
    <w:abstractNumId w:val="10"/>
  </w:num>
  <w:num w:numId="16" w16cid:durableId="780491842">
    <w:abstractNumId w:val="20"/>
  </w:num>
  <w:num w:numId="17" w16cid:durableId="1254244286">
    <w:abstractNumId w:val="11"/>
  </w:num>
  <w:num w:numId="18" w16cid:durableId="1502306847">
    <w:abstractNumId w:val="14"/>
  </w:num>
  <w:num w:numId="19" w16cid:durableId="1172523394">
    <w:abstractNumId w:val="19"/>
  </w:num>
  <w:num w:numId="20" w16cid:durableId="1687898846">
    <w:abstractNumId w:val="19"/>
  </w:num>
  <w:num w:numId="21" w16cid:durableId="2084057680">
    <w:abstractNumId w:val="19"/>
  </w:num>
  <w:num w:numId="22" w16cid:durableId="810558308">
    <w:abstractNumId w:val="19"/>
  </w:num>
  <w:num w:numId="23" w16cid:durableId="405765565">
    <w:abstractNumId w:val="19"/>
  </w:num>
  <w:num w:numId="24" w16cid:durableId="157507075">
    <w:abstractNumId w:val="19"/>
  </w:num>
  <w:num w:numId="25" w16cid:durableId="1891914485">
    <w:abstractNumId w:val="18"/>
  </w:num>
  <w:num w:numId="26" w16cid:durableId="1374814531">
    <w:abstractNumId w:val="19"/>
  </w:num>
  <w:num w:numId="27" w16cid:durableId="1315060401">
    <w:abstractNumId w:val="19"/>
  </w:num>
  <w:num w:numId="28" w16cid:durableId="1539271964">
    <w:abstractNumId w:val="19"/>
  </w:num>
  <w:num w:numId="29" w16cid:durableId="741873652">
    <w:abstractNumId w:val="12"/>
  </w:num>
  <w:num w:numId="30" w16cid:durableId="151339462">
    <w:abstractNumId w:val="19"/>
  </w:num>
  <w:num w:numId="31" w16cid:durableId="1082409790">
    <w:abstractNumId w:val="19"/>
  </w:num>
  <w:num w:numId="32" w16cid:durableId="866675413">
    <w:abstractNumId w:val="9"/>
  </w:num>
  <w:num w:numId="33" w16cid:durableId="1680817272">
    <w:abstractNumId w:val="19"/>
  </w:num>
  <w:num w:numId="34" w16cid:durableId="272442348">
    <w:abstractNumId w:val="19"/>
  </w:num>
  <w:num w:numId="35" w16cid:durableId="927882341">
    <w:abstractNumId w:val="19"/>
  </w:num>
  <w:num w:numId="36" w16cid:durableId="1800300170">
    <w:abstractNumId w:val="13"/>
  </w:num>
  <w:num w:numId="37" w16cid:durableId="1509439777">
    <w:abstractNumId w:val="19"/>
  </w:num>
  <w:num w:numId="38" w16cid:durableId="1687050638">
    <w:abstractNumId w:val="19"/>
  </w:num>
  <w:num w:numId="39" w16cid:durableId="430973015">
    <w:abstractNumId w:val="19"/>
  </w:num>
  <w:num w:numId="40" w16cid:durableId="192503920">
    <w:abstractNumId w:val="19"/>
  </w:num>
  <w:num w:numId="41" w16cid:durableId="972910778">
    <w:abstractNumId w:val="19"/>
  </w:num>
  <w:num w:numId="42" w16cid:durableId="703016907">
    <w:abstractNumId w:val="19"/>
  </w:num>
  <w:num w:numId="43" w16cid:durableId="1220097629">
    <w:abstractNumId w:val="19"/>
  </w:num>
  <w:num w:numId="44" w16cid:durableId="877090369">
    <w:abstractNumId w:val="2"/>
  </w:num>
  <w:num w:numId="45" w16cid:durableId="17494934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FEF"/>
    <w:rsid w:val="00014381"/>
    <w:rsid w:val="001A0279"/>
    <w:rsid w:val="001A515A"/>
    <w:rsid w:val="001D5A92"/>
    <w:rsid w:val="001E003E"/>
    <w:rsid w:val="002428F1"/>
    <w:rsid w:val="00262E38"/>
    <w:rsid w:val="002C1608"/>
    <w:rsid w:val="00544857"/>
    <w:rsid w:val="0056209C"/>
    <w:rsid w:val="006D7E6C"/>
    <w:rsid w:val="0072556A"/>
    <w:rsid w:val="0073507F"/>
    <w:rsid w:val="007C0671"/>
    <w:rsid w:val="007F4B4D"/>
    <w:rsid w:val="00833FEF"/>
    <w:rsid w:val="00886C18"/>
    <w:rsid w:val="009076E3"/>
    <w:rsid w:val="00986C10"/>
    <w:rsid w:val="00AC5057"/>
    <w:rsid w:val="00AD3639"/>
    <w:rsid w:val="00B12295"/>
    <w:rsid w:val="00B91126"/>
    <w:rsid w:val="00CD0CA3"/>
    <w:rsid w:val="00DC5678"/>
    <w:rsid w:val="00E3030B"/>
    <w:rsid w:val="00E620F5"/>
    <w:rsid w:val="00ED535E"/>
    <w:rsid w:val="00F4718D"/>
    <w:rsid w:val="00F676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480E7"/>
  <w15:docId w15:val="{B65E6FFB-5D16-4A3E-89A8-4D0B7A743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en-US"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style>
  <w:style w:type="paragraph" w:styleId="Heading1">
    <w:name w:val="heading 1"/>
    <w:basedOn w:val="Normal"/>
    <w:next w:val="Heading2"/>
    <w:link w:val="Heading1Char"/>
    <w:uiPriority w:val="9"/>
    <w:qFormat/>
    <w:rsid w:val="00076F1E"/>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semiHidden/>
    <w:unhideWhenUsed/>
    <w:qFormat/>
    <w:rsid w:val="00076F1E"/>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076F1E"/>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076F1E"/>
    <w:pPr>
      <w:keepNext/>
      <w:numPr>
        <w:ilvl w:val="3"/>
        <w:numId w:val="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076F1E"/>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unhideWhenUsed/>
    <w:qFormat/>
    <w:rsid w:val="00076F1E"/>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076F1E"/>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spacing w:before="120" w:after="120"/>
      <w:ind w:left="567" w:firstLine="567"/>
    </w:pPr>
    <w:rPr>
      <w:rFonts w:eastAsia="Times New Roman"/>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ListParagraph">
    <w:name w:val="List Paragraph"/>
    <w:basedOn w:val="Normal"/>
    <w:link w:val="ListParagraphChar"/>
    <w:uiPriority w:val="34"/>
    <w:qFormat/>
    <w:rsid w:val="00076F1E"/>
    <w:pPr>
      <w:numPr>
        <w:numId w:val="19"/>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rPr>
      <w:rFonts w:eastAsia="Times New Roman"/>
      <w:szCs w:val="24"/>
      <w:lang w:val="en-GB"/>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rPr>
  </w:style>
  <w:style w:type="paragraph" w:customStyle="1" w:styleId="Default">
    <w:name w:val="Default"/>
    <w:rsid w:val="00741CD8"/>
    <w:pPr>
      <w:autoSpaceDE w:val="0"/>
      <w:autoSpaceDN w:val="0"/>
      <w:adjustRightInd w:val="0"/>
    </w:pPr>
    <w:rPr>
      <w:rFonts w:eastAsiaTheme="minorEastAsia"/>
      <w:color w:val="000000"/>
      <w:sz w:val="24"/>
      <w:szCs w:val="24"/>
      <w:lang w:val="nl-B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rPr>
      <w:sz w:val="2"/>
      <w:lang w:val="en-GB"/>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2835"/>
        <w:tab w:val="left" w:pos="3402"/>
      </w:tabs>
    </w:p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style>
  <w:style w:type="numbering" w:customStyle="1" w:styleId="CBDHeadings">
    <w:name w:val="CBD_Headings"/>
    <w:basedOn w:val="ListCBD"/>
    <w:uiPriority w:val="99"/>
    <w:rsid w:val="00076F1E"/>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rPr>
  </w:style>
  <w:style w:type="paragraph" w:styleId="List">
    <w:name w:val="List"/>
    <w:basedOn w:val="Normal"/>
    <w:semiHidden/>
    <w:rsid w:val="00076F1E"/>
    <w:pPr>
      <w:contextualSpacing/>
    </w:pPr>
  </w:style>
  <w:style w:type="table" w:customStyle="1" w:styleId="a">
    <w:basedOn w:val="TableNormal"/>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stta-25/sbstta-25-rec-07-zh.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2024-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GFYC7QtfNom9OvP1WVBgg/ibVA==">CgMxLjAaJQoBMBIgCh4IB0IaCg9UaW1lcyBOZXcgUm9tYW4SB0d1bmdzdWgaFAoBMRIPCg0IB0IJEgdHdW5nc3VoGhQKATISDwoNCAdCCRIHR3VuZ3N1aBoUCgEzEg8KDQgHQgkSB0d1bmdzdWgaFAoBNBIPCg0IB0IJEgdHdW5nc3VoGhQKATUSDwoNCAdCCRIHR3VuZ3N1aBoUCgE2Eg8KDQgHQgkSB0d1bmdzdWgaFAoBNxIPCg0IB0IJEgdHdW5nc3VoMghoLmdqZGd4czIJaC4zMGowemxsOAByITFxaENmekJqWFVqeWdISjlyY1plb0s0cTVVNXRjTWYy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guilherme.patury</dc:creator>
  <cp:lastModifiedBy>Mariko Nishi</cp:lastModifiedBy>
  <cp:revision>3</cp:revision>
  <dcterms:created xsi:type="dcterms:W3CDTF">2024-09-19T23:58:00Z</dcterms:created>
  <dcterms:modified xsi:type="dcterms:W3CDTF">2024-09-20T14:48:00Z</dcterms:modified>
</cp:coreProperties>
</file>